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5AD6" w:rsidRDefault="00387F92">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i/>
          <w:iCs/>
          <w:color w:val="000000"/>
        </w:rPr>
        <w:t>REPUBLICAÇÃO DO EDITAL</w:t>
      </w:r>
    </w:p>
    <w:p w:rsidR="00D35AD6" w:rsidRDefault="00D35AD6">
      <w:pPr>
        <w:spacing w:after="0" w:line="240" w:lineRule="auto"/>
        <w:rPr>
          <w:rFonts w:ascii="Times New Roman" w:eastAsia="Times New Roman" w:hAnsi="Times New Roman" w:cs="Times New Roman"/>
          <w:sz w:val="24"/>
          <w:szCs w:val="24"/>
        </w:rPr>
      </w:pPr>
    </w:p>
    <w:p w:rsidR="00D35AD6" w:rsidRDefault="00387F92">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i/>
          <w:iCs/>
          <w:color w:val="000000"/>
          <w:sz w:val="20"/>
          <w:szCs w:val="20"/>
        </w:rPr>
        <w:t>PREGÃO ELETRÔNICO SRP Nº 012/2026.</w:t>
      </w:r>
    </w:p>
    <w:p w:rsidR="00D35AD6" w:rsidRDefault="00387F92">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i/>
          <w:iCs/>
          <w:color w:val="000000"/>
          <w:sz w:val="20"/>
          <w:szCs w:val="20"/>
        </w:rPr>
        <w:t>(SISTEMA DE REGISTRO DE PREÇOS)</w:t>
      </w:r>
    </w:p>
    <w:p w:rsidR="00D35AD6" w:rsidRDefault="00D35AD6">
      <w:pPr>
        <w:spacing w:after="0" w:line="240" w:lineRule="auto"/>
        <w:rPr>
          <w:rFonts w:ascii="Times New Roman" w:eastAsia="Times New Roman" w:hAnsi="Times New Roman" w:cs="Times New Roman"/>
          <w:sz w:val="24"/>
          <w:szCs w:val="24"/>
        </w:rPr>
      </w:pPr>
    </w:p>
    <w:p w:rsidR="00D35AD6" w:rsidRDefault="00387F9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color w:val="000000"/>
          <w:sz w:val="20"/>
          <w:szCs w:val="20"/>
        </w:rPr>
        <w:t>Processo Administrativo Nº 044/2026.</w:t>
      </w:r>
    </w:p>
    <w:p w:rsidR="00D35AD6" w:rsidRDefault="00D35AD6">
      <w:pPr>
        <w:spacing w:after="0" w:line="240" w:lineRule="auto"/>
        <w:rPr>
          <w:rFonts w:ascii="Times New Roman" w:eastAsia="Times New Roman" w:hAnsi="Times New Roman" w:cs="Times New Roman"/>
          <w:sz w:val="24"/>
          <w:szCs w:val="24"/>
        </w:rPr>
      </w:pPr>
    </w:p>
    <w:p w:rsidR="00D35AD6" w:rsidRDefault="00387F9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color w:val="000000"/>
          <w:sz w:val="20"/>
          <w:szCs w:val="20"/>
        </w:rPr>
        <w:t>Modalidade: Pregão Eletrônico SRP Nº 012 /2026.</w:t>
      </w:r>
    </w:p>
    <w:p w:rsidR="00D35AD6" w:rsidRDefault="00D35AD6">
      <w:pPr>
        <w:spacing w:after="0" w:line="240" w:lineRule="auto"/>
        <w:rPr>
          <w:rFonts w:ascii="Times New Roman" w:eastAsia="Times New Roman" w:hAnsi="Times New Roman" w:cs="Times New Roman"/>
          <w:sz w:val="24"/>
          <w:szCs w:val="24"/>
        </w:rPr>
      </w:pPr>
    </w:p>
    <w:p w:rsidR="00D35AD6" w:rsidRDefault="00387F9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color w:val="000000"/>
          <w:sz w:val="20"/>
          <w:szCs w:val="20"/>
        </w:rPr>
        <w:t xml:space="preserve">Forma de Execução: </w:t>
      </w:r>
      <w:r>
        <w:rPr>
          <w:rFonts w:ascii="Times New Roman" w:eastAsia="Times New Roman" w:hAnsi="Times New Roman" w:cs="Times New Roman"/>
          <w:color w:val="000000"/>
          <w:sz w:val="20"/>
          <w:szCs w:val="20"/>
        </w:rPr>
        <w:t>indireta.</w:t>
      </w:r>
    </w:p>
    <w:p w:rsidR="00D35AD6" w:rsidRDefault="00D35AD6">
      <w:pPr>
        <w:spacing w:after="0" w:line="240" w:lineRule="auto"/>
        <w:rPr>
          <w:rFonts w:ascii="Times New Roman" w:eastAsia="Times New Roman" w:hAnsi="Times New Roman" w:cs="Times New Roman"/>
          <w:sz w:val="24"/>
          <w:szCs w:val="24"/>
        </w:rPr>
      </w:pPr>
    </w:p>
    <w:p w:rsidR="00D35AD6" w:rsidRDefault="00387F9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color w:val="000000"/>
          <w:sz w:val="20"/>
          <w:szCs w:val="20"/>
        </w:rPr>
        <w:t xml:space="preserve">Tipo de Licitação: </w:t>
      </w:r>
      <w:r>
        <w:rPr>
          <w:rFonts w:ascii="Times New Roman" w:eastAsia="Times New Roman" w:hAnsi="Times New Roman" w:cs="Times New Roman"/>
          <w:color w:val="000000"/>
          <w:sz w:val="20"/>
          <w:szCs w:val="20"/>
        </w:rPr>
        <w:t xml:space="preserve">Menor Preço por </w:t>
      </w:r>
      <w:proofErr w:type="gramStart"/>
      <w:r>
        <w:rPr>
          <w:rFonts w:ascii="Times New Roman" w:eastAsia="Times New Roman" w:hAnsi="Times New Roman" w:cs="Times New Roman"/>
          <w:color w:val="000000"/>
          <w:sz w:val="20"/>
          <w:szCs w:val="20"/>
        </w:rPr>
        <w:t>Item .</w:t>
      </w:r>
      <w:proofErr w:type="gramEnd"/>
    </w:p>
    <w:p w:rsidR="00D35AD6" w:rsidRDefault="00D35AD6">
      <w:pPr>
        <w:spacing w:after="0" w:line="240" w:lineRule="auto"/>
        <w:rPr>
          <w:rFonts w:ascii="Times New Roman" w:eastAsia="Times New Roman" w:hAnsi="Times New Roman" w:cs="Times New Roman"/>
          <w:sz w:val="24"/>
          <w:szCs w:val="24"/>
        </w:rPr>
      </w:pPr>
    </w:p>
    <w:tbl>
      <w:tblPr>
        <w:tblStyle w:val="a"/>
        <w:tblpPr w:leftFromText="180" w:rightFromText="180" w:topFromText="180" w:bottomFromText="180" w:vertAnchor="text" w:tblpX="24" w:tblpY="7"/>
        <w:tblW w:w="8565" w:type="dxa"/>
        <w:tblInd w:w="0" w:type="dxa"/>
        <w:tblLayout w:type="fixed"/>
        <w:tblLook w:val="0400" w:firstRow="0" w:lastRow="0" w:firstColumn="0" w:lastColumn="0" w:noHBand="0" w:noVBand="1"/>
      </w:tblPr>
      <w:tblGrid>
        <w:gridCol w:w="8565"/>
      </w:tblGrid>
      <w:tr w:rsidR="00D35AD6">
        <w:trPr>
          <w:trHeight w:val="295"/>
          <w:tblHeader/>
        </w:trPr>
        <w:tc>
          <w:tcPr>
            <w:tcW w:w="8565"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rsidR="00D35AD6" w:rsidRDefault="00387F92">
            <w:pPr>
              <w:shd w:val="clear" w:color="auto" w:fill="FFFF00"/>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0"/>
                <w:szCs w:val="20"/>
                <w:highlight w:val="yellow"/>
              </w:rPr>
              <w:t>PREÂMBULO</w:t>
            </w:r>
          </w:p>
        </w:tc>
      </w:tr>
    </w:tbl>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O MUNICÍPIO DE CONCEIÇÃO DE IPANEMA/MG,</w:t>
      </w:r>
      <w:r>
        <w:rPr>
          <w:rFonts w:ascii="Times New Roman" w:eastAsia="Times New Roman" w:hAnsi="Times New Roman" w:cs="Times New Roman"/>
          <w:color w:val="000000"/>
          <w:sz w:val="18"/>
          <w:szCs w:val="18"/>
        </w:rPr>
        <w:t xml:space="preserve"> pessoa jurídica de direito público, devidamente inscrita no CNPJ sob o nº 18.334.300/0001-72, com sede na Av. Geraldo de Barros, nº 192, Centro, Conceição de Ipanema, MG, torna público para ciência e conhecimento dos interessados que, atendendo à solicitação de diversas Secretarias Municipais, realizará licitação para </w:t>
      </w:r>
      <w:r>
        <w:rPr>
          <w:rFonts w:ascii="Times New Roman" w:eastAsia="Times New Roman" w:hAnsi="Times New Roman" w:cs="Times New Roman"/>
          <w:b/>
          <w:bCs/>
          <w:color w:val="000000"/>
          <w:sz w:val="18"/>
          <w:szCs w:val="18"/>
          <w:u w:val="single"/>
        </w:rPr>
        <w:t>REGISTRO DE PREÇOS</w:t>
      </w:r>
      <w:r>
        <w:rPr>
          <w:rFonts w:ascii="Times New Roman" w:eastAsia="Times New Roman" w:hAnsi="Times New Roman" w:cs="Times New Roman"/>
          <w:color w:val="000000"/>
          <w:sz w:val="18"/>
          <w:szCs w:val="18"/>
        </w:rPr>
        <w:t xml:space="preserve">, na </w:t>
      </w:r>
      <w:r>
        <w:rPr>
          <w:rFonts w:ascii="Times New Roman" w:eastAsia="Times New Roman" w:hAnsi="Times New Roman" w:cs="Times New Roman"/>
          <w:b/>
          <w:bCs/>
          <w:color w:val="000000"/>
          <w:sz w:val="18"/>
          <w:szCs w:val="18"/>
          <w:u w:val="single"/>
        </w:rPr>
        <w:t>MODALIDADE PREGÃO, NA FORMA ELETRÔNICA</w:t>
      </w:r>
      <w:r>
        <w:rPr>
          <w:rFonts w:ascii="Times New Roman" w:eastAsia="Times New Roman" w:hAnsi="Times New Roman" w:cs="Times New Roman"/>
          <w:color w:val="000000"/>
          <w:sz w:val="18"/>
          <w:szCs w:val="18"/>
        </w:rPr>
        <w:t>, com critério de julgamento de menor preço, com amparo na Lei Federal nº 14.133, de 01 de abril de 2021 e alterações, Lei Complementar nº 123, de 14 de dezembro de 2006 e suas alterações, Decretos regulamentares vigentes e demais normas regulamentares vigentes, por meio do Agente de Contratação, neste ato designado Pregoeira, através da Portaria nº 040, de 14 de janeiro de 2025 e demais normas pertinentes em vigor, consoantes às condições estatuídas neste instrumento convocatório e seus anexos.</w:t>
      </w:r>
    </w:p>
    <w:p w:rsidR="00D35AD6" w:rsidRDefault="00387F92">
      <w:pPr>
        <w:spacing w:after="0" w:line="240" w:lineRule="auto"/>
        <w:rPr>
          <w:rFonts w:ascii="Times New Roman" w:eastAsia="Times New Roman" w:hAnsi="Times New Roman" w:cs="Times New Roman"/>
        </w:rPr>
      </w:pPr>
      <w:r>
        <w:rPr>
          <w:rFonts w:ascii="Times New Roman" w:eastAsia="Times New Roman" w:hAnsi="Times New Roman" w:cs="Times New Roman"/>
          <w:color w:val="000000"/>
          <w:sz w:val="18"/>
          <w:szCs w:val="18"/>
        </w:rPr>
        <w:br/>
      </w:r>
      <w:r>
        <w:rPr>
          <w:rFonts w:ascii="Times New Roman" w:eastAsia="Times New Roman" w:hAnsi="Times New Roman" w:cs="Times New Roman"/>
          <w:color w:val="000000"/>
          <w:sz w:val="18"/>
          <w:szCs w:val="18"/>
        </w:rPr>
        <w:br/>
      </w:r>
    </w:p>
    <w:p w:rsidR="00D35AD6" w:rsidRDefault="00387F92">
      <w:pPr>
        <w:numPr>
          <w:ilvl w:val="0"/>
          <w:numId w:val="1"/>
        </w:numPr>
        <w:spacing w:after="0" w:line="240" w:lineRule="auto"/>
        <w:ind w:left="360" w:right="-142"/>
        <w:rPr>
          <w:sz w:val="18"/>
          <w:szCs w:val="18"/>
        </w:rPr>
      </w:pPr>
      <w:r>
        <w:rPr>
          <w:rFonts w:ascii="Times New Roman" w:eastAsia="Times New Roman" w:hAnsi="Times New Roman" w:cs="Times New Roman"/>
          <w:sz w:val="18"/>
          <w:szCs w:val="18"/>
        </w:rPr>
        <w:t xml:space="preserve">Recebimento das Propostas: </w:t>
      </w:r>
      <w:r>
        <w:rPr>
          <w:rFonts w:ascii="Times New Roman" w:eastAsia="Times New Roman" w:hAnsi="Times New Roman" w:cs="Times New Roman"/>
          <w:b/>
          <w:bCs/>
          <w:sz w:val="18"/>
          <w:szCs w:val="18"/>
        </w:rPr>
        <w:t xml:space="preserve">A partir das 07h 00min do dia </w:t>
      </w:r>
      <w:r w:rsidR="00F33356">
        <w:rPr>
          <w:rFonts w:ascii="Times New Roman" w:eastAsia="Times New Roman" w:hAnsi="Times New Roman" w:cs="Times New Roman"/>
          <w:b/>
          <w:bCs/>
          <w:sz w:val="18"/>
          <w:szCs w:val="18"/>
        </w:rPr>
        <w:t>15</w:t>
      </w:r>
      <w:r>
        <w:rPr>
          <w:rFonts w:ascii="Times New Roman" w:eastAsia="Times New Roman" w:hAnsi="Times New Roman" w:cs="Times New Roman"/>
          <w:b/>
          <w:bCs/>
          <w:sz w:val="18"/>
          <w:szCs w:val="18"/>
        </w:rPr>
        <w:t xml:space="preserve">/10/2026 até às 07h00min do dia </w:t>
      </w:r>
      <w:r w:rsidR="00F33356">
        <w:rPr>
          <w:rFonts w:ascii="Times New Roman" w:eastAsia="Times New Roman" w:hAnsi="Times New Roman" w:cs="Times New Roman"/>
          <w:b/>
          <w:bCs/>
          <w:sz w:val="18"/>
          <w:szCs w:val="18"/>
        </w:rPr>
        <w:t>28</w:t>
      </w:r>
      <w:r>
        <w:rPr>
          <w:rFonts w:ascii="Times New Roman" w:eastAsia="Times New Roman" w:hAnsi="Times New Roman" w:cs="Times New Roman"/>
          <w:b/>
          <w:bCs/>
          <w:sz w:val="18"/>
          <w:szCs w:val="18"/>
        </w:rPr>
        <w:t>/10/2026</w:t>
      </w:r>
      <w:r>
        <w:rPr>
          <w:rFonts w:ascii="Times New Roman" w:eastAsia="Times New Roman" w:hAnsi="Times New Roman" w:cs="Times New Roman"/>
          <w:sz w:val="18"/>
          <w:szCs w:val="18"/>
        </w:rPr>
        <w:t>.</w:t>
      </w:r>
    </w:p>
    <w:p w:rsidR="00D35AD6" w:rsidRDefault="00387F92">
      <w:pPr>
        <w:spacing w:after="0" w:line="240" w:lineRule="auto"/>
        <w:rPr>
          <w:rFonts w:ascii="Times New Roman" w:eastAsia="Times New Roman" w:hAnsi="Times New Roman" w:cs="Times New Roman"/>
        </w:rPr>
      </w:pPr>
      <w:r>
        <w:rPr>
          <w:rFonts w:ascii="Times New Roman" w:eastAsia="Times New Roman" w:hAnsi="Times New Roman" w:cs="Times New Roman"/>
        </w:rPr>
        <w:br/>
      </w:r>
    </w:p>
    <w:p w:rsidR="00D35AD6" w:rsidRDefault="00387F92">
      <w:pPr>
        <w:numPr>
          <w:ilvl w:val="0"/>
          <w:numId w:val="2"/>
        </w:numPr>
        <w:spacing w:after="0" w:line="240" w:lineRule="auto"/>
        <w:ind w:left="360" w:right="-142"/>
        <w:rPr>
          <w:sz w:val="18"/>
          <w:szCs w:val="18"/>
        </w:rPr>
      </w:pPr>
      <w:r>
        <w:rPr>
          <w:rFonts w:ascii="Times New Roman" w:eastAsia="Times New Roman" w:hAnsi="Times New Roman" w:cs="Times New Roman"/>
          <w:sz w:val="18"/>
          <w:szCs w:val="18"/>
        </w:rPr>
        <w:t xml:space="preserve">Abertura e Julgamento das Propostas: </w:t>
      </w:r>
      <w:r>
        <w:rPr>
          <w:rFonts w:ascii="Times New Roman" w:eastAsia="Times New Roman" w:hAnsi="Times New Roman" w:cs="Times New Roman"/>
          <w:b/>
          <w:bCs/>
          <w:sz w:val="18"/>
          <w:szCs w:val="18"/>
        </w:rPr>
        <w:t>Às 07h</w:t>
      </w:r>
      <w:r w:rsidR="00F33356">
        <w:rPr>
          <w:rFonts w:ascii="Times New Roman" w:eastAsia="Times New Roman" w:hAnsi="Times New Roman" w:cs="Times New Roman"/>
          <w:b/>
          <w:bCs/>
          <w:sz w:val="18"/>
          <w:szCs w:val="18"/>
        </w:rPr>
        <w:t>00</w:t>
      </w:r>
      <w:r>
        <w:rPr>
          <w:rFonts w:ascii="Times New Roman" w:eastAsia="Times New Roman" w:hAnsi="Times New Roman" w:cs="Times New Roman"/>
          <w:b/>
          <w:bCs/>
          <w:sz w:val="18"/>
          <w:szCs w:val="18"/>
        </w:rPr>
        <w:t xml:space="preserve">min, do dia </w:t>
      </w:r>
      <w:r w:rsidR="00F33356">
        <w:rPr>
          <w:rFonts w:ascii="Times New Roman" w:eastAsia="Times New Roman" w:hAnsi="Times New Roman" w:cs="Times New Roman"/>
          <w:b/>
          <w:bCs/>
          <w:sz w:val="18"/>
          <w:szCs w:val="18"/>
        </w:rPr>
        <w:t>28</w:t>
      </w:r>
      <w:r>
        <w:rPr>
          <w:rFonts w:ascii="Times New Roman" w:eastAsia="Times New Roman" w:hAnsi="Times New Roman" w:cs="Times New Roman"/>
          <w:b/>
          <w:bCs/>
          <w:sz w:val="18"/>
          <w:szCs w:val="18"/>
        </w:rPr>
        <w:t>/10/2026.</w:t>
      </w:r>
    </w:p>
    <w:p w:rsidR="00D35AD6" w:rsidRDefault="00387F92">
      <w:pPr>
        <w:spacing w:after="0" w:line="240" w:lineRule="auto"/>
        <w:rPr>
          <w:rFonts w:ascii="Times New Roman" w:eastAsia="Times New Roman" w:hAnsi="Times New Roman" w:cs="Times New Roman"/>
        </w:rPr>
      </w:pPr>
      <w:r>
        <w:rPr>
          <w:rFonts w:ascii="Times New Roman" w:eastAsia="Times New Roman" w:hAnsi="Times New Roman" w:cs="Times New Roman"/>
          <w:sz w:val="18"/>
          <w:szCs w:val="18"/>
        </w:rPr>
        <w:br/>
      </w:r>
      <w:r>
        <w:rPr>
          <w:rFonts w:ascii="Times New Roman" w:eastAsia="Times New Roman" w:hAnsi="Times New Roman" w:cs="Times New Roman"/>
          <w:sz w:val="18"/>
          <w:szCs w:val="18"/>
        </w:rPr>
        <w:br/>
      </w:r>
    </w:p>
    <w:p w:rsidR="00D35AD6" w:rsidRDefault="00387F92">
      <w:pPr>
        <w:numPr>
          <w:ilvl w:val="0"/>
          <w:numId w:val="3"/>
        </w:numPr>
        <w:spacing w:after="0" w:line="240" w:lineRule="auto"/>
        <w:ind w:left="360" w:right="-142"/>
        <w:rPr>
          <w:sz w:val="18"/>
          <w:szCs w:val="18"/>
        </w:rPr>
      </w:pPr>
      <w:r>
        <w:rPr>
          <w:rFonts w:ascii="Times New Roman" w:eastAsia="Times New Roman" w:hAnsi="Times New Roman" w:cs="Times New Roman"/>
          <w:sz w:val="18"/>
          <w:szCs w:val="18"/>
        </w:rPr>
        <w:t xml:space="preserve">Início da Disputa e Oferta de Lances: </w:t>
      </w:r>
      <w:r>
        <w:rPr>
          <w:rFonts w:ascii="Times New Roman" w:eastAsia="Times New Roman" w:hAnsi="Times New Roman" w:cs="Times New Roman"/>
          <w:b/>
          <w:bCs/>
          <w:sz w:val="18"/>
          <w:szCs w:val="18"/>
        </w:rPr>
        <w:t xml:space="preserve">Às 08h00min do dia </w:t>
      </w:r>
      <w:r w:rsidR="00F33356">
        <w:rPr>
          <w:rFonts w:ascii="Times New Roman" w:eastAsia="Times New Roman" w:hAnsi="Times New Roman" w:cs="Times New Roman"/>
          <w:b/>
          <w:bCs/>
          <w:sz w:val="18"/>
          <w:szCs w:val="18"/>
        </w:rPr>
        <w:t>28</w:t>
      </w:r>
      <w:r>
        <w:rPr>
          <w:rFonts w:ascii="Times New Roman" w:eastAsia="Times New Roman" w:hAnsi="Times New Roman" w:cs="Times New Roman"/>
          <w:b/>
          <w:bCs/>
          <w:sz w:val="18"/>
          <w:szCs w:val="18"/>
        </w:rPr>
        <w:t>/10/2026.</w:t>
      </w:r>
    </w:p>
    <w:p w:rsidR="00D35AD6" w:rsidRDefault="00387F92">
      <w:pPr>
        <w:spacing w:after="0" w:line="240" w:lineRule="auto"/>
        <w:rPr>
          <w:rFonts w:ascii="Times New Roman" w:eastAsia="Times New Roman" w:hAnsi="Times New Roman" w:cs="Times New Roman"/>
        </w:rPr>
      </w:pPr>
      <w:r>
        <w:rPr>
          <w:rFonts w:ascii="Times New Roman" w:eastAsia="Times New Roman" w:hAnsi="Times New Roman" w:cs="Times New Roman"/>
          <w:sz w:val="18"/>
          <w:szCs w:val="18"/>
        </w:rPr>
        <w:br/>
      </w:r>
      <w:r>
        <w:rPr>
          <w:rFonts w:ascii="Times New Roman" w:eastAsia="Times New Roman" w:hAnsi="Times New Roman" w:cs="Times New Roman"/>
          <w:sz w:val="18"/>
          <w:szCs w:val="18"/>
        </w:rPr>
        <w:br/>
      </w:r>
    </w:p>
    <w:p w:rsidR="00D35AD6" w:rsidRDefault="00387F92">
      <w:pPr>
        <w:numPr>
          <w:ilvl w:val="0"/>
          <w:numId w:val="4"/>
        </w:numPr>
        <w:spacing w:after="0" w:line="240" w:lineRule="auto"/>
        <w:ind w:left="360" w:right="-142"/>
        <w:rPr>
          <w:color w:val="000000"/>
          <w:sz w:val="18"/>
          <w:szCs w:val="18"/>
        </w:rPr>
      </w:pPr>
      <w:r>
        <w:rPr>
          <w:rFonts w:ascii="Times New Roman" w:eastAsia="Times New Roman" w:hAnsi="Times New Roman" w:cs="Times New Roman"/>
          <w:color w:val="000000"/>
          <w:sz w:val="18"/>
          <w:szCs w:val="18"/>
        </w:rPr>
        <w:t xml:space="preserve">Referência/hora: </w:t>
      </w:r>
      <w:r>
        <w:rPr>
          <w:rFonts w:ascii="Times New Roman" w:eastAsia="Times New Roman" w:hAnsi="Times New Roman" w:cs="Times New Roman"/>
          <w:b/>
          <w:bCs/>
          <w:color w:val="000000"/>
          <w:sz w:val="18"/>
          <w:szCs w:val="18"/>
        </w:rPr>
        <w:t>Horário de Brasília/DF.</w:t>
      </w:r>
    </w:p>
    <w:p w:rsidR="00D35AD6" w:rsidRDefault="00387F92">
      <w:pPr>
        <w:spacing w:after="0" w:line="240" w:lineRule="auto"/>
        <w:rPr>
          <w:rFonts w:ascii="Times New Roman" w:eastAsia="Times New Roman" w:hAnsi="Times New Roman" w:cs="Times New Roman"/>
        </w:rPr>
      </w:pPr>
      <w:r>
        <w:rPr>
          <w:rFonts w:ascii="Times New Roman" w:eastAsia="Times New Roman" w:hAnsi="Times New Roman" w:cs="Times New Roman"/>
          <w:color w:val="000000"/>
          <w:sz w:val="18"/>
          <w:szCs w:val="18"/>
        </w:rPr>
        <w:br/>
      </w:r>
      <w:r>
        <w:rPr>
          <w:rFonts w:ascii="Times New Roman" w:eastAsia="Times New Roman" w:hAnsi="Times New Roman" w:cs="Times New Roman"/>
          <w:color w:val="000000"/>
          <w:sz w:val="18"/>
          <w:szCs w:val="18"/>
        </w:rPr>
        <w:br/>
      </w:r>
    </w:p>
    <w:p w:rsidR="00D35AD6" w:rsidRDefault="00387F92">
      <w:pPr>
        <w:numPr>
          <w:ilvl w:val="0"/>
          <w:numId w:val="5"/>
        </w:numPr>
        <w:spacing w:after="0" w:line="240" w:lineRule="auto"/>
        <w:ind w:left="360" w:right="-142"/>
        <w:rPr>
          <w:color w:val="000000"/>
          <w:sz w:val="18"/>
          <w:szCs w:val="18"/>
        </w:rPr>
      </w:pPr>
      <w:r>
        <w:rPr>
          <w:rFonts w:ascii="Times New Roman" w:eastAsia="Times New Roman" w:hAnsi="Times New Roman" w:cs="Times New Roman"/>
          <w:color w:val="000000"/>
          <w:sz w:val="18"/>
          <w:szCs w:val="18"/>
        </w:rPr>
        <w:t xml:space="preserve">Local/Plataforma: </w:t>
      </w:r>
      <w:r>
        <w:rPr>
          <w:rFonts w:ascii="Times New Roman" w:eastAsia="Times New Roman" w:hAnsi="Times New Roman" w:cs="Times New Roman"/>
          <w:b/>
          <w:bCs/>
          <w:color w:val="000000"/>
          <w:sz w:val="18"/>
          <w:szCs w:val="18"/>
        </w:rPr>
        <w:t>Bolsa Nacional de Compras (</w:t>
      </w:r>
      <w:hyperlink r:id="rId8">
        <w:r>
          <w:rPr>
            <w:rFonts w:ascii="Times New Roman" w:eastAsia="Times New Roman" w:hAnsi="Times New Roman" w:cs="Times New Roman"/>
            <w:b/>
            <w:bCs/>
            <w:color w:val="0000FF"/>
            <w:sz w:val="18"/>
            <w:szCs w:val="18"/>
            <w:u w:val="single"/>
          </w:rPr>
          <w:t>www.bnc.org.br/</w:t>
        </w:r>
      </w:hyperlink>
      <w:r>
        <w:rPr>
          <w:rFonts w:ascii="Times New Roman" w:eastAsia="Times New Roman" w:hAnsi="Times New Roman" w:cs="Times New Roman"/>
          <w:b/>
          <w:bCs/>
          <w:color w:val="000000"/>
          <w:sz w:val="18"/>
          <w:szCs w:val="18"/>
        </w:rPr>
        <w:t>)</w:t>
      </w:r>
    </w:p>
    <w:p w:rsidR="00D35AD6" w:rsidRDefault="00387F92">
      <w:pPr>
        <w:spacing w:after="0" w:line="240" w:lineRule="auto"/>
        <w:rPr>
          <w:rFonts w:ascii="Times New Roman" w:eastAsia="Times New Roman" w:hAnsi="Times New Roman" w:cs="Times New Roman"/>
        </w:rPr>
      </w:pPr>
      <w:r>
        <w:rPr>
          <w:rFonts w:ascii="Times New Roman" w:eastAsia="Times New Roman" w:hAnsi="Times New Roman" w:cs="Times New Roman"/>
          <w:color w:val="000000"/>
          <w:sz w:val="18"/>
          <w:szCs w:val="18"/>
        </w:rPr>
        <w:br/>
      </w:r>
      <w:r>
        <w:rPr>
          <w:rFonts w:ascii="Times New Roman" w:eastAsia="Times New Roman" w:hAnsi="Times New Roman" w:cs="Times New Roman"/>
          <w:color w:val="000000"/>
          <w:sz w:val="18"/>
          <w:szCs w:val="18"/>
        </w:rPr>
        <w:br/>
      </w:r>
    </w:p>
    <w:p w:rsidR="00D35AD6" w:rsidRDefault="00387F92">
      <w:pPr>
        <w:numPr>
          <w:ilvl w:val="0"/>
          <w:numId w:val="6"/>
        </w:numPr>
        <w:spacing w:after="0" w:line="240" w:lineRule="auto"/>
        <w:ind w:left="360" w:right="-142"/>
        <w:rPr>
          <w:color w:val="000000"/>
          <w:sz w:val="18"/>
          <w:szCs w:val="18"/>
        </w:rPr>
      </w:pPr>
      <w:r>
        <w:rPr>
          <w:rFonts w:ascii="Times New Roman" w:eastAsia="Times New Roman" w:hAnsi="Times New Roman" w:cs="Times New Roman"/>
          <w:color w:val="000000"/>
          <w:sz w:val="18"/>
          <w:szCs w:val="18"/>
        </w:rPr>
        <w:t xml:space="preserve">O modo de disputa deste certame será o </w:t>
      </w:r>
      <w:r>
        <w:rPr>
          <w:rFonts w:ascii="Times New Roman" w:eastAsia="Times New Roman" w:hAnsi="Times New Roman" w:cs="Times New Roman"/>
          <w:b/>
          <w:bCs/>
          <w:color w:val="000000"/>
          <w:sz w:val="18"/>
          <w:szCs w:val="18"/>
          <w:u w:val="single"/>
        </w:rPr>
        <w:t>aberto</w:t>
      </w:r>
      <w:r>
        <w:rPr>
          <w:rFonts w:ascii="Times New Roman" w:eastAsia="Times New Roman" w:hAnsi="Times New Roman" w:cs="Times New Roman"/>
          <w:color w:val="000000"/>
          <w:sz w:val="18"/>
          <w:szCs w:val="18"/>
        </w:rPr>
        <w:t>, conforme disposições contidas no inc. I. do artigo 56, da Lei nº 14.133, de 01 de abril de 2021 e alterações.</w:t>
      </w:r>
    </w:p>
    <w:p w:rsidR="00D35AD6" w:rsidRDefault="00387F92">
      <w:pPr>
        <w:spacing w:after="0" w:line="240" w:lineRule="auto"/>
        <w:rPr>
          <w:rFonts w:ascii="Times New Roman" w:eastAsia="Times New Roman" w:hAnsi="Times New Roman" w:cs="Times New Roman"/>
        </w:rPr>
      </w:pPr>
      <w:r>
        <w:rPr>
          <w:rFonts w:ascii="Times New Roman" w:eastAsia="Times New Roman" w:hAnsi="Times New Roman" w:cs="Times New Roman"/>
        </w:rPr>
        <w:br/>
      </w:r>
    </w:p>
    <w:p w:rsidR="00D35AD6" w:rsidRDefault="00387F92">
      <w:pPr>
        <w:numPr>
          <w:ilvl w:val="0"/>
          <w:numId w:val="7"/>
        </w:numPr>
        <w:spacing w:after="0" w:line="240" w:lineRule="auto"/>
        <w:ind w:left="426" w:right="-142"/>
        <w:jc w:val="both"/>
        <w:rPr>
          <w:color w:val="000000"/>
          <w:sz w:val="18"/>
          <w:szCs w:val="18"/>
        </w:rPr>
      </w:pPr>
      <w:r>
        <w:rPr>
          <w:rFonts w:ascii="Times New Roman" w:eastAsia="Times New Roman" w:hAnsi="Times New Roman" w:cs="Times New Roman"/>
          <w:color w:val="000000"/>
          <w:sz w:val="18"/>
          <w:szCs w:val="18"/>
        </w:rPr>
        <w:t xml:space="preserve">Critério de Julgamento: </w:t>
      </w:r>
      <w:r>
        <w:rPr>
          <w:rFonts w:ascii="Times New Roman" w:eastAsia="Times New Roman" w:hAnsi="Times New Roman" w:cs="Times New Roman"/>
          <w:b/>
          <w:bCs/>
          <w:color w:val="000000"/>
          <w:sz w:val="18"/>
          <w:szCs w:val="18"/>
        </w:rPr>
        <w:t>Menor Preço</w:t>
      </w:r>
    </w:p>
    <w:p w:rsidR="00D35AD6" w:rsidRDefault="00D35AD6">
      <w:pPr>
        <w:spacing w:after="0" w:line="240" w:lineRule="auto"/>
        <w:rPr>
          <w:rFonts w:ascii="Times New Roman" w:eastAsia="Times New Roman" w:hAnsi="Times New Roman" w:cs="Times New Roman"/>
        </w:rPr>
      </w:pPr>
    </w:p>
    <w:tbl>
      <w:tblPr>
        <w:tblStyle w:val="a0"/>
        <w:tblW w:w="8520" w:type="dxa"/>
        <w:tblInd w:w="0" w:type="dxa"/>
        <w:tblLayout w:type="fixed"/>
        <w:tblLook w:val="0400" w:firstRow="0" w:lastRow="0" w:firstColumn="0" w:lastColumn="0" w:noHBand="0" w:noVBand="1"/>
      </w:tblPr>
      <w:tblGrid>
        <w:gridCol w:w="8520"/>
      </w:tblGrid>
      <w:tr w:rsidR="00D35AD6">
        <w:trPr>
          <w:trHeight w:val="160"/>
          <w:tblHeader/>
        </w:trPr>
        <w:tc>
          <w:tcPr>
            <w:tcW w:w="8520"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rsidR="00D35AD6" w:rsidRDefault="00387F92">
            <w:pPr>
              <w:spacing w:after="0" w:line="240" w:lineRule="auto"/>
              <w:ind w:right="70"/>
              <w:jc w:val="center"/>
              <w:rPr>
                <w:rFonts w:ascii="Times New Roman" w:eastAsia="Times New Roman" w:hAnsi="Times New Roman" w:cs="Times New Roman"/>
                <w:b/>
                <w:bCs/>
              </w:rPr>
            </w:pPr>
            <w:r>
              <w:rPr>
                <w:rFonts w:ascii="Times New Roman" w:eastAsia="Times New Roman" w:hAnsi="Times New Roman" w:cs="Times New Roman"/>
                <w:b/>
                <w:bCs/>
                <w:color w:val="000000"/>
                <w:sz w:val="18"/>
                <w:szCs w:val="18"/>
              </w:rPr>
              <w:t>1 – OBJETO</w:t>
            </w:r>
          </w:p>
        </w:tc>
      </w:tr>
    </w:tbl>
    <w:p w:rsidR="00D35AD6" w:rsidRDefault="00D35AD6">
      <w:pPr>
        <w:shd w:val="clear" w:color="auto" w:fill="FFFFFF"/>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 xml:space="preserve">1.1. </w:t>
      </w:r>
      <w:r>
        <w:rPr>
          <w:rFonts w:ascii="Times New Roman" w:eastAsia="Times New Roman" w:hAnsi="Times New Roman" w:cs="Times New Roman"/>
          <w:color w:val="000000"/>
          <w:sz w:val="18"/>
          <w:szCs w:val="18"/>
        </w:rPr>
        <w:t xml:space="preserve">O presente Edital tem por objeto, </w:t>
      </w:r>
      <w:bookmarkStart w:id="0" w:name="_GoBack"/>
      <w:r>
        <w:rPr>
          <w:rFonts w:ascii="Times New Roman" w:eastAsia="Times New Roman" w:hAnsi="Times New Roman" w:cs="Times New Roman"/>
          <w:color w:val="000000"/>
          <w:sz w:val="18"/>
          <w:szCs w:val="18"/>
        </w:rPr>
        <w:t>Registro de Preço para futura e eventual aquisição de materiais decorativos, ornamentais, de ambientação, comunicação visual, sinalização institucional, artigos natalinos, flores artificiais, vasos, tapetes, cortinas, tecidos, fitas decorativas, quadros, letreiros, logomarcas, letras caixa, placas de inauguração, totens, papel de parede e demais materiais correlatos destinados à manutenção, ornamentação, ambientação, identificação visual dos prédios públicos, valorização dos espaços institucionais e atendimento das demandas de eventos, campanhas, solenidades, inaugurações e ações promovidas pelo Município de Conceição de Ipanema/MG</w:t>
      </w:r>
      <w:bookmarkEnd w:id="0"/>
      <w:r>
        <w:rPr>
          <w:rFonts w:ascii="Times New Roman" w:eastAsia="Times New Roman" w:hAnsi="Times New Roman" w:cs="Times New Roman"/>
          <w:color w:val="000000"/>
          <w:sz w:val="18"/>
          <w:szCs w:val="18"/>
        </w:rPr>
        <w:t>, conforme especificações, quantitativos e valores estimados constantes no Termo de Referência</w:t>
      </w:r>
      <w:r>
        <w:rPr>
          <w:rFonts w:ascii="Times New Roman" w:eastAsia="Times New Roman" w:hAnsi="Times New Roman" w:cs="Times New Roman"/>
          <w:b/>
          <w:bCs/>
          <w:color w:val="000000"/>
          <w:sz w:val="18"/>
          <w:szCs w:val="18"/>
        </w:rPr>
        <w:t>.</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 xml:space="preserve">1.2. </w:t>
      </w:r>
      <w:r>
        <w:rPr>
          <w:rFonts w:ascii="Times New Roman" w:eastAsia="Times New Roman" w:hAnsi="Times New Roman" w:cs="Times New Roman"/>
          <w:color w:val="000000"/>
          <w:sz w:val="18"/>
          <w:szCs w:val="18"/>
        </w:rPr>
        <w:t>A descrição detalhada, quantidades dos produtos e estimativa de preços, são as constantes do Estudo Técnico Preliminar e Termo de Referência, anexo deste Edital.</w:t>
      </w:r>
    </w:p>
    <w:p w:rsidR="00D35AD6" w:rsidRDefault="00D35AD6">
      <w:pPr>
        <w:spacing w:after="0" w:line="240" w:lineRule="auto"/>
        <w:rPr>
          <w:rFonts w:ascii="Times New Roman" w:eastAsia="Times New Roman" w:hAnsi="Times New Roman" w:cs="Times New Roman"/>
        </w:rPr>
      </w:pPr>
    </w:p>
    <w:tbl>
      <w:tblPr>
        <w:tblStyle w:val="a1"/>
        <w:tblW w:w="8400" w:type="dxa"/>
        <w:tblInd w:w="0" w:type="dxa"/>
        <w:tblLayout w:type="fixed"/>
        <w:tblLook w:val="0400" w:firstRow="0" w:lastRow="0" w:firstColumn="0" w:lastColumn="0" w:noHBand="0" w:noVBand="1"/>
      </w:tblPr>
      <w:tblGrid>
        <w:gridCol w:w="8400"/>
      </w:tblGrid>
      <w:tr w:rsidR="00D35AD6">
        <w:trPr>
          <w:trHeight w:val="252"/>
          <w:tblHeader/>
        </w:trPr>
        <w:tc>
          <w:tcPr>
            <w:tcW w:w="8400"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rsidR="00D35AD6" w:rsidRDefault="00387F92">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color w:val="000000"/>
                <w:sz w:val="18"/>
                <w:szCs w:val="18"/>
              </w:rPr>
              <w:t>2 – DO REGISTRO DE PREÇOS</w:t>
            </w:r>
          </w:p>
        </w:tc>
      </w:tr>
    </w:tbl>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2.1.</w:t>
      </w:r>
      <w:r>
        <w:rPr>
          <w:rFonts w:ascii="Times New Roman" w:eastAsia="Times New Roman" w:hAnsi="Times New Roman" w:cs="Times New Roman"/>
          <w:color w:val="000000"/>
          <w:sz w:val="18"/>
          <w:szCs w:val="18"/>
        </w:rPr>
        <w:t xml:space="preserve"> As regras referentes aos órgãos gerenciador e participantes, bem como a eventuais adesões e outras disposições são as que constam no Termo de Referência, Minuta de Ata de Registro de Preços, que faz parte integrante deste Edital.</w:t>
      </w:r>
    </w:p>
    <w:p w:rsidR="00D35AD6" w:rsidRDefault="00D35AD6">
      <w:pPr>
        <w:spacing w:after="0" w:line="240" w:lineRule="auto"/>
        <w:rPr>
          <w:rFonts w:ascii="Times New Roman" w:eastAsia="Times New Roman" w:hAnsi="Times New Roman" w:cs="Times New Roman"/>
        </w:rPr>
      </w:pPr>
    </w:p>
    <w:tbl>
      <w:tblPr>
        <w:tblStyle w:val="a2"/>
        <w:tblW w:w="8445" w:type="dxa"/>
        <w:tblInd w:w="0" w:type="dxa"/>
        <w:tblLayout w:type="fixed"/>
        <w:tblLook w:val="0400" w:firstRow="0" w:lastRow="0" w:firstColumn="0" w:lastColumn="0" w:noHBand="0" w:noVBand="1"/>
      </w:tblPr>
      <w:tblGrid>
        <w:gridCol w:w="8445"/>
      </w:tblGrid>
      <w:tr w:rsidR="00D35AD6">
        <w:trPr>
          <w:tblHeader/>
        </w:trPr>
        <w:tc>
          <w:tcPr>
            <w:tcW w:w="8445"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rsidR="00D35AD6" w:rsidRDefault="00387F92">
            <w:pPr>
              <w:spacing w:after="0" w:line="240" w:lineRule="auto"/>
              <w:ind w:right="-108"/>
              <w:jc w:val="center"/>
              <w:rPr>
                <w:rFonts w:ascii="Times New Roman" w:eastAsia="Times New Roman" w:hAnsi="Times New Roman" w:cs="Times New Roman"/>
                <w:b/>
                <w:bCs/>
              </w:rPr>
            </w:pPr>
            <w:r>
              <w:rPr>
                <w:rFonts w:ascii="Times New Roman" w:eastAsia="Times New Roman" w:hAnsi="Times New Roman" w:cs="Times New Roman"/>
                <w:b/>
                <w:bCs/>
                <w:color w:val="000000"/>
                <w:sz w:val="18"/>
                <w:szCs w:val="18"/>
              </w:rPr>
              <w:t>3 – DISPOSIÇÕES PRELIMINARES</w:t>
            </w:r>
          </w:p>
        </w:tc>
      </w:tr>
    </w:tbl>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3.1.</w:t>
      </w:r>
      <w:r>
        <w:rPr>
          <w:rFonts w:ascii="Times New Roman" w:eastAsia="Times New Roman" w:hAnsi="Times New Roman" w:cs="Times New Roman"/>
          <w:color w:val="000000"/>
          <w:sz w:val="18"/>
          <w:szCs w:val="18"/>
        </w:rPr>
        <w:t xml:space="preserve"> O pregão para registro de preços será realizado em sessão pública virtual, por meio da INTERNET, mediante condições de segurança - criptografia e autenticação - em todas as suas fases, através da </w:t>
      </w:r>
      <w:r>
        <w:rPr>
          <w:rFonts w:ascii="Times New Roman" w:eastAsia="Times New Roman" w:hAnsi="Times New Roman" w:cs="Times New Roman"/>
          <w:b/>
          <w:bCs/>
          <w:color w:val="000000"/>
          <w:sz w:val="18"/>
          <w:szCs w:val="18"/>
          <w:u w:val="single"/>
        </w:rPr>
        <w:t>Bolsa Nacional de Compras - BNC</w:t>
      </w:r>
      <w:r>
        <w:rPr>
          <w:rFonts w:ascii="Times New Roman" w:eastAsia="Times New Roman" w:hAnsi="Times New Roman" w:cs="Times New Roman"/>
          <w:color w:val="000000"/>
          <w:sz w:val="18"/>
          <w:szCs w:val="18"/>
        </w:rPr>
        <w:t>, na Forma Eletrônica. </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3.2.</w:t>
      </w:r>
      <w:r>
        <w:rPr>
          <w:rFonts w:ascii="Times New Roman" w:eastAsia="Times New Roman" w:hAnsi="Times New Roman" w:cs="Times New Roman"/>
          <w:color w:val="000000"/>
          <w:sz w:val="18"/>
          <w:szCs w:val="18"/>
        </w:rPr>
        <w:t xml:space="preserve"> A utilização do sistema eletrônico do </w:t>
      </w:r>
      <w:r>
        <w:rPr>
          <w:rFonts w:ascii="Times New Roman" w:eastAsia="Times New Roman" w:hAnsi="Times New Roman" w:cs="Times New Roman"/>
          <w:b/>
          <w:bCs/>
          <w:color w:val="000000"/>
          <w:sz w:val="18"/>
          <w:szCs w:val="18"/>
          <w:u w:val="single"/>
        </w:rPr>
        <w:t>Bolsa Nacional de Compras - BNC</w:t>
      </w:r>
      <w:r>
        <w:rPr>
          <w:rFonts w:ascii="Times New Roman" w:eastAsia="Times New Roman" w:hAnsi="Times New Roman" w:cs="Times New Roman"/>
          <w:color w:val="000000"/>
          <w:sz w:val="18"/>
          <w:szCs w:val="18"/>
        </w:rPr>
        <w:t xml:space="preserve"> está consubstanciada nos §§ 2º e 4º do artigo 17º da Lei 14.133, de 01 de abril de 2021 e alterações, além de outros normativos municipais que regulamentam a matéria.</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3.3</w:t>
      </w:r>
      <w:r>
        <w:rPr>
          <w:rFonts w:ascii="Times New Roman" w:eastAsia="Times New Roman" w:hAnsi="Times New Roman" w:cs="Times New Roman"/>
          <w:color w:val="000000"/>
          <w:sz w:val="18"/>
          <w:szCs w:val="18"/>
        </w:rPr>
        <w:t xml:space="preserve">. Todos os </w:t>
      </w:r>
      <w:r>
        <w:rPr>
          <w:rFonts w:ascii="Times New Roman" w:eastAsia="Times New Roman" w:hAnsi="Times New Roman" w:cs="Times New Roman"/>
          <w:b/>
          <w:bCs/>
          <w:color w:val="000000"/>
          <w:sz w:val="18"/>
          <w:szCs w:val="18"/>
          <w:u w:val="single"/>
        </w:rPr>
        <w:t>itens/lotes</w:t>
      </w:r>
      <w:r>
        <w:rPr>
          <w:rFonts w:ascii="Times New Roman" w:eastAsia="Times New Roman" w:hAnsi="Times New Roman" w:cs="Times New Roman"/>
          <w:color w:val="000000"/>
          <w:sz w:val="18"/>
          <w:szCs w:val="18"/>
        </w:rPr>
        <w:t xml:space="preserve">, cujos valores referenciais são de até R$ 80.000,00 (oitenta mil reais), ficam reservados </w:t>
      </w:r>
      <w:r>
        <w:rPr>
          <w:rFonts w:ascii="Times New Roman" w:eastAsia="Times New Roman" w:hAnsi="Times New Roman" w:cs="Times New Roman"/>
          <w:b/>
          <w:bCs/>
          <w:color w:val="000000"/>
          <w:sz w:val="18"/>
          <w:szCs w:val="18"/>
          <w:u w:val="single"/>
        </w:rPr>
        <w:t>exclusivamente para a participação de empresas enquadradas nas modalidades MEI, ME e EPP ou equiparadas</w:t>
      </w:r>
      <w:r>
        <w:rPr>
          <w:rFonts w:ascii="Times New Roman" w:eastAsia="Times New Roman" w:hAnsi="Times New Roman" w:cs="Times New Roman"/>
          <w:color w:val="000000"/>
          <w:sz w:val="18"/>
          <w:szCs w:val="18"/>
        </w:rPr>
        <w:t>, em observância ao art. 47 da Lei Complementar nº 123/2006 com redação dada pela Lei Complementar nº 147/2014 e Decreto Municipal nº 027/2025, com alterações do decreto 032/2025.</w:t>
      </w:r>
    </w:p>
    <w:p w:rsidR="00D35AD6" w:rsidRDefault="00D35AD6">
      <w:pPr>
        <w:spacing w:after="0" w:line="240" w:lineRule="auto"/>
        <w:rPr>
          <w:rFonts w:ascii="Times New Roman" w:eastAsia="Times New Roman" w:hAnsi="Times New Roman" w:cs="Times New Roman"/>
        </w:rPr>
      </w:pPr>
    </w:p>
    <w:tbl>
      <w:tblPr>
        <w:tblStyle w:val="a3"/>
        <w:tblW w:w="8595" w:type="dxa"/>
        <w:tblInd w:w="0" w:type="dxa"/>
        <w:tblLayout w:type="fixed"/>
        <w:tblLook w:val="0400" w:firstRow="0" w:lastRow="0" w:firstColumn="0" w:lastColumn="0" w:noHBand="0" w:noVBand="1"/>
      </w:tblPr>
      <w:tblGrid>
        <w:gridCol w:w="8595"/>
      </w:tblGrid>
      <w:tr w:rsidR="00D35AD6">
        <w:trPr>
          <w:tblHeader/>
        </w:trPr>
        <w:tc>
          <w:tcPr>
            <w:tcW w:w="8595"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rsidR="00D35AD6" w:rsidRDefault="00387F92">
            <w:pPr>
              <w:spacing w:after="0" w:line="240" w:lineRule="auto"/>
              <w:ind w:right="68"/>
              <w:jc w:val="both"/>
              <w:rPr>
                <w:rFonts w:ascii="Times New Roman" w:eastAsia="Times New Roman" w:hAnsi="Times New Roman" w:cs="Times New Roman"/>
                <w:b/>
                <w:bCs/>
              </w:rPr>
            </w:pPr>
            <w:r>
              <w:rPr>
                <w:rFonts w:ascii="Times New Roman" w:eastAsia="Times New Roman" w:hAnsi="Times New Roman" w:cs="Times New Roman"/>
                <w:b/>
                <w:bCs/>
                <w:color w:val="000000"/>
                <w:sz w:val="18"/>
                <w:szCs w:val="18"/>
              </w:rPr>
              <w:t>4. DA FORMA DE EXECUÇÃO E LOCAL DE ENTREGA DOS PRODUTOS</w:t>
            </w:r>
          </w:p>
        </w:tc>
      </w:tr>
    </w:tbl>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4.1</w:t>
      </w:r>
      <w:r>
        <w:rPr>
          <w:rFonts w:ascii="Times New Roman" w:eastAsia="Times New Roman" w:hAnsi="Times New Roman" w:cs="Times New Roman"/>
          <w:color w:val="000000"/>
          <w:sz w:val="18"/>
          <w:szCs w:val="18"/>
        </w:rPr>
        <w:t>. O objeto será executado de forma parcelada e sob demanda, mediante emissão de Autorização de Fornecimento, observados os prazos estabelecidos neste Edital e no Termo de Referência.</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4.2.</w:t>
      </w:r>
      <w:r>
        <w:rPr>
          <w:rFonts w:ascii="Times New Roman" w:eastAsia="Times New Roman" w:hAnsi="Times New Roman" w:cs="Times New Roman"/>
          <w:color w:val="000000"/>
          <w:sz w:val="18"/>
          <w:szCs w:val="18"/>
        </w:rPr>
        <w:t xml:space="preserve"> A contratante/Gerenciador da Ata de Registro de Preços poderá solicitar os </w:t>
      </w:r>
      <w:r>
        <w:rPr>
          <w:rFonts w:ascii="Times New Roman" w:eastAsia="Times New Roman" w:hAnsi="Times New Roman" w:cs="Times New Roman"/>
          <w:b/>
          <w:bCs/>
          <w:color w:val="000000"/>
          <w:sz w:val="18"/>
          <w:szCs w:val="18"/>
          <w:u w:val="single"/>
        </w:rPr>
        <w:t>produtos no todo ou em parte, estes serão solicitados de acordo com a necessidade da secretaria requisitante</w:t>
      </w:r>
      <w:r>
        <w:rPr>
          <w:rFonts w:ascii="Times New Roman" w:eastAsia="Times New Roman" w:hAnsi="Times New Roman" w:cs="Times New Roman"/>
          <w:color w:val="000000"/>
          <w:sz w:val="18"/>
          <w:szCs w:val="18"/>
        </w:rPr>
        <w:t>, não caberá a contratada/detentora da Ata de Registro de Preços solicitar ou exigir a fornecimento total dos produtos sob nenhum pretexto.</w:t>
      </w: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4.3.</w:t>
      </w:r>
      <w:r>
        <w:rPr>
          <w:rFonts w:ascii="Times New Roman" w:eastAsia="Times New Roman" w:hAnsi="Times New Roman" w:cs="Times New Roman"/>
          <w:color w:val="000000"/>
          <w:sz w:val="18"/>
          <w:szCs w:val="18"/>
        </w:rPr>
        <w:t xml:space="preserve"> Os materiais deverão ser entregues na sede do Município de Conceição de Ipanema/MG ou em local indicado pela Administração, observados os seguintes prazos:</w:t>
      </w: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color w:val="000000"/>
          <w:sz w:val="18"/>
          <w:szCs w:val="18"/>
        </w:rPr>
        <w:t>I – Materiais de pronta entrega e não personalizados: até 15 (quinze) dias úteis contados do recebimento da Autorização de Fornecimento;</w:t>
      </w: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color w:val="000000"/>
          <w:sz w:val="18"/>
          <w:szCs w:val="18"/>
        </w:rPr>
        <w:t>II – Materiais confeccionados sob medida, personalizados ou que demandem processo de produção específico, tais como placas de inauguração, totens, letreiros, logomarcas, letras caixa, fachadas, adesivos institucionais e similares: até 30 (trinta) dias úteis contados da aprovação da arte final pela Administração;</w:t>
      </w: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color w:val="000000"/>
          <w:sz w:val="18"/>
          <w:szCs w:val="18"/>
        </w:rPr>
        <w:t>III – Materiais destinados a eventos específicos, solenidades ou demandas emergenciais devidamente justificadas pela Administração: até 24 (vinte e quatro) horas ou no prazo indicado na solicitação, desde que compatível com a natureza do item solicitado</w:t>
      </w: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color w:val="000000"/>
          <w:sz w:val="18"/>
          <w:szCs w:val="18"/>
        </w:rPr>
        <w:t>4.3.1. Quando houver necessidade de elaboração de arte, layout, projeto gráfico ou aprovação prévia pela Administração, o prazo previsto no inciso II do item 4.3 terá início a partir da aprovação formal da arte final pelo setor requisitante.</w:t>
      </w: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color w:val="000000"/>
          <w:sz w:val="18"/>
          <w:szCs w:val="18"/>
        </w:rPr>
        <w:t>4.3.2. Os prazos poderão ser prorrogados, mediante solicitação formal da contratada e aceitação da Administração, desde que devidamente justificados e sem prejuízo ao interesse público.</w:t>
      </w: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lastRenderedPageBreak/>
        <w:t>4.4.</w:t>
      </w:r>
      <w:r>
        <w:rPr>
          <w:rFonts w:ascii="Times New Roman" w:eastAsia="Times New Roman" w:hAnsi="Times New Roman" w:cs="Times New Roman"/>
          <w:color w:val="000000"/>
          <w:sz w:val="18"/>
          <w:szCs w:val="18"/>
        </w:rPr>
        <w:t xml:space="preserve"> A Contratada/Detentora da Ata de Registro de Preços deverá obrigatoriamente fornecer os produtos, nos prazos e locais acima descrito, contados do recebimento da Nota de Autorização de Fornecimento ou Pedido, sob pena da aplicação de multa de mora, conforme dispõe o art. 162 da Lei nº 14.133/2021, em caso de descumprimento.</w:t>
      </w:r>
    </w:p>
    <w:p w:rsidR="00D35AD6" w:rsidRDefault="00D35AD6">
      <w:pPr>
        <w:spacing w:after="0" w:line="240" w:lineRule="auto"/>
        <w:rPr>
          <w:rFonts w:ascii="Times New Roman" w:eastAsia="Times New Roman" w:hAnsi="Times New Roman" w:cs="Times New Roman"/>
        </w:rPr>
      </w:pPr>
    </w:p>
    <w:tbl>
      <w:tblPr>
        <w:tblStyle w:val="a4"/>
        <w:tblW w:w="8535" w:type="dxa"/>
        <w:tblInd w:w="0" w:type="dxa"/>
        <w:tblLayout w:type="fixed"/>
        <w:tblLook w:val="0400" w:firstRow="0" w:lastRow="0" w:firstColumn="0" w:lastColumn="0" w:noHBand="0" w:noVBand="1"/>
      </w:tblPr>
      <w:tblGrid>
        <w:gridCol w:w="8535"/>
      </w:tblGrid>
      <w:tr w:rsidR="00D35AD6">
        <w:trPr>
          <w:tblHeader/>
        </w:trPr>
        <w:tc>
          <w:tcPr>
            <w:tcW w:w="8535"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rsidR="00D35AD6" w:rsidRDefault="00387F92">
            <w:pPr>
              <w:shd w:val="clear" w:color="auto" w:fill="FFFF00"/>
              <w:spacing w:after="0" w:line="240" w:lineRule="auto"/>
              <w:jc w:val="both"/>
              <w:rPr>
                <w:rFonts w:ascii="Times New Roman" w:eastAsia="Times New Roman" w:hAnsi="Times New Roman" w:cs="Times New Roman"/>
                <w:b/>
                <w:bCs/>
              </w:rPr>
            </w:pPr>
            <w:r>
              <w:rPr>
                <w:rFonts w:ascii="Times New Roman" w:eastAsia="Times New Roman" w:hAnsi="Times New Roman" w:cs="Times New Roman"/>
                <w:b/>
                <w:bCs/>
                <w:color w:val="000000"/>
                <w:sz w:val="18"/>
                <w:szCs w:val="18"/>
                <w:highlight w:val="yellow"/>
              </w:rPr>
              <w:t xml:space="preserve">5 – </w:t>
            </w:r>
            <w:r>
              <w:rPr>
                <w:rFonts w:ascii="Times New Roman" w:eastAsia="Times New Roman" w:hAnsi="Times New Roman" w:cs="Times New Roman"/>
                <w:b/>
                <w:bCs/>
                <w:color w:val="000000"/>
                <w:sz w:val="18"/>
                <w:szCs w:val="18"/>
              </w:rPr>
              <w:t>DA ADEQUAÇÃO ORÇAMENTÁRIA</w:t>
            </w:r>
          </w:p>
        </w:tc>
      </w:tr>
    </w:tbl>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ind w:right="68"/>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5.1.</w:t>
      </w:r>
      <w:r>
        <w:rPr>
          <w:rFonts w:ascii="Times New Roman" w:eastAsia="Times New Roman" w:hAnsi="Times New Roman" w:cs="Times New Roman"/>
          <w:color w:val="000000"/>
          <w:sz w:val="18"/>
          <w:szCs w:val="18"/>
        </w:rPr>
        <w:t xml:space="preserve"> As despesas decorrentes da contratação deste processo licitatório estão consignadas na LOA - Lei Orçamentária Anual do Município de Conceição de Ipanema/MG – Exercício de 2026, asseguradas na seguinte dotação orçamentária:</w:t>
      </w:r>
    </w:p>
    <w:p w:rsidR="00D35AD6" w:rsidRDefault="00387F92">
      <w:pPr>
        <w:spacing w:before="240" w:after="240" w:line="240" w:lineRule="auto"/>
        <w:jc w:val="both"/>
        <w:rPr>
          <w:rFonts w:ascii="Times New Roman" w:eastAsia="Times New Roman" w:hAnsi="Times New Roman" w:cs="Times New Roman"/>
        </w:rPr>
      </w:pPr>
      <w:r>
        <w:rPr>
          <w:rFonts w:ascii="Times New Roman" w:eastAsia="Times New Roman" w:hAnsi="Times New Roman" w:cs="Times New Roman"/>
          <w:color w:val="000000"/>
          <w:sz w:val="18"/>
          <w:szCs w:val="18"/>
        </w:rPr>
        <w:t>Secretaria Municipal de Administração: Dotação: 02. 03.01. 04.122.0002.2011 – Ficha 51 – 3.3.90.30.00 – Fonte de Recurso: 1.500.000.</w:t>
      </w:r>
    </w:p>
    <w:p w:rsidR="00D35AD6" w:rsidRDefault="00387F92">
      <w:pPr>
        <w:spacing w:before="240" w:after="240" w:line="240" w:lineRule="auto"/>
        <w:jc w:val="both"/>
        <w:rPr>
          <w:rFonts w:ascii="Times New Roman" w:eastAsia="Times New Roman" w:hAnsi="Times New Roman" w:cs="Times New Roman"/>
        </w:rPr>
      </w:pPr>
      <w:r>
        <w:rPr>
          <w:rFonts w:ascii="Times New Roman" w:eastAsia="Times New Roman" w:hAnsi="Times New Roman" w:cs="Times New Roman"/>
          <w:color w:val="000000"/>
          <w:sz w:val="18"/>
          <w:szCs w:val="18"/>
        </w:rPr>
        <w:t>Secretaria Municipal de Educação: Dotação: 02.04.01.12.361.0005.2015 – Ficha 100 – 3.3.90.30.00 – Fonte de Recurso: 1.500.000.</w:t>
      </w:r>
    </w:p>
    <w:p w:rsidR="00D35AD6" w:rsidRDefault="00387F92">
      <w:pPr>
        <w:spacing w:before="240" w:after="240" w:line="240" w:lineRule="auto"/>
        <w:jc w:val="both"/>
        <w:rPr>
          <w:rFonts w:ascii="Times New Roman" w:eastAsia="Times New Roman" w:hAnsi="Times New Roman" w:cs="Times New Roman"/>
        </w:rPr>
      </w:pPr>
      <w:r>
        <w:rPr>
          <w:rFonts w:ascii="Times New Roman" w:eastAsia="Times New Roman" w:hAnsi="Times New Roman" w:cs="Times New Roman"/>
          <w:color w:val="000000"/>
          <w:sz w:val="18"/>
          <w:szCs w:val="18"/>
        </w:rPr>
        <w:t>Secretaria Municipal de Saúde: Dotação: 02.05.01.10.122.0002.2045 - Ficha:100 – 3.3.90.30.00 – Fonte de Recurso: 1.500.000.</w:t>
      </w:r>
    </w:p>
    <w:p w:rsidR="00D35AD6" w:rsidRDefault="00387F92">
      <w:pPr>
        <w:spacing w:before="240" w:after="240" w:line="240" w:lineRule="auto"/>
        <w:jc w:val="both"/>
        <w:rPr>
          <w:rFonts w:ascii="Times New Roman" w:eastAsia="Times New Roman" w:hAnsi="Times New Roman" w:cs="Times New Roman"/>
        </w:rPr>
      </w:pPr>
      <w:r>
        <w:rPr>
          <w:rFonts w:ascii="Times New Roman" w:eastAsia="Times New Roman" w:hAnsi="Times New Roman" w:cs="Times New Roman"/>
          <w:color w:val="000000"/>
          <w:sz w:val="18"/>
          <w:szCs w:val="18"/>
        </w:rPr>
        <w:t>Secretaria Municipal de Assistência Social: Dotação: 02.07.01.08.122.0002.2045 - Ficha: 397 - 3.3.90.30.00 – Fonte de Recurso: 1.500.000.</w:t>
      </w:r>
    </w:p>
    <w:p w:rsidR="00D35AD6" w:rsidRDefault="00387F92">
      <w:pPr>
        <w:spacing w:before="240" w:after="240" w:line="240" w:lineRule="auto"/>
        <w:jc w:val="both"/>
        <w:rPr>
          <w:rFonts w:ascii="Times New Roman" w:eastAsia="Times New Roman" w:hAnsi="Times New Roman" w:cs="Times New Roman"/>
        </w:rPr>
      </w:pPr>
      <w:r>
        <w:rPr>
          <w:rFonts w:ascii="Times New Roman" w:eastAsia="Times New Roman" w:hAnsi="Times New Roman" w:cs="Times New Roman"/>
          <w:color w:val="000000"/>
          <w:sz w:val="18"/>
          <w:szCs w:val="18"/>
        </w:rPr>
        <w:t>Secretaria Municipal de Esporte Lazer e Cultura: 02.08.02.13.392.0007.2023 - Ficha: 502 3.3.90.30.00 – Fonte de Recurso: 1.500.000.</w:t>
      </w:r>
    </w:p>
    <w:p w:rsidR="00D35AD6" w:rsidRDefault="00387F92">
      <w:pPr>
        <w:spacing w:before="240" w:after="240" w:line="240" w:lineRule="auto"/>
        <w:jc w:val="both"/>
        <w:rPr>
          <w:rFonts w:ascii="Times New Roman" w:eastAsia="Times New Roman" w:hAnsi="Times New Roman" w:cs="Times New Roman"/>
        </w:rPr>
      </w:pPr>
      <w:r>
        <w:rPr>
          <w:rFonts w:ascii="Times New Roman" w:eastAsia="Times New Roman" w:hAnsi="Times New Roman" w:cs="Times New Roman"/>
          <w:color w:val="000000"/>
          <w:sz w:val="18"/>
          <w:szCs w:val="18"/>
        </w:rPr>
        <w:t>Secretaria Municipal de Agricultura e Meio Ambiente: Dotação: 02.09.01.20.606.0017.2057 Ficha: 546 – 3.3.90.30.00 – Fonte de Recurso: 1.500.000.</w:t>
      </w:r>
    </w:p>
    <w:p w:rsidR="00D35AD6" w:rsidRDefault="00387F92">
      <w:pPr>
        <w:spacing w:after="0" w:line="240" w:lineRule="auto"/>
        <w:ind w:right="68"/>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5.2.</w:t>
      </w:r>
      <w:r>
        <w:rPr>
          <w:rFonts w:ascii="Times New Roman" w:eastAsia="Times New Roman" w:hAnsi="Times New Roman" w:cs="Times New Roman"/>
          <w:color w:val="000000"/>
          <w:sz w:val="18"/>
          <w:szCs w:val="18"/>
        </w:rPr>
        <w:t xml:space="preserve"> Os recursos financeiros para cobertura das despesas correrão à conta de recursos próprios do Município de Conceição de Ipanema/MG, PNAE e outros consignados no orçamento através de emendas especiais federal e/ou estadual, por intermédio das Secretarias Municipais Requisitantes.</w:t>
      </w:r>
    </w:p>
    <w:p w:rsidR="00D35AD6" w:rsidRDefault="00387F92">
      <w:pPr>
        <w:spacing w:after="0" w:line="240" w:lineRule="auto"/>
        <w:ind w:right="68"/>
        <w:jc w:val="both"/>
        <w:rPr>
          <w:rFonts w:ascii="Times New Roman" w:eastAsia="Times New Roman" w:hAnsi="Times New Roman" w:cs="Times New Roman"/>
        </w:rPr>
      </w:pPr>
      <w:r>
        <w:rPr>
          <w:rFonts w:ascii="Times New Roman" w:eastAsia="Times New Roman" w:hAnsi="Times New Roman" w:cs="Times New Roman"/>
          <w:color w:val="000000"/>
          <w:sz w:val="18"/>
          <w:szCs w:val="18"/>
        </w:rPr>
        <w:t>5.3. A indicação das dotações orçamentárias possui caráter estimativo, sendo exigida a reserva orçamentária apenas quando da formalização das futuras contratações decorrentes da Ata de Registro de Preços.</w:t>
      </w:r>
    </w:p>
    <w:p w:rsidR="00D35AD6" w:rsidRDefault="00D35AD6">
      <w:pPr>
        <w:spacing w:after="0" w:line="240" w:lineRule="auto"/>
        <w:rPr>
          <w:rFonts w:ascii="Times New Roman" w:eastAsia="Times New Roman" w:hAnsi="Times New Roman" w:cs="Times New Roman"/>
        </w:rPr>
      </w:pPr>
    </w:p>
    <w:tbl>
      <w:tblPr>
        <w:tblStyle w:val="a5"/>
        <w:tblW w:w="8640" w:type="dxa"/>
        <w:tblInd w:w="0" w:type="dxa"/>
        <w:tblLayout w:type="fixed"/>
        <w:tblLook w:val="0400" w:firstRow="0" w:lastRow="0" w:firstColumn="0" w:lastColumn="0" w:noHBand="0" w:noVBand="1"/>
      </w:tblPr>
      <w:tblGrid>
        <w:gridCol w:w="8640"/>
      </w:tblGrid>
      <w:tr w:rsidR="00D35AD6">
        <w:trPr>
          <w:tblHeader/>
        </w:trPr>
        <w:tc>
          <w:tcPr>
            <w:tcW w:w="8640"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rsidR="00D35AD6" w:rsidRDefault="00387F92">
            <w:pPr>
              <w:shd w:val="clear" w:color="auto" w:fill="FFFF00"/>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color w:val="000000"/>
                <w:sz w:val="18"/>
                <w:szCs w:val="18"/>
                <w:highlight w:val="yellow"/>
              </w:rPr>
              <w:t>6 – D</w:t>
            </w:r>
            <w:r>
              <w:rPr>
                <w:rFonts w:ascii="Times New Roman" w:eastAsia="Times New Roman" w:hAnsi="Times New Roman" w:cs="Times New Roman"/>
                <w:b/>
                <w:bCs/>
                <w:color w:val="000000"/>
                <w:sz w:val="18"/>
                <w:szCs w:val="18"/>
              </w:rPr>
              <w:t>AS CONDIÇÕES DE PARTICIPAÇÃO</w:t>
            </w:r>
          </w:p>
        </w:tc>
      </w:tr>
    </w:tbl>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6.1.</w:t>
      </w:r>
      <w:r>
        <w:rPr>
          <w:rFonts w:ascii="Times New Roman" w:eastAsia="Times New Roman" w:hAnsi="Times New Roman" w:cs="Times New Roman"/>
          <w:color w:val="000000"/>
          <w:sz w:val="18"/>
          <w:szCs w:val="18"/>
        </w:rPr>
        <w:t xml:space="preserve"> Poderão participar da Licitação empresas regularmente estabelecidas no País, que seus objetos sociais sejam condizentes com o objeto licitado, estejam credenciadas para o objeto desta licitação e que satisfaçam todas as exigências, especificações e normas contidas, neste Termo de Referência, Estudo Técnico Preliminar, no Edital e seus Anexos.</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6.2.</w:t>
      </w:r>
      <w:r>
        <w:rPr>
          <w:rFonts w:ascii="Times New Roman" w:eastAsia="Times New Roman" w:hAnsi="Times New Roman" w:cs="Times New Roman"/>
          <w:color w:val="000000"/>
          <w:sz w:val="18"/>
          <w:szCs w:val="18"/>
        </w:rPr>
        <w:t xml:space="preserve"> Poderão participar da licitação as empresas que preencham os pré-requisitos acima, e que, apresentarem toda a documentação exigida para respectivo cadastramento junto a plataforma a ser utilizada pelo Setor de Licitações.</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 xml:space="preserve">6.3. </w:t>
      </w:r>
      <w:r>
        <w:rPr>
          <w:rFonts w:ascii="Times New Roman" w:eastAsia="Times New Roman" w:hAnsi="Times New Roman" w:cs="Times New Roman"/>
          <w:color w:val="000000"/>
          <w:sz w:val="18"/>
          <w:szCs w:val="18"/>
        </w:rPr>
        <w:t>Não será permitido na licitação a participação de pessoas jurídicas em consórcio.</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 xml:space="preserve">6.4. </w:t>
      </w:r>
      <w:r>
        <w:rPr>
          <w:rFonts w:ascii="Times New Roman" w:eastAsia="Times New Roman" w:hAnsi="Times New Roman" w:cs="Times New Roman"/>
          <w:color w:val="000000"/>
          <w:sz w:val="18"/>
          <w:szCs w:val="18"/>
        </w:rPr>
        <w:t>Não poderão disputar licitação ou participar da execução de contrato, direta ou indiretamente:</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I -</w:t>
      </w:r>
      <w:r>
        <w:rPr>
          <w:rFonts w:ascii="Times New Roman" w:eastAsia="Times New Roman" w:hAnsi="Times New Roman" w:cs="Times New Roman"/>
          <w:color w:val="000000"/>
          <w:sz w:val="18"/>
          <w:szCs w:val="18"/>
        </w:rPr>
        <w:t xml:space="preserve"> Pessoa jurídica que se encontre, ao tempo da licitação, impossibilitada de participar da licitação em decorrência de sanção que lhe foi imposta;</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II -</w:t>
      </w:r>
      <w:r>
        <w:rPr>
          <w:rFonts w:ascii="Times New Roman" w:eastAsia="Times New Roman" w:hAnsi="Times New Roman" w:cs="Times New Roman"/>
          <w:color w:val="000000"/>
          <w:sz w:val="18"/>
          <w:szCs w:val="18"/>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III -</w:t>
      </w:r>
      <w:r>
        <w:rPr>
          <w:rFonts w:ascii="Times New Roman" w:eastAsia="Times New Roman" w:hAnsi="Times New Roman" w:cs="Times New Roman"/>
          <w:color w:val="000000"/>
          <w:sz w:val="18"/>
          <w:szCs w:val="18"/>
        </w:rPr>
        <w:t xml:space="preserve"> empresas controladoras, controladas ou coligadas, nos termos da </w:t>
      </w:r>
      <w:hyperlink r:id="rId9">
        <w:r>
          <w:rPr>
            <w:rFonts w:ascii="Times New Roman" w:eastAsia="Times New Roman" w:hAnsi="Times New Roman" w:cs="Times New Roman"/>
            <w:color w:val="000000"/>
            <w:sz w:val="18"/>
            <w:szCs w:val="18"/>
          </w:rPr>
          <w:t>Lei nº 6.404, de 15 de dezembro de 1976</w:t>
        </w:r>
      </w:hyperlink>
      <w:r>
        <w:rPr>
          <w:rFonts w:ascii="Times New Roman" w:eastAsia="Times New Roman" w:hAnsi="Times New Roman" w:cs="Times New Roman"/>
          <w:color w:val="000000"/>
          <w:sz w:val="18"/>
          <w:szCs w:val="18"/>
        </w:rPr>
        <w:t>, concorrendo entre si;</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IV -</w:t>
      </w:r>
      <w:r>
        <w:rPr>
          <w:rFonts w:ascii="Times New Roman" w:eastAsia="Times New Roman" w:hAnsi="Times New Roman" w:cs="Times New Roman"/>
          <w:color w:val="000000"/>
          <w:sz w:val="18"/>
          <w:szCs w:val="18"/>
        </w:rPr>
        <w:t xml:space="preserve"> Pessoa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ind w:right="68"/>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6.5.</w:t>
      </w:r>
      <w:r>
        <w:rPr>
          <w:rFonts w:ascii="Times New Roman" w:eastAsia="Times New Roman" w:hAnsi="Times New Roman" w:cs="Times New Roman"/>
          <w:color w:val="000000"/>
          <w:sz w:val="18"/>
          <w:szCs w:val="18"/>
        </w:rPr>
        <w:t xml:space="preserve"> Não será admitida na licitação, a participação de representantes de empresas ou instituições distintas, que credenciarem um único e o mesmo representante. </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 xml:space="preserve">6.6. </w:t>
      </w:r>
      <w:r>
        <w:rPr>
          <w:rFonts w:ascii="Times New Roman" w:eastAsia="Times New Roman" w:hAnsi="Times New Roman" w:cs="Times New Roman"/>
          <w:color w:val="000000"/>
          <w:sz w:val="18"/>
          <w:szCs w:val="18"/>
        </w:rPr>
        <w:t xml:space="preserve">A participação no pregão, na forma eletrônica se dará por meio da plataforma pública ou privada, mediante digitação da senha pessoal e intransferível do representante credenciado e subsequente encaminhamento da proposta de preços, exclusivamente por meio do sistema eletrônico, </w:t>
      </w:r>
      <w:proofErr w:type="gramStart"/>
      <w:r>
        <w:rPr>
          <w:rFonts w:ascii="Times New Roman" w:eastAsia="Times New Roman" w:hAnsi="Times New Roman" w:cs="Times New Roman"/>
          <w:color w:val="000000"/>
          <w:sz w:val="18"/>
          <w:szCs w:val="18"/>
        </w:rPr>
        <w:t>observados data</w:t>
      </w:r>
      <w:proofErr w:type="gramEnd"/>
      <w:r>
        <w:rPr>
          <w:rFonts w:ascii="Times New Roman" w:eastAsia="Times New Roman" w:hAnsi="Times New Roman" w:cs="Times New Roman"/>
          <w:color w:val="000000"/>
          <w:sz w:val="18"/>
          <w:szCs w:val="18"/>
        </w:rPr>
        <w:t xml:space="preserve"> e horário limite estabelecido no Edital.</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6.7.</w:t>
      </w:r>
      <w:r>
        <w:rPr>
          <w:rFonts w:ascii="Times New Roman" w:eastAsia="Times New Roman" w:hAnsi="Times New Roman" w:cs="Times New Roman"/>
          <w:color w:val="000000"/>
          <w:sz w:val="18"/>
          <w:szCs w:val="18"/>
        </w:rPr>
        <w:t xml:space="preserve"> Caberá ao licitante interessado acompanhar as operações no sistema eletrônico durante a sessão pública do pregão, ficando responsável pelo ônus decorrente da perda de negócios diante da inobservância de quaisquer mensagens emitidas pelo sistema ou da desconexão do seu representante.</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 xml:space="preserve">6.8. </w:t>
      </w:r>
      <w:r>
        <w:rPr>
          <w:rFonts w:ascii="Times New Roman" w:eastAsia="Times New Roman" w:hAnsi="Times New Roman" w:cs="Times New Roman"/>
          <w:color w:val="000000"/>
          <w:sz w:val="18"/>
          <w:szCs w:val="18"/>
        </w:rPr>
        <w:t xml:space="preserve">A participação no </w:t>
      </w:r>
      <w:r>
        <w:rPr>
          <w:rFonts w:ascii="Times New Roman" w:eastAsia="Times New Roman" w:hAnsi="Times New Roman" w:cs="Times New Roman"/>
          <w:b/>
          <w:bCs/>
          <w:color w:val="000000"/>
          <w:sz w:val="18"/>
          <w:szCs w:val="18"/>
          <w:u w:val="single"/>
        </w:rPr>
        <w:t>Pregão para Registro de Preços, na Forma Eletrônica</w:t>
      </w:r>
      <w:r>
        <w:rPr>
          <w:rFonts w:ascii="Times New Roman" w:eastAsia="Times New Roman" w:hAnsi="Times New Roman" w:cs="Times New Roman"/>
          <w:color w:val="000000"/>
          <w:sz w:val="18"/>
          <w:szCs w:val="18"/>
        </w:rPr>
        <w:t xml:space="preserve"> se dará por meio da </w:t>
      </w:r>
      <w:r>
        <w:rPr>
          <w:rFonts w:ascii="Times New Roman" w:eastAsia="Times New Roman" w:hAnsi="Times New Roman" w:cs="Times New Roman"/>
          <w:b/>
          <w:bCs/>
          <w:color w:val="000000"/>
          <w:sz w:val="18"/>
          <w:szCs w:val="18"/>
          <w:u w:val="single"/>
        </w:rPr>
        <w:t>plataforma BOLSA NACIONAL DE COMPRAS - BNC</w:t>
      </w:r>
      <w:r>
        <w:rPr>
          <w:rFonts w:ascii="Times New Roman" w:eastAsia="Times New Roman" w:hAnsi="Times New Roman" w:cs="Times New Roman"/>
          <w:color w:val="000000"/>
          <w:sz w:val="18"/>
          <w:szCs w:val="18"/>
        </w:rPr>
        <w:t xml:space="preserve">, mediante digitação da senha pessoal e intransferível do representante credenciado e subsequente encaminhamento da proposta de preços, exclusivamente por meio do sistema eletrônico, </w:t>
      </w:r>
      <w:proofErr w:type="gramStart"/>
      <w:r>
        <w:rPr>
          <w:rFonts w:ascii="Times New Roman" w:eastAsia="Times New Roman" w:hAnsi="Times New Roman" w:cs="Times New Roman"/>
          <w:color w:val="000000"/>
          <w:sz w:val="18"/>
          <w:szCs w:val="18"/>
        </w:rPr>
        <w:t>observados data</w:t>
      </w:r>
      <w:proofErr w:type="gramEnd"/>
      <w:r>
        <w:rPr>
          <w:rFonts w:ascii="Times New Roman" w:eastAsia="Times New Roman" w:hAnsi="Times New Roman" w:cs="Times New Roman"/>
          <w:color w:val="000000"/>
          <w:sz w:val="18"/>
          <w:szCs w:val="18"/>
        </w:rPr>
        <w:t xml:space="preserve"> e horário limite estabelecido neste Edital.</w:t>
      </w:r>
    </w:p>
    <w:p w:rsidR="00D35AD6" w:rsidRDefault="00D35AD6">
      <w:pPr>
        <w:spacing w:after="0" w:line="240" w:lineRule="auto"/>
        <w:rPr>
          <w:rFonts w:ascii="Times New Roman" w:eastAsia="Times New Roman" w:hAnsi="Times New Roman" w:cs="Times New Roman"/>
        </w:rPr>
      </w:pPr>
    </w:p>
    <w:tbl>
      <w:tblPr>
        <w:tblStyle w:val="a6"/>
        <w:tblW w:w="8505" w:type="dxa"/>
        <w:tblInd w:w="0" w:type="dxa"/>
        <w:tblLayout w:type="fixed"/>
        <w:tblLook w:val="0400" w:firstRow="0" w:lastRow="0" w:firstColumn="0" w:lastColumn="0" w:noHBand="0" w:noVBand="1"/>
      </w:tblPr>
      <w:tblGrid>
        <w:gridCol w:w="8505"/>
      </w:tblGrid>
      <w:tr w:rsidR="00D35AD6">
        <w:trPr>
          <w:tblHeader/>
        </w:trPr>
        <w:tc>
          <w:tcPr>
            <w:tcW w:w="8505"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rsidR="00D35AD6" w:rsidRDefault="00387F92">
            <w:pPr>
              <w:shd w:val="clear" w:color="auto" w:fill="FFFF00"/>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color w:val="000000"/>
                <w:sz w:val="18"/>
                <w:szCs w:val="18"/>
              </w:rPr>
              <w:t>7 – DO CREDENCIAMENTO JUNTO A PLATAFORMA </w:t>
            </w:r>
          </w:p>
        </w:tc>
      </w:tr>
    </w:tbl>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7.1.</w:t>
      </w:r>
      <w:r>
        <w:rPr>
          <w:rFonts w:ascii="Times New Roman" w:eastAsia="Times New Roman" w:hAnsi="Times New Roman" w:cs="Times New Roman"/>
          <w:color w:val="000000"/>
          <w:sz w:val="18"/>
          <w:szCs w:val="18"/>
        </w:rPr>
        <w:t xml:space="preserve"> </w:t>
      </w:r>
      <w:proofErr w:type="gramStart"/>
      <w:r>
        <w:rPr>
          <w:rFonts w:ascii="Times New Roman" w:eastAsia="Times New Roman" w:hAnsi="Times New Roman" w:cs="Times New Roman"/>
          <w:color w:val="000000"/>
          <w:sz w:val="18"/>
          <w:szCs w:val="18"/>
        </w:rPr>
        <w:t>O(</w:t>
      </w:r>
      <w:proofErr w:type="gramEnd"/>
      <w:r>
        <w:rPr>
          <w:rFonts w:ascii="Times New Roman" w:eastAsia="Times New Roman" w:hAnsi="Times New Roman" w:cs="Times New Roman"/>
          <w:color w:val="000000"/>
          <w:sz w:val="18"/>
          <w:szCs w:val="18"/>
        </w:rPr>
        <w:t>s) licitante(s) interessado(s) deverá(</w:t>
      </w:r>
      <w:proofErr w:type="spellStart"/>
      <w:r>
        <w:rPr>
          <w:rFonts w:ascii="Times New Roman" w:eastAsia="Times New Roman" w:hAnsi="Times New Roman" w:cs="Times New Roman"/>
          <w:color w:val="000000"/>
          <w:sz w:val="18"/>
          <w:szCs w:val="18"/>
        </w:rPr>
        <w:t>ão</w:t>
      </w:r>
      <w:proofErr w:type="spellEnd"/>
      <w:r>
        <w:rPr>
          <w:rFonts w:ascii="Times New Roman" w:eastAsia="Times New Roman" w:hAnsi="Times New Roman" w:cs="Times New Roman"/>
          <w:color w:val="000000"/>
          <w:sz w:val="18"/>
          <w:szCs w:val="18"/>
        </w:rPr>
        <w:t xml:space="preserve">) estar(em) credenciado(s), de forma direta ou através de empresas associadas ao </w:t>
      </w:r>
      <w:r>
        <w:rPr>
          <w:rFonts w:ascii="Times New Roman" w:eastAsia="Times New Roman" w:hAnsi="Times New Roman" w:cs="Times New Roman"/>
          <w:b/>
          <w:bCs/>
          <w:color w:val="000000"/>
          <w:sz w:val="18"/>
          <w:szCs w:val="18"/>
          <w:u w:val="single"/>
        </w:rPr>
        <w:t>BOLSA NACIONAL DE COMPRAS - BNC</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b/>
          <w:bCs/>
          <w:color w:val="000000"/>
          <w:sz w:val="18"/>
          <w:szCs w:val="18"/>
          <w:u w:val="single"/>
        </w:rPr>
        <w:t>até ao horário fixado no edital para o recebimento das propostas.</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 xml:space="preserve">7.2. </w:t>
      </w:r>
      <w:r>
        <w:rPr>
          <w:rFonts w:ascii="Times New Roman" w:eastAsia="Times New Roman" w:hAnsi="Times New Roman" w:cs="Times New Roman"/>
          <w:color w:val="000000"/>
          <w:sz w:val="18"/>
          <w:szCs w:val="18"/>
        </w:rPr>
        <w:t xml:space="preserve">Os licitantes deverão ser previamente credenciados perante o provedor do sistema, para obtenção do </w:t>
      </w:r>
      <w:proofErr w:type="spellStart"/>
      <w:r>
        <w:rPr>
          <w:rFonts w:ascii="Times New Roman" w:eastAsia="Times New Roman" w:hAnsi="Times New Roman" w:cs="Times New Roman"/>
          <w:b/>
          <w:bCs/>
          <w:color w:val="000000"/>
          <w:sz w:val="18"/>
          <w:szCs w:val="18"/>
          <w:u w:val="single"/>
        </w:rPr>
        <w:t>login</w:t>
      </w:r>
      <w:proofErr w:type="spellEnd"/>
      <w:r>
        <w:rPr>
          <w:rFonts w:ascii="Times New Roman" w:eastAsia="Times New Roman" w:hAnsi="Times New Roman" w:cs="Times New Roman"/>
          <w:b/>
          <w:bCs/>
          <w:color w:val="000000"/>
          <w:sz w:val="18"/>
          <w:szCs w:val="18"/>
          <w:u w:val="single"/>
        </w:rPr>
        <w:t xml:space="preserve"> e senha de acesso ao sistema eletrônico de licitação</w:t>
      </w:r>
      <w:r>
        <w:rPr>
          <w:rFonts w:ascii="Times New Roman" w:eastAsia="Times New Roman" w:hAnsi="Times New Roman" w:cs="Times New Roman"/>
          <w:color w:val="000000"/>
          <w:sz w:val="18"/>
          <w:szCs w:val="18"/>
        </w:rPr>
        <w:t xml:space="preserve">, mediante contato direto com o </w:t>
      </w:r>
      <w:r>
        <w:rPr>
          <w:rFonts w:ascii="Times New Roman" w:eastAsia="Times New Roman" w:hAnsi="Times New Roman" w:cs="Times New Roman"/>
          <w:b/>
          <w:bCs/>
          <w:color w:val="000000"/>
          <w:sz w:val="18"/>
          <w:szCs w:val="18"/>
          <w:u w:val="single"/>
        </w:rPr>
        <w:t>BOLSA NACIONAL DE COMPRAS - BNC</w:t>
      </w:r>
      <w:r>
        <w:rPr>
          <w:rFonts w:ascii="Times New Roman" w:eastAsia="Times New Roman" w:hAnsi="Times New Roman" w:cs="Times New Roman"/>
          <w:color w:val="000000"/>
          <w:sz w:val="18"/>
          <w:szCs w:val="18"/>
        </w:rPr>
        <w:t xml:space="preserve">, através do site: </w:t>
      </w:r>
      <w:hyperlink r:id="rId10">
        <w:r>
          <w:rPr>
            <w:rFonts w:ascii="Times New Roman" w:eastAsia="Times New Roman" w:hAnsi="Times New Roman" w:cs="Times New Roman"/>
            <w:b/>
            <w:bCs/>
            <w:color w:val="0000FF"/>
            <w:sz w:val="18"/>
            <w:szCs w:val="18"/>
            <w:u w:val="single"/>
          </w:rPr>
          <w:t>https://www.bnc.org.br/</w:t>
        </w:r>
      </w:hyperlink>
      <w:r>
        <w:rPr>
          <w:rFonts w:ascii="Times New Roman" w:eastAsia="Times New Roman" w:hAnsi="Times New Roman" w:cs="Times New Roman"/>
          <w:b/>
          <w:bCs/>
          <w:color w:val="000000"/>
          <w:sz w:val="18"/>
          <w:szCs w:val="18"/>
          <w:u w:val="single"/>
        </w:rPr>
        <w:t xml:space="preserve"> ou pelos telefones </w:t>
      </w:r>
      <w:r>
        <w:rPr>
          <w:rFonts w:ascii="Times New Roman" w:eastAsia="Times New Roman" w:hAnsi="Times New Roman" w:cs="Times New Roman"/>
          <w:b/>
          <w:bCs/>
          <w:color w:val="333333"/>
          <w:sz w:val="18"/>
          <w:szCs w:val="18"/>
          <w:highlight w:val="white"/>
          <w:u w:val="single"/>
        </w:rPr>
        <w:t>(42) 3026-4555 ou (42) 3026-4550.</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7.3.</w:t>
      </w:r>
      <w:r>
        <w:rPr>
          <w:rFonts w:ascii="Times New Roman" w:eastAsia="Times New Roman" w:hAnsi="Times New Roman" w:cs="Times New Roman"/>
          <w:color w:val="000000"/>
          <w:sz w:val="18"/>
          <w:szCs w:val="18"/>
        </w:rPr>
        <w:t xml:space="preserve"> Qualquer dúvida em relação ao </w:t>
      </w:r>
      <w:r>
        <w:rPr>
          <w:rFonts w:ascii="Times New Roman" w:eastAsia="Times New Roman" w:hAnsi="Times New Roman" w:cs="Times New Roman"/>
          <w:b/>
          <w:bCs/>
          <w:color w:val="000000"/>
          <w:sz w:val="18"/>
          <w:szCs w:val="18"/>
          <w:u w:val="single"/>
        </w:rPr>
        <w:t>acesso ou credenciamento na plataforma BOLSA NACIONAL DE COMPRAS - BNC</w:t>
      </w:r>
      <w:r>
        <w:rPr>
          <w:rFonts w:ascii="Times New Roman" w:eastAsia="Times New Roman" w:hAnsi="Times New Roman" w:cs="Times New Roman"/>
          <w:color w:val="000000"/>
          <w:sz w:val="18"/>
          <w:szCs w:val="18"/>
        </w:rPr>
        <w:t xml:space="preserve">, deverá ser esclarecida, exclusivamente, através da empresa </w:t>
      </w:r>
      <w:r>
        <w:rPr>
          <w:rFonts w:ascii="Times New Roman" w:eastAsia="Times New Roman" w:hAnsi="Times New Roman" w:cs="Times New Roman"/>
          <w:b/>
          <w:bCs/>
          <w:color w:val="000000"/>
          <w:sz w:val="18"/>
          <w:szCs w:val="18"/>
          <w:u w:val="single"/>
        </w:rPr>
        <w:t>BOLSA NACIONAL DE COMPRAS - BNC</w:t>
      </w:r>
      <w:r>
        <w:rPr>
          <w:rFonts w:ascii="Times New Roman" w:eastAsia="Times New Roman" w:hAnsi="Times New Roman" w:cs="Times New Roman"/>
          <w:color w:val="000000"/>
          <w:sz w:val="18"/>
          <w:szCs w:val="18"/>
        </w:rPr>
        <w:t xml:space="preserve"> ou suas associadas, pelos telefones acima mencionados.</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7.4.</w:t>
      </w:r>
      <w:r>
        <w:rPr>
          <w:rFonts w:ascii="Times New Roman" w:eastAsia="Times New Roman" w:hAnsi="Times New Roman" w:cs="Times New Roman"/>
          <w:color w:val="000000"/>
          <w:sz w:val="18"/>
          <w:szCs w:val="18"/>
        </w:rPr>
        <w:t xml:space="preserve"> O uso da senha de acesso pelo licitante é de sua exclusiva responsabilidade, incluindo qualquer transação efetuada diretamente ou por seu representante, não cabendo ao provedor do sistema ou ao órgão promotor da licitação, responsabilidade por eventuais danos decorrentes de uso indevido da senha, ainda que por terceiros. </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7.5.</w:t>
      </w:r>
      <w:r>
        <w:rPr>
          <w:rFonts w:ascii="Times New Roman" w:eastAsia="Times New Roman" w:hAnsi="Times New Roman" w:cs="Times New Roman"/>
          <w:color w:val="000000"/>
          <w:sz w:val="18"/>
          <w:szCs w:val="18"/>
        </w:rPr>
        <w:t xml:space="preserve"> O credenciamento junto ao provedor do sistema implica a responsabilidade legal do licitante ou de seu representante legal e a presunção de sua capacidade técnica para realização das transações inerentes a concorrência eletrônica. </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7.6.</w:t>
      </w:r>
      <w:r>
        <w:rPr>
          <w:rFonts w:ascii="Times New Roman" w:eastAsia="Times New Roman" w:hAnsi="Times New Roman" w:cs="Times New Roman"/>
          <w:color w:val="000000"/>
          <w:sz w:val="18"/>
          <w:szCs w:val="18"/>
        </w:rPr>
        <w:t xml:space="preserve"> O custo de operacionalização e uso do sistema ficará a cargo do licitante, que pagará a </w:t>
      </w:r>
      <w:r>
        <w:rPr>
          <w:rFonts w:ascii="Times New Roman" w:eastAsia="Times New Roman" w:hAnsi="Times New Roman" w:cs="Times New Roman"/>
          <w:b/>
          <w:bCs/>
          <w:color w:val="000000"/>
          <w:sz w:val="18"/>
          <w:szCs w:val="18"/>
          <w:u w:val="single"/>
        </w:rPr>
        <w:t>BOLSA NACIONAL DE COMPRAS - BNC</w:t>
      </w:r>
      <w:r>
        <w:rPr>
          <w:rFonts w:ascii="Times New Roman" w:eastAsia="Times New Roman" w:hAnsi="Times New Roman" w:cs="Times New Roman"/>
          <w:color w:val="000000"/>
          <w:sz w:val="18"/>
          <w:szCs w:val="18"/>
        </w:rPr>
        <w:t>, provedora do sistema eletrônico, o equivalente ao estabelecido pela mesma, a título de taxa pela utilização dos recursos de tecnologia da informação, em conformidade com o regulamento operacional da plataforma BOLSA NACIONAL DE COMPRAS - BNC.</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7.7.</w:t>
      </w:r>
      <w:r>
        <w:rPr>
          <w:rFonts w:ascii="Times New Roman" w:eastAsia="Times New Roman" w:hAnsi="Times New Roman" w:cs="Times New Roman"/>
          <w:color w:val="000000"/>
          <w:sz w:val="18"/>
          <w:szCs w:val="18"/>
        </w:rPr>
        <w:t xml:space="preserve"> A microempresa ou empresa de pequeno porte ou equiparadas, deverá, quando do cadastramento ou da inserção da proposta inicial de preço a ser inserida no sistema, deverá verificar nos </w:t>
      </w:r>
      <w:r>
        <w:rPr>
          <w:rFonts w:ascii="Times New Roman" w:eastAsia="Times New Roman" w:hAnsi="Times New Roman" w:cs="Times New Roman"/>
          <w:b/>
          <w:bCs/>
          <w:color w:val="000000"/>
          <w:sz w:val="18"/>
          <w:szCs w:val="18"/>
          <w:u w:val="single"/>
        </w:rPr>
        <w:t>dados cadastrais se assinalou o regime ME/EPP no sistema, conforme o seu regime de tributação para fazer valer o direito de prioridade dos critérios de desempate previstos nos Art. 44 e 45 da LC 123/2006.</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 xml:space="preserve">7.8. </w:t>
      </w:r>
      <w:r>
        <w:rPr>
          <w:rFonts w:ascii="Times New Roman" w:eastAsia="Times New Roman" w:hAnsi="Times New Roman" w:cs="Times New Roman"/>
          <w:color w:val="000000"/>
          <w:sz w:val="18"/>
          <w:szCs w:val="18"/>
        </w:rPr>
        <w:t>Será concedido neste certame, tratamento favorecido e exclusividade para as microempresas e empresas de pequeno porte, para as sociedades cooperativas mencionadas no artigo 34 da Lei nº 11.488/2007, e para o microempreendedor individual - MEI, nos limites previstos da Lei Complementar nº 123/2006 e no artigo 4º da Lei nº 14.133/2021. </w:t>
      </w:r>
    </w:p>
    <w:p w:rsidR="00D35AD6" w:rsidRDefault="00D35AD6">
      <w:pPr>
        <w:spacing w:after="0" w:line="240" w:lineRule="auto"/>
        <w:rPr>
          <w:rFonts w:ascii="Times New Roman" w:eastAsia="Times New Roman" w:hAnsi="Times New Roman" w:cs="Times New Roman"/>
        </w:rPr>
      </w:pPr>
    </w:p>
    <w:tbl>
      <w:tblPr>
        <w:tblStyle w:val="a7"/>
        <w:tblW w:w="8565" w:type="dxa"/>
        <w:tblInd w:w="0" w:type="dxa"/>
        <w:tblLayout w:type="fixed"/>
        <w:tblLook w:val="0400" w:firstRow="0" w:lastRow="0" w:firstColumn="0" w:lastColumn="0" w:noHBand="0" w:noVBand="1"/>
      </w:tblPr>
      <w:tblGrid>
        <w:gridCol w:w="8565"/>
      </w:tblGrid>
      <w:tr w:rsidR="00D35AD6">
        <w:trPr>
          <w:tblHeader/>
        </w:trPr>
        <w:tc>
          <w:tcPr>
            <w:tcW w:w="8565"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rsidR="00D35AD6" w:rsidRDefault="00387F92">
            <w:pPr>
              <w:shd w:val="clear" w:color="auto" w:fill="FFFF00"/>
              <w:spacing w:after="0" w:line="240" w:lineRule="auto"/>
              <w:jc w:val="both"/>
              <w:rPr>
                <w:rFonts w:ascii="Times New Roman" w:eastAsia="Times New Roman" w:hAnsi="Times New Roman" w:cs="Times New Roman"/>
                <w:b/>
                <w:bCs/>
              </w:rPr>
            </w:pPr>
            <w:r>
              <w:rPr>
                <w:rFonts w:ascii="Times New Roman" w:eastAsia="Times New Roman" w:hAnsi="Times New Roman" w:cs="Times New Roman"/>
                <w:b/>
                <w:bCs/>
                <w:color w:val="000000"/>
                <w:sz w:val="18"/>
                <w:szCs w:val="18"/>
                <w:highlight w:val="yellow"/>
              </w:rPr>
              <w:t>8 – D</w:t>
            </w:r>
            <w:r>
              <w:rPr>
                <w:rFonts w:ascii="Times New Roman" w:eastAsia="Times New Roman" w:hAnsi="Times New Roman" w:cs="Times New Roman"/>
                <w:b/>
                <w:bCs/>
                <w:color w:val="000000"/>
                <w:sz w:val="18"/>
                <w:szCs w:val="18"/>
              </w:rPr>
              <w:t>A CONDUÇÃO E DO REGULAMENTO OPERACIONAL DO CERTAME</w:t>
            </w:r>
          </w:p>
        </w:tc>
      </w:tr>
    </w:tbl>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8.1.</w:t>
      </w:r>
      <w:r>
        <w:rPr>
          <w:rFonts w:ascii="Times New Roman" w:eastAsia="Times New Roman" w:hAnsi="Times New Roman" w:cs="Times New Roman"/>
          <w:color w:val="000000"/>
          <w:sz w:val="18"/>
          <w:szCs w:val="18"/>
        </w:rPr>
        <w:t xml:space="preserve"> O sistema/plataforma está configurado para realizar todas as etapas do processo licitatório na modalidade de </w:t>
      </w:r>
      <w:r>
        <w:rPr>
          <w:rFonts w:ascii="Times New Roman" w:eastAsia="Times New Roman" w:hAnsi="Times New Roman" w:cs="Times New Roman"/>
          <w:b/>
          <w:bCs/>
          <w:color w:val="000000"/>
          <w:sz w:val="18"/>
          <w:szCs w:val="18"/>
          <w:u w:val="single"/>
        </w:rPr>
        <w:t>Pregão Eletrônico, compreendendo a publicação do edital, credenciamento dos participantes, recebimento de propostas, abertura e exame das propostas apresentadas, lances, classificação e aceitação do lance, inserção dos documentos e julgamento de habilitação, declaração do vencedor, recebimento de recursos, adjudicação do objeto e homologação a licitação.</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 xml:space="preserve">8.2. </w:t>
      </w:r>
      <w:r>
        <w:rPr>
          <w:rFonts w:ascii="Times New Roman" w:eastAsia="Times New Roman" w:hAnsi="Times New Roman" w:cs="Times New Roman"/>
          <w:color w:val="000000"/>
          <w:sz w:val="18"/>
          <w:szCs w:val="18"/>
        </w:rPr>
        <w:t>O certame será conduzido pelo Agente de Contratação, neste ato designado Pregoeira do Município de Conceição de Ipanema/MG, que poderá contar com o auxílio dos órgãos da assessoria jurídica e de controle interno, que terá, em especial, as seguintes atribuições: </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8.2.1</w:t>
      </w:r>
      <w:r>
        <w:rPr>
          <w:rFonts w:ascii="Times New Roman" w:eastAsia="Times New Roman" w:hAnsi="Times New Roman" w:cs="Times New Roman"/>
          <w:color w:val="000000"/>
          <w:sz w:val="18"/>
          <w:szCs w:val="18"/>
        </w:rPr>
        <w:t xml:space="preserve">. </w:t>
      </w:r>
      <w:proofErr w:type="gramStart"/>
      <w:r>
        <w:rPr>
          <w:rFonts w:ascii="Times New Roman" w:eastAsia="Times New Roman" w:hAnsi="Times New Roman" w:cs="Times New Roman"/>
          <w:color w:val="000000"/>
          <w:sz w:val="18"/>
          <w:szCs w:val="18"/>
        </w:rPr>
        <w:t>conduzir</w:t>
      </w:r>
      <w:proofErr w:type="gramEnd"/>
      <w:r>
        <w:rPr>
          <w:rFonts w:ascii="Times New Roman" w:eastAsia="Times New Roman" w:hAnsi="Times New Roman" w:cs="Times New Roman"/>
          <w:color w:val="000000"/>
          <w:sz w:val="18"/>
          <w:szCs w:val="18"/>
        </w:rPr>
        <w:t xml:space="preserve"> e coordenar a sessão pública da licitação e promover as seguintes ações:</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a)</w:t>
      </w:r>
      <w:r>
        <w:rPr>
          <w:rFonts w:ascii="Times New Roman" w:eastAsia="Times New Roman" w:hAnsi="Times New Roman" w:cs="Times New Roman"/>
          <w:color w:val="000000"/>
          <w:sz w:val="18"/>
          <w:szCs w:val="18"/>
        </w:rPr>
        <w:t xml:space="preserve"> receber, examinar e decidir as impugnações e os pedidos de esclarecimentos ao edital e aos seus anexos e requisitar subsídios formais aos responsáveis pela elaboração desses documentos, caso necessário;</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 xml:space="preserve">b) </w:t>
      </w:r>
      <w:r>
        <w:rPr>
          <w:rFonts w:ascii="Times New Roman" w:eastAsia="Times New Roman" w:hAnsi="Times New Roman" w:cs="Times New Roman"/>
          <w:color w:val="000000"/>
          <w:sz w:val="18"/>
          <w:szCs w:val="18"/>
        </w:rPr>
        <w:t>verificar a conformidade da proposta mais bem classificada com os requisitos estabelecidos no edital;</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c)</w:t>
      </w:r>
      <w:r>
        <w:rPr>
          <w:rFonts w:ascii="Times New Roman" w:eastAsia="Times New Roman" w:hAnsi="Times New Roman" w:cs="Times New Roman"/>
          <w:color w:val="000000"/>
          <w:sz w:val="18"/>
          <w:szCs w:val="18"/>
        </w:rPr>
        <w:t xml:space="preserve"> verificar e julgar as condições de habilitação;</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 xml:space="preserve">d) </w:t>
      </w:r>
      <w:r>
        <w:rPr>
          <w:rFonts w:ascii="Times New Roman" w:eastAsia="Times New Roman" w:hAnsi="Times New Roman" w:cs="Times New Roman"/>
          <w:color w:val="000000"/>
          <w:sz w:val="18"/>
          <w:szCs w:val="18"/>
        </w:rPr>
        <w:t>sanear erros ou falhas que não alterem a substância das propostas; e</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e)</w:t>
      </w:r>
      <w:r>
        <w:rPr>
          <w:rFonts w:ascii="Times New Roman" w:eastAsia="Times New Roman" w:hAnsi="Times New Roman" w:cs="Times New Roman"/>
          <w:color w:val="000000"/>
          <w:sz w:val="18"/>
          <w:szCs w:val="18"/>
        </w:rPr>
        <w:t xml:space="preserve"> acompanhar os trâmites da licitação e promover diligências, se for o caso, verificar a possibilidade de saneamento de erros ou de falhas que não alterem a substância dos documentos e a sua validade jurídica, conforme o disposto no </w:t>
      </w:r>
      <w:hyperlink r:id="rId11" w:anchor="art64%C2%A71">
        <w:r>
          <w:rPr>
            <w:rFonts w:ascii="Times New Roman" w:eastAsia="Times New Roman" w:hAnsi="Times New Roman" w:cs="Times New Roman"/>
            <w:color w:val="000000"/>
            <w:sz w:val="18"/>
            <w:szCs w:val="18"/>
            <w:u w:val="single"/>
          </w:rPr>
          <w:t xml:space="preserve"> art. 64 da Lei nº 14.133, de 2021</w:t>
        </w:r>
      </w:hyperlink>
      <w:r>
        <w:rPr>
          <w:rFonts w:ascii="Times New Roman" w:eastAsia="Times New Roman" w:hAnsi="Times New Roman" w:cs="Times New Roman"/>
          <w:color w:val="000000"/>
          <w:sz w:val="18"/>
          <w:szCs w:val="18"/>
        </w:rPr>
        <w:t>; </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f)</w:t>
      </w:r>
      <w:r>
        <w:rPr>
          <w:rFonts w:ascii="Times New Roman" w:eastAsia="Times New Roman" w:hAnsi="Times New Roman" w:cs="Times New Roman"/>
          <w:color w:val="000000"/>
          <w:sz w:val="18"/>
          <w:szCs w:val="18"/>
        </w:rPr>
        <w:t xml:space="preserve"> negociar, quando for o caso, condições mais vantajosas com o primeiro colocado;</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g)</w:t>
      </w:r>
      <w:r>
        <w:rPr>
          <w:rFonts w:ascii="Times New Roman" w:eastAsia="Times New Roman" w:hAnsi="Times New Roman" w:cs="Times New Roman"/>
          <w:color w:val="000000"/>
          <w:sz w:val="18"/>
          <w:szCs w:val="18"/>
        </w:rPr>
        <w:t xml:space="preserve"> indicar o vencedor do certame;</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h)</w:t>
      </w:r>
      <w:r>
        <w:rPr>
          <w:rFonts w:ascii="Times New Roman" w:eastAsia="Times New Roman" w:hAnsi="Times New Roman" w:cs="Times New Roman"/>
          <w:color w:val="000000"/>
          <w:sz w:val="18"/>
          <w:szCs w:val="18"/>
        </w:rPr>
        <w:t xml:space="preserve"> conduzir os trabalhos da equipe de apoio; e</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i)</w:t>
      </w:r>
      <w:r>
        <w:rPr>
          <w:rFonts w:ascii="Times New Roman" w:eastAsia="Times New Roman" w:hAnsi="Times New Roman" w:cs="Times New Roman"/>
          <w:color w:val="000000"/>
          <w:sz w:val="18"/>
          <w:szCs w:val="18"/>
        </w:rPr>
        <w:t xml:space="preserve"> encaminhar o processo instruído, após encerradas as fases de julgamento e de habilitação e exauridos os recursos administrativos, à autoridade superior para adjudicação do objeto e homologação da licitação.</w:t>
      </w:r>
    </w:p>
    <w:p w:rsidR="00D35AD6" w:rsidRDefault="00D35AD6">
      <w:pPr>
        <w:spacing w:after="0" w:line="240" w:lineRule="auto"/>
        <w:rPr>
          <w:rFonts w:ascii="Times New Roman" w:eastAsia="Times New Roman" w:hAnsi="Times New Roman" w:cs="Times New Roman"/>
        </w:rPr>
      </w:pPr>
    </w:p>
    <w:tbl>
      <w:tblPr>
        <w:tblStyle w:val="a8"/>
        <w:tblW w:w="8494" w:type="dxa"/>
        <w:tblInd w:w="0" w:type="dxa"/>
        <w:tblLayout w:type="fixed"/>
        <w:tblLook w:val="0400" w:firstRow="0" w:lastRow="0" w:firstColumn="0" w:lastColumn="0" w:noHBand="0" w:noVBand="1"/>
      </w:tblPr>
      <w:tblGrid>
        <w:gridCol w:w="8494"/>
      </w:tblGrid>
      <w:tr w:rsidR="00D35AD6">
        <w:trPr>
          <w:tblHeader/>
        </w:trPr>
        <w:tc>
          <w:tcPr>
            <w:tcW w:w="8494"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rsidR="00D35AD6" w:rsidRDefault="00387F92">
            <w:pPr>
              <w:shd w:val="clear" w:color="auto" w:fill="FFFF00"/>
              <w:spacing w:after="0" w:line="240" w:lineRule="auto"/>
              <w:jc w:val="both"/>
              <w:rPr>
                <w:rFonts w:ascii="Times New Roman" w:eastAsia="Times New Roman" w:hAnsi="Times New Roman" w:cs="Times New Roman"/>
                <w:b/>
                <w:bCs/>
              </w:rPr>
            </w:pPr>
            <w:r>
              <w:rPr>
                <w:rFonts w:ascii="Times New Roman" w:eastAsia="Times New Roman" w:hAnsi="Times New Roman" w:cs="Times New Roman"/>
                <w:b/>
                <w:bCs/>
                <w:color w:val="000000"/>
                <w:sz w:val="18"/>
                <w:szCs w:val="18"/>
                <w:highlight w:val="yellow"/>
              </w:rPr>
              <w:t>9 – D</w:t>
            </w:r>
            <w:r>
              <w:rPr>
                <w:rFonts w:ascii="Times New Roman" w:eastAsia="Times New Roman" w:hAnsi="Times New Roman" w:cs="Times New Roman"/>
                <w:b/>
                <w:bCs/>
                <w:color w:val="000000"/>
                <w:sz w:val="18"/>
                <w:szCs w:val="18"/>
              </w:rPr>
              <w:t>A FORMA DE APRESENTAÇÃO DAS PROPOSTAS DE PREÇOS E DOCUMENTOS DE HABILITAÇÃO</w:t>
            </w:r>
          </w:p>
        </w:tc>
      </w:tr>
    </w:tbl>
    <w:p w:rsidR="00D35AD6" w:rsidRDefault="00D35AD6">
      <w:pPr>
        <w:spacing w:after="0" w:line="240" w:lineRule="auto"/>
        <w:rPr>
          <w:rFonts w:ascii="Times New Roman" w:eastAsia="Times New Roman" w:hAnsi="Times New Roman" w:cs="Times New Roman"/>
        </w:rPr>
      </w:pPr>
    </w:p>
    <w:p w:rsidR="00D35AD6" w:rsidRDefault="00387F92">
      <w:pPr>
        <w:spacing w:after="0" w:line="276" w:lineRule="auto"/>
        <w:jc w:val="both"/>
        <w:rPr>
          <w:rFonts w:ascii="Times New Roman" w:eastAsia="Times New Roman" w:hAnsi="Times New Roman" w:cs="Times New Roman"/>
        </w:rPr>
      </w:pPr>
      <w:r>
        <w:rPr>
          <w:rFonts w:ascii="Times New Roman" w:eastAsia="Times New Roman" w:hAnsi="Times New Roman" w:cs="Times New Roman"/>
        </w:rPr>
        <w:t>9.1. Os documentos de habilitação poderá ser:</w:t>
      </w:r>
    </w:p>
    <w:p w:rsidR="00D35AD6" w:rsidRDefault="00387F92">
      <w:pPr>
        <w:spacing w:after="0" w:line="276" w:lineRule="auto"/>
        <w:jc w:val="both"/>
        <w:rPr>
          <w:rFonts w:ascii="Times New Roman" w:eastAsia="Times New Roman" w:hAnsi="Times New Roman" w:cs="Times New Roman"/>
        </w:rPr>
      </w:pPr>
      <w:r>
        <w:rPr>
          <w:rFonts w:ascii="Times New Roman" w:eastAsia="Times New Roman" w:hAnsi="Times New Roman" w:cs="Times New Roman"/>
        </w:rPr>
        <w:t>9.1.1. Após a disputa dos Lances, a empresa declarada provisoriamente vencedora poderá apresentar em formato original, por cópia ou por qualquer outro meio expressamente admitido pela Administração, na Plataforma da BNC, em solicitação de diligência ou no CHAT da Plataforma da BNC, em um prazo de 2 horas, a contar da data da solicitação;</w:t>
      </w:r>
    </w:p>
    <w:p w:rsidR="00D35AD6" w:rsidRDefault="00387F92">
      <w:pPr>
        <w:spacing w:after="0" w:line="276" w:lineRule="auto"/>
        <w:jc w:val="both"/>
        <w:rPr>
          <w:rFonts w:ascii="Times New Roman" w:eastAsia="Times New Roman" w:hAnsi="Times New Roman" w:cs="Times New Roman"/>
        </w:rPr>
      </w:pPr>
      <w:r>
        <w:rPr>
          <w:rFonts w:ascii="Times New Roman" w:eastAsia="Times New Roman" w:hAnsi="Times New Roman" w:cs="Times New Roman"/>
        </w:rPr>
        <w:t xml:space="preserve">9.2. </w:t>
      </w:r>
      <w:proofErr w:type="gramStart"/>
      <w:r>
        <w:rPr>
          <w:rFonts w:ascii="Times New Roman" w:eastAsia="Times New Roman" w:hAnsi="Times New Roman" w:cs="Times New Roman"/>
        </w:rPr>
        <w:t>substituída</w:t>
      </w:r>
      <w:proofErr w:type="gramEnd"/>
      <w:r>
        <w:rPr>
          <w:rFonts w:ascii="Times New Roman" w:eastAsia="Times New Roman" w:hAnsi="Times New Roman" w:cs="Times New Roman"/>
        </w:rPr>
        <w:t xml:space="preserve"> por registro cadastral emitido pela Administração, desde que o registro tenha sido feito em obediência ao disposta na Lei nº. 14.133/2021.</w:t>
      </w:r>
    </w:p>
    <w:p w:rsidR="00D35AD6" w:rsidRDefault="00387F92">
      <w:pPr>
        <w:spacing w:after="0" w:line="276" w:lineRule="auto"/>
        <w:jc w:val="both"/>
        <w:rPr>
          <w:rFonts w:ascii="Times New Roman" w:eastAsia="Times New Roman" w:hAnsi="Times New Roman" w:cs="Times New Roman"/>
          <w:b/>
          <w:bCs/>
          <w:u w:val="single"/>
        </w:rPr>
      </w:pPr>
      <w:r>
        <w:rPr>
          <w:rFonts w:ascii="Times New Roman" w:eastAsia="Times New Roman" w:hAnsi="Times New Roman" w:cs="Times New Roman"/>
        </w:rPr>
        <w:t>9.3.</w:t>
      </w:r>
      <w:r>
        <w:rPr>
          <w:rFonts w:ascii="Times New Roman" w:eastAsia="Times New Roman" w:hAnsi="Times New Roman" w:cs="Times New Roman"/>
          <w:b/>
          <w:bCs/>
          <w:u w:val="single"/>
        </w:rPr>
        <w:t xml:space="preserve"> Os documentos exigidos para fins de habilitação relacionados nos subitens acima, deverão ser apresentados pelos licitantes na Plataforma BOLSA NACIONAL DE COMPRAS - BNC e os documentos cuja validação não possam ser aferidos nos sites dos órgãos oficiais, em caso de dúvidas quanto a autenticidade, deverão ser remetidos em original, por qualquer processo de cópia reprográfica, autenticada por tabelião de notas, ou por servidor da Administração, e neste último caso, com apresentação dos originais para conferencia, ou publicação em órgão da imprensa oficial ou ainda, por declaração de autenticidade firmada por advogado, sob sua responsabilidade pessoal, nos termos do art. </w:t>
      </w:r>
      <w:r>
        <w:rPr>
          <w:rFonts w:ascii="Times New Roman" w:eastAsia="Times New Roman" w:hAnsi="Times New Roman" w:cs="Times New Roman"/>
          <w:b/>
          <w:bCs/>
          <w:u w:val="single"/>
        </w:rPr>
        <w:lastRenderedPageBreak/>
        <w:t xml:space="preserve">12, inciso IV, da Lei n.º 14.133/2021, no prazo máximo de 02 (dois) dias úteis, para análise, após solicitação </w:t>
      </w:r>
      <w:r>
        <w:rPr>
          <w:rFonts w:ascii="Times New Roman" w:eastAsia="Times New Roman" w:hAnsi="Times New Roman" w:cs="Times New Roman"/>
          <w:b/>
          <w:bCs/>
          <w:i/>
          <w:iCs/>
          <w:u w:val="single"/>
        </w:rPr>
        <w:t>via chat</w:t>
      </w:r>
      <w:r>
        <w:rPr>
          <w:rFonts w:ascii="Times New Roman" w:eastAsia="Times New Roman" w:hAnsi="Times New Roman" w:cs="Times New Roman"/>
          <w:b/>
          <w:bCs/>
          <w:u w:val="single"/>
        </w:rPr>
        <w:t>.</w:t>
      </w:r>
    </w:p>
    <w:p w:rsidR="00D35AD6" w:rsidRDefault="00387F92">
      <w:pPr>
        <w:spacing w:after="0" w:line="276" w:lineRule="auto"/>
        <w:rPr>
          <w:rFonts w:ascii="Times New Roman" w:eastAsia="Times New Roman" w:hAnsi="Times New Roman" w:cs="Times New Roman"/>
        </w:rPr>
      </w:pPr>
      <w:r>
        <w:rPr>
          <w:rFonts w:ascii="Times New Roman" w:eastAsia="Times New Roman" w:hAnsi="Times New Roman" w:cs="Times New Roman"/>
        </w:rPr>
        <w:t xml:space="preserve"> </w:t>
      </w:r>
    </w:p>
    <w:p w:rsidR="00D35AD6" w:rsidRDefault="00387F92">
      <w:pPr>
        <w:spacing w:after="0" w:line="276" w:lineRule="auto"/>
        <w:jc w:val="both"/>
        <w:rPr>
          <w:rFonts w:ascii="Times New Roman" w:eastAsia="Times New Roman" w:hAnsi="Times New Roman" w:cs="Times New Roman"/>
          <w:b/>
          <w:bCs/>
        </w:rPr>
      </w:pPr>
      <w:r>
        <w:rPr>
          <w:rFonts w:ascii="Times New Roman" w:eastAsia="Times New Roman" w:hAnsi="Times New Roman" w:cs="Times New Roman"/>
          <w:b/>
          <w:bCs/>
        </w:rPr>
        <w:t xml:space="preserve">9.4. Relativo as documentações apresentadas pelas </w:t>
      </w:r>
      <w:proofErr w:type="gramStart"/>
      <w:r>
        <w:rPr>
          <w:rFonts w:ascii="Times New Roman" w:eastAsia="Times New Roman" w:hAnsi="Times New Roman" w:cs="Times New Roman"/>
          <w:b/>
          <w:bCs/>
        </w:rPr>
        <w:t>Micro Empresas</w:t>
      </w:r>
      <w:proofErr w:type="gramEnd"/>
      <w:r>
        <w:rPr>
          <w:rFonts w:ascii="Times New Roman" w:eastAsia="Times New Roman" w:hAnsi="Times New Roman" w:cs="Times New Roman"/>
          <w:b/>
          <w:bCs/>
        </w:rPr>
        <w:t xml:space="preserve"> (ME), Empresas de Pequeno Porte (EPP) e Equiparadas</w:t>
      </w:r>
    </w:p>
    <w:p w:rsidR="00D35AD6" w:rsidRDefault="00D35AD6">
      <w:pPr>
        <w:spacing w:after="0" w:line="276" w:lineRule="auto"/>
        <w:jc w:val="both"/>
        <w:rPr>
          <w:rFonts w:ascii="Times New Roman" w:eastAsia="Times New Roman" w:hAnsi="Times New Roman" w:cs="Times New Roman"/>
          <w:b/>
          <w:bCs/>
        </w:rPr>
      </w:pPr>
    </w:p>
    <w:p w:rsidR="00D35AD6" w:rsidRDefault="00387F92">
      <w:pPr>
        <w:spacing w:after="0" w:line="276" w:lineRule="auto"/>
        <w:jc w:val="both"/>
        <w:rPr>
          <w:rFonts w:ascii="Times New Roman" w:eastAsia="Times New Roman" w:hAnsi="Times New Roman" w:cs="Times New Roman"/>
        </w:rPr>
      </w:pPr>
      <w:r>
        <w:rPr>
          <w:rFonts w:ascii="Times New Roman" w:eastAsia="Times New Roman" w:hAnsi="Times New Roman" w:cs="Times New Roman"/>
          <w:b/>
          <w:bCs/>
        </w:rPr>
        <w:t xml:space="preserve">9.4.1. </w:t>
      </w:r>
      <w:r>
        <w:rPr>
          <w:rFonts w:ascii="Times New Roman" w:eastAsia="Times New Roman" w:hAnsi="Times New Roman" w:cs="Times New Roman"/>
        </w:rPr>
        <w:t>Havendo alguma restrição na comprovação da regularidade fiscal e trabalhista, a microempresa ou empresa de pequeno porte terá assegurado o prazo de 05 (cinco) dias úteis, cujo termo inicial corresponderá ao momento em que o proponente for declarado o vencedor do certame, prorrogável por igual período, a critério da Administração Pública, para a devida regularização da documentação, pagamento ou parcelamento do débito, e emissão de eventuais certidões negativas ou positivas com efeito negativa.</w:t>
      </w:r>
    </w:p>
    <w:p w:rsidR="00D35AD6" w:rsidRDefault="00387F92">
      <w:pPr>
        <w:spacing w:after="0" w:line="276" w:lineRule="auto"/>
        <w:rPr>
          <w:rFonts w:ascii="Times New Roman" w:eastAsia="Times New Roman" w:hAnsi="Times New Roman" w:cs="Times New Roman"/>
        </w:rPr>
      </w:pPr>
      <w:r>
        <w:rPr>
          <w:rFonts w:ascii="Times New Roman" w:eastAsia="Times New Roman" w:hAnsi="Times New Roman" w:cs="Times New Roman"/>
        </w:rPr>
        <w:t xml:space="preserve"> </w:t>
      </w:r>
    </w:p>
    <w:p w:rsidR="00D35AD6" w:rsidRDefault="00387F92">
      <w:pPr>
        <w:spacing w:after="0" w:line="276" w:lineRule="auto"/>
        <w:jc w:val="both"/>
        <w:rPr>
          <w:rFonts w:ascii="Times New Roman" w:eastAsia="Times New Roman" w:hAnsi="Times New Roman" w:cs="Times New Roman"/>
        </w:rPr>
      </w:pPr>
      <w:r>
        <w:rPr>
          <w:rFonts w:ascii="Times New Roman" w:eastAsia="Times New Roman" w:hAnsi="Times New Roman" w:cs="Times New Roman"/>
          <w:b/>
          <w:bCs/>
        </w:rPr>
        <w:t xml:space="preserve">9.4.2. </w:t>
      </w:r>
      <w:r>
        <w:rPr>
          <w:rFonts w:ascii="Times New Roman" w:eastAsia="Times New Roman" w:hAnsi="Times New Roman" w:cs="Times New Roman"/>
        </w:rPr>
        <w:t>A não regularização da documentação, no prazo previsto no subitem acima, implicará na decadência do direito à contratação, sem prejuízo das sanções previstas na Lei 14.133/2021 e neste Edital, sendo facultado à Administração convocar os licitantes remanescentes, na ordem de classificação, para a assinatura do contrato, ou revogar a licitação.</w:t>
      </w:r>
    </w:p>
    <w:p w:rsidR="00D35AD6" w:rsidRDefault="00387F92">
      <w:pPr>
        <w:spacing w:after="0" w:line="276" w:lineRule="auto"/>
        <w:rPr>
          <w:rFonts w:ascii="Times New Roman" w:eastAsia="Times New Roman" w:hAnsi="Times New Roman" w:cs="Times New Roman"/>
        </w:rPr>
      </w:pPr>
      <w:r>
        <w:rPr>
          <w:rFonts w:ascii="Times New Roman" w:eastAsia="Times New Roman" w:hAnsi="Times New Roman" w:cs="Times New Roman"/>
        </w:rPr>
        <w:t xml:space="preserve"> </w:t>
      </w: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9.</w:t>
      </w:r>
      <w:r>
        <w:rPr>
          <w:rFonts w:ascii="Times New Roman" w:eastAsia="Times New Roman" w:hAnsi="Times New Roman" w:cs="Times New Roman"/>
          <w:b/>
          <w:bCs/>
          <w:sz w:val="18"/>
          <w:szCs w:val="18"/>
        </w:rPr>
        <w:t>4</w:t>
      </w:r>
      <w:r>
        <w:rPr>
          <w:rFonts w:ascii="Times New Roman" w:eastAsia="Times New Roman" w:hAnsi="Times New Roman" w:cs="Times New Roman"/>
          <w:b/>
          <w:bCs/>
          <w:color w:val="000000"/>
          <w:sz w:val="18"/>
          <w:szCs w:val="18"/>
        </w:rPr>
        <w:t>.</w:t>
      </w:r>
      <w:r>
        <w:rPr>
          <w:rFonts w:ascii="Times New Roman" w:eastAsia="Times New Roman" w:hAnsi="Times New Roman" w:cs="Times New Roman"/>
          <w:b/>
          <w:bCs/>
          <w:sz w:val="18"/>
          <w:szCs w:val="18"/>
        </w:rPr>
        <w:t>3.</w:t>
      </w:r>
      <w:r>
        <w:rPr>
          <w:rFonts w:ascii="Times New Roman" w:eastAsia="Times New Roman" w:hAnsi="Times New Roman" w:cs="Times New Roman"/>
          <w:sz w:val="18"/>
          <w:szCs w:val="18"/>
        </w:rPr>
        <w:t xml:space="preserve"> </w:t>
      </w:r>
      <w:r>
        <w:rPr>
          <w:rFonts w:ascii="Times New Roman" w:eastAsia="Times New Roman" w:hAnsi="Times New Roman" w:cs="Times New Roman"/>
          <w:color w:val="000000"/>
          <w:sz w:val="18"/>
          <w:szCs w:val="18"/>
        </w:rPr>
        <w:t>Incumbirá exclusivamente ao licitante acompanhar as operações no sistema eletrônico durante a sessão pública do Pregão, ficando responsável pelo ônus decorrente da perda de negócios, diante da inobservância de quaisquer mensagens emitidas pelo sistema ou de sua desconexão. </w:t>
      </w:r>
    </w:p>
    <w:p w:rsidR="00D35AD6" w:rsidRDefault="00D35AD6">
      <w:pPr>
        <w:spacing w:after="0" w:line="240" w:lineRule="auto"/>
        <w:rPr>
          <w:rFonts w:ascii="Times New Roman" w:eastAsia="Times New Roman" w:hAnsi="Times New Roman" w:cs="Times New Roman"/>
        </w:rPr>
      </w:pPr>
    </w:p>
    <w:tbl>
      <w:tblPr>
        <w:tblStyle w:val="a9"/>
        <w:tblW w:w="6606" w:type="dxa"/>
        <w:tblInd w:w="0" w:type="dxa"/>
        <w:tblLayout w:type="fixed"/>
        <w:tblLook w:val="0400" w:firstRow="0" w:lastRow="0" w:firstColumn="0" w:lastColumn="0" w:noHBand="0" w:noVBand="1"/>
      </w:tblPr>
      <w:tblGrid>
        <w:gridCol w:w="6606"/>
      </w:tblGrid>
      <w:tr w:rsidR="00D35AD6">
        <w:trPr>
          <w:tblHeader/>
        </w:trPr>
        <w:tc>
          <w:tcPr>
            <w:tcW w:w="6606"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rsidR="00D35AD6" w:rsidRDefault="00387F92">
            <w:pPr>
              <w:shd w:val="clear" w:color="auto" w:fill="FFFF00"/>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color w:val="000000"/>
                <w:sz w:val="18"/>
                <w:szCs w:val="18"/>
                <w:highlight w:val="yellow"/>
              </w:rPr>
              <w:t>10 – D</w:t>
            </w:r>
            <w:r>
              <w:rPr>
                <w:rFonts w:ascii="Times New Roman" w:eastAsia="Times New Roman" w:hAnsi="Times New Roman" w:cs="Times New Roman"/>
                <w:b/>
                <w:bCs/>
                <w:color w:val="000000"/>
                <w:sz w:val="18"/>
                <w:szCs w:val="18"/>
              </w:rPr>
              <w:t>O ENVIO E PREENCHIMENTO DAS PROPOSTAS DE PREÇOS </w:t>
            </w:r>
          </w:p>
        </w:tc>
      </w:tr>
    </w:tbl>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bookmarkStart w:id="1" w:name="_heading=h.djy9o5mbyy8m" w:colFirst="0" w:colLast="0"/>
      <w:bookmarkEnd w:id="1"/>
      <w:r>
        <w:rPr>
          <w:rFonts w:ascii="Times New Roman" w:eastAsia="Times New Roman" w:hAnsi="Times New Roman" w:cs="Times New Roman"/>
          <w:b/>
          <w:bCs/>
          <w:color w:val="000000"/>
          <w:sz w:val="18"/>
          <w:szCs w:val="18"/>
        </w:rPr>
        <w:t xml:space="preserve">10.1 </w:t>
      </w:r>
      <w:r>
        <w:rPr>
          <w:rFonts w:ascii="Times New Roman" w:eastAsia="Times New Roman" w:hAnsi="Times New Roman" w:cs="Times New Roman"/>
          <w:color w:val="000000"/>
          <w:sz w:val="18"/>
          <w:szCs w:val="18"/>
        </w:rPr>
        <w:t xml:space="preserve">Após a divulgação do Edital no endereço eletrônico </w:t>
      </w:r>
      <w:hyperlink r:id="rId12">
        <w:r>
          <w:rPr>
            <w:rFonts w:ascii="Times New Roman" w:eastAsia="Times New Roman" w:hAnsi="Times New Roman" w:cs="Times New Roman"/>
            <w:color w:val="0000FF"/>
            <w:sz w:val="18"/>
            <w:szCs w:val="18"/>
            <w:u w:val="single"/>
          </w:rPr>
          <w:t>www.conceicaodeipanema.mg.gov.br</w:t>
        </w:r>
      </w:hyperlink>
      <w:r>
        <w:rPr>
          <w:rFonts w:ascii="Times New Roman" w:eastAsia="Times New Roman" w:hAnsi="Times New Roman" w:cs="Times New Roman"/>
          <w:color w:val="000000"/>
          <w:sz w:val="18"/>
          <w:szCs w:val="18"/>
        </w:rPr>
        <w:t xml:space="preserve"> e no site </w:t>
      </w:r>
      <w:r>
        <w:rPr>
          <w:rFonts w:ascii="Times New Roman" w:eastAsia="Times New Roman" w:hAnsi="Times New Roman" w:cs="Times New Roman"/>
          <w:color w:val="0000FF"/>
          <w:sz w:val="18"/>
          <w:szCs w:val="18"/>
          <w:u w:val="single"/>
        </w:rPr>
        <w:t>https://bnc.org.br e Portal Nacional de Compras Públicas</w:t>
      </w:r>
      <w:r>
        <w:rPr>
          <w:rFonts w:ascii="Times New Roman" w:eastAsia="Times New Roman" w:hAnsi="Times New Roman" w:cs="Times New Roman"/>
          <w:color w:val="000000"/>
          <w:sz w:val="18"/>
          <w:szCs w:val="18"/>
        </w:rPr>
        <w:t xml:space="preserve"> e na Imprensa Oficial da União, Estadual ou Municipal e jornal de grande circulação, conforme o caso, a(s) licitante(s) poderá(</w:t>
      </w:r>
      <w:proofErr w:type="spellStart"/>
      <w:r>
        <w:rPr>
          <w:rFonts w:ascii="Times New Roman" w:eastAsia="Times New Roman" w:hAnsi="Times New Roman" w:cs="Times New Roman"/>
          <w:color w:val="000000"/>
          <w:sz w:val="18"/>
          <w:szCs w:val="18"/>
        </w:rPr>
        <w:t>ão</w:t>
      </w:r>
      <w:proofErr w:type="spellEnd"/>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b/>
          <w:bCs/>
          <w:color w:val="000000"/>
          <w:sz w:val="18"/>
          <w:szCs w:val="18"/>
          <w:u w:val="single"/>
        </w:rPr>
        <w:t>encaminhar PROPOSTAS DE PREÇOS, COM VALOR, UNITÁRIO E TOTAL, EM MOEDA NACIONAL, exclusivamente, por meio do sistema eletrônico, até a data e horário designado para abertura da sessão, quando então, encerrar-se-á a fase de recebimento das propostas, devendo manifestar o pleno conhecimento, aceitação e atendimento às exigências de habilitação previstas no Edital e seus Anexos;</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color w:val="000000"/>
          <w:sz w:val="18"/>
          <w:szCs w:val="18"/>
          <w:u w:val="single"/>
        </w:rPr>
        <w:t xml:space="preserve">10.2. Para a formulação da proposta de preços </w:t>
      </w:r>
      <w:proofErr w:type="gramStart"/>
      <w:r>
        <w:rPr>
          <w:rFonts w:ascii="Times New Roman" w:eastAsia="Times New Roman" w:hAnsi="Times New Roman" w:cs="Times New Roman"/>
          <w:color w:val="000000"/>
          <w:sz w:val="18"/>
          <w:szCs w:val="18"/>
          <w:u w:val="single"/>
        </w:rPr>
        <w:t>o(</w:t>
      </w:r>
      <w:proofErr w:type="gramEnd"/>
      <w:r>
        <w:rPr>
          <w:rFonts w:ascii="Times New Roman" w:eastAsia="Times New Roman" w:hAnsi="Times New Roman" w:cs="Times New Roman"/>
          <w:color w:val="000000"/>
          <w:sz w:val="18"/>
          <w:szCs w:val="18"/>
          <w:u w:val="single"/>
        </w:rPr>
        <w:t>s) licitante(s) deverá(</w:t>
      </w:r>
      <w:proofErr w:type="spellStart"/>
      <w:r>
        <w:rPr>
          <w:rFonts w:ascii="Times New Roman" w:eastAsia="Times New Roman" w:hAnsi="Times New Roman" w:cs="Times New Roman"/>
          <w:color w:val="000000"/>
          <w:sz w:val="18"/>
          <w:szCs w:val="18"/>
          <w:u w:val="single"/>
        </w:rPr>
        <w:t>ão</w:t>
      </w:r>
      <w:proofErr w:type="spellEnd"/>
      <w:r>
        <w:rPr>
          <w:rFonts w:ascii="Times New Roman" w:eastAsia="Times New Roman" w:hAnsi="Times New Roman" w:cs="Times New Roman"/>
          <w:color w:val="000000"/>
          <w:sz w:val="18"/>
          <w:szCs w:val="18"/>
          <w:u w:val="single"/>
        </w:rPr>
        <w:t>) observar e valer das descrições, unidades e quantidades de cada item da Planilha de Descrição Detalhada dos Produtos (Anexo IV), uma vez que a planilha de descrição dos produtos detalha todos os custos e os produtos a serem adquiridos.</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color w:val="000000"/>
          <w:sz w:val="18"/>
          <w:szCs w:val="18"/>
          <w:u w:val="single"/>
        </w:rPr>
        <w:t>10.3. O preenchimento da proposta eletrônica, ocorrerá mediante digitação no sistema eletrônico, conforme plataforma Bolsa Nacional de Compras, por meio de transparência eletrônica do arquivo no sistema;</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color w:val="000000"/>
          <w:sz w:val="18"/>
          <w:szCs w:val="18"/>
        </w:rPr>
        <w:t xml:space="preserve">10.4. As propostas deverão ter </w:t>
      </w:r>
      <w:r>
        <w:rPr>
          <w:rFonts w:ascii="Times New Roman" w:eastAsia="Times New Roman" w:hAnsi="Times New Roman" w:cs="Times New Roman"/>
          <w:color w:val="000000"/>
          <w:sz w:val="18"/>
          <w:szCs w:val="18"/>
          <w:u w:val="single"/>
        </w:rPr>
        <w:t>validade mínima de 60 (sessenta) dias</w:t>
      </w:r>
      <w:r>
        <w:rPr>
          <w:rFonts w:ascii="Times New Roman" w:eastAsia="Times New Roman" w:hAnsi="Times New Roman" w:cs="Times New Roman"/>
          <w:color w:val="000000"/>
          <w:sz w:val="18"/>
          <w:szCs w:val="18"/>
        </w:rPr>
        <w:t>, contados da data limite para o envio na plataforma.</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color w:val="000000"/>
          <w:sz w:val="18"/>
          <w:szCs w:val="18"/>
          <w:u w:val="single"/>
        </w:rPr>
        <w:t xml:space="preserve">10.5.O(s) </w:t>
      </w:r>
      <w:proofErr w:type="gramStart"/>
      <w:r>
        <w:rPr>
          <w:rFonts w:ascii="Times New Roman" w:eastAsia="Times New Roman" w:hAnsi="Times New Roman" w:cs="Times New Roman"/>
          <w:color w:val="000000"/>
          <w:sz w:val="18"/>
          <w:szCs w:val="18"/>
          <w:u w:val="single"/>
        </w:rPr>
        <w:t>licitante(</w:t>
      </w:r>
      <w:proofErr w:type="gramEnd"/>
      <w:r>
        <w:rPr>
          <w:rFonts w:ascii="Times New Roman" w:eastAsia="Times New Roman" w:hAnsi="Times New Roman" w:cs="Times New Roman"/>
          <w:color w:val="000000"/>
          <w:sz w:val="18"/>
          <w:szCs w:val="18"/>
          <w:u w:val="single"/>
        </w:rPr>
        <w:t>s) deverá(</w:t>
      </w:r>
      <w:proofErr w:type="spellStart"/>
      <w:r>
        <w:rPr>
          <w:rFonts w:ascii="Times New Roman" w:eastAsia="Times New Roman" w:hAnsi="Times New Roman" w:cs="Times New Roman"/>
          <w:color w:val="000000"/>
          <w:sz w:val="18"/>
          <w:szCs w:val="18"/>
          <w:u w:val="single"/>
        </w:rPr>
        <w:t>ão</w:t>
      </w:r>
      <w:proofErr w:type="spellEnd"/>
      <w:r>
        <w:rPr>
          <w:rFonts w:ascii="Times New Roman" w:eastAsia="Times New Roman" w:hAnsi="Times New Roman" w:cs="Times New Roman"/>
          <w:color w:val="000000"/>
          <w:sz w:val="18"/>
          <w:szCs w:val="18"/>
          <w:u w:val="single"/>
        </w:rPr>
        <w:t>) assinalar em campo próprio do sistema, declaração de enquadramento ME/EPP (quando for o caso), dentre outras declarações exigidas, no Portal de Compras Púbicas, sob pena de inabilitação. </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color w:val="000000"/>
          <w:sz w:val="18"/>
          <w:szCs w:val="18"/>
        </w:rPr>
        <w:t>10.6. O preço proposto será de exclusiva responsabilidade do Licitante, não lhe assistindo o direito de pleitear qualquer alteração, sob a alegação de erro, omissão ou qualquer outro pretexto, estando neles incluídos todos os custos operacionais, encargos previdenciários, trabalhistas, tributários, comerciais e quaisquer outros que incidam direta ou indiretamente no fornecimento dos produtos.</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color w:val="000000"/>
          <w:sz w:val="18"/>
          <w:szCs w:val="18"/>
        </w:rPr>
        <w:t>10.7. A omissão de qualquer despesa necessária ao perfeito cumprimento do objeto deste certame será interpretada como não existente ou já incluída nos preços propostos, não podendo o Licitante pleitear acréscimo após a abertura da sessão pública.</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color w:val="000000"/>
          <w:sz w:val="18"/>
          <w:szCs w:val="18"/>
        </w:rPr>
        <w:t xml:space="preserve">10.8. Até a abertura da sessão, o licitante poderá retirar ou substituir a </w:t>
      </w:r>
      <w:r>
        <w:rPr>
          <w:rFonts w:ascii="Times New Roman" w:eastAsia="Times New Roman" w:hAnsi="Times New Roman" w:cs="Times New Roman"/>
          <w:color w:val="000000"/>
          <w:sz w:val="18"/>
          <w:szCs w:val="18"/>
          <w:u w:val="single"/>
        </w:rPr>
        <w:t xml:space="preserve">Proposta de Preços </w:t>
      </w:r>
      <w:r>
        <w:rPr>
          <w:rFonts w:ascii="Times New Roman" w:eastAsia="Times New Roman" w:hAnsi="Times New Roman" w:cs="Times New Roman"/>
          <w:color w:val="000000"/>
          <w:sz w:val="18"/>
          <w:szCs w:val="18"/>
        </w:rPr>
        <w:t>anteriormente apresentada.</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color w:val="000000"/>
          <w:sz w:val="18"/>
          <w:szCs w:val="18"/>
        </w:rPr>
        <w:t xml:space="preserve">10.9.A apresentação da </w:t>
      </w:r>
      <w:r>
        <w:rPr>
          <w:rFonts w:ascii="Times New Roman" w:eastAsia="Times New Roman" w:hAnsi="Times New Roman" w:cs="Times New Roman"/>
          <w:color w:val="000000"/>
          <w:sz w:val="18"/>
          <w:szCs w:val="18"/>
          <w:u w:val="single"/>
        </w:rPr>
        <w:t xml:space="preserve">Proposta de Preços </w:t>
      </w:r>
      <w:r>
        <w:rPr>
          <w:rFonts w:ascii="Times New Roman" w:eastAsia="Times New Roman" w:hAnsi="Times New Roman" w:cs="Times New Roman"/>
          <w:color w:val="000000"/>
          <w:sz w:val="18"/>
          <w:szCs w:val="18"/>
        </w:rPr>
        <w:t>implicará plena aceitação, por parte do proponente das condições estabelecidas neste Edital e seus anexos, implicando na plena aceitação de todos os seus termos pelo proponente.</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color w:val="000000"/>
          <w:sz w:val="18"/>
          <w:szCs w:val="18"/>
        </w:rPr>
        <w:t>10.10. É vedado ao licitante identificar-se, no Sistema Eletrônico, quando do registro de sua proposta, sob pena de desclassificação do certame pelo Agente de Contratação, neste ato designado Pregoeira.</w:t>
      </w: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color w:val="000000"/>
        </w:rPr>
        <w:br/>
      </w:r>
      <w:r>
        <w:rPr>
          <w:rFonts w:ascii="Times New Roman" w:eastAsia="Times New Roman" w:hAnsi="Times New Roman" w:cs="Times New Roman"/>
          <w:color w:val="000000"/>
          <w:sz w:val="18"/>
          <w:szCs w:val="18"/>
        </w:rPr>
        <w:t>10.11. A proposta deverá limitar-se ao objeto desta licitação, sendo desconsideradas quaisquer alternativas de preços ou qualquer outra condição não prevista no edital.</w:t>
      </w:r>
    </w:p>
    <w:p w:rsidR="00D35AD6" w:rsidRDefault="00D35AD6">
      <w:pPr>
        <w:spacing w:after="0" w:line="240" w:lineRule="auto"/>
        <w:rPr>
          <w:rFonts w:ascii="Times New Roman" w:eastAsia="Times New Roman" w:hAnsi="Times New Roman" w:cs="Times New Roman"/>
        </w:rPr>
      </w:pPr>
    </w:p>
    <w:tbl>
      <w:tblPr>
        <w:tblStyle w:val="aa"/>
        <w:tblW w:w="8535" w:type="dxa"/>
        <w:tblInd w:w="0" w:type="dxa"/>
        <w:tblLayout w:type="fixed"/>
        <w:tblLook w:val="0400" w:firstRow="0" w:lastRow="0" w:firstColumn="0" w:lastColumn="0" w:noHBand="0" w:noVBand="1"/>
      </w:tblPr>
      <w:tblGrid>
        <w:gridCol w:w="8535"/>
      </w:tblGrid>
      <w:tr w:rsidR="00D35AD6">
        <w:trPr>
          <w:tblHeader/>
        </w:trPr>
        <w:tc>
          <w:tcPr>
            <w:tcW w:w="8535"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rsidR="00D35AD6" w:rsidRDefault="00387F92">
            <w:pPr>
              <w:shd w:val="clear" w:color="auto" w:fill="FFFF00"/>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color w:val="000000"/>
                <w:sz w:val="18"/>
                <w:szCs w:val="18"/>
                <w:highlight w:val="yellow"/>
              </w:rPr>
              <w:t>11 – D</w:t>
            </w:r>
            <w:r>
              <w:rPr>
                <w:rFonts w:ascii="Times New Roman" w:eastAsia="Times New Roman" w:hAnsi="Times New Roman" w:cs="Times New Roman"/>
                <w:b/>
                <w:bCs/>
                <w:color w:val="000000"/>
                <w:sz w:val="18"/>
                <w:szCs w:val="18"/>
              </w:rPr>
              <w:t>A ABERTURA DA SESSÃO PÚBLICA E ENVIO DE LANCES </w:t>
            </w:r>
          </w:p>
        </w:tc>
      </w:tr>
    </w:tbl>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 xml:space="preserve">11.1. </w:t>
      </w:r>
      <w:r>
        <w:rPr>
          <w:rFonts w:ascii="Times New Roman" w:eastAsia="Times New Roman" w:hAnsi="Times New Roman" w:cs="Times New Roman"/>
          <w:color w:val="000000"/>
          <w:sz w:val="18"/>
          <w:szCs w:val="18"/>
        </w:rPr>
        <w:t>Após o horário previsto no Edital para o envio da proposta inicial de preço, ocorrerá à abertura da presente licitação e dar-se-á em sessão pública, por meio de sistema eletrônico, na data, horário e local indicado neste Edital.</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11.2.</w:t>
      </w:r>
      <w:r>
        <w:rPr>
          <w:rFonts w:ascii="Times New Roman" w:eastAsia="Times New Roman" w:hAnsi="Times New Roman" w:cs="Times New Roman"/>
          <w:color w:val="000000"/>
          <w:sz w:val="18"/>
          <w:szCs w:val="18"/>
        </w:rPr>
        <w:t xml:space="preserve"> A Agente de Contratação, neste ato designada Pregoeira verificará as propostas apresentadas, desclassificando-as desde logo, aquelas que não estejam em conformidade com os requisitos estabelecidos neste Edital ou que contenham vícios insanáveis ou não apresentem as especificações técnicas exigidas.</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11.3.</w:t>
      </w:r>
      <w:r>
        <w:rPr>
          <w:rFonts w:ascii="Times New Roman" w:eastAsia="Times New Roman" w:hAnsi="Times New Roman" w:cs="Times New Roman"/>
          <w:color w:val="000000"/>
          <w:sz w:val="18"/>
          <w:szCs w:val="18"/>
        </w:rPr>
        <w:t xml:space="preserve"> A desclassificação das propostas será sempre fundamentada e registrada no sistema, com acompanhamento em tempo real por todos os participantes.</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11.4.</w:t>
      </w:r>
      <w:r>
        <w:rPr>
          <w:rFonts w:ascii="Times New Roman" w:eastAsia="Times New Roman" w:hAnsi="Times New Roman" w:cs="Times New Roman"/>
          <w:color w:val="000000"/>
          <w:sz w:val="18"/>
          <w:szCs w:val="18"/>
        </w:rPr>
        <w:t xml:space="preserve"> Após essa fase, o sistema ordenará automaticamente as propostas classificadas, sendo que somente estas participarão da fase de lances. </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11.4.1.</w:t>
      </w:r>
      <w:r>
        <w:rPr>
          <w:rFonts w:ascii="Times New Roman" w:eastAsia="Times New Roman" w:hAnsi="Times New Roman" w:cs="Times New Roman"/>
          <w:color w:val="000000"/>
          <w:sz w:val="18"/>
          <w:szCs w:val="18"/>
        </w:rPr>
        <w:t xml:space="preserve"> Somente participarão da etapa de lances os licitantes previamente habilitados na fase de habilitação antecedente, nos termos do art. 17, §1º, da Lei Federal nº 14.133/2021;</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11.5.</w:t>
      </w:r>
      <w:r>
        <w:rPr>
          <w:rFonts w:ascii="Times New Roman" w:eastAsia="Times New Roman" w:hAnsi="Times New Roman" w:cs="Times New Roman"/>
          <w:color w:val="000000"/>
          <w:sz w:val="18"/>
          <w:szCs w:val="18"/>
        </w:rPr>
        <w:t xml:space="preserve"> Classificadas as propostas, a Agente de Contratação, neste ato designada Pregoeira dará início à fase competitiva, oportunidade em que os licitantes poderão encaminhar lances, exclusivamente, por meio do sistema eletrônico, sendo, o licitante, imediatamente, informado do recebimento do lance e do valor consignado no registro.</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sz w:val="18"/>
          <w:szCs w:val="18"/>
        </w:rPr>
        <w:t>11.6.</w:t>
      </w:r>
      <w:r>
        <w:rPr>
          <w:rFonts w:ascii="Times New Roman" w:eastAsia="Times New Roman" w:hAnsi="Times New Roman" w:cs="Times New Roman"/>
          <w:sz w:val="18"/>
          <w:szCs w:val="18"/>
        </w:rPr>
        <w:t xml:space="preserve"> Os licitantes poderão oferecer lances sucessivos, observados o horário fixado para abertura da sessão pública e as regras estabelecidas no edital e somente poderá oferecer lance de valor inferior ao último lance ofertado e registrado pelo sistema, observado, quando houver, o intervalo mínimo de diferença de valores, que incidirá tanto em relação aos lances intermediários quanto em relação ao lance que cobrir a melhor oferta.</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u w:val="single"/>
        </w:rPr>
        <w:t>11.7. O intervalo mínimo de diferença de valores ou percentuais entre os lances, que incidirá tanto em relação aos lances intermediários quanto em relação à proposta que cobrir a melhor oferta deverá ser R$ 0,10 (dez centavos de real).</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11.8.</w:t>
      </w:r>
      <w:r>
        <w:rPr>
          <w:rFonts w:ascii="Times New Roman" w:eastAsia="Times New Roman" w:hAnsi="Times New Roman" w:cs="Times New Roman"/>
          <w:color w:val="000000"/>
          <w:sz w:val="18"/>
          <w:szCs w:val="18"/>
        </w:rPr>
        <w:t xml:space="preserve"> Durante a etapa de lances, não serão aceitos dois ou mais lances iguais e prevalecerá aquele que for recebido e registrado primeiro.</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11.9.</w:t>
      </w:r>
      <w:r>
        <w:rPr>
          <w:rFonts w:ascii="Times New Roman" w:eastAsia="Times New Roman" w:hAnsi="Times New Roman" w:cs="Times New Roman"/>
          <w:color w:val="000000"/>
          <w:sz w:val="18"/>
          <w:szCs w:val="18"/>
        </w:rPr>
        <w:t xml:space="preserve"> Durante o transcurso da sessão pública, os licitantes serão informados, em tempo real, do valor do menor lance registrado, vedada a identificação do licitante.</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u w:val="single"/>
        </w:rPr>
        <w:t>11.10. O modo de disputa utilizado nesse certame, será o aberto, conforme dispositivo legal previsto no inc. I, do art. 56, da Lei nº 14.133, de 01 de abril de 2021 e alterações.</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11.11.</w:t>
      </w:r>
      <w:r>
        <w:rPr>
          <w:rFonts w:ascii="Times New Roman" w:eastAsia="Times New Roman" w:hAnsi="Times New Roman" w:cs="Times New Roman"/>
          <w:color w:val="000000"/>
          <w:sz w:val="18"/>
          <w:szCs w:val="18"/>
        </w:rPr>
        <w:t xml:space="preserve"> Na hipótese de o sistema eletrônico desconectar para o Agente de Contratação, neste ato designado Pregoeira, no decorrer da etapa de envio de lances da sessão pública e permanecer acessível aos licitantes, os lances continuarão sendo recebidos, sem prejuízo dos atos realizados.</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11.12.</w:t>
      </w:r>
      <w:r>
        <w:rPr>
          <w:rFonts w:ascii="Times New Roman" w:eastAsia="Times New Roman" w:hAnsi="Times New Roman" w:cs="Times New Roman"/>
          <w:color w:val="000000"/>
          <w:sz w:val="18"/>
          <w:szCs w:val="18"/>
        </w:rPr>
        <w:t xml:space="preserve">  Quando a desconexão do sistema eletrônico ocorrer para o Agente de Contratação, neste ato designado Pregoeira persistir por tempo superior a 10 (dez) minutos, a sessão pública será suspensa e reiniciada somente decorridos 24 </w:t>
      </w:r>
      <w:r>
        <w:rPr>
          <w:rFonts w:ascii="Times New Roman" w:eastAsia="Times New Roman" w:hAnsi="Times New Roman" w:cs="Times New Roman"/>
          <w:color w:val="000000"/>
          <w:sz w:val="18"/>
          <w:szCs w:val="18"/>
        </w:rPr>
        <w:lastRenderedPageBreak/>
        <w:t>(vinte e quatro) horas após a comunicação do fato aos participantes, na plataforma eletrônica utilizado para realização e divulgação.</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11.13.</w:t>
      </w:r>
      <w:r>
        <w:rPr>
          <w:rFonts w:ascii="Times New Roman" w:eastAsia="Times New Roman" w:hAnsi="Times New Roman" w:cs="Times New Roman"/>
          <w:color w:val="000000"/>
          <w:sz w:val="18"/>
          <w:szCs w:val="18"/>
        </w:rPr>
        <w:t xml:space="preserve"> Após a etapa de envio de lances, haverá a aplicação dos critérios de desempate previstos na Lei Complementar nº 123/2006 e estabelecido no </w:t>
      </w:r>
      <w:hyperlink r:id="rId13" w:anchor="art3%C2%A72">
        <w:r>
          <w:rPr>
            <w:rFonts w:ascii="Times New Roman" w:eastAsia="Times New Roman" w:hAnsi="Times New Roman" w:cs="Times New Roman"/>
            <w:color w:val="000000"/>
            <w:sz w:val="18"/>
            <w:szCs w:val="18"/>
          </w:rPr>
          <w:t>art.</w:t>
        </w:r>
      </w:hyperlink>
      <w:r>
        <w:rPr>
          <w:rFonts w:ascii="Times New Roman" w:eastAsia="Times New Roman" w:hAnsi="Times New Roman" w:cs="Times New Roman"/>
          <w:color w:val="000000"/>
          <w:sz w:val="18"/>
          <w:szCs w:val="18"/>
        </w:rPr>
        <w:t xml:space="preserve"> 60 da Lei nº 14.133/2021, ou por sorteio, se não houver licitante que atenda à primeira hipótese.</w:t>
      </w: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11.14.</w:t>
      </w:r>
      <w:r>
        <w:rPr>
          <w:rFonts w:ascii="Times New Roman" w:eastAsia="Times New Roman" w:hAnsi="Times New Roman" w:cs="Times New Roman"/>
          <w:color w:val="000000"/>
          <w:sz w:val="18"/>
          <w:szCs w:val="18"/>
        </w:rPr>
        <w:t xml:space="preserve"> Os critérios de desempate serão aplicados nos termos do item 11.13, caso não haja envio de lances após o início da fase competitiva.</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11.15.</w:t>
      </w:r>
      <w:r>
        <w:rPr>
          <w:rFonts w:ascii="Times New Roman" w:eastAsia="Times New Roman" w:hAnsi="Times New Roman" w:cs="Times New Roman"/>
          <w:color w:val="000000"/>
          <w:sz w:val="18"/>
          <w:szCs w:val="18"/>
        </w:rPr>
        <w:t xml:space="preserve"> Na hipótese de persistir o empate, a proposta vencedora será sorteada pelo sistema eletrônico dentre as propostas empatadas. </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11.16.</w:t>
      </w:r>
      <w:r>
        <w:rPr>
          <w:rFonts w:ascii="Times New Roman" w:eastAsia="Times New Roman" w:hAnsi="Times New Roman" w:cs="Times New Roman"/>
          <w:color w:val="000000"/>
          <w:sz w:val="18"/>
          <w:szCs w:val="18"/>
        </w:rPr>
        <w:t xml:space="preserve"> O licitante que ofertar lances considerados comprovadamente inexequíveis será sumariamente desclassificado do certame pela Agente de Contratação, neste ato designada Pregoeira, e poderá ser submetido às penas contidas na</w:t>
      </w:r>
      <w:r>
        <w:rPr>
          <w:rFonts w:ascii="Times New Roman" w:eastAsia="Times New Roman" w:hAnsi="Times New Roman" w:cs="Times New Roman"/>
          <w:sz w:val="18"/>
          <w:szCs w:val="18"/>
        </w:rPr>
        <w:t xml:space="preserve"> </w:t>
      </w:r>
      <w:r>
        <w:rPr>
          <w:rFonts w:ascii="Times New Roman" w:eastAsia="Times New Roman" w:hAnsi="Times New Roman" w:cs="Times New Roman"/>
          <w:color w:val="000000"/>
          <w:sz w:val="18"/>
          <w:szCs w:val="18"/>
        </w:rPr>
        <w:t>legislação de regência.</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11.17.</w:t>
      </w:r>
      <w:r>
        <w:rPr>
          <w:rFonts w:ascii="Times New Roman" w:eastAsia="Times New Roman" w:hAnsi="Times New Roman" w:cs="Times New Roman"/>
          <w:color w:val="000000"/>
          <w:sz w:val="18"/>
          <w:szCs w:val="18"/>
        </w:rPr>
        <w:t xml:space="preserve"> Encerrada a etapa de envio de lances da sessão pública, o Agente de Contratação, neste ato designado Pregoeira encaminhará, pelo sistema eletrônico, contraproposta ao licitante que tenha apresentado o melhor preço, para que seja obtida melhor proposta, vedada a negociação sem observância das condições previstas no edital.</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11.18.</w:t>
      </w:r>
      <w:r>
        <w:rPr>
          <w:rFonts w:ascii="Times New Roman" w:eastAsia="Times New Roman" w:hAnsi="Times New Roman" w:cs="Times New Roman"/>
          <w:color w:val="000000"/>
          <w:sz w:val="18"/>
          <w:szCs w:val="18"/>
        </w:rPr>
        <w:t xml:space="preserve"> A negociação de preços será realizada por meio do sistema e poderá ser acompanhada pelos demais licitantes.</w:t>
      </w:r>
    </w:p>
    <w:p w:rsidR="00D35AD6" w:rsidRDefault="00D35AD6">
      <w:pPr>
        <w:spacing w:after="0" w:line="240" w:lineRule="auto"/>
        <w:rPr>
          <w:rFonts w:ascii="Times New Roman" w:eastAsia="Times New Roman" w:hAnsi="Times New Roman" w:cs="Times New Roman"/>
        </w:rPr>
      </w:pPr>
    </w:p>
    <w:tbl>
      <w:tblPr>
        <w:tblStyle w:val="ab"/>
        <w:tblW w:w="7623" w:type="dxa"/>
        <w:tblInd w:w="0" w:type="dxa"/>
        <w:tblLayout w:type="fixed"/>
        <w:tblLook w:val="0400" w:firstRow="0" w:lastRow="0" w:firstColumn="0" w:lastColumn="0" w:noHBand="0" w:noVBand="1"/>
      </w:tblPr>
      <w:tblGrid>
        <w:gridCol w:w="7623"/>
      </w:tblGrid>
      <w:tr w:rsidR="00D35AD6">
        <w:trPr>
          <w:tblHeader/>
        </w:trPr>
        <w:tc>
          <w:tcPr>
            <w:tcW w:w="7623"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rsidR="00D35AD6" w:rsidRDefault="00387F92">
            <w:pPr>
              <w:shd w:val="clear" w:color="auto" w:fill="FFFF00"/>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color w:val="000000"/>
                <w:sz w:val="18"/>
                <w:szCs w:val="18"/>
                <w:highlight w:val="yellow"/>
              </w:rPr>
              <w:t>12 – D</w:t>
            </w:r>
            <w:r>
              <w:rPr>
                <w:rFonts w:ascii="Times New Roman" w:eastAsia="Times New Roman" w:hAnsi="Times New Roman" w:cs="Times New Roman"/>
                <w:b/>
                <w:bCs/>
                <w:color w:val="000000"/>
                <w:sz w:val="18"/>
                <w:szCs w:val="18"/>
              </w:rPr>
              <w:t>O ENVIO DA PROPOSTA DE PREÇOS AJUSTADA APÓS ÚLTIMO LANCE</w:t>
            </w:r>
          </w:p>
        </w:tc>
      </w:tr>
    </w:tbl>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12.1.</w:t>
      </w:r>
      <w:r>
        <w:rPr>
          <w:rFonts w:ascii="Times New Roman" w:eastAsia="Times New Roman" w:hAnsi="Times New Roman" w:cs="Times New Roman"/>
          <w:color w:val="000000"/>
          <w:sz w:val="18"/>
          <w:szCs w:val="18"/>
        </w:rPr>
        <w:t xml:space="preserve"> Encerrada a etapa de negociação, o Agente de Contratação solicitará ao licitante provisoriamente classificado em primeiro lugar o envio da proposta readequada ao último lance ofertado, no prazo de 60 (sessenta) minutos</w:t>
      </w:r>
      <w:r>
        <w:rPr>
          <w:rFonts w:ascii="Times New Roman" w:eastAsia="Times New Roman" w:hAnsi="Times New Roman" w:cs="Times New Roman"/>
          <w:b/>
          <w:bCs/>
          <w:color w:val="000000"/>
          <w:sz w:val="18"/>
          <w:szCs w:val="18"/>
        </w:rPr>
        <w:t>.</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12.2. A licitante, deverá enviar os seguintes documentos que compõem a proposta de preços:</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a) Proposta de Preços Readequada ao Último Lance</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b/>
          <w:bCs/>
          <w:color w:val="000000"/>
          <w:sz w:val="18"/>
          <w:szCs w:val="18"/>
        </w:rPr>
        <w:t>conforme Anexo III – Modelo de Proposta de Preços Readequada, assinada pelo representante legal da empresa;</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proofErr w:type="gramStart"/>
      <w:r>
        <w:rPr>
          <w:rFonts w:ascii="Times New Roman" w:eastAsia="Times New Roman" w:hAnsi="Times New Roman" w:cs="Times New Roman"/>
          <w:b/>
          <w:bCs/>
          <w:color w:val="000000"/>
          <w:sz w:val="18"/>
          <w:szCs w:val="18"/>
        </w:rPr>
        <w:t>a.1)A</w:t>
      </w:r>
      <w:proofErr w:type="gramEnd"/>
      <w:r>
        <w:rPr>
          <w:rFonts w:ascii="Times New Roman" w:eastAsia="Times New Roman" w:hAnsi="Times New Roman" w:cs="Times New Roman"/>
          <w:b/>
          <w:bCs/>
          <w:color w:val="000000"/>
          <w:sz w:val="18"/>
          <w:szCs w:val="18"/>
        </w:rPr>
        <w:t xml:space="preserve"> proposta de preços readequada a que se refere a alínea “a”, deverá ser enviada (em formato PDF)</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b/>
          <w:bCs/>
          <w:color w:val="000000"/>
          <w:sz w:val="18"/>
          <w:szCs w:val="18"/>
        </w:rPr>
        <w:t>assinada pelo representante legal da empresa, contendo os preços unitários, total e global ofertado, guardando absoluta fidelidade, no que se refere às descrições dos produtos, unidades, quantidades e preços do último lance ofertado, deverá ser indicada ainda 1 (uma) marca por item;</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12.3.</w:t>
      </w:r>
      <w:r>
        <w:rPr>
          <w:rFonts w:ascii="Times New Roman" w:eastAsia="Times New Roman" w:hAnsi="Times New Roman" w:cs="Times New Roman"/>
          <w:color w:val="000000"/>
          <w:sz w:val="18"/>
          <w:szCs w:val="18"/>
        </w:rPr>
        <w:t xml:space="preserve"> Acaso ocorra algum problema para envio na plataforma da proposta readequada de que trata este edital, a licitante poderá enviar a proposta readequada via e-mail: </w:t>
      </w:r>
      <w:hyperlink r:id="rId14">
        <w:r>
          <w:rPr>
            <w:rFonts w:ascii="Times New Roman" w:eastAsia="Times New Roman" w:hAnsi="Times New Roman" w:cs="Times New Roman"/>
            <w:color w:val="0000FF"/>
            <w:sz w:val="18"/>
            <w:szCs w:val="18"/>
            <w:u w:val="single"/>
          </w:rPr>
          <w:t>licitacao.concipa2025@gmail.com</w:t>
        </w:r>
      </w:hyperlink>
      <w:r>
        <w:rPr>
          <w:rFonts w:ascii="Times New Roman" w:eastAsia="Times New Roman" w:hAnsi="Times New Roman" w:cs="Times New Roman"/>
          <w:color w:val="000000"/>
          <w:sz w:val="18"/>
          <w:szCs w:val="18"/>
        </w:rPr>
        <w:t xml:space="preserve">, devendo o Agente de Contratação, neste ato designado Pregoeira comunicar </w:t>
      </w:r>
      <w:r>
        <w:rPr>
          <w:rFonts w:ascii="Times New Roman" w:eastAsia="Times New Roman" w:hAnsi="Times New Roman" w:cs="Times New Roman"/>
          <w:i/>
          <w:iCs/>
          <w:color w:val="000000"/>
          <w:sz w:val="18"/>
          <w:szCs w:val="18"/>
        </w:rPr>
        <w:t>via chat</w:t>
      </w:r>
      <w:r>
        <w:rPr>
          <w:rFonts w:ascii="Times New Roman" w:eastAsia="Times New Roman" w:hAnsi="Times New Roman" w:cs="Times New Roman"/>
          <w:color w:val="000000"/>
          <w:sz w:val="18"/>
          <w:szCs w:val="18"/>
        </w:rPr>
        <w:t xml:space="preserve"> o envio aos demais licitantes.</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12.4.</w:t>
      </w:r>
      <w:r>
        <w:rPr>
          <w:rFonts w:ascii="Times New Roman" w:eastAsia="Times New Roman" w:hAnsi="Times New Roman" w:cs="Times New Roman"/>
          <w:color w:val="000000"/>
          <w:sz w:val="18"/>
          <w:szCs w:val="18"/>
        </w:rPr>
        <w:t xml:space="preserve"> O prazo estabelecido no item 12.1, poderá ser prorrogado pela Agente de Contratação, neste ato designada Pregoeira, por solicitação escrita e justificada do licitante, formulada antes do final do prazo, e formalmente aceita pela Agente de Contratação, neste ato designada Pregoeira. </w:t>
      </w:r>
    </w:p>
    <w:p w:rsidR="00D35AD6" w:rsidRDefault="00D35AD6">
      <w:pPr>
        <w:spacing w:after="0" w:line="240" w:lineRule="auto"/>
        <w:rPr>
          <w:rFonts w:ascii="Times New Roman" w:eastAsia="Times New Roman" w:hAnsi="Times New Roman" w:cs="Times New Roman"/>
        </w:rPr>
      </w:pPr>
    </w:p>
    <w:tbl>
      <w:tblPr>
        <w:tblStyle w:val="ac"/>
        <w:tblW w:w="8760" w:type="dxa"/>
        <w:tblInd w:w="0" w:type="dxa"/>
        <w:tblLayout w:type="fixed"/>
        <w:tblLook w:val="0400" w:firstRow="0" w:lastRow="0" w:firstColumn="0" w:lastColumn="0" w:noHBand="0" w:noVBand="1"/>
      </w:tblPr>
      <w:tblGrid>
        <w:gridCol w:w="8760"/>
      </w:tblGrid>
      <w:tr w:rsidR="00D35AD6">
        <w:trPr>
          <w:tblHeader/>
        </w:trPr>
        <w:tc>
          <w:tcPr>
            <w:tcW w:w="8760"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rsidR="00D35AD6" w:rsidRDefault="00387F92">
            <w:pPr>
              <w:shd w:val="clear" w:color="auto" w:fill="FFFF00"/>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color w:val="000000"/>
                <w:sz w:val="18"/>
                <w:szCs w:val="18"/>
                <w:highlight w:val="yellow"/>
              </w:rPr>
              <w:t>13 – D</w:t>
            </w:r>
            <w:r>
              <w:rPr>
                <w:rFonts w:ascii="Times New Roman" w:eastAsia="Times New Roman" w:hAnsi="Times New Roman" w:cs="Times New Roman"/>
                <w:b/>
                <w:bCs/>
                <w:color w:val="000000"/>
                <w:sz w:val="18"/>
                <w:szCs w:val="18"/>
              </w:rPr>
              <w:t>A ACEITABILIDADE DAS PROPOSTA DE PREÇOS </w:t>
            </w:r>
          </w:p>
        </w:tc>
      </w:tr>
    </w:tbl>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13.1.</w:t>
      </w:r>
      <w:r>
        <w:rPr>
          <w:rFonts w:ascii="Times New Roman" w:eastAsia="Times New Roman" w:hAnsi="Times New Roman" w:cs="Times New Roman"/>
          <w:color w:val="000000"/>
          <w:sz w:val="18"/>
          <w:szCs w:val="18"/>
        </w:rPr>
        <w:t xml:space="preserve"> Encerrada a fase de lances e negociação, o Agente de Contratação examinará a proposta classificada em primeiro lugar quanto à adequação ao objeto e à compatibilidade dos preços com o valor estimado da contratação. </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13.2.</w:t>
      </w:r>
      <w:r>
        <w:rPr>
          <w:rFonts w:ascii="Times New Roman" w:eastAsia="Times New Roman" w:hAnsi="Times New Roman" w:cs="Times New Roman"/>
          <w:color w:val="000000"/>
          <w:sz w:val="18"/>
          <w:szCs w:val="18"/>
        </w:rPr>
        <w:t xml:space="preserve"> Será desclassificada </w:t>
      </w:r>
      <w:proofErr w:type="gramStart"/>
      <w:r>
        <w:rPr>
          <w:rFonts w:ascii="Times New Roman" w:eastAsia="Times New Roman" w:hAnsi="Times New Roman" w:cs="Times New Roman"/>
          <w:color w:val="000000"/>
          <w:sz w:val="18"/>
          <w:szCs w:val="18"/>
        </w:rPr>
        <w:t>a(</w:t>
      </w:r>
      <w:proofErr w:type="gramEnd"/>
      <w:r>
        <w:rPr>
          <w:rFonts w:ascii="Times New Roman" w:eastAsia="Times New Roman" w:hAnsi="Times New Roman" w:cs="Times New Roman"/>
          <w:color w:val="000000"/>
          <w:sz w:val="18"/>
          <w:szCs w:val="18"/>
        </w:rPr>
        <w:t>s) proposta(s) que:</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a)</w:t>
      </w:r>
      <w:r>
        <w:rPr>
          <w:rFonts w:ascii="Times New Roman" w:eastAsia="Times New Roman" w:hAnsi="Times New Roman" w:cs="Times New Roman"/>
          <w:color w:val="000000"/>
          <w:sz w:val="18"/>
          <w:szCs w:val="18"/>
        </w:rPr>
        <w:t xml:space="preserve"> contiverem vícios insanáveis;</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b)</w:t>
      </w:r>
      <w:r>
        <w:rPr>
          <w:rFonts w:ascii="Times New Roman" w:eastAsia="Times New Roman" w:hAnsi="Times New Roman" w:cs="Times New Roman"/>
          <w:color w:val="000000"/>
          <w:sz w:val="18"/>
          <w:szCs w:val="18"/>
        </w:rPr>
        <w:t xml:space="preserve"> não obedecerem às especificações técnicas pormenorizadas no edital;</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c)</w:t>
      </w:r>
      <w:r>
        <w:rPr>
          <w:rFonts w:ascii="Times New Roman" w:eastAsia="Times New Roman" w:hAnsi="Times New Roman" w:cs="Times New Roman"/>
          <w:color w:val="000000"/>
          <w:sz w:val="18"/>
          <w:szCs w:val="18"/>
        </w:rPr>
        <w:t xml:space="preserve"> apresentarem preços inexequíveis ou permanecerem acima do orçamento estimado para a contratação;</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lastRenderedPageBreak/>
        <w:t>d)</w:t>
      </w:r>
      <w:r>
        <w:rPr>
          <w:rFonts w:ascii="Times New Roman" w:eastAsia="Times New Roman" w:hAnsi="Times New Roman" w:cs="Times New Roman"/>
          <w:color w:val="000000"/>
          <w:sz w:val="18"/>
          <w:szCs w:val="18"/>
        </w:rPr>
        <w:t xml:space="preserve"> não tiverem sua exequibilidade demonstrada, quando exigido pela Administração;</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e)</w:t>
      </w:r>
      <w:r>
        <w:rPr>
          <w:rFonts w:ascii="Times New Roman" w:eastAsia="Times New Roman" w:hAnsi="Times New Roman" w:cs="Times New Roman"/>
          <w:color w:val="000000"/>
          <w:sz w:val="18"/>
          <w:szCs w:val="18"/>
        </w:rPr>
        <w:t xml:space="preserve"> apresentarem desconformidade com quaisquer outras exigências do edital, desde que insanável.</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13.2.1.</w:t>
      </w:r>
      <w:r>
        <w:rPr>
          <w:rFonts w:ascii="Times New Roman" w:eastAsia="Times New Roman" w:hAnsi="Times New Roman" w:cs="Times New Roman"/>
          <w:color w:val="000000"/>
          <w:sz w:val="18"/>
          <w:szCs w:val="18"/>
        </w:rPr>
        <w:t xml:space="preserve"> A verificação da conformidade das propostas poderá ser feita exclusivamente em relação à proposta mais bem classificada.</w:t>
      </w: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13.3.</w:t>
      </w:r>
      <w:r>
        <w:rPr>
          <w:rFonts w:ascii="Times New Roman" w:eastAsia="Times New Roman" w:hAnsi="Times New Roman" w:cs="Times New Roman"/>
          <w:color w:val="000000"/>
          <w:sz w:val="18"/>
          <w:szCs w:val="18"/>
        </w:rPr>
        <w:t xml:space="preserve"> Considera-se inexequível a proposta que apresente </w:t>
      </w:r>
      <w:proofErr w:type="gramStart"/>
      <w:r>
        <w:rPr>
          <w:rFonts w:ascii="Times New Roman" w:eastAsia="Times New Roman" w:hAnsi="Times New Roman" w:cs="Times New Roman"/>
          <w:color w:val="000000"/>
          <w:sz w:val="18"/>
          <w:szCs w:val="18"/>
        </w:rPr>
        <w:t>preço(</w:t>
      </w:r>
      <w:proofErr w:type="gramEnd"/>
      <w:r>
        <w:rPr>
          <w:rFonts w:ascii="Times New Roman" w:eastAsia="Times New Roman" w:hAnsi="Times New Roman" w:cs="Times New Roman"/>
          <w:color w:val="000000"/>
          <w:sz w:val="18"/>
          <w:szCs w:val="18"/>
        </w:rPr>
        <w:t>s) global ou unitário(s) simbólico(s), irrisório(s) ou de valor zero, incompatíveis com os preços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13.4.</w:t>
      </w:r>
      <w:r>
        <w:rPr>
          <w:rFonts w:ascii="Times New Roman" w:eastAsia="Times New Roman" w:hAnsi="Times New Roman" w:cs="Times New Roman"/>
          <w:color w:val="000000"/>
          <w:sz w:val="18"/>
          <w:szCs w:val="18"/>
        </w:rPr>
        <w:t xml:space="preserve"> Qualquer interessado poderá requerer que se realizem diligências para aferir a exequibilidade e a legalidade das propostas, devendo apresentar as provas ou os indícios que fundamentam a suspeita. </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13.5.</w:t>
      </w:r>
      <w:r>
        <w:rPr>
          <w:rFonts w:ascii="Times New Roman" w:eastAsia="Times New Roman" w:hAnsi="Times New Roman" w:cs="Times New Roman"/>
          <w:color w:val="000000"/>
          <w:sz w:val="18"/>
          <w:szCs w:val="18"/>
        </w:rPr>
        <w:t xml:space="preserve"> Na hipótese de necessidade de suspensão da sessão pública para a realização de diligências, com vistas ao saneamento das propostas, a sessão pública somente poderá ser reiniciada mediante aviso prévio no sistema com, no mínimo, 24 (vinte e quatro) horas de antecedência, e a ocorrência será registrada em ata.</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13.6.</w:t>
      </w:r>
      <w:r>
        <w:rPr>
          <w:rFonts w:ascii="Times New Roman" w:eastAsia="Times New Roman" w:hAnsi="Times New Roman" w:cs="Times New Roman"/>
          <w:color w:val="000000"/>
          <w:sz w:val="18"/>
          <w:szCs w:val="18"/>
        </w:rPr>
        <w:t xml:space="preserve"> Se a proposta de menor lance e vencedora do certame for desclassificada, a Agente de Contratação, neste ato designada Pregoeira examinará a proposta ou lance subsequente, e, assim sucessivamente, na ordem de classificação, até que se obtenha uma proposta classificada. </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13.7.</w:t>
      </w:r>
      <w:r>
        <w:rPr>
          <w:rFonts w:ascii="Times New Roman" w:eastAsia="Times New Roman" w:hAnsi="Times New Roman" w:cs="Times New Roman"/>
          <w:color w:val="000000"/>
          <w:sz w:val="18"/>
          <w:szCs w:val="18"/>
        </w:rPr>
        <w:t xml:space="preserve"> Havendo necessidade, a Agente de Contratação, neste ato designada Pregoeira poderá suspender a sessão, informando no “</w:t>
      </w:r>
      <w:r>
        <w:rPr>
          <w:rFonts w:ascii="Times New Roman" w:eastAsia="Times New Roman" w:hAnsi="Times New Roman" w:cs="Times New Roman"/>
          <w:i/>
          <w:iCs/>
          <w:color w:val="000000"/>
          <w:sz w:val="18"/>
          <w:szCs w:val="18"/>
        </w:rPr>
        <w:t>chat</w:t>
      </w:r>
      <w:r>
        <w:rPr>
          <w:rFonts w:ascii="Times New Roman" w:eastAsia="Times New Roman" w:hAnsi="Times New Roman" w:cs="Times New Roman"/>
          <w:color w:val="000000"/>
          <w:sz w:val="18"/>
          <w:szCs w:val="18"/>
        </w:rPr>
        <w:t>” a nova data e horário para a sua continuidade. </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13.8.</w:t>
      </w:r>
      <w:r>
        <w:rPr>
          <w:rFonts w:ascii="Times New Roman" w:eastAsia="Times New Roman" w:hAnsi="Times New Roman" w:cs="Times New Roman"/>
          <w:color w:val="000000"/>
          <w:sz w:val="18"/>
          <w:szCs w:val="18"/>
        </w:rPr>
        <w:t xml:space="preserve"> Na hipótese em que a Agente de Contratação, neste ato designada Pregoeira desclassificar a proposta vencedora e passar à análise da subsequente, poderá negociar com o licitante para que seja obtido a melhor proposta. </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13.9.</w:t>
      </w:r>
      <w:r>
        <w:rPr>
          <w:rFonts w:ascii="Times New Roman" w:eastAsia="Times New Roman" w:hAnsi="Times New Roman" w:cs="Times New Roman"/>
          <w:color w:val="000000"/>
          <w:sz w:val="18"/>
          <w:szCs w:val="18"/>
        </w:rPr>
        <w:t xml:space="preserve"> Considerando que a habilitação dos licitantes já terá sido realizada previamente à etapa competitiva, a análise da proposta vencedora restringir-se-á à verificação da aceitabilidade do preço, da exequibilidade e do atendimento às especificações técnicas do objeto observando-se o disposto no art. 64, §2º, da Lei nº 14.133/2021.</w:t>
      </w:r>
    </w:p>
    <w:p w:rsidR="00D35AD6" w:rsidRDefault="00D35AD6">
      <w:pPr>
        <w:spacing w:after="0" w:line="240" w:lineRule="auto"/>
        <w:rPr>
          <w:rFonts w:ascii="Times New Roman" w:eastAsia="Times New Roman" w:hAnsi="Times New Roman" w:cs="Times New Roman"/>
        </w:rPr>
      </w:pPr>
    </w:p>
    <w:p w:rsidR="00D35AD6" w:rsidRDefault="00D35AD6">
      <w:pPr>
        <w:spacing w:after="0" w:line="240" w:lineRule="auto"/>
        <w:rPr>
          <w:rFonts w:ascii="Times New Roman" w:eastAsia="Times New Roman" w:hAnsi="Times New Roman" w:cs="Times New Roman"/>
        </w:rPr>
      </w:pPr>
    </w:p>
    <w:tbl>
      <w:tblPr>
        <w:tblStyle w:val="ad"/>
        <w:tblpPr w:leftFromText="180" w:rightFromText="180" w:topFromText="180" w:bottomFromText="180" w:vertAnchor="text" w:tblpX="189"/>
        <w:tblW w:w="8520" w:type="dxa"/>
        <w:tblInd w:w="0" w:type="dxa"/>
        <w:tblLayout w:type="fixed"/>
        <w:tblLook w:val="0400" w:firstRow="0" w:lastRow="0" w:firstColumn="0" w:lastColumn="0" w:noHBand="0" w:noVBand="1"/>
      </w:tblPr>
      <w:tblGrid>
        <w:gridCol w:w="8520"/>
      </w:tblGrid>
      <w:tr w:rsidR="00D35AD6">
        <w:trPr>
          <w:tblHeader/>
        </w:trPr>
        <w:tc>
          <w:tcPr>
            <w:tcW w:w="8520"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rsidR="00D35AD6" w:rsidRDefault="00387F92">
            <w:pPr>
              <w:shd w:val="clear" w:color="auto" w:fill="FFFF00"/>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sz w:val="18"/>
                <w:szCs w:val="18"/>
                <w:highlight w:val="yellow"/>
              </w:rPr>
              <w:t xml:space="preserve">14 – </w:t>
            </w:r>
            <w:r>
              <w:rPr>
                <w:rFonts w:ascii="Times New Roman" w:eastAsia="Times New Roman" w:hAnsi="Times New Roman" w:cs="Times New Roman"/>
                <w:b/>
                <w:bCs/>
                <w:sz w:val="18"/>
                <w:szCs w:val="18"/>
              </w:rPr>
              <w:t>DOS DOCUMENTOS DE HABILITAÇÃO </w:t>
            </w:r>
          </w:p>
        </w:tc>
      </w:tr>
    </w:tbl>
    <w:p w:rsidR="00D35AD6" w:rsidRDefault="00387F92">
      <w:pPr>
        <w:spacing w:after="0" w:line="360" w:lineRule="auto"/>
        <w:ind w:right="68"/>
        <w:jc w:val="both"/>
        <w:rPr>
          <w:rFonts w:ascii="Times New Roman" w:eastAsia="Times New Roman" w:hAnsi="Times New Roman" w:cs="Times New Roman"/>
          <w:sz w:val="18"/>
          <w:szCs w:val="18"/>
        </w:rPr>
      </w:pPr>
      <w:r>
        <w:rPr>
          <w:rFonts w:ascii="Times New Roman" w:eastAsia="Times New Roman" w:hAnsi="Times New Roman" w:cs="Times New Roman"/>
          <w:sz w:val="18"/>
          <w:szCs w:val="18"/>
        </w:rPr>
        <w:t>14.1. O objeto da presente contratação contempla o fornecimento de materiais destinados à comunicação visual institucional, ornamentação de prédios públicos, confecção de placas, letreiros, totens, logomarcas, letras caixa, materiais personalizados e demais itens correlatos, cuja adequada execução exige capacidade operacional mínima, regularidade fiscal, qualificação técnica e aptidão empresarial compatíveis com as demandas da Administração.</w:t>
      </w:r>
    </w:p>
    <w:p w:rsidR="00D35AD6" w:rsidRDefault="00387F92">
      <w:pPr>
        <w:spacing w:after="0" w:line="360" w:lineRule="auto"/>
        <w:ind w:right="68"/>
        <w:jc w:val="both"/>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14. 2. Os Documentos de </w:t>
      </w:r>
      <w:proofErr w:type="gramStart"/>
      <w:r>
        <w:rPr>
          <w:rFonts w:ascii="Times New Roman" w:eastAsia="Times New Roman" w:hAnsi="Times New Roman" w:cs="Times New Roman"/>
          <w:sz w:val="18"/>
          <w:szCs w:val="18"/>
        </w:rPr>
        <w:t>Habilitação  deverão</w:t>
      </w:r>
      <w:proofErr w:type="gramEnd"/>
      <w:r>
        <w:rPr>
          <w:rFonts w:ascii="Times New Roman" w:eastAsia="Times New Roman" w:hAnsi="Times New Roman" w:cs="Times New Roman"/>
          <w:sz w:val="18"/>
          <w:szCs w:val="18"/>
        </w:rPr>
        <w:t xml:space="preserve"> ser anexados na Plataforma da BNC, após a disputa de lances, em um prazo de 2 (duas )horas, da solicitação pelo chat, ou diligencia da plataforma da BNC. </w:t>
      </w:r>
    </w:p>
    <w:p w:rsidR="00D35AD6" w:rsidRDefault="00387F92">
      <w:pPr>
        <w:spacing w:after="0" w:line="360" w:lineRule="auto"/>
        <w:ind w:right="68"/>
        <w:jc w:val="both"/>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14.2.1. Só será solicitado o documento de habilitação dos vencedores primeiros colocados, </w:t>
      </w:r>
      <w:proofErr w:type="spellStart"/>
      <w:r>
        <w:rPr>
          <w:rFonts w:ascii="Times New Roman" w:eastAsia="Times New Roman" w:hAnsi="Times New Roman" w:cs="Times New Roman"/>
          <w:sz w:val="18"/>
          <w:szCs w:val="18"/>
        </w:rPr>
        <w:t>apos</w:t>
      </w:r>
      <w:proofErr w:type="spellEnd"/>
      <w:r>
        <w:rPr>
          <w:rFonts w:ascii="Times New Roman" w:eastAsia="Times New Roman" w:hAnsi="Times New Roman" w:cs="Times New Roman"/>
          <w:sz w:val="18"/>
          <w:szCs w:val="18"/>
        </w:rPr>
        <w:t xml:space="preserve"> a disputa de lances. </w:t>
      </w:r>
    </w:p>
    <w:p w:rsidR="00D35AD6" w:rsidRDefault="00387F92">
      <w:pPr>
        <w:spacing w:after="0" w:line="360" w:lineRule="auto"/>
        <w:ind w:right="68"/>
        <w:jc w:val="both"/>
        <w:rPr>
          <w:rFonts w:ascii="Times New Roman" w:eastAsia="Times New Roman" w:hAnsi="Times New Roman" w:cs="Times New Roman"/>
          <w:sz w:val="18"/>
          <w:szCs w:val="18"/>
        </w:rPr>
      </w:pPr>
      <w:r>
        <w:rPr>
          <w:rFonts w:ascii="Times New Roman" w:eastAsia="Times New Roman" w:hAnsi="Times New Roman" w:cs="Times New Roman"/>
          <w:sz w:val="18"/>
          <w:szCs w:val="18"/>
        </w:rPr>
        <w:t>14.2.2. Caso os vencedores da disputa de lances não atendam a solicitação de documentação dentro do prazo, será Inabilitado, e dessa decisão poderá ser solicitado a próxima empresa vencedora</w:t>
      </w:r>
      <w:proofErr w:type="gramStart"/>
      <w:r>
        <w:rPr>
          <w:rFonts w:ascii="Times New Roman" w:eastAsia="Times New Roman" w:hAnsi="Times New Roman" w:cs="Times New Roman"/>
          <w:sz w:val="18"/>
          <w:szCs w:val="18"/>
        </w:rPr>
        <w:t>. ;</w:t>
      </w:r>
      <w:proofErr w:type="gramEnd"/>
      <w:r>
        <w:rPr>
          <w:rFonts w:ascii="Times New Roman" w:eastAsia="Times New Roman" w:hAnsi="Times New Roman" w:cs="Times New Roman"/>
          <w:sz w:val="18"/>
          <w:szCs w:val="18"/>
        </w:rPr>
        <w:t xml:space="preserve"> </w:t>
      </w:r>
    </w:p>
    <w:p w:rsidR="00D35AD6" w:rsidRDefault="00D35AD6">
      <w:pPr>
        <w:spacing w:after="0" w:line="240" w:lineRule="auto"/>
        <w:rPr>
          <w:rFonts w:ascii="Times New Roman" w:eastAsia="Times New Roman" w:hAnsi="Times New Roman" w:cs="Times New Roman"/>
        </w:rPr>
      </w:pPr>
    </w:p>
    <w:tbl>
      <w:tblPr>
        <w:tblStyle w:val="ae"/>
        <w:tblW w:w="8415" w:type="dxa"/>
        <w:tblInd w:w="0" w:type="dxa"/>
        <w:tblLayout w:type="fixed"/>
        <w:tblLook w:val="0400" w:firstRow="0" w:lastRow="0" w:firstColumn="0" w:lastColumn="0" w:noHBand="0" w:noVBand="1"/>
      </w:tblPr>
      <w:tblGrid>
        <w:gridCol w:w="8415"/>
      </w:tblGrid>
      <w:tr w:rsidR="00D35AD6">
        <w:trPr>
          <w:tblHeader/>
        </w:trPr>
        <w:tc>
          <w:tcPr>
            <w:tcW w:w="8415"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rsidR="00D35AD6" w:rsidRDefault="00387F92">
            <w:pPr>
              <w:shd w:val="clear" w:color="auto" w:fill="FFFF00"/>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color w:val="000000"/>
                <w:sz w:val="18"/>
                <w:szCs w:val="18"/>
              </w:rPr>
              <w:t>14.2.  DOCUMENTOS RELATIVOS À HABILITAÇÃO JURÍDICA</w:t>
            </w:r>
          </w:p>
        </w:tc>
      </w:tr>
    </w:tbl>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color w:val="000000"/>
          <w:sz w:val="18"/>
          <w:szCs w:val="18"/>
        </w:rPr>
        <w:t xml:space="preserve">14.2.1. Cópia da cédula de identidade e CPF </w:t>
      </w:r>
      <w:proofErr w:type="gramStart"/>
      <w:r>
        <w:rPr>
          <w:rFonts w:ascii="Times New Roman" w:eastAsia="Times New Roman" w:hAnsi="Times New Roman" w:cs="Times New Roman"/>
          <w:color w:val="000000"/>
          <w:sz w:val="18"/>
          <w:szCs w:val="18"/>
        </w:rPr>
        <w:t>do(</w:t>
      </w:r>
      <w:proofErr w:type="gramEnd"/>
      <w:r>
        <w:rPr>
          <w:rFonts w:ascii="Times New Roman" w:eastAsia="Times New Roman" w:hAnsi="Times New Roman" w:cs="Times New Roman"/>
          <w:color w:val="000000"/>
          <w:sz w:val="18"/>
          <w:szCs w:val="18"/>
        </w:rPr>
        <w:t>s) sócio(s) ou de seus administradores, conforme o caso;</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color w:val="000000"/>
          <w:sz w:val="18"/>
          <w:szCs w:val="18"/>
        </w:rPr>
        <w:t>14.2.2. Registro comercial, no caso de empresa individual ou Inscrição de Microempreendedor Individual, conforme o caso;</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color w:val="000000"/>
          <w:sz w:val="18"/>
          <w:szCs w:val="18"/>
        </w:rPr>
        <w:lastRenderedPageBreak/>
        <w:t>14.2.3. Ato constitutivo, estatuto ou contrato social consolidado ou, caso não esteja consolidado, apresentar o contrato social acompanhado de todas as alterações contratuais, devidamente registrado no órgão competente, em se tratando de sociedades comerciais, e, no caso de sociedade por ações, acompanhado de documentos relativos à eleição de seus administradores;</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color w:val="000000"/>
          <w:sz w:val="18"/>
          <w:szCs w:val="18"/>
        </w:rPr>
        <w:t>14.2.4. Inscrição do ato constitutivo no caso de sociedades civis, acompanhada de documentação que identifique a Diretoria em exercício;</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color w:val="000000"/>
          <w:sz w:val="18"/>
          <w:szCs w:val="18"/>
        </w:rPr>
        <w:t>14.2.5. Decreto de autorização, em se tratando de empresa ou sociedade estrangeira em funcionamento no país, e ato de registro ou autorização para funcionamento expedido pelo órgão competente, quando a atividade assim exigir;</w:t>
      </w:r>
    </w:p>
    <w:p w:rsidR="00D35AD6" w:rsidRDefault="00D35AD6">
      <w:pPr>
        <w:spacing w:after="0" w:line="240" w:lineRule="auto"/>
        <w:rPr>
          <w:rFonts w:ascii="Times New Roman" w:eastAsia="Times New Roman" w:hAnsi="Times New Roman" w:cs="Times New Roman"/>
        </w:rPr>
      </w:pPr>
    </w:p>
    <w:tbl>
      <w:tblPr>
        <w:tblStyle w:val="af"/>
        <w:tblW w:w="8268" w:type="dxa"/>
        <w:tblInd w:w="0" w:type="dxa"/>
        <w:tblLayout w:type="fixed"/>
        <w:tblLook w:val="0400" w:firstRow="0" w:lastRow="0" w:firstColumn="0" w:lastColumn="0" w:noHBand="0" w:noVBand="1"/>
      </w:tblPr>
      <w:tblGrid>
        <w:gridCol w:w="8268"/>
      </w:tblGrid>
      <w:tr w:rsidR="00D35AD6">
        <w:trPr>
          <w:tblHeader/>
        </w:trPr>
        <w:tc>
          <w:tcPr>
            <w:tcW w:w="8268"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rsidR="00D35AD6" w:rsidRDefault="00387F92">
            <w:pPr>
              <w:shd w:val="clear" w:color="auto" w:fill="FFFF00"/>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color w:val="000000"/>
                <w:sz w:val="18"/>
                <w:szCs w:val="18"/>
                <w:highlight w:val="yellow"/>
              </w:rPr>
              <w:t xml:space="preserve">14.3. </w:t>
            </w:r>
            <w:r>
              <w:rPr>
                <w:rFonts w:ascii="Times New Roman" w:eastAsia="Times New Roman" w:hAnsi="Times New Roman" w:cs="Times New Roman"/>
                <w:b/>
                <w:bCs/>
                <w:color w:val="000000"/>
                <w:sz w:val="18"/>
                <w:szCs w:val="18"/>
              </w:rPr>
              <w:t>DOCUMENTOS RELATIVO À HABILITAÇÃO FISCAL, SOCIAL E TRABALHISTA</w:t>
            </w:r>
          </w:p>
        </w:tc>
      </w:tr>
    </w:tbl>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color w:val="000000"/>
          <w:sz w:val="18"/>
          <w:szCs w:val="18"/>
        </w:rPr>
        <w:t>14.3.1. Prova de inscrição do Cadastro Nacional de Pessoa Jurídica (CNPJ); </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color w:val="000000"/>
          <w:sz w:val="18"/>
          <w:szCs w:val="18"/>
        </w:rPr>
        <w:t>14.3.2. P</w:t>
      </w:r>
      <w:r>
        <w:rPr>
          <w:rFonts w:ascii="Times New Roman" w:eastAsia="Times New Roman" w:hAnsi="Times New Roman" w:cs="Times New Roman"/>
          <w:color w:val="000000"/>
          <w:sz w:val="18"/>
          <w:szCs w:val="18"/>
          <w:highlight w:val="white"/>
        </w:rPr>
        <w:t>rova de inscrição no cadastro de contribuintes estadual ou municipal (conforme o caso), relativo ao domicílio ou sede do licitante, pertinente ao seu ramo de atividade e compatível com o objeto contratual, dentro do prazo de validade;</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color w:val="000000"/>
          <w:sz w:val="18"/>
          <w:szCs w:val="18"/>
        </w:rPr>
        <w:t xml:space="preserve">14.3.3. </w:t>
      </w:r>
      <w:r>
        <w:rPr>
          <w:rFonts w:ascii="Times New Roman" w:eastAsia="Times New Roman" w:hAnsi="Times New Roman" w:cs="Times New Roman"/>
          <w:color w:val="000000"/>
          <w:sz w:val="18"/>
          <w:szCs w:val="18"/>
          <w:highlight w:val="white"/>
        </w:rPr>
        <w:t>Prova de Regularidade para com a Fazenda Federal (Certidão Conjunta Negativa da Dívida Ativa da União e Receita Federal), abrangendo inclusive as contribuições sociais previstas nas alíneas 'a' a 'd' do parágrafo único do art. 11 da Lei n</w:t>
      </w:r>
      <w:r>
        <w:rPr>
          <w:rFonts w:ascii="Times New Roman" w:eastAsia="Times New Roman" w:hAnsi="Times New Roman" w:cs="Times New Roman"/>
          <w:color w:val="000000"/>
          <w:sz w:val="5"/>
          <w:szCs w:val="5"/>
          <w:highlight w:val="white"/>
          <w:u w:val="single"/>
          <w:vertAlign w:val="superscript"/>
        </w:rPr>
        <w:t>o</w:t>
      </w:r>
      <w:r>
        <w:rPr>
          <w:rFonts w:ascii="Times New Roman" w:eastAsia="Times New Roman" w:hAnsi="Times New Roman" w:cs="Times New Roman"/>
          <w:color w:val="000000"/>
          <w:sz w:val="18"/>
          <w:szCs w:val="18"/>
          <w:highlight w:val="white"/>
        </w:rPr>
        <w:t> 8.212, de 24 de julho de 1991, dentro do prazo de validade</w:t>
      </w:r>
      <w:r>
        <w:rPr>
          <w:rFonts w:ascii="Times New Roman" w:eastAsia="Times New Roman" w:hAnsi="Times New Roman" w:cs="Times New Roman"/>
          <w:color w:val="000000"/>
          <w:sz w:val="18"/>
          <w:szCs w:val="18"/>
        </w:rPr>
        <w:t>;</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color w:val="000000"/>
          <w:sz w:val="18"/>
          <w:szCs w:val="18"/>
        </w:rPr>
        <w:t xml:space="preserve">14.3.4. Prova de regularidade para com a Fazenda Pública Estadual, </w:t>
      </w:r>
      <w:r>
        <w:rPr>
          <w:rFonts w:ascii="Times New Roman" w:eastAsia="Times New Roman" w:hAnsi="Times New Roman" w:cs="Times New Roman"/>
          <w:color w:val="000000"/>
          <w:sz w:val="18"/>
          <w:szCs w:val="18"/>
          <w:highlight w:val="white"/>
        </w:rPr>
        <w:t>do domicílio ou sede do licitante, ou outra equivalente, na forma da lei, dentro do prazo de validade;</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color w:val="000000"/>
          <w:sz w:val="18"/>
          <w:szCs w:val="18"/>
        </w:rPr>
        <w:t>14.3.5. Prova de regularidade com a Fazenda Pública Municipal do domicílio ou sede da licitante, dentro do prazo de validade;</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color w:val="000000"/>
          <w:sz w:val="18"/>
          <w:szCs w:val="18"/>
        </w:rPr>
        <w:t>14.3.6. Prova de regularidade relativo ao FGTS (Fundo de Garantia por tempo de Serviço), dentro do prazo de validade;</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color w:val="000000"/>
          <w:sz w:val="18"/>
          <w:szCs w:val="18"/>
        </w:rPr>
        <w:t>14.3.7. Prova de inexistência de débitos inadimplidos perante a Justiça do Trabalho, mediante a apresentação de CNDT - certidão negativa ou positiva com efeito de negativa, nos termos do Título VII-A da Consolidação das Leis do Trabalho, aprovada pelo Decreto-Lei 5.452, de 1º de maio de 1943, dentro do prazo de validade.</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highlight w:val="white"/>
        </w:rPr>
        <w:t>14.3.8.</w:t>
      </w:r>
      <w:r>
        <w:rPr>
          <w:rFonts w:ascii="Times New Roman" w:eastAsia="Times New Roman" w:hAnsi="Times New Roman" w:cs="Times New Roman"/>
          <w:color w:val="000000"/>
          <w:sz w:val="18"/>
          <w:szCs w:val="18"/>
          <w:highlight w:val="white"/>
        </w:rPr>
        <w:t xml:space="preserve"> O </w:t>
      </w:r>
      <w:r>
        <w:rPr>
          <w:rFonts w:ascii="Times New Roman" w:eastAsia="Times New Roman" w:hAnsi="Times New Roman" w:cs="Times New Roman"/>
          <w:color w:val="000000"/>
          <w:sz w:val="18"/>
          <w:szCs w:val="18"/>
        </w:rPr>
        <w:t>Agente de Contratação, neste ato designado Pregoeira</w:t>
      </w:r>
      <w:r>
        <w:rPr>
          <w:rFonts w:ascii="Times New Roman" w:eastAsia="Times New Roman" w:hAnsi="Times New Roman" w:cs="Times New Roman"/>
          <w:color w:val="000000"/>
          <w:sz w:val="18"/>
          <w:szCs w:val="18"/>
          <w:highlight w:val="white"/>
        </w:rPr>
        <w:t xml:space="preserve">, reserva o direito de proceder buscas juntos aos sites oficiais, para comprovar (emitir) ou validar a regularidade das certidões emitidas via internet, bem como proceder buscas junto </w:t>
      </w:r>
      <w:r>
        <w:rPr>
          <w:rFonts w:ascii="Times New Roman" w:eastAsia="Times New Roman" w:hAnsi="Times New Roman" w:cs="Times New Roman"/>
          <w:color w:val="000000"/>
        </w:rPr>
        <w:t>CEIS;</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color w:val="000000"/>
        </w:rPr>
        <w:t>CNEP; SICAF (quando aplicável); Cadastro Nacional de Condenações por Improbidade.</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14.3.9.</w:t>
      </w:r>
      <w:r>
        <w:rPr>
          <w:rFonts w:ascii="Times New Roman" w:eastAsia="Times New Roman" w:hAnsi="Times New Roman" w:cs="Times New Roman"/>
          <w:color w:val="000000"/>
          <w:sz w:val="18"/>
          <w:szCs w:val="18"/>
        </w:rPr>
        <w:t xml:space="preserve"> A consulta aos cadastros será realizada em nome da empresa licitante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color w:val="000000"/>
          <w:sz w:val="18"/>
          <w:szCs w:val="18"/>
        </w:rPr>
        <w:t>14.3.10. Na hipótese de inversão das fases, os documentos relativos à regularidade fiscal, social e trabalhista deverão ser exigidos de todos os licitantes, observadas as disposições da Lei Federal nº 14.133/2021 e da Lei Complementar nº 123/2006</w:t>
      </w:r>
    </w:p>
    <w:p w:rsidR="00D35AD6" w:rsidRDefault="00D35AD6">
      <w:pPr>
        <w:spacing w:after="0" w:line="240" w:lineRule="auto"/>
        <w:rPr>
          <w:rFonts w:ascii="Times New Roman" w:eastAsia="Times New Roman" w:hAnsi="Times New Roman" w:cs="Times New Roman"/>
        </w:rPr>
      </w:pPr>
    </w:p>
    <w:tbl>
      <w:tblPr>
        <w:tblStyle w:val="af0"/>
        <w:tblW w:w="8520" w:type="dxa"/>
        <w:tblInd w:w="0" w:type="dxa"/>
        <w:tblLayout w:type="fixed"/>
        <w:tblLook w:val="0400" w:firstRow="0" w:lastRow="0" w:firstColumn="0" w:lastColumn="0" w:noHBand="0" w:noVBand="1"/>
      </w:tblPr>
      <w:tblGrid>
        <w:gridCol w:w="8520"/>
      </w:tblGrid>
      <w:tr w:rsidR="00D35AD6">
        <w:trPr>
          <w:tblHeader/>
        </w:trPr>
        <w:tc>
          <w:tcPr>
            <w:tcW w:w="8520"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rsidR="00D35AD6" w:rsidRDefault="00387F92">
            <w:pPr>
              <w:spacing w:after="0" w:line="240" w:lineRule="auto"/>
              <w:ind w:right="68"/>
              <w:jc w:val="both"/>
              <w:rPr>
                <w:rFonts w:ascii="Times New Roman" w:eastAsia="Times New Roman" w:hAnsi="Times New Roman" w:cs="Times New Roman"/>
                <w:b/>
                <w:bCs/>
              </w:rPr>
            </w:pPr>
            <w:r>
              <w:rPr>
                <w:rFonts w:ascii="Times New Roman" w:eastAsia="Times New Roman" w:hAnsi="Times New Roman" w:cs="Times New Roman"/>
                <w:b/>
                <w:bCs/>
                <w:color w:val="000000"/>
                <w:sz w:val="18"/>
                <w:szCs w:val="18"/>
              </w:rPr>
              <w:t>14.4. DA QUALIFICAÇÃO ECONÔMICO-FINANCEIRA</w:t>
            </w:r>
          </w:p>
        </w:tc>
      </w:tr>
    </w:tbl>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ind w:right="68"/>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 xml:space="preserve">14.4.1. Certidão Negativa de feitos sobre falência </w:t>
      </w:r>
      <w:r>
        <w:rPr>
          <w:rFonts w:ascii="Times New Roman" w:eastAsia="Times New Roman" w:hAnsi="Times New Roman" w:cs="Times New Roman"/>
          <w:color w:val="000000"/>
          <w:sz w:val="18"/>
          <w:szCs w:val="18"/>
        </w:rPr>
        <w:t>expedida pelo distribuidor da sede do licitante.</w:t>
      </w:r>
    </w:p>
    <w:p w:rsidR="00D35AD6" w:rsidRDefault="00D35AD6">
      <w:pPr>
        <w:spacing w:after="0" w:line="240" w:lineRule="auto"/>
        <w:rPr>
          <w:rFonts w:ascii="Times New Roman" w:eastAsia="Times New Roman" w:hAnsi="Times New Roman" w:cs="Times New Roman"/>
        </w:rPr>
      </w:pPr>
    </w:p>
    <w:tbl>
      <w:tblPr>
        <w:tblStyle w:val="af1"/>
        <w:tblW w:w="8550" w:type="dxa"/>
        <w:tblInd w:w="0" w:type="dxa"/>
        <w:tblLayout w:type="fixed"/>
        <w:tblLook w:val="0400" w:firstRow="0" w:lastRow="0" w:firstColumn="0" w:lastColumn="0" w:noHBand="0" w:noVBand="1"/>
      </w:tblPr>
      <w:tblGrid>
        <w:gridCol w:w="8550"/>
      </w:tblGrid>
      <w:tr w:rsidR="00D35AD6">
        <w:trPr>
          <w:tblHeader/>
        </w:trPr>
        <w:tc>
          <w:tcPr>
            <w:tcW w:w="8550"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rsidR="00D35AD6" w:rsidRDefault="00387F92">
            <w:pPr>
              <w:spacing w:after="0" w:line="240" w:lineRule="auto"/>
              <w:ind w:right="68"/>
              <w:jc w:val="both"/>
              <w:rPr>
                <w:rFonts w:ascii="Times New Roman" w:eastAsia="Times New Roman" w:hAnsi="Times New Roman" w:cs="Times New Roman"/>
                <w:b/>
                <w:bCs/>
              </w:rPr>
            </w:pPr>
            <w:r>
              <w:rPr>
                <w:rFonts w:ascii="Times New Roman" w:eastAsia="Times New Roman" w:hAnsi="Times New Roman" w:cs="Times New Roman"/>
                <w:b/>
                <w:bCs/>
                <w:color w:val="000000"/>
                <w:sz w:val="18"/>
                <w:szCs w:val="18"/>
              </w:rPr>
              <w:t>14.5. DA QUALIFICAÇÃO TÉCNICA</w:t>
            </w:r>
          </w:p>
        </w:tc>
      </w:tr>
    </w:tbl>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 xml:space="preserve">14.5.1. </w:t>
      </w:r>
      <w:r>
        <w:rPr>
          <w:rFonts w:ascii="Times New Roman" w:eastAsia="Times New Roman" w:hAnsi="Times New Roman" w:cs="Times New Roman"/>
          <w:color w:val="000000"/>
          <w:sz w:val="18"/>
          <w:szCs w:val="18"/>
          <w:highlight w:val="white"/>
        </w:rPr>
        <w:t xml:space="preserve">Comprovação de aptidão em nome </w:t>
      </w:r>
      <w:proofErr w:type="gramStart"/>
      <w:r>
        <w:rPr>
          <w:rFonts w:ascii="Times New Roman" w:eastAsia="Times New Roman" w:hAnsi="Times New Roman" w:cs="Times New Roman"/>
          <w:color w:val="000000"/>
          <w:sz w:val="18"/>
          <w:szCs w:val="18"/>
          <w:highlight w:val="white"/>
        </w:rPr>
        <w:t>da(</w:t>
      </w:r>
      <w:proofErr w:type="gramEnd"/>
      <w:r>
        <w:rPr>
          <w:rFonts w:ascii="Times New Roman" w:eastAsia="Times New Roman" w:hAnsi="Times New Roman" w:cs="Times New Roman"/>
          <w:color w:val="000000"/>
          <w:sz w:val="18"/>
          <w:szCs w:val="18"/>
          <w:highlight w:val="white"/>
        </w:rPr>
        <w:t xml:space="preserve">s) empresa(s) licitante(s), mediante apresentação de </w:t>
      </w:r>
      <w:r>
        <w:rPr>
          <w:rFonts w:ascii="Times New Roman" w:eastAsia="Times New Roman" w:hAnsi="Times New Roman" w:cs="Times New Roman"/>
          <w:b/>
          <w:bCs/>
          <w:color w:val="000000"/>
          <w:sz w:val="18"/>
          <w:szCs w:val="18"/>
          <w:highlight w:val="white"/>
          <w:u w:val="single"/>
        </w:rPr>
        <w:t>Atestado(s) de Capacidade Técnica, fornecido(s) por pessoa(s) jurídica(s) de direito público ou privado</w:t>
      </w:r>
      <w:r>
        <w:rPr>
          <w:rFonts w:ascii="Times New Roman" w:eastAsia="Times New Roman" w:hAnsi="Times New Roman" w:cs="Times New Roman"/>
          <w:color w:val="000000"/>
          <w:sz w:val="18"/>
          <w:szCs w:val="18"/>
          <w:highlight w:val="white"/>
        </w:rPr>
        <w:t xml:space="preserve">, </w:t>
      </w:r>
      <w:r>
        <w:rPr>
          <w:rFonts w:ascii="Times New Roman" w:eastAsia="Times New Roman" w:hAnsi="Times New Roman" w:cs="Times New Roman"/>
          <w:color w:val="000000"/>
          <w:sz w:val="18"/>
          <w:szCs w:val="18"/>
        </w:rPr>
        <w:t>que comprovem que a licitante já tenha fornecido produtos com características semelhantes ao objeto licitado.</w:t>
      </w:r>
    </w:p>
    <w:p w:rsidR="00D35AD6" w:rsidRDefault="00D35AD6">
      <w:pPr>
        <w:spacing w:after="0" w:line="240" w:lineRule="auto"/>
        <w:rPr>
          <w:rFonts w:ascii="Times New Roman" w:eastAsia="Times New Roman" w:hAnsi="Times New Roman" w:cs="Times New Roman"/>
        </w:rPr>
      </w:pPr>
    </w:p>
    <w:tbl>
      <w:tblPr>
        <w:tblStyle w:val="af2"/>
        <w:tblW w:w="8625" w:type="dxa"/>
        <w:tblInd w:w="0" w:type="dxa"/>
        <w:tblLayout w:type="fixed"/>
        <w:tblLook w:val="0400" w:firstRow="0" w:lastRow="0" w:firstColumn="0" w:lastColumn="0" w:noHBand="0" w:noVBand="1"/>
      </w:tblPr>
      <w:tblGrid>
        <w:gridCol w:w="8625"/>
      </w:tblGrid>
      <w:tr w:rsidR="00D35AD6">
        <w:trPr>
          <w:tblHeader/>
        </w:trPr>
        <w:tc>
          <w:tcPr>
            <w:tcW w:w="8625"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rsidR="00D35AD6" w:rsidRDefault="00387F92">
            <w:pPr>
              <w:shd w:val="clear" w:color="auto" w:fill="FFFF00"/>
              <w:spacing w:after="0" w:line="240" w:lineRule="auto"/>
              <w:jc w:val="both"/>
              <w:rPr>
                <w:rFonts w:ascii="Times New Roman" w:eastAsia="Times New Roman" w:hAnsi="Times New Roman" w:cs="Times New Roman"/>
                <w:b/>
                <w:bCs/>
              </w:rPr>
            </w:pPr>
            <w:r>
              <w:rPr>
                <w:rFonts w:ascii="Times New Roman" w:eastAsia="Times New Roman" w:hAnsi="Times New Roman" w:cs="Times New Roman"/>
                <w:b/>
                <w:bCs/>
                <w:color w:val="000000"/>
                <w:sz w:val="18"/>
                <w:szCs w:val="18"/>
                <w:highlight w:val="yellow"/>
              </w:rPr>
              <w:t xml:space="preserve">14.6. </w:t>
            </w:r>
            <w:r>
              <w:rPr>
                <w:rFonts w:ascii="Times New Roman" w:eastAsia="Times New Roman" w:hAnsi="Times New Roman" w:cs="Times New Roman"/>
                <w:b/>
                <w:bCs/>
                <w:color w:val="000000"/>
                <w:sz w:val="18"/>
                <w:szCs w:val="18"/>
              </w:rPr>
              <w:t>OUTROS DOCUMENTOS DECLARAÇÕES</w:t>
            </w:r>
          </w:p>
        </w:tc>
      </w:tr>
    </w:tbl>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ind w:right="68"/>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14.6.1. Declaração Unificada</w:t>
      </w:r>
      <w:r>
        <w:rPr>
          <w:rFonts w:ascii="Times New Roman" w:eastAsia="Times New Roman" w:hAnsi="Times New Roman" w:cs="Times New Roman"/>
          <w:color w:val="000000"/>
          <w:sz w:val="18"/>
          <w:szCs w:val="18"/>
        </w:rPr>
        <w:t xml:space="preserve">, firmada pelo representante legal da empresa licitante </w:t>
      </w:r>
      <w:r>
        <w:rPr>
          <w:rFonts w:ascii="Times New Roman" w:eastAsia="Times New Roman" w:hAnsi="Times New Roman" w:cs="Times New Roman"/>
          <w:b/>
          <w:bCs/>
          <w:color w:val="000000"/>
          <w:sz w:val="18"/>
          <w:szCs w:val="18"/>
        </w:rPr>
        <w:t>(cf. modelo Anexo IV);</w:t>
      </w:r>
    </w:p>
    <w:p w:rsidR="00D35AD6" w:rsidRDefault="00D35AD6">
      <w:pPr>
        <w:spacing w:after="0" w:line="240" w:lineRule="auto"/>
        <w:rPr>
          <w:rFonts w:ascii="Times New Roman" w:eastAsia="Times New Roman" w:hAnsi="Times New Roman" w:cs="Times New Roman"/>
        </w:rPr>
      </w:pPr>
    </w:p>
    <w:tbl>
      <w:tblPr>
        <w:tblStyle w:val="af3"/>
        <w:tblW w:w="8610" w:type="dxa"/>
        <w:tblInd w:w="0" w:type="dxa"/>
        <w:tblLayout w:type="fixed"/>
        <w:tblLook w:val="0400" w:firstRow="0" w:lastRow="0" w:firstColumn="0" w:lastColumn="0" w:noHBand="0" w:noVBand="1"/>
      </w:tblPr>
      <w:tblGrid>
        <w:gridCol w:w="8610"/>
      </w:tblGrid>
      <w:tr w:rsidR="00D35AD6">
        <w:trPr>
          <w:tblHeader/>
        </w:trPr>
        <w:tc>
          <w:tcPr>
            <w:tcW w:w="8610"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rsidR="00D35AD6" w:rsidRDefault="00387F92">
            <w:pPr>
              <w:spacing w:after="0" w:line="240" w:lineRule="auto"/>
              <w:ind w:right="68"/>
              <w:jc w:val="both"/>
              <w:rPr>
                <w:rFonts w:ascii="Times New Roman" w:eastAsia="Times New Roman" w:hAnsi="Times New Roman" w:cs="Times New Roman"/>
                <w:b/>
                <w:bCs/>
              </w:rPr>
            </w:pPr>
            <w:r>
              <w:rPr>
                <w:rFonts w:ascii="Times New Roman" w:eastAsia="Times New Roman" w:hAnsi="Times New Roman" w:cs="Times New Roman"/>
                <w:b/>
                <w:bCs/>
                <w:color w:val="000000"/>
                <w:sz w:val="18"/>
                <w:szCs w:val="18"/>
              </w:rPr>
              <w:t>14.7. DA ANÁLISE E JULGAMENTO DOS DOCUMENTOS DE HABILITAÇÃO</w:t>
            </w:r>
          </w:p>
        </w:tc>
      </w:tr>
    </w:tbl>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ind w:right="68"/>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14.7.1.</w:t>
      </w:r>
      <w:r>
        <w:rPr>
          <w:rFonts w:ascii="Times New Roman" w:eastAsia="Times New Roman" w:hAnsi="Times New Roman" w:cs="Times New Roman"/>
          <w:color w:val="000000"/>
          <w:sz w:val="18"/>
          <w:szCs w:val="18"/>
        </w:rPr>
        <w:t xml:space="preserve"> Encerrado o prazo de apresentação das propostas e documentos, o Agente de Contratação procederá à análise da documentação de habilitação de todos os licitantes participantes, declarando habilitados aqueles que atenderem integralmente às exigências do edital.</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ind w:right="68"/>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14.7.2.</w:t>
      </w:r>
      <w:r>
        <w:rPr>
          <w:rFonts w:ascii="Times New Roman" w:eastAsia="Times New Roman" w:hAnsi="Times New Roman" w:cs="Times New Roman"/>
          <w:color w:val="000000"/>
          <w:sz w:val="18"/>
          <w:szCs w:val="18"/>
        </w:rPr>
        <w:t xml:space="preserve"> A ausência de qualquer documento exigido para habilitação ou sua apresentação em desacordo com as exigências deste edital ensejará a inabilitação do licitante, ressalvadas as hipóteses de saneamento previstas no art. 64 da Lei nº 14.133/2021 e os benefícios conferidos às Microempresas e Empresas de Pequeno Porte pela Lei Complementar nº 123/2006</w:t>
      </w:r>
      <w:r>
        <w:rPr>
          <w:rFonts w:ascii="Times New Roman" w:eastAsia="Times New Roman" w:hAnsi="Times New Roman" w:cs="Times New Roman"/>
          <w:b/>
          <w:bCs/>
          <w:color w:val="000000"/>
          <w:sz w:val="18"/>
          <w:szCs w:val="18"/>
          <w:u w:val="single"/>
        </w:rPr>
        <w:t>. </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14.7.3.</w:t>
      </w:r>
      <w:r>
        <w:rPr>
          <w:rFonts w:ascii="Times New Roman" w:eastAsia="Times New Roman" w:hAnsi="Times New Roman" w:cs="Times New Roman"/>
          <w:color w:val="000000"/>
          <w:sz w:val="18"/>
          <w:szCs w:val="18"/>
        </w:rPr>
        <w:t xml:space="preserve"> Em caso de omissão da data de validade dos documentos, o Agente de Contratação, neste ato designada Pregoeira e Equipe de Apoio admitirá como válidos os documentos emitidos com data inferior a 60 (sessenta) dias da data da sua apresentação, não se enquadrando no prazo de que trata este item os documentos cuja validade é indeterminada.</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14.7.4.</w:t>
      </w:r>
      <w:r>
        <w:rPr>
          <w:rFonts w:ascii="Times New Roman" w:eastAsia="Times New Roman" w:hAnsi="Times New Roman" w:cs="Times New Roman"/>
          <w:color w:val="000000"/>
          <w:sz w:val="18"/>
          <w:szCs w:val="18"/>
        </w:rPr>
        <w:t xml:space="preserve"> As Microempresas, Empresas de Pequeno Porte ou Equiparadas deverão encaminhar os documentos de habilitação constantes deste Edital, ainda que haja alguma restrição de regularidade fiscal ou trabalhista, nos termos do art. 43, § 1º da LC nº 123, de 2006, sob pena de inabilitação.</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u w:val="single"/>
        </w:rPr>
        <w:t xml:space="preserve">14.7.5. Os documentos exigidos para fins de habilitação relacionados nos subitens acima, deverão ser apresentados pelos licitantes na Plataforma BOLSA NACIONAL DE COMPRAS - BNC e os documentos cuja validação não possam ser aferidos nos sites dos órgãos oficiais, em caso de dúvidas quanto a autenticidade, deverão ser remetidos em original, por qualquer processo de cópia reprográfica, autenticada por tabelião de notas, ou por servidor da Administração, e neste último caso, com apresentação dos originais para conferencia, ou publicação em órgão da imprensa oficial ou ainda, por declaração de autenticidade firmada por advogado, sob sua responsabilidade pessoal, nos termos do art. 12, inciso IV, da Lei n.º 14.133/2021, no prazo máximo de 02 (dois) dias úteis, para análise, após solicitação </w:t>
      </w:r>
      <w:r>
        <w:rPr>
          <w:rFonts w:ascii="Times New Roman" w:eastAsia="Times New Roman" w:hAnsi="Times New Roman" w:cs="Times New Roman"/>
          <w:b/>
          <w:bCs/>
          <w:i/>
          <w:iCs/>
          <w:color w:val="000000"/>
          <w:sz w:val="18"/>
          <w:szCs w:val="18"/>
          <w:u w:val="single"/>
        </w:rPr>
        <w:t>via chat</w:t>
      </w:r>
      <w:r>
        <w:rPr>
          <w:rFonts w:ascii="Times New Roman" w:eastAsia="Times New Roman" w:hAnsi="Times New Roman" w:cs="Times New Roman"/>
          <w:b/>
          <w:bCs/>
          <w:color w:val="000000"/>
          <w:sz w:val="18"/>
          <w:szCs w:val="18"/>
          <w:u w:val="single"/>
        </w:rPr>
        <w:t>.</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14.7.6.</w:t>
      </w:r>
      <w:r>
        <w:rPr>
          <w:rFonts w:ascii="Times New Roman" w:eastAsia="Times New Roman" w:hAnsi="Times New Roman" w:cs="Times New Roman"/>
          <w:color w:val="000000"/>
          <w:sz w:val="18"/>
          <w:szCs w:val="18"/>
        </w:rPr>
        <w:t xml:space="preserve"> Concluída a fase de habilitação, será divulgada a relação dos licitantes habilitados, os quais participarão da etapa competitiva de lances. </w:t>
      </w:r>
    </w:p>
    <w:p w:rsidR="00D35AD6" w:rsidRDefault="00D35AD6">
      <w:pPr>
        <w:spacing w:after="0" w:line="240" w:lineRule="auto"/>
        <w:rPr>
          <w:rFonts w:ascii="Times New Roman" w:eastAsia="Times New Roman" w:hAnsi="Times New Roman" w:cs="Times New Roman"/>
        </w:rPr>
      </w:pPr>
    </w:p>
    <w:tbl>
      <w:tblPr>
        <w:tblStyle w:val="af4"/>
        <w:tblW w:w="8520" w:type="dxa"/>
        <w:tblInd w:w="0" w:type="dxa"/>
        <w:tblLayout w:type="fixed"/>
        <w:tblLook w:val="0400" w:firstRow="0" w:lastRow="0" w:firstColumn="0" w:lastColumn="0" w:noHBand="0" w:noVBand="1"/>
      </w:tblPr>
      <w:tblGrid>
        <w:gridCol w:w="8520"/>
      </w:tblGrid>
      <w:tr w:rsidR="00D35AD6">
        <w:trPr>
          <w:tblHeader/>
        </w:trPr>
        <w:tc>
          <w:tcPr>
            <w:tcW w:w="8520"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rsidR="00D35AD6" w:rsidRDefault="00387F92">
            <w:pPr>
              <w:shd w:val="clear" w:color="auto" w:fill="FFFF00"/>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color w:val="000000"/>
                <w:sz w:val="18"/>
                <w:szCs w:val="18"/>
                <w:highlight w:val="yellow"/>
              </w:rPr>
              <w:t xml:space="preserve">15. </w:t>
            </w:r>
            <w:r>
              <w:rPr>
                <w:rFonts w:ascii="Times New Roman" w:eastAsia="Times New Roman" w:hAnsi="Times New Roman" w:cs="Times New Roman"/>
                <w:b/>
                <w:bCs/>
                <w:color w:val="000000"/>
                <w:sz w:val="18"/>
                <w:szCs w:val="18"/>
              </w:rPr>
              <w:t>DAS MICROEMPRESAS, EMPRESAS DE PEQUENO PORTE OU EQUIPARADAS</w:t>
            </w:r>
          </w:p>
        </w:tc>
      </w:tr>
    </w:tbl>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 xml:space="preserve">15.1. </w:t>
      </w:r>
      <w:r>
        <w:rPr>
          <w:rFonts w:ascii="Times New Roman" w:eastAsia="Times New Roman" w:hAnsi="Times New Roman" w:cs="Times New Roman"/>
          <w:color w:val="000000"/>
          <w:sz w:val="18"/>
          <w:szCs w:val="18"/>
        </w:rPr>
        <w:t>Nos termos descritos na Lei Complementar nº 123/2006 e suas alterações, as microempresas, empresas de pequeno porte ou equiparadas deverão apresentar toda a documentação exigida para efeito de comprovação da regularidade fiscal e trabalhista, mesmo que esta apresente alguma restrição.</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 xml:space="preserve">15.2. </w:t>
      </w:r>
      <w:r>
        <w:rPr>
          <w:rFonts w:ascii="Times New Roman" w:eastAsia="Times New Roman" w:hAnsi="Times New Roman" w:cs="Times New Roman"/>
          <w:color w:val="000000"/>
          <w:sz w:val="18"/>
          <w:szCs w:val="18"/>
        </w:rPr>
        <w:t xml:space="preserve">Havendo alguma restrição na comprovação da regularidade fiscal e trabalhista, a microempresa ou empresa de pequeno porte terá assegurado o prazo de 05 (cinco) dias úteis, </w:t>
      </w:r>
      <w:r>
        <w:rPr>
          <w:rFonts w:ascii="Times New Roman" w:eastAsia="Times New Roman" w:hAnsi="Times New Roman" w:cs="Times New Roman"/>
          <w:color w:val="000000"/>
          <w:sz w:val="18"/>
          <w:szCs w:val="18"/>
          <w:highlight w:val="white"/>
        </w:rPr>
        <w:t>cujo termo inicial corresponderá ao momento em que o proponente for declarado o vencedor do certame,</w:t>
      </w:r>
      <w:r>
        <w:rPr>
          <w:rFonts w:ascii="Times New Roman" w:eastAsia="Times New Roman" w:hAnsi="Times New Roman" w:cs="Times New Roman"/>
          <w:color w:val="000000"/>
          <w:sz w:val="18"/>
          <w:szCs w:val="18"/>
        </w:rPr>
        <w:t xml:space="preserve"> prorrogável por igual período, a critério da Administração Pública, para a devida regularização da documentação, pagamento ou parcelamento do débito, e emissão de eventuais certidões negativas ou positivas com efeito negativa.</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 xml:space="preserve">15.3. </w:t>
      </w:r>
      <w:r>
        <w:rPr>
          <w:rFonts w:ascii="Times New Roman" w:eastAsia="Times New Roman" w:hAnsi="Times New Roman" w:cs="Times New Roman"/>
          <w:color w:val="000000"/>
          <w:sz w:val="18"/>
          <w:szCs w:val="18"/>
        </w:rPr>
        <w:t>A não regularização da documentação, no prazo previsto no subitem acima, implicará na decadência do direito à contratação, sem prejuízo das sanções previstas na Lei 14.133/2021 e neste Edital, sendo facultado à Administração convocar os licitantes remanescentes, na ordem de classificação, para a assinatura do contrato, ou revogar a licitação.</w:t>
      </w:r>
    </w:p>
    <w:p w:rsidR="00D35AD6" w:rsidRDefault="00D35AD6">
      <w:pPr>
        <w:spacing w:after="0" w:line="240" w:lineRule="auto"/>
        <w:rPr>
          <w:rFonts w:ascii="Times New Roman" w:eastAsia="Times New Roman" w:hAnsi="Times New Roman" w:cs="Times New Roman"/>
        </w:rPr>
      </w:pPr>
    </w:p>
    <w:tbl>
      <w:tblPr>
        <w:tblStyle w:val="af5"/>
        <w:tblW w:w="8535" w:type="dxa"/>
        <w:tblInd w:w="0" w:type="dxa"/>
        <w:tblLayout w:type="fixed"/>
        <w:tblLook w:val="0400" w:firstRow="0" w:lastRow="0" w:firstColumn="0" w:lastColumn="0" w:noHBand="0" w:noVBand="1"/>
      </w:tblPr>
      <w:tblGrid>
        <w:gridCol w:w="8535"/>
      </w:tblGrid>
      <w:tr w:rsidR="00D35AD6">
        <w:trPr>
          <w:tblHeader/>
        </w:trPr>
        <w:tc>
          <w:tcPr>
            <w:tcW w:w="8535"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rsidR="00D35AD6" w:rsidRDefault="00387F92">
            <w:pPr>
              <w:shd w:val="clear" w:color="auto" w:fill="FFFF00"/>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color w:val="000000"/>
                <w:sz w:val="18"/>
                <w:szCs w:val="18"/>
                <w:highlight w:val="yellow"/>
              </w:rPr>
              <w:t xml:space="preserve">16. </w:t>
            </w:r>
            <w:r>
              <w:rPr>
                <w:rFonts w:ascii="Times New Roman" w:eastAsia="Times New Roman" w:hAnsi="Times New Roman" w:cs="Times New Roman"/>
                <w:b/>
                <w:bCs/>
                <w:color w:val="000000"/>
                <w:sz w:val="18"/>
                <w:szCs w:val="18"/>
              </w:rPr>
              <w:t>DA DECLARAÇÃO DE VENCEDORA DO CERTAME</w:t>
            </w:r>
          </w:p>
        </w:tc>
      </w:tr>
    </w:tbl>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 xml:space="preserve">16.1. </w:t>
      </w:r>
      <w:r>
        <w:rPr>
          <w:rFonts w:ascii="Times New Roman" w:eastAsia="Times New Roman" w:hAnsi="Times New Roman" w:cs="Times New Roman"/>
          <w:color w:val="000000"/>
          <w:sz w:val="18"/>
          <w:szCs w:val="18"/>
        </w:rPr>
        <w:t xml:space="preserve">Conforme previsão expressa no preâmbulo deste Edital, para efeitos de julgamento das propostas de preços, será adotado o critério de </w:t>
      </w:r>
      <w:r>
        <w:rPr>
          <w:rFonts w:ascii="Times New Roman" w:eastAsia="Times New Roman" w:hAnsi="Times New Roman" w:cs="Times New Roman"/>
          <w:b/>
          <w:bCs/>
          <w:color w:val="000000"/>
          <w:sz w:val="18"/>
          <w:szCs w:val="18"/>
          <w:u w:val="single"/>
        </w:rPr>
        <w:t>MENOR PREÇO</w:t>
      </w:r>
      <w:r>
        <w:rPr>
          <w:rFonts w:ascii="Times New Roman" w:eastAsia="Times New Roman" w:hAnsi="Times New Roman" w:cs="Times New Roman"/>
          <w:color w:val="000000"/>
          <w:sz w:val="18"/>
          <w:szCs w:val="18"/>
        </w:rPr>
        <w:t xml:space="preserve">, observado as especificações, quantidades e preços definidos na Planilha de </w:t>
      </w:r>
      <w:r>
        <w:rPr>
          <w:rFonts w:ascii="Times New Roman" w:eastAsia="Times New Roman" w:hAnsi="Times New Roman" w:cs="Times New Roman"/>
          <w:color w:val="000000"/>
          <w:sz w:val="18"/>
          <w:szCs w:val="18"/>
        </w:rPr>
        <w:lastRenderedPageBreak/>
        <w:t xml:space="preserve">Descrição Detalhada dos Produtos e a descrição </w:t>
      </w:r>
      <w:proofErr w:type="gramStart"/>
      <w:r>
        <w:rPr>
          <w:rFonts w:ascii="Times New Roman" w:eastAsia="Times New Roman" w:hAnsi="Times New Roman" w:cs="Times New Roman"/>
          <w:color w:val="000000"/>
          <w:sz w:val="18"/>
          <w:szCs w:val="18"/>
        </w:rPr>
        <w:t>no(</w:t>
      </w:r>
      <w:proofErr w:type="gramEnd"/>
      <w:r>
        <w:rPr>
          <w:rFonts w:ascii="Times New Roman" w:eastAsia="Times New Roman" w:hAnsi="Times New Roman" w:cs="Times New Roman"/>
          <w:color w:val="000000"/>
          <w:sz w:val="18"/>
          <w:szCs w:val="18"/>
        </w:rPr>
        <w:t xml:space="preserve">s) lote(s) inserto no Sistema Eletrônico da </w:t>
      </w:r>
      <w:r>
        <w:rPr>
          <w:rFonts w:ascii="Times New Roman" w:eastAsia="Times New Roman" w:hAnsi="Times New Roman" w:cs="Times New Roman"/>
          <w:b/>
          <w:bCs/>
          <w:color w:val="000000"/>
          <w:sz w:val="18"/>
          <w:szCs w:val="18"/>
          <w:u w:val="single"/>
        </w:rPr>
        <w:t>Plataforma BOLSA NACIONAL DE COMPRAS – BNC.</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proofErr w:type="gramStart"/>
      <w:r>
        <w:rPr>
          <w:rFonts w:ascii="Times New Roman" w:eastAsia="Times New Roman" w:hAnsi="Times New Roman" w:cs="Times New Roman"/>
          <w:b/>
          <w:bCs/>
          <w:color w:val="000000"/>
          <w:sz w:val="18"/>
          <w:szCs w:val="18"/>
          <w:u w:val="single"/>
        </w:rPr>
        <w:t xml:space="preserve">16.2 </w:t>
      </w:r>
      <w:r>
        <w:rPr>
          <w:rFonts w:ascii="Times New Roman" w:eastAsia="Times New Roman" w:hAnsi="Times New Roman" w:cs="Times New Roman"/>
          <w:color w:val="000000"/>
          <w:sz w:val="18"/>
          <w:szCs w:val="18"/>
        </w:rPr>
        <w:t>Encerradas</w:t>
      </w:r>
      <w:proofErr w:type="gramEnd"/>
      <w:r>
        <w:rPr>
          <w:rFonts w:ascii="Times New Roman" w:eastAsia="Times New Roman" w:hAnsi="Times New Roman" w:cs="Times New Roman"/>
          <w:color w:val="000000"/>
          <w:sz w:val="18"/>
          <w:szCs w:val="18"/>
        </w:rPr>
        <w:t xml:space="preserve"> as fases de habilitação prévia, lances, negociação e julgamento da proposta, o Agente de Contratação declarará vencedor o licitante habilitado que apresentar a proposta mais vantajosa para a Administração.</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16.3.</w:t>
      </w:r>
      <w:r>
        <w:rPr>
          <w:rFonts w:ascii="Times New Roman" w:eastAsia="Times New Roman" w:hAnsi="Times New Roman" w:cs="Times New Roman"/>
          <w:color w:val="000000"/>
          <w:sz w:val="18"/>
          <w:szCs w:val="18"/>
        </w:rPr>
        <w:t xml:space="preserve"> Caso a proposta classificada em primeiro lugar seja desclassificada por inexequibilidade, incompatibilidade com as especificações técnicas ou qualquer outra hipótese prevista neste edital, será analisada a proposta subsequente, respeitada a ordem de classificação</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16.4.</w:t>
      </w:r>
      <w:r>
        <w:rPr>
          <w:rFonts w:ascii="Times New Roman" w:eastAsia="Times New Roman" w:hAnsi="Times New Roman" w:cs="Times New Roman"/>
          <w:color w:val="000000"/>
          <w:sz w:val="18"/>
          <w:szCs w:val="18"/>
        </w:rPr>
        <w:t xml:space="preserve"> Caso não sejam apresentados lances, será verificada a conformidade entre a proposta de menor preço apresentada e o valor estimado para a contratação.</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16.5.</w:t>
      </w:r>
      <w:r>
        <w:rPr>
          <w:rFonts w:ascii="Times New Roman" w:eastAsia="Times New Roman" w:hAnsi="Times New Roman" w:cs="Times New Roman"/>
          <w:color w:val="000000"/>
          <w:sz w:val="18"/>
          <w:szCs w:val="18"/>
        </w:rPr>
        <w:t xml:space="preserve"> Após a análise da proposta de preços e documentos de habilitação, constatado que a licitante atendeu todas as exigências fixadas no Edital, a licitante detentora da melhor proposta será declarada vencedora do certame, momento a qual passará para a fase de manifestação de recursos.</w:t>
      </w:r>
    </w:p>
    <w:p w:rsidR="00D35AD6" w:rsidRDefault="00D35AD6">
      <w:pPr>
        <w:spacing w:after="0" w:line="240" w:lineRule="auto"/>
        <w:rPr>
          <w:rFonts w:ascii="Times New Roman" w:eastAsia="Times New Roman" w:hAnsi="Times New Roman" w:cs="Times New Roman"/>
        </w:rPr>
      </w:pPr>
    </w:p>
    <w:tbl>
      <w:tblPr>
        <w:tblStyle w:val="af6"/>
        <w:tblW w:w="8625" w:type="dxa"/>
        <w:tblInd w:w="0" w:type="dxa"/>
        <w:tblLayout w:type="fixed"/>
        <w:tblLook w:val="0400" w:firstRow="0" w:lastRow="0" w:firstColumn="0" w:lastColumn="0" w:noHBand="0" w:noVBand="1"/>
      </w:tblPr>
      <w:tblGrid>
        <w:gridCol w:w="8625"/>
      </w:tblGrid>
      <w:tr w:rsidR="00D35AD6">
        <w:trPr>
          <w:tblHeader/>
        </w:trPr>
        <w:tc>
          <w:tcPr>
            <w:tcW w:w="8625"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rsidR="00D35AD6" w:rsidRDefault="00387F92">
            <w:pPr>
              <w:shd w:val="clear" w:color="auto" w:fill="FFFF00"/>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color w:val="000000"/>
                <w:sz w:val="18"/>
                <w:szCs w:val="18"/>
                <w:highlight w:val="yellow"/>
              </w:rPr>
              <w:t xml:space="preserve">17. </w:t>
            </w:r>
            <w:r>
              <w:rPr>
                <w:rFonts w:ascii="Times New Roman" w:eastAsia="Times New Roman" w:hAnsi="Times New Roman" w:cs="Times New Roman"/>
                <w:b/>
                <w:bCs/>
                <w:color w:val="000000"/>
                <w:sz w:val="18"/>
                <w:szCs w:val="18"/>
              </w:rPr>
              <w:t>DOS RECURSOS ADMINISTRATIVOS</w:t>
            </w:r>
          </w:p>
        </w:tc>
      </w:tr>
    </w:tbl>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17.1.</w:t>
      </w:r>
      <w:r>
        <w:rPr>
          <w:rFonts w:ascii="Times New Roman" w:eastAsia="Times New Roman" w:hAnsi="Times New Roman" w:cs="Times New Roman"/>
          <w:color w:val="000000"/>
          <w:sz w:val="18"/>
          <w:szCs w:val="18"/>
        </w:rPr>
        <w:t xml:space="preserve"> Dos atos decorrentes deste edital, qualquer licitante poderá manifestar imediata e motivadamente a intenção de recorrer nos casos de:</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color w:val="000000"/>
          <w:sz w:val="18"/>
          <w:szCs w:val="18"/>
        </w:rPr>
        <w:t>a) julgamento das propostas;</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color w:val="000000"/>
          <w:sz w:val="18"/>
          <w:szCs w:val="18"/>
        </w:rPr>
        <w:t>b) ato de habilitação ou inabilitação, e</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color w:val="000000"/>
          <w:sz w:val="18"/>
          <w:szCs w:val="18"/>
        </w:rPr>
        <w:t>c) Anulação ou revogação da licitação.</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17.2.</w:t>
      </w:r>
      <w:r>
        <w:rPr>
          <w:rFonts w:ascii="Times New Roman" w:eastAsia="Times New Roman" w:hAnsi="Times New Roman" w:cs="Times New Roman"/>
          <w:color w:val="000000"/>
          <w:sz w:val="18"/>
          <w:szCs w:val="18"/>
        </w:rPr>
        <w:t xml:space="preserve"> A fase recursal deverá ser formalmente anunciada pelo Agente de Contratação, designado Pregoeira, que consultará as licitantes sobre sua intenção de recorrer ou não, e declarará, expressamente, que só serão conhecidos os recursos interpostos nos prazos fixados neste edital.</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17.3.</w:t>
      </w:r>
      <w:r>
        <w:rPr>
          <w:rFonts w:ascii="Times New Roman" w:eastAsia="Times New Roman" w:hAnsi="Times New Roman" w:cs="Times New Roman"/>
          <w:color w:val="000000"/>
          <w:sz w:val="18"/>
          <w:szCs w:val="18"/>
        </w:rPr>
        <w:t xml:space="preserve"> </w:t>
      </w:r>
      <w:proofErr w:type="gramStart"/>
      <w:r>
        <w:rPr>
          <w:rFonts w:ascii="Times New Roman" w:eastAsia="Times New Roman" w:hAnsi="Times New Roman" w:cs="Times New Roman"/>
          <w:color w:val="000000"/>
          <w:sz w:val="18"/>
          <w:szCs w:val="18"/>
        </w:rPr>
        <w:t>A(</w:t>
      </w:r>
      <w:proofErr w:type="gramEnd"/>
      <w:r>
        <w:rPr>
          <w:rFonts w:ascii="Times New Roman" w:eastAsia="Times New Roman" w:hAnsi="Times New Roman" w:cs="Times New Roman"/>
          <w:color w:val="000000"/>
          <w:sz w:val="18"/>
          <w:szCs w:val="18"/>
        </w:rPr>
        <w:t xml:space="preserve">s) licitante(s) interessadas em interpor recursos, deverão manifestar(em) imediatamente e motivadamente a intenção de recurso, no prazo máximo de </w:t>
      </w:r>
      <w:r>
        <w:rPr>
          <w:rFonts w:ascii="Times New Roman" w:eastAsia="Times New Roman" w:hAnsi="Times New Roman" w:cs="Times New Roman"/>
          <w:b/>
          <w:bCs/>
          <w:color w:val="000000"/>
          <w:sz w:val="18"/>
          <w:szCs w:val="18"/>
          <w:u w:val="single"/>
        </w:rPr>
        <w:t>15 (quinze) minutos,</w:t>
      </w:r>
      <w:r>
        <w:rPr>
          <w:rFonts w:ascii="Times New Roman" w:eastAsia="Times New Roman" w:hAnsi="Times New Roman" w:cs="Times New Roman"/>
          <w:color w:val="000000"/>
          <w:sz w:val="18"/>
          <w:szCs w:val="18"/>
        </w:rPr>
        <w:t xml:space="preserve"> contados da intimação ou lavratura da ata, com registro em ata ou em campo próprio do sistema Bolsa Nacional de Compras - BNC a síntese das suas razões, e, caso não o faça, importará na preclusão do direito de recurso.</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 xml:space="preserve">17.4. </w:t>
      </w:r>
      <w:r>
        <w:rPr>
          <w:rFonts w:ascii="Times New Roman" w:eastAsia="Times New Roman" w:hAnsi="Times New Roman" w:cs="Times New Roman"/>
          <w:color w:val="000000"/>
          <w:sz w:val="18"/>
          <w:szCs w:val="18"/>
        </w:rPr>
        <w:t>Havendo manifestação, caberá ao Agente de Contratação, designado Pregoeira verificar a tempestividade e a existência de motivação da intenção de recorrer, para decidir se admite ou não o recurso, por meio de decisão fundamentada. </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17.5.</w:t>
      </w:r>
      <w:r>
        <w:rPr>
          <w:rFonts w:ascii="Times New Roman" w:eastAsia="Times New Roman" w:hAnsi="Times New Roman" w:cs="Times New Roman"/>
          <w:color w:val="000000"/>
          <w:sz w:val="18"/>
          <w:szCs w:val="18"/>
        </w:rPr>
        <w:t xml:space="preserve"> Nesse momento, o Agente de Contratação, neste ato designado Pregoeira não entra no mérito recursal, mas apenas verificará as condições de admissibilidade do recurso. </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17.6.</w:t>
      </w:r>
      <w:r>
        <w:rPr>
          <w:rFonts w:ascii="Times New Roman" w:eastAsia="Times New Roman" w:hAnsi="Times New Roman" w:cs="Times New Roman"/>
          <w:color w:val="000000"/>
          <w:sz w:val="18"/>
          <w:szCs w:val="18"/>
        </w:rPr>
        <w:t xml:space="preserve"> Deferido a admissibilidade recursal, a recorrente, poderá, apresentar as razões do recurso em forma de memoriais, no prazo de </w:t>
      </w:r>
      <w:r>
        <w:rPr>
          <w:rFonts w:ascii="Times New Roman" w:eastAsia="Times New Roman" w:hAnsi="Times New Roman" w:cs="Times New Roman"/>
          <w:b/>
          <w:bCs/>
          <w:color w:val="000000"/>
          <w:sz w:val="18"/>
          <w:szCs w:val="18"/>
          <w:u w:val="single"/>
        </w:rPr>
        <w:t>03 (três) dias úteis</w:t>
      </w:r>
      <w:r>
        <w:rPr>
          <w:rFonts w:ascii="Times New Roman" w:eastAsia="Times New Roman" w:hAnsi="Times New Roman" w:cs="Times New Roman"/>
          <w:color w:val="000000"/>
          <w:sz w:val="18"/>
          <w:szCs w:val="18"/>
        </w:rPr>
        <w:t xml:space="preserve">, que será iniciado na data de intimação ou de lavratura da ata de habilitação ou inabilitação, protocolizando-o, </w:t>
      </w:r>
      <w:r>
        <w:rPr>
          <w:rFonts w:ascii="Times New Roman" w:eastAsia="Times New Roman" w:hAnsi="Times New Roman" w:cs="Times New Roman"/>
          <w:b/>
          <w:bCs/>
          <w:color w:val="000000"/>
          <w:sz w:val="18"/>
          <w:szCs w:val="18"/>
          <w:u w:val="single"/>
        </w:rPr>
        <w:t xml:space="preserve">em local próprio na Plataforma BOLSA NACIONAL DE COMPRAS - BNC ou envio via e-mail: </w:t>
      </w:r>
      <w:hyperlink r:id="rId15">
        <w:r>
          <w:rPr>
            <w:rFonts w:ascii="Times New Roman" w:eastAsia="Times New Roman" w:hAnsi="Times New Roman" w:cs="Times New Roman"/>
            <w:b/>
            <w:bCs/>
            <w:color w:val="0000FF"/>
            <w:sz w:val="18"/>
            <w:szCs w:val="18"/>
            <w:u w:val="single"/>
          </w:rPr>
          <w:t>licitacao.concipa2025@gmail.com</w:t>
        </w:r>
      </w:hyperlink>
      <w:r>
        <w:rPr>
          <w:rFonts w:ascii="Times New Roman" w:eastAsia="Times New Roman" w:hAnsi="Times New Roman" w:cs="Times New Roman"/>
          <w:b/>
          <w:bCs/>
          <w:color w:val="000000"/>
          <w:sz w:val="18"/>
          <w:szCs w:val="18"/>
          <w:u w:val="single"/>
        </w:rPr>
        <w:t>,</w:t>
      </w:r>
      <w:r>
        <w:rPr>
          <w:rFonts w:ascii="Times New Roman" w:eastAsia="Times New Roman" w:hAnsi="Times New Roman" w:cs="Times New Roman"/>
          <w:color w:val="000000"/>
          <w:sz w:val="18"/>
          <w:szCs w:val="18"/>
        </w:rPr>
        <w:t>ficando os demais licitantes desde logo intimados para apresentar contrarrazões em igual número de dias, que começarão a correr do término do prazo da recorrente, sendo-lhes assegurada vista dos elementos indispensáveis à defesa de seus interesses.</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17.7.</w:t>
      </w:r>
      <w:r>
        <w:rPr>
          <w:rFonts w:ascii="Times New Roman" w:eastAsia="Times New Roman" w:hAnsi="Times New Roman" w:cs="Times New Roman"/>
          <w:color w:val="000000"/>
          <w:sz w:val="18"/>
          <w:szCs w:val="18"/>
        </w:rPr>
        <w:t xml:space="preserve"> A apreciação do recurso dar-se-á em fase única, devendo, </w:t>
      </w:r>
      <w:r>
        <w:rPr>
          <w:rFonts w:ascii="Times New Roman" w:eastAsia="Times New Roman" w:hAnsi="Times New Roman" w:cs="Times New Roman"/>
          <w:b/>
          <w:bCs/>
          <w:color w:val="000000"/>
          <w:sz w:val="18"/>
          <w:szCs w:val="18"/>
          <w:u w:val="single"/>
        </w:rPr>
        <w:t>o recurso ser dirigido à autoridade que tiver editado o ato ou proferido a decisão recorrida, que, se não reconsiderar o ato ou a decisão no prazo de 3 (três) dias úteis</w:t>
      </w:r>
      <w:r>
        <w:rPr>
          <w:rFonts w:ascii="Times New Roman" w:eastAsia="Times New Roman" w:hAnsi="Times New Roman" w:cs="Times New Roman"/>
          <w:color w:val="000000"/>
          <w:sz w:val="18"/>
          <w:szCs w:val="18"/>
          <w:u w:val="single"/>
        </w:rPr>
        <w:t xml:space="preserve">, </w:t>
      </w:r>
      <w:r>
        <w:rPr>
          <w:rFonts w:ascii="Times New Roman" w:eastAsia="Times New Roman" w:hAnsi="Times New Roman" w:cs="Times New Roman"/>
          <w:b/>
          <w:bCs/>
          <w:color w:val="000000"/>
          <w:sz w:val="18"/>
          <w:szCs w:val="18"/>
          <w:u w:val="single"/>
        </w:rPr>
        <w:t>encaminhará o recurso com a sua motivação à autoridade superior, a qual deverá proferir sua decisão no prazo máximo de 10 (dez) dias úteis, contado do recebimento dos autos.</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17.8.</w:t>
      </w:r>
      <w:r>
        <w:rPr>
          <w:rFonts w:ascii="Times New Roman" w:eastAsia="Times New Roman" w:hAnsi="Times New Roman" w:cs="Times New Roman"/>
          <w:color w:val="000000"/>
          <w:sz w:val="18"/>
          <w:szCs w:val="18"/>
        </w:rPr>
        <w:t xml:space="preserve"> </w:t>
      </w:r>
      <w:proofErr w:type="gramStart"/>
      <w:r>
        <w:rPr>
          <w:rFonts w:ascii="Times New Roman" w:eastAsia="Times New Roman" w:hAnsi="Times New Roman" w:cs="Times New Roman"/>
          <w:color w:val="000000"/>
          <w:sz w:val="18"/>
          <w:szCs w:val="18"/>
        </w:rPr>
        <w:t>O(</w:t>
      </w:r>
      <w:proofErr w:type="gramEnd"/>
      <w:r>
        <w:rPr>
          <w:rFonts w:ascii="Times New Roman" w:eastAsia="Times New Roman" w:hAnsi="Times New Roman" w:cs="Times New Roman"/>
          <w:color w:val="000000"/>
          <w:sz w:val="18"/>
          <w:szCs w:val="18"/>
        </w:rPr>
        <w:t>s) recursos previstos neste edital terão efeito suspensivo do ato ou da decisão recorrida até que sobrevenha decisão final da autoridade competente.</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17.9.</w:t>
      </w:r>
      <w:r>
        <w:rPr>
          <w:rFonts w:ascii="Times New Roman" w:eastAsia="Times New Roman" w:hAnsi="Times New Roman" w:cs="Times New Roman"/>
          <w:color w:val="000000"/>
          <w:sz w:val="18"/>
          <w:szCs w:val="18"/>
        </w:rPr>
        <w:t xml:space="preserve"> Na elaboração das decisões, a autoridade competente será auxiliada pelo órgão de assessoramento jurídico, que deverá dirimir dúvidas e subsidiá-la com as informações necessárias.</w:t>
      </w: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color w:val="000000"/>
          <w:sz w:val="18"/>
          <w:szCs w:val="18"/>
        </w:rPr>
        <w:t> </w:t>
      </w: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17.10.</w:t>
      </w:r>
      <w:r>
        <w:rPr>
          <w:rFonts w:ascii="Times New Roman" w:eastAsia="Times New Roman" w:hAnsi="Times New Roman" w:cs="Times New Roman"/>
          <w:color w:val="000000"/>
          <w:sz w:val="18"/>
          <w:szCs w:val="18"/>
        </w:rPr>
        <w:t xml:space="preserve"> O acolhimento do recurso importará a invalidação apenas dos atos insuscetíveis de aproveitamento.</w:t>
      </w: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color w:val="000000"/>
          <w:sz w:val="18"/>
          <w:szCs w:val="18"/>
        </w:rPr>
        <w:t>17.11. Os recursos relativos à fase de habilitação prévia deverão ser interpostos imediatamente após a divulgação do resultado da habilitação, observando-se os prazos e procedimentos previstos neste edital e na Lei Federal nº 14.133/2021</w:t>
      </w:r>
    </w:p>
    <w:p w:rsidR="00D35AD6" w:rsidRDefault="00D35AD6">
      <w:pPr>
        <w:spacing w:after="0" w:line="240" w:lineRule="auto"/>
        <w:rPr>
          <w:rFonts w:ascii="Times New Roman" w:eastAsia="Times New Roman" w:hAnsi="Times New Roman" w:cs="Times New Roman"/>
        </w:rPr>
      </w:pPr>
    </w:p>
    <w:tbl>
      <w:tblPr>
        <w:tblStyle w:val="af7"/>
        <w:tblW w:w="8430" w:type="dxa"/>
        <w:tblInd w:w="0" w:type="dxa"/>
        <w:tblLayout w:type="fixed"/>
        <w:tblLook w:val="0400" w:firstRow="0" w:lastRow="0" w:firstColumn="0" w:lastColumn="0" w:noHBand="0" w:noVBand="1"/>
      </w:tblPr>
      <w:tblGrid>
        <w:gridCol w:w="8430"/>
      </w:tblGrid>
      <w:tr w:rsidR="00D35AD6">
        <w:trPr>
          <w:tblHeader/>
        </w:trPr>
        <w:tc>
          <w:tcPr>
            <w:tcW w:w="8430"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rsidR="00D35AD6" w:rsidRDefault="00387F92">
            <w:pPr>
              <w:shd w:val="clear" w:color="auto" w:fill="FFFF00"/>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color w:val="000000"/>
                <w:sz w:val="18"/>
                <w:szCs w:val="18"/>
                <w:highlight w:val="yellow"/>
              </w:rPr>
              <w:t xml:space="preserve">18. </w:t>
            </w:r>
            <w:r>
              <w:rPr>
                <w:rFonts w:ascii="Times New Roman" w:eastAsia="Times New Roman" w:hAnsi="Times New Roman" w:cs="Times New Roman"/>
                <w:b/>
                <w:bCs/>
                <w:color w:val="000000"/>
                <w:sz w:val="18"/>
                <w:szCs w:val="18"/>
              </w:rPr>
              <w:t>DA REABERTURA DA SESSÃO PÚBLICA</w:t>
            </w:r>
          </w:p>
        </w:tc>
      </w:tr>
    </w:tbl>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18.1.</w:t>
      </w:r>
      <w:r>
        <w:rPr>
          <w:rFonts w:ascii="Times New Roman" w:eastAsia="Times New Roman" w:hAnsi="Times New Roman" w:cs="Times New Roman"/>
          <w:color w:val="000000"/>
          <w:sz w:val="18"/>
          <w:szCs w:val="18"/>
        </w:rPr>
        <w:t xml:space="preserve"> A sessão pública poderá ser reaberta nos seguintes casos: </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proofErr w:type="gramStart"/>
      <w:r>
        <w:rPr>
          <w:rFonts w:ascii="Times New Roman" w:eastAsia="Times New Roman" w:hAnsi="Times New Roman" w:cs="Times New Roman"/>
          <w:b/>
          <w:bCs/>
          <w:color w:val="000000"/>
          <w:sz w:val="18"/>
          <w:szCs w:val="18"/>
        </w:rPr>
        <w:t>a)</w:t>
      </w:r>
      <w:r>
        <w:rPr>
          <w:rFonts w:ascii="Times New Roman" w:eastAsia="Times New Roman" w:hAnsi="Times New Roman" w:cs="Times New Roman"/>
          <w:color w:val="000000"/>
          <w:sz w:val="18"/>
          <w:szCs w:val="18"/>
        </w:rPr>
        <w:t xml:space="preserve"> Nas</w:t>
      </w:r>
      <w:proofErr w:type="gramEnd"/>
      <w:r>
        <w:rPr>
          <w:rFonts w:ascii="Times New Roman" w:eastAsia="Times New Roman" w:hAnsi="Times New Roman" w:cs="Times New Roman"/>
          <w:color w:val="000000"/>
          <w:sz w:val="18"/>
          <w:szCs w:val="18"/>
        </w:rPr>
        <w:t xml:space="preserve"> hipóteses de provimento de recurso que leve à anulação de atos anteriores à realização da sessão pública precedente ou em que seja anulada a própria sessão pública, situação em que serão repetidos os atos anulados e os que dele dependam. </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proofErr w:type="gramStart"/>
      <w:r>
        <w:rPr>
          <w:rFonts w:ascii="Times New Roman" w:eastAsia="Times New Roman" w:hAnsi="Times New Roman" w:cs="Times New Roman"/>
          <w:b/>
          <w:bCs/>
          <w:color w:val="000000"/>
          <w:sz w:val="18"/>
          <w:szCs w:val="18"/>
        </w:rPr>
        <w:t>b)</w:t>
      </w:r>
      <w:r>
        <w:rPr>
          <w:rFonts w:ascii="Times New Roman" w:eastAsia="Times New Roman" w:hAnsi="Times New Roman" w:cs="Times New Roman"/>
          <w:color w:val="000000"/>
          <w:sz w:val="18"/>
          <w:szCs w:val="18"/>
        </w:rPr>
        <w:t xml:space="preserve"> Quando</w:t>
      </w:r>
      <w:proofErr w:type="gramEnd"/>
      <w:r>
        <w:rPr>
          <w:rFonts w:ascii="Times New Roman" w:eastAsia="Times New Roman" w:hAnsi="Times New Roman" w:cs="Times New Roman"/>
          <w:color w:val="000000"/>
          <w:sz w:val="18"/>
          <w:szCs w:val="18"/>
        </w:rPr>
        <w:t xml:space="preserve"> houver erro na aceitação do preço melhor classificado ou quando o licitante declarado vencedor não assinar o contrato, não retirar o instrumento equivalente. Nessas hipóteses, serão adotados os procedimentos imediatamente posteriores ao encerramento da etapa de lances. </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 xml:space="preserve">c) </w:t>
      </w:r>
      <w:r>
        <w:rPr>
          <w:rFonts w:ascii="Times New Roman" w:eastAsia="Times New Roman" w:hAnsi="Times New Roman" w:cs="Times New Roman"/>
          <w:color w:val="000000"/>
          <w:sz w:val="18"/>
          <w:szCs w:val="18"/>
        </w:rPr>
        <w:t>Todos os licitantes remanescentes deverão ser convocados para acompanhar a reabertura da sessão.</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 xml:space="preserve">d) </w:t>
      </w:r>
      <w:r>
        <w:rPr>
          <w:rFonts w:ascii="Times New Roman" w:eastAsia="Times New Roman" w:hAnsi="Times New Roman" w:cs="Times New Roman"/>
          <w:color w:val="000000"/>
          <w:sz w:val="18"/>
          <w:szCs w:val="18"/>
        </w:rPr>
        <w:t>A convocação se dará por meio do sistema eletrônico (“chat”), e-mail, ou, ainda, fac-símile, de acordo com a fase do procedimento licitatório. </w:t>
      </w:r>
    </w:p>
    <w:p w:rsidR="00D35AD6" w:rsidRDefault="00D35AD6">
      <w:pPr>
        <w:spacing w:after="0" w:line="240" w:lineRule="auto"/>
        <w:rPr>
          <w:rFonts w:ascii="Times New Roman" w:eastAsia="Times New Roman" w:hAnsi="Times New Roman" w:cs="Times New Roman"/>
        </w:rPr>
      </w:pPr>
    </w:p>
    <w:tbl>
      <w:tblPr>
        <w:tblStyle w:val="af8"/>
        <w:tblW w:w="8715" w:type="dxa"/>
        <w:tblInd w:w="0" w:type="dxa"/>
        <w:tblLayout w:type="fixed"/>
        <w:tblLook w:val="0400" w:firstRow="0" w:lastRow="0" w:firstColumn="0" w:lastColumn="0" w:noHBand="0" w:noVBand="1"/>
      </w:tblPr>
      <w:tblGrid>
        <w:gridCol w:w="8715"/>
      </w:tblGrid>
      <w:tr w:rsidR="00D35AD6">
        <w:trPr>
          <w:tblHeader/>
        </w:trPr>
        <w:tc>
          <w:tcPr>
            <w:tcW w:w="8715"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rsidR="00D35AD6" w:rsidRDefault="00387F92">
            <w:pPr>
              <w:shd w:val="clear" w:color="auto" w:fill="FFFF00"/>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color w:val="000000"/>
                <w:sz w:val="18"/>
                <w:szCs w:val="18"/>
                <w:highlight w:val="yellow"/>
              </w:rPr>
              <w:t xml:space="preserve">19. </w:t>
            </w:r>
            <w:r>
              <w:rPr>
                <w:rFonts w:ascii="Times New Roman" w:eastAsia="Times New Roman" w:hAnsi="Times New Roman" w:cs="Times New Roman"/>
                <w:b/>
                <w:bCs/>
                <w:color w:val="000000"/>
                <w:sz w:val="18"/>
                <w:szCs w:val="18"/>
              </w:rPr>
              <w:t>DO ENCERRAMENTO DA LICITAÇÃO</w:t>
            </w:r>
          </w:p>
        </w:tc>
      </w:tr>
    </w:tbl>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19.1.</w:t>
      </w:r>
      <w:r>
        <w:rPr>
          <w:rFonts w:ascii="Times New Roman" w:eastAsia="Times New Roman" w:hAnsi="Times New Roman" w:cs="Times New Roman"/>
          <w:color w:val="000000"/>
          <w:sz w:val="18"/>
          <w:szCs w:val="18"/>
        </w:rPr>
        <w:t xml:space="preserve"> Encerradas as fases de julgamento e habilitação, e exauridos os recursos administrativos, o processo licitatório será encaminhado à autoridade superior, que poderá:</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color w:val="000000"/>
          <w:sz w:val="18"/>
          <w:szCs w:val="18"/>
        </w:rPr>
        <w:t xml:space="preserve">I - </w:t>
      </w:r>
      <w:proofErr w:type="gramStart"/>
      <w:r>
        <w:rPr>
          <w:rFonts w:ascii="Times New Roman" w:eastAsia="Times New Roman" w:hAnsi="Times New Roman" w:cs="Times New Roman"/>
          <w:color w:val="000000"/>
          <w:sz w:val="18"/>
          <w:szCs w:val="18"/>
        </w:rPr>
        <w:t>determinar</w:t>
      </w:r>
      <w:proofErr w:type="gramEnd"/>
      <w:r>
        <w:rPr>
          <w:rFonts w:ascii="Times New Roman" w:eastAsia="Times New Roman" w:hAnsi="Times New Roman" w:cs="Times New Roman"/>
          <w:color w:val="000000"/>
          <w:sz w:val="18"/>
          <w:szCs w:val="18"/>
        </w:rPr>
        <w:t xml:space="preserve"> o retorno dos autos para saneamento de irregularidades;</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color w:val="000000"/>
          <w:sz w:val="18"/>
          <w:szCs w:val="18"/>
        </w:rPr>
        <w:t xml:space="preserve">II - </w:t>
      </w:r>
      <w:proofErr w:type="gramStart"/>
      <w:r>
        <w:rPr>
          <w:rFonts w:ascii="Times New Roman" w:eastAsia="Times New Roman" w:hAnsi="Times New Roman" w:cs="Times New Roman"/>
          <w:color w:val="000000"/>
          <w:sz w:val="18"/>
          <w:szCs w:val="18"/>
        </w:rPr>
        <w:t>revogar</w:t>
      </w:r>
      <w:proofErr w:type="gramEnd"/>
      <w:r>
        <w:rPr>
          <w:rFonts w:ascii="Times New Roman" w:eastAsia="Times New Roman" w:hAnsi="Times New Roman" w:cs="Times New Roman"/>
          <w:color w:val="000000"/>
          <w:sz w:val="18"/>
          <w:szCs w:val="18"/>
        </w:rPr>
        <w:t xml:space="preserve"> a licitação por motivo de conveniência e oportunidade;</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color w:val="000000"/>
          <w:sz w:val="18"/>
          <w:szCs w:val="18"/>
        </w:rPr>
        <w:t>III - proceder à anulação da licitação, de ofício ou mediante provocação de terceiros, sempre que presente ilegalidade insanável;</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color w:val="000000"/>
          <w:sz w:val="18"/>
          <w:szCs w:val="18"/>
        </w:rPr>
        <w:t xml:space="preserve">IV - </w:t>
      </w:r>
      <w:proofErr w:type="gramStart"/>
      <w:r>
        <w:rPr>
          <w:rFonts w:ascii="Times New Roman" w:eastAsia="Times New Roman" w:hAnsi="Times New Roman" w:cs="Times New Roman"/>
          <w:color w:val="000000"/>
          <w:sz w:val="18"/>
          <w:szCs w:val="18"/>
        </w:rPr>
        <w:t>adjudicar</w:t>
      </w:r>
      <w:proofErr w:type="gramEnd"/>
      <w:r>
        <w:rPr>
          <w:rFonts w:ascii="Times New Roman" w:eastAsia="Times New Roman" w:hAnsi="Times New Roman" w:cs="Times New Roman"/>
          <w:color w:val="000000"/>
          <w:sz w:val="18"/>
          <w:szCs w:val="18"/>
        </w:rPr>
        <w:t xml:space="preserve"> o objeto e homologar a licitação.</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19.2.</w:t>
      </w:r>
      <w:r>
        <w:rPr>
          <w:rFonts w:ascii="Times New Roman" w:eastAsia="Times New Roman" w:hAnsi="Times New Roman" w:cs="Times New Roman"/>
          <w:color w:val="000000"/>
          <w:sz w:val="18"/>
          <w:szCs w:val="18"/>
        </w:rPr>
        <w:t xml:space="preserve"> Em caso de nulidade, a autoridade indicará expressamente os atos com vícios insanáveis, tornando sem efeito todos os subsequentes que deles dependam, e dará ensejo à apuração de responsabilidade de quem lhes tenha dado causa.</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19.3.</w:t>
      </w:r>
      <w:r>
        <w:rPr>
          <w:rFonts w:ascii="Times New Roman" w:eastAsia="Times New Roman" w:hAnsi="Times New Roman" w:cs="Times New Roman"/>
          <w:color w:val="000000"/>
          <w:sz w:val="18"/>
          <w:szCs w:val="18"/>
        </w:rPr>
        <w:t xml:space="preserve"> Em caso de revogação do processo licitatório, o motivo determinante deverá ser resultante de fato superveniente devidamente comprovado.</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 xml:space="preserve">19.4. </w:t>
      </w:r>
      <w:r>
        <w:rPr>
          <w:rFonts w:ascii="Times New Roman" w:eastAsia="Times New Roman" w:hAnsi="Times New Roman" w:cs="Times New Roman"/>
          <w:color w:val="000000"/>
          <w:sz w:val="18"/>
          <w:szCs w:val="18"/>
        </w:rPr>
        <w:t>Nos casos de anulação e revogação, deverá ser assegurada a prévia manifestação dos interessados, nos termos do art. 165, da Lei nº 14.133, de 01 de abril de 2021 e alterações.</w:t>
      </w:r>
    </w:p>
    <w:p w:rsidR="00D35AD6" w:rsidRDefault="00D35AD6">
      <w:pPr>
        <w:spacing w:after="0" w:line="240" w:lineRule="auto"/>
        <w:rPr>
          <w:rFonts w:ascii="Times New Roman" w:eastAsia="Times New Roman" w:hAnsi="Times New Roman" w:cs="Times New Roman"/>
        </w:rPr>
      </w:pPr>
    </w:p>
    <w:tbl>
      <w:tblPr>
        <w:tblStyle w:val="af9"/>
        <w:tblW w:w="8625" w:type="dxa"/>
        <w:tblInd w:w="0" w:type="dxa"/>
        <w:tblLayout w:type="fixed"/>
        <w:tblLook w:val="0400" w:firstRow="0" w:lastRow="0" w:firstColumn="0" w:lastColumn="0" w:noHBand="0" w:noVBand="1"/>
      </w:tblPr>
      <w:tblGrid>
        <w:gridCol w:w="8625"/>
      </w:tblGrid>
      <w:tr w:rsidR="00D35AD6">
        <w:trPr>
          <w:tblHeader/>
        </w:trPr>
        <w:tc>
          <w:tcPr>
            <w:tcW w:w="8625"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rsidR="00D35AD6" w:rsidRDefault="00387F92">
            <w:pPr>
              <w:shd w:val="clear" w:color="auto" w:fill="FFFF00"/>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color w:val="000000"/>
                <w:sz w:val="18"/>
                <w:szCs w:val="18"/>
              </w:rPr>
              <w:t>20. DO SANEAMENTO DAS PROPOSTA E DA HABILITAÇÃO</w:t>
            </w:r>
          </w:p>
        </w:tc>
      </w:tr>
    </w:tbl>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20.1.</w:t>
      </w:r>
      <w:r>
        <w:rPr>
          <w:rFonts w:ascii="Times New Roman" w:eastAsia="Times New Roman" w:hAnsi="Times New Roman" w:cs="Times New Roman"/>
          <w:color w:val="000000"/>
          <w:sz w:val="18"/>
          <w:szCs w:val="18"/>
        </w:rPr>
        <w:t xml:space="preserve"> O Agente de Contratação, neste ato designado Pregoeira poderá, no julgamento das propostas e habilitação, sanar erros ou falhas que não alterem a substância das propostas, dos documentos e sua validade jurídica, mediante decisão fundamentada, registrada em ata e acessível aos licitantes, e lhes atribuirá validade e eficácia para fins de habilitação e classificação, observado o disposto no art. 64, da Lei nº 14.133/2021.</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lastRenderedPageBreak/>
        <w:t>20.2.</w:t>
      </w:r>
      <w:r>
        <w:rPr>
          <w:rFonts w:ascii="Times New Roman" w:eastAsia="Times New Roman" w:hAnsi="Times New Roman" w:cs="Times New Roman"/>
          <w:color w:val="000000"/>
          <w:sz w:val="18"/>
          <w:szCs w:val="18"/>
        </w:rPr>
        <w:t xml:space="preserve"> Na hipótese de necessidade de suspensão da sessão pública para a realização de diligências, com vistas ao saneamento de que trata o item anterior, a sessão pública somente poderá ser reiniciada mediante aviso prévio no sistema com, no mínimo, 24 (vinte e quatro) horas de antecedência e a ocorrência será registrada em ata.</w:t>
      </w:r>
    </w:p>
    <w:p w:rsidR="00D35AD6" w:rsidRDefault="00D35AD6">
      <w:pPr>
        <w:spacing w:after="0" w:line="240" w:lineRule="auto"/>
        <w:rPr>
          <w:rFonts w:ascii="Times New Roman" w:eastAsia="Times New Roman" w:hAnsi="Times New Roman" w:cs="Times New Roman"/>
        </w:rPr>
      </w:pPr>
    </w:p>
    <w:tbl>
      <w:tblPr>
        <w:tblStyle w:val="afa"/>
        <w:tblW w:w="8760" w:type="dxa"/>
        <w:tblInd w:w="0" w:type="dxa"/>
        <w:tblLayout w:type="fixed"/>
        <w:tblLook w:val="0400" w:firstRow="0" w:lastRow="0" w:firstColumn="0" w:lastColumn="0" w:noHBand="0" w:noVBand="1"/>
      </w:tblPr>
      <w:tblGrid>
        <w:gridCol w:w="8760"/>
      </w:tblGrid>
      <w:tr w:rsidR="00D35AD6">
        <w:trPr>
          <w:tblHeader/>
        </w:trPr>
        <w:tc>
          <w:tcPr>
            <w:tcW w:w="8760"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rsidR="00D35AD6" w:rsidRDefault="00387F92">
            <w:pPr>
              <w:shd w:val="clear" w:color="auto" w:fill="FFFF00"/>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color w:val="000000"/>
                <w:sz w:val="18"/>
                <w:szCs w:val="18"/>
                <w:highlight w:val="yellow"/>
              </w:rPr>
              <w:t xml:space="preserve">21. </w:t>
            </w:r>
            <w:r>
              <w:rPr>
                <w:rFonts w:ascii="Times New Roman" w:eastAsia="Times New Roman" w:hAnsi="Times New Roman" w:cs="Times New Roman"/>
                <w:b/>
                <w:bCs/>
                <w:color w:val="000000"/>
                <w:sz w:val="18"/>
                <w:szCs w:val="18"/>
              </w:rPr>
              <w:t>DA ATA DE REGISTRO DE PREÇOS</w:t>
            </w:r>
          </w:p>
        </w:tc>
      </w:tr>
    </w:tbl>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 xml:space="preserve">21.1. </w:t>
      </w:r>
      <w:r>
        <w:rPr>
          <w:rFonts w:ascii="Times New Roman" w:eastAsia="Times New Roman" w:hAnsi="Times New Roman" w:cs="Times New Roman"/>
          <w:color w:val="000000"/>
          <w:sz w:val="18"/>
          <w:szCs w:val="18"/>
        </w:rPr>
        <w:t xml:space="preserve">O prazo de vigência da Ata de Registro de Preço será de </w:t>
      </w:r>
      <w:r>
        <w:rPr>
          <w:rFonts w:ascii="Times New Roman" w:eastAsia="Times New Roman" w:hAnsi="Times New Roman" w:cs="Times New Roman"/>
          <w:b/>
          <w:bCs/>
          <w:color w:val="000000"/>
          <w:sz w:val="18"/>
          <w:szCs w:val="18"/>
          <w:u w:val="single"/>
        </w:rPr>
        <w:t>01 (um) ano</w:t>
      </w:r>
      <w:r>
        <w:rPr>
          <w:rFonts w:ascii="Times New Roman" w:eastAsia="Times New Roman" w:hAnsi="Times New Roman" w:cs="Times New Roman"/>
          <w:color w:val="000000"/>
          <w:sz w:val="18"/>
          <w:szCs w:val="18"/>
        </w:rPr>
        <w:t xml:space="preserve">, contados a partir da data da assinatura, </w:t>
      </w:r>
      <w:r>
        <w:rPr>
          <w:rFonts w:ascii="Times New Roman" w:eastAsia="Times New Roman" w:hAnsi="Times New Roman" w:cs="Times New Roman"/>
          <w:b/>
          <w:bCs/>
          <w:color w:val="000000"/>
          <w:sz w:val="18"/>
          <w:szCs w:val="18"/>
          <w:u w:val="single"/>
        </w:rPr>
        <w:t>podendo ser prorrogado por igual período</w:t>
      </w:r>
      <w:r>
        <w:rPr>
          <w:rFonts w:ascii="Times New Roman" w:eastAsia="Times New Roman" w:hAnsi="Times New Roman" w:cs="Times New Roman"/>
          <w:color w:val="000000"/>
          <w:sz w:val="18"/>
          <w:szCs w:val="18"/>
        </w:rPr>
        <w:t xml:space="preserve">, desde que comprovada a </w:t>
      </w:r>
      <w:proofErr w:type="spellStart"/>
      <w:r>
        <w:rPr>
          <w:rFonts w:ascii="Times New Roman" w:eastAsia="Times New Roman" w:hAnsi="Times New Roman" w:cs="Times New Roman"/>
          <w:color w:val="000000"/>
          <w:sz w:val="18"/>
          <w:szCs w:val="18"/>
        </w:rPr>
        <w:t>vantajosidade</w:t>
      </w:r>
      <w:proofErr w:type="spellEnd"/>
      <w:r>
        <w:rPr>
          <w:rFonts w:ascii="Times New Roman" w:eastAsia="Times New Roman" w:hAnsi="Times New Roman" w:cs="Times New Roman"/>
          <w:color w:val="000000"/>
          <w:sz w:val="18"/>
          <w:szCs w:val="18"/>
        </w:rPr>
        <w:t xml:space="preserve"> para a Administração, conforme dispositivos legais do Decreto nº 034/2023 e nos termos do art. 84, da Lei nº 14.133/2021. </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rPr>
          <w:rFonts w:ascii="Times New Roman" w:eastAsia="Times New Roman" w:hAnsi="Times New Roman" w:cs="Times New Roman"/>
        </w:rPr>
      </w:pPr>
      <w:r>
        <w:rPr>
          <w:rFonts w:ascii="Times New Roman" w:eastAsia="Times New Roman" w:hAnsi="Times New Roman" w:cs="Times New Roman"/>
          <w:b/>
          <w:bCs/>
          <w:color w:val="000000"/>
          <w:sz w:val="18"/>
          <w:szCs w:val="18"/>
        </w:rPr>
        <w:t>21.2.</w:t>
      </w:r>
      <w:r>
        <w:rPr>
          <w:rFonts w:ascii="Times New Roman" w:eastAsia="Times New Roman" w:hAnsi="Times New Roman" w:cs="Times New Roman"/>
          <w:color w:val="000000"/>
          <w:sz w:val="18"/>
          <w:szCs w:val="18"/>
        </w:rPr>
        <w:t xml:space="preserve"> Após a adjudicação e homologação da licitação, o licitante mais bem classificado terá o </w:t>
      </w:r>
      <w:r>
        <w:rPr>
          <w:rFonts w:ascii="Times New Roman" w:eastAsia="Times New Roman" w:hAnsi="Times New Roman" w:cs="Times New Roman"/>
          <w:b/>
          <w:bCs/>
          <w:color w:val="000000"/>
          <w:sz w:val="18"/>
          <w:szCs w:val="18"/>
          <w:u w:val="single"/>
        </w:rPr>
        <w:t>prazo de 05 (cinco) dias</w:t>
      </w:r>
      <w:r>
        <w:rPr>
          <w:rFonts w:ascii="Times New Roman" w:eastAsia="Times New Roman" w:hAnsi="Times New Roman" w:cs="Times New Roman"/>
          <w:color w:val="000000"/>
          <w:sz w:val="18"/>
          <w:szCs w:val="18"/>
        </w:rPr>
        <w:t>, contados a partir da data de sua convocação, para assinar a Ata de Registro de Preços, sob pena de decadência do direito à contratação, sem prejuízo das sanções previstas na Lei n. 14.133, de 2021. </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rPr>
          <w:rFonts w:ascii="Times New Roman" w:eastAsia="Times New Roman" w:hAnsi="Times New Roman" w:cs="Times New Roman"/>
        </w:rPr>
      </w:pPr>
      <w:r>
        <w:rPr>
          <w:rFonts w:ascii="Times New Roman" w:eastAsia="Times New Roman" w:hAnsi="Times New Roman" w:cs="Times New Roman"/>
          <w:b/>
          <w:bCs/>
          <w:color w:val="000000"/>
          <w:sz w:val="18"/>
          <w:szCs w:val="18"/>
        </w:rPr>
        <w:t xml:space="preserve">21.3. </w:t>
      </w:r>
      <w:r>
        <w:rPr>
          <w:rFonts w:ascii="Times New Roman" w:eastAsia="Times New Roman" w:hAnsi="Times New Roman" w:cs="Times New Roman"/>
          <w:color w:val="000000"/>
          <w:sz w:val="18"/>
          <w:szCs w:val="18"/>
        </w:rPr>
        <w:t>Alternativamente, à convocação para comparecer perante o órgão ou entidade para a assinatura da Ata de Registro de Preços, a Administração poderá encaminhá-la para assinatura, mediante correspondência postal com aviso de recebimento (AR) ou meio eletrônico, para que seja assinada e devolvida no prazo de 05 (cinco) dias, a contar da data de seu recebimento. </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 xml:space="preserve">21.3.1. </w:t>
      </w:r>
      <w:r>
        <w:rPr>
          <w:rFonts w:ascii="Times New Roman" w:eastAsia="Times New Roman" w:hAnsi="Times New Roman" w:cs="Times New Roman"/>
          <w:color w:val="000000"/>
          <w:sz w:val="18"/>
          <w:szCs w:val="18"/>
        </w:rPr>
        <w:t>Caso seja enviado por meio eletrônico e o adjudicatário não se manifeste no prazo de 02 (dois) dias após o envio, será considerado como recebida a Ata de Registro de Preços. </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 xml:space="preserve">21.4. </w:t>
      </w:r>
      <w:r>
        <w:rPr>
          <w:rFonts w:ascii="Times New Roman" w:eastAsia="Times New Roman" w:hAnsi="Times New Roman" w:cs="Times New Roman"/>
          <w:color w:val="000000"/>
          <w:sz w:val="18"/>
          <w:szCs w:val="18"/>
        </w:rPr>
        <w:t>O prazo previsto no subitem anterior poderá ser prorrogado, por igual período, mediante solicitação justificada do licitante/adjudicatário e aceito pela Administração.</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 xml:space="preserve">21.5. </w:t>
      </w:r>
      <w:r>
        <w:rPr>
          <w:rFonts w:ascii="Times New Roman" w:eastAsia="Times New Roman" w:hAnsi="Times New Roman" w:cs="Times New Roman"/>
          <w:color w:val="000000"/>
          <w:sz w:val="18"/>
          <w:szCs w:val="18"/>
        </w:rPr>
        <w:t xml:space="preserve">Serão formalizadas tantas Atas de Registro de Preços quanto necessárias para o registro de todos os itens constantes no Termo de Referência e neste Edital, com a indicação do licitante vencedor, a descrição </w:t>
      </w:r>
      <w:proofErr w:type="gramStart"/>
      <w:r>
        <w:rPr>
          <w:rFonts w:ascii="Times New Roman" w:eastAsia="Times New Roman" w:hAnsi="Times New Roman" w:cs="Times New Roman"/>
          <w:color w:val="000000"/>
          <w:sz w:val="18"/>
          <w:szCs w:val="18"/>
        </w:rPr>
        <w:t>do(</w:t>
      </w:r>
      <w:proofErr w:type="gramEnd"/>
      <w:r>
        <w:rPr>
          <w:rFonts w:ascii="Times New Roman" w:eastAsia="Times New Roman" w:hAnsi="Times New Roman" w:cs="Times New Roman"/>
          <w:color w:val="000000"/>
          <w:sz w:val="18"/>
          <w:szCs w:val="18"/>
        </w:rPr>
        <w:t>s) item(</w:t>
      </w:r>
      <w:proofErr w:type="spellStart"/>
      <w:r>
        <w:rPr>
          <w:rFonts w:ascii="Times New Roman" w:eastAsia="Times New Roman" w:hAnsi="Times New Roman" w:cs="Times New Roman"/>
          <w:color w:val="000000"/>
          <w:sz w:val="18"/>
          <w:szCs w:val="18"/>
        </w:rPr>
        <w:t>ns</w:t>
      </w:r>
      <w:proofErr w:type="spellEnd"/>
      <w:r>
        <w:rPr>
          <w:rFonts w:ascii="Times New Roman" w:eastAsia="Times New Roman" w:hAnsi="Times New Roman" w:cs="Times New Roman"/>
          <w:color w:val="000000"/>
          <w:sz w:val="18"/>
          <w:szCs w:val="18"/>
        </w:rPr>
        <w:t>), as respectivas quantidades, preços registrados e demais condições. </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 xml:space="preserve">21.6. </w:t>
      </w:r>
      <w:r>
        <w:rPr>
          <w:rFonts w:ascii="Times New Roman" w:eastAsia="Times New Roman" w:hAnsi="Times New Roman" w:cs="Times New Roman"/>
          <w:color w:val="000000"/>
          <w:sz w:val="18"/>
          <w:szCs w:val="18"/>
        </w:rPr>
        <w:t>A existência de preços registrados implicará compromisso de fornecimento pelo detentor da Ata de Registro de Preços nas condições estabelecidas, mas não obrigará a Administração a contratar, facultada a realização de licitação específica para a aquisição pretendida, desde que devidamente justificada. </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 xml:space="preserve">21.7. </w:t>
      </w:r>
      <w:r>
        <w:rPr>
          <w:rFonts w:ascii="Times New Roman" w:eastAsia="Times New Roman" w:hAnsi="Times New Roman" w:cs="Times New Roman"/>
          <w:color w:val="000000"/>
          <w:sz w:val="18"/>
          <w:szCs w:val="18"/>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 </w:t>
      </w:r>
    </w:p>
    <w:p w:rsidR="00D35AD6" w:rsidRDefault="00D35AD6">
      <w:pPr>
        <w:spacing w:after="0" w:line="240" w:lineRule="auto"/>
        <w:rPr>
          <w:rFonts w:ascii="Times New Roman" w:eastAsia="Times New Roman" w:hAnsi="Times New Roman" w:cs="Times New Roman"/>
        </w:rPr>
      </w:pPr>
    </w:p>
    <w:tbl>
      <w:tblPr>
        <w:tblStyle w:val="afb"/>
        <w:tblW w:w="8670" w:type="dxa"/>
        <w:tblInd w:w="0" w:type="dxa"/>
        <w:tblLayout w:type="fixed"/>
        <w:tblLook w:val="0400" w:firstRow="0" w:lastRow="0" w:firstColumn="0" w:lastColumn="0" w:noHBand="0" w:noVBand="1"/>
      </w:tblPr>
      <w:tblGrid>
        <w:gridCol w:w="8670"/>
      </w:tblGrid>
      <w:tr w:rsidR="00D35AD6">
        <w:trPr>
          <w:tblHeader/>
        </w:trPr>
        <w:tc>
          <w:tcPr>
            <w:tcW w:w="8670"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rsidR="00D35AD6" w:rsidRDefault="00387F92">
            <w:pPr>
              <w:shd w:val="clear" w:color="auto" w:fill="FFFF00"/>
              <w:spacing w:after="0" w:line="240" w:lineRule="auto"/>
              <w:jc w:val="both"/>
              <w:rPr>
                <w:rFonts w:ascii="Times New Roman" w:eastAsia="Times New Roman" w:hAnsi="Times New Roman" w:cs="Times New Roman"/>
                <w:b/>
                <w:bCs/>
              </w:rPr>
            </w:pPr>
            <w:r>
              <w:rPr>
                <w:rFonts w:ascii="Times New Roman" w:eastAsia="Times New Roman" w:hAnsi="Times New Roman" w:cs="Times New Roman"/>
                <w:b/>
                <w:bCs/>
                <w:color w:val="000000"/>
                <w:sz w:val="18"/>
                <w:szCs w:val="18"/>
              </w:rPr>
              <w:t>22. DA FORMAÇÃO DO CADASTRO DE RESERVA</w:t>
            </w:r>
          </w:p>
        </w:tc>
      </w:tr>
    </w:tbl>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22.1.</w:t>
      </w:r>
      <w:r>
        <w:rPr>
          <w:rFonts w:ascii="Times New Roman" w:eastAsia="Times New Roman" w:hAnsi="Times New Roman" w:cs="Times New Roman"/>
          <w:color w:val="000000"/>
          <w:sz w:val="18"/>
          <w:szCs w:val="18"/>
        </w:rPr>
        <w:t xml:space="preserve"> Após a homologação da licitação, será incluído na ata, na forma de anexo, o registro:</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22.1.1.</w:t>
      </w:r>
      <w:r>
        <w:rPr>
          <w:rFonts w:ascii="Times New Roman" w:eastAsia="Times New Roman" w:hAnsi="Times New Roman" w:cs="Times New Roman"/>
          <w:color w:val="000000"/>
          <w:sz w:val="18"/>
          <w:szCs w:val="18"/>
        </w:rPr>
        <w:t xml:space="preserve"> </w:t>
      </w:r>
      <w:proofErr w:type="gramStart"/>
      <w:r>
        <w:rPr>
          <w:rFonts w:ascii="Times New Roman" w:eastAsia="Times New Roman" w:hAnsi="Times New Roman" w:cs="Times New Roman"/>
          <w:color w:val="000000"/>
          <w:sz w:val="18"/>
          <w:szCs w:val="18"/>
        </w:rPr>
        <w:t>dos</w:t>
      </w:r>
      <w:proofErr w:type="gramEnd"/>
      <w:r>
        <w:rPr>
          <w:rFonts w:ascii="Times New Roman" w:eastAsia="Times New Roman" w:hAnsi="Times New Roman" w:cs="Times New Roman"/>
          <w:color w:val="000000"/>
          <w:sz w:val="18"/>
          <w:szCs w:val="18"/>
        </w:rPr>
        <w:t xml:space="preserve"> licitantes que aceitarem cotar o objeto com preço igual ao do adjudicatário, observada a classificação na licitação; e</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22.1.2.</w:t>
      </w:r>
      <w:r>
        <w:rPr>
          <w:rFonts w:ascii="Times New Roman" w:eastAsia="Times New Roman" w:hAnsi="Times New Roman" w:cs="Times New Roman"/>
          <w:color w:val="000000"/>
          <w:sz w:val="18"/>
          <w:szCs w:val="18"/>
        </w:rPr>
        <w:t xml:space="preserve"> </w:t>
      </w:r>
      <w:proofErr w:type="gramStart"/>
      <w:r>
        <w:rPr>
          <w:rFonts w:ascii="Times New Roman" w:eastAsia="Times New Roman" w:hAnsi="Times New Roman" w:cs="Times New Roman"/>
          <w:color w:val="000000"/>
          <w:sz w:val="18"/>
          <w:szCs w:val="18"/>
        </w:rPr>
        <w:t>dos</w:t>
      </w:r>
      <w:proofErr w:type="gramEnd"/>
      <w:r>
        <w:rPr>
          <w:rFonts w:ascii="Times New Roman" w:eastAsia="Times New Roman" w:hAnsi="Times New Roman" w:cs="Times New Roman"/>
          <w:color w:val="000000"/>
          <w:sz w:val="18"/>
          <w:szCs w:val="18"/>
        </w:rPr>
        <w:t xml:space="preserve"> licitantes que mantiverem sua proposta original.</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 xml:space="preserve">22.2. </w:t>
      </w:r>
      <w:r>
        <w:rPr>
          <w:rFonts w:ascii="Times New Roman" w:eastAsia="Times New Roman" w:hAnsi="Times New Roman" w:cs="Times New Roman"/>
          <w:color w:val="000000"/>
          <w:sz w:val="18"/>
          <w:szCs w:val="18"/>
        </w:rPr>
        <w:t>Será respeitada, nas contratações, a ordem de classificação dos licitantes ou fornecedores registrados na ata. </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 xml:space="preserve">22.2.1. </w:t>
      </w:r>
      <w:r>
        <w:rPr>
          <w:rFonts w:ascii="Times New Roman" w:eastAsia="Times New Roman" w:hAnsi="Times New Roman" w:cs="Times New Roman"/>
          <w:color w:val="000000"/>
          <w:sz w:val="18"/>
          <w:szCs w:val="18"/>
        </w:rPr>
        <w:t>A apresentação de novas propostas na forma deste item não prejudicará o resultado do certame em relação ao licitante mais bem classificado. </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 xml:space="preserve">22.2.2. </w:t>
      </w:r>
      <w:r>
        <w:rPr>
          <w:rFonts w:ascii="Times New Roman" w:eastAsia="Times New Roman" w:hAnsi="Times New Roman" w:cs="Times New Roman"/>
          <w:color w:val="000000"/>
          <w:sz w:val="18"/>
          <w:szCs w:val="18"/>
        </w:rPr>
        <w:t>Para fins da ordem de classificação, os licitantes ou fornecedores que aceitarem cotar o objeto com preço igual ao do adjudicatário antecederam aqueles que mantiverem sua proposta original. </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 xml:space="preserve">22.3. </w:t>
      </w:r>
      <w:r>
        <w:rPr>
          <w:rFonts w:ascii="Times New Roman" w:eastAsia="Times New Roman" w:hAnsi="Times New Roman" w:cs="Times New Roman"/>
          <w:color w:val="000000"/>
          <w:sz w:val="18"/>
          <w:szCs w:val="18"/>
        </w:rPr>
        <w:t>A habilitação dos licitantes que comporão o cadastro de reserva será efetuada quando houver necessidade de contratação dos licitantes remanescentes, nas seguintes hipóteses: </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 xml:space="preserve">22.3.1. </w:t>
      </w:r>
      <w:r>
        <w:rPr>
          <w:rFonts w:ascii="Times New Roman" w:eastAsia="Times New Roman" w:hAnsi="Times New Roman" w:cs="Times New Roman"/>
          <w:color w:val="000000"/>
          <w:sz w:val="18"/>
          <w:szCs w:val="18"/>
        </w:rPr>
        <w:t>Quando o licitante vencedor não assinar a ata de registro de preços no prazo e nas condições estabelecidos no edital; ou </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 xml:space="preserve">22.3.2. </w:t>
      </w:r>
      <w:r>
        <w:rPr>
          <w:rFonts w:ascii="Times New Roman" w:eastAsia="Times New Roman" w:hAnsi="Times New Roman" w:cs="Times New Roman"/>
          <w:color w:val="000000"/>
          <w:sz w:val="18"/>
          <w:szCs w:val="18"/>
        </w:rPr>
        <w:t>Quando houver o cancelamento do registro do fornecedor ou do registro de preços, nas hipóteses previstas nos art. 29 e art. 30 do Decreto Municipal nº 101, de 30 de março de 2023. </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 xml:space="preserve">22.4. </w:t>
      </w:r>
      <w:r>
        <w:rPr>
          <w:rFonts w:ascii="Times New Roman" w:eastAsia="Times New Roman" w:hAnsi="Times New Roman" w:cs="Times New Roman"/>
          <w:color w:val="000000"/>
          <w:sz w:val="18"/>
          <w:szCs w:val="18"/>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 </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 xml:space="preserve">22.4.1. </w:t>
      </w:r>
      <w:r>
        <w:rPr>
          <w:rFonts w:ascii="Times New Roman" w:eastAsia="Times New Roman" w:hAnsi="Times New Roman" w:cs="Times New Roman"/>
          <w:color w:val="000000"/>
          <w:sz w:val="18"/>
          <w:szCs w:val="18"/>
        </w:rPr>
        <w:t>Convocar os licitantes que mantiveram sua proposta original para negociação, na ordem de classificação, com vistas à obtenção de preço melhor, mesmo que acima do preço do adjudicatário; ou </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 xml:space="preserve">22.4.2. </w:t>
      </w:r>
      <w:r>
        <w:rPr>
          <w:rFonts w:ascii="Times New Roman" w:eastAsia="Times New Roman" w:hAnsi="Times New Roman" w:cs="Times New Roman"/>
          <w:color w:val="000000"/>
          <w:sz w:val="18"/>
          <w:szCs w:val="18"/>
        </w:rPr>
        <w:t>Adjudicar e firmar o contrato nas condições ofertadas pelos licitantes remanescentes, observada a ordem de classificação, quando frustrada a negociação de melhor condição. </w:t>
      </w:r>
    </w:p>
    <w:p w:rsidR="00D35AD6" w:rsidRDefault="00D35AD6">
      <w:pPr>
        <w:spacing w:after="0" w:line="240" w:lineRule="auto"/>
        <w:rPr>
          <w:rFonts w:ascii="Times New Roman" w:eastAsia="Times New Roman" w:hAnsi="Times New Roman" w:cs="Times New Roman"/>
        </w:rPr>
      </w:pPr>
    </w:p>
    <w:tbl>
      <w:tblPr>
        <w:tblStyle w:val="afc"/>
        <w:tblW w:w="8580" w:type="dxa"/>
        <w:tblInd w:w="0" w:type="dxa"/>
        <w:tblLayout w:type="fixed"/>
        <w:tblLook w:val="0400" w:firstRow="0" w:lastRow="0" w:firstColumn="0" w:lastColumn="0" w:noHBand="0" w:noVBand="1"/>
      </w:tblPr>
      <w:tblGrid>
        <w:gridCol w:w="8580"/>
      </w:tblGrid>
      <w:tr w:rsidR="00D35AD6">
        <w:trPr>
          <w:tblHeader/>
        </w:trPr>
        <w:tc>
          <w:tcPr>
            <w:tcW w:w="8580"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rsidR="00D35AD6" w:rsidRDefault="00387F92">
            <w:pPr>
              <w:shd w:val="clear" w:color="auto" w:fill="FFFF00"/>
              <w:spacing w:after="0" w:line="240" w:lineRule="auto"/>
              <w:jc w:val="both"/>
              <w:rPr>
                <w:rFonts w:ascii="Times New Roman" w:eastAsia="Times New Roman" w:hAnsi="Times New Roman" w:cs="Times New Roman"/>
                <w:b/>
                <w:bCs/>
              </w:rPr>
            </w:pPr>
            <w:r>
              <w:rPr>
                <w:rFonts w:ascii="Times New Roman" w:eastAsia="Times New Roman" w:hAnsi="Times New Roman" w:cs="Times New Roman"/>
                <w:b/>
                <w:bCs/>
                <w:color w:val="000000"/>
                <w:sz w:val="18"/>
                <w:szCs w:val="18"/>
              </w:rPr>
              <w:t>23. TERMO DE CONTRATO OU INSTRUMENTO EQUIVALENTE</w:t>
            </w:r>
          </w:p>
        </w:tc>
      </w:tr>
    </w:tbl>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23.1.</w:t>
      </w:r>
      <w:r>
        <w:rPr>
          <w:rFonts w:ascii="Times New Roman" w:eastAsia="Times New Roman" w:hAnsi="Times New Roman" w:cs="Times New Roman"/>
          <w:color w:val="000000"/>
          <w:sz w:val="18"/>
          <w:szCs w:val="18"/>
        </w:rPr>
        <w:tab/>
        <w:t>Após a adjudicação e homologação e firmado a Ata de Registro de Preços, em sendo realizada a contratação, será firmado Termo de Contrato ou emitido instrumento equivalente, conforme minuta que faz parte integrante deste Edital. </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23.2.</w:t>
      </w:r>
      <w:r>
        <w:rPr>
          <w:rFonts w:ascii="Times New Roman" w:eastAsia="Times New Roman" w:hAnsi="Times New Roman" w:cs="Times New Roman"/>
          <w:color w:val="000000"/>
          <w:sz w:val="18"/>
          <w:szCs w:val="18"/>
        </w:rPr>
        <w:t xml:space="preserve"> O compromissário detentor da ARP será convocado, para no </w:t>
      </w:r>
      <w:r>
        <w:rPr>
          <w:rFonts w:ascii="Times New Roman" w:eastAsia="Times New Roman" w:hAnsi="Times New Roman" w:cs="Times New Roman"/>
          <w:b/>
          <w:bCs/>
          <w:color w:val="000000"/>
          <w:sz w:val="18"/>
          <w:szCs w:val="18"/>
          <w:u w:val="single"/>
        </w:rPr>
        <w:t>prazo de 05 (cinco) dias</w:t>
      </w:r>
      <w:r>
        <w:rPr>
          <w:rFonts w:ascii="Times New Roman" w:eastAsia="Times New Roman" w:hAnsi="Times New Roman" w:cs="Times New Roman"/>
          <w:color w:val="000000"/>
          <w:sz w:val="18"/>
          <w:szCs w:val="18"/>
        </w:rPr>
        <w:t>, contados a partir da data de sua convocação, para assinar o Termo de Contrato ou aceitar instrumento equivalente, conforme o caso (Nota de Empenho/Carta Contrato/Autorização), sob pena de decair do direito à contratação, sem prejuízo das sanções previstas neste Edital e na Lei nº 14.133/2021.</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23.2.1.</w:t>
      </w:r>
      <w:r>
        <w:rPr>
          <w:rFonts w:ascii="Times New Roman" w:eastAsia="Times New Roman" w:hAnsi="Times New Roman" w:cs="Times New Roman"/>
          <w:color w:val="000000"/>
          <w:sz w:val="18"/>
          <w:szCs w:val="18"/>
        </w:rPr>
        <w:t xml:space="preserve"> 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(e-mail ou pela plataforma de realização do certame), para que seja assinado ou aceito no </w:t>
      </w:r>
      <w:r>
        <w:rPr>
          <w:rFonts w:ascii="Times New Roman" w:eastAsia="Times New Roman" w:hAnsi="Times New Roman" w:cs="Times New Roman"/>
          <w:b/>
          <w:bCs/>
          <w:color w:val="000000"/>
          <w:sz w:val="18"/>
          <w:szCs w:val="18"/>
          <w:u w:val="single"/>
        </w:rPr>
        <w:t>prazo de 05 (cinco) dias</w:t>
      </w:r>
      <w:r>
        <w:rPr>
          <w:rFonts w:ascii="Times New Roman" w:eastAsia="Times New Roman" w:hAnsi="Times New Roman" w:cs="Times New Roman"/>
          <w:color w:val="000000"/>
          <w:sz w:val="18"/>
          <w:szCs w:val="18"/>
        </w:rPr>
        <w:t>, a contar da data de seu recebimento.</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 xml:space="preserve">23.2.2. </w:t>
      </w:r>
      <w:r>
        <w:rPr>
          <w:rFonts w:ascii="Times New Roman" w:eastAsia="Times New Roman" w:hAnsi="Times New Roman" w:cs="Times New Roman"/>
          <w:color w:val="000000"/>
          <w:sz w:val="18"/>
          <w:szCs w:val="18"/>
        </w:rPr>
        <w:t>O prazo previsto no subitem anterior poderá ser prorrogado, por igual período, mediante solicitação justificada do licitante/adjudicatário e aceito pela Administração.</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23.3.</w:t>
      </w:r>
      <w:r>
        <w:rPr>
          <w:rFonts w:ascii="Times New Roman" w:eastAsia="Times New Roman" w:hAnsi="Times New Roman" w:cs="Times New Roman"/>
          <w:color w:val="000000"/>
          <w:sz w:val="18"/>
          <w:szCs w:val="18"/>
        </w:rPr>
        <w:t xml:space="preserve"> O Aceite da Nota de Empenho ou do instrumento equivalente, emitida à empresa adjudicada, implica no reconhecimento de que:</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 xml:space="preserve">23.3.1. </w:t>
      </w:r>
      <w:r>
        <w:rPr>
          <w:rFonts w:ascii="Times New Roman" w:eastAsia="Times New Roman" w:hAnsi="Times New Roman" w:cs="Times New Roman"/>
          <w:color w:val="000000"/>
          <w:sz w:val="18"/>
          <w:szCs w:val="18"/>
        </w:rPr>
        <w:t>A referida Nota está substituindo o contrato, aplicando-se à relação de negócios ali estabelecida as disposições da Lei nº 14.133/2021;</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 xml:space="preserve">23.3.2. </w:t>
      </w:r>
      <w:r>
        <w:rPr>
          <w:rFonts w:ascii="Times New Roman" w:eastAsia="Times New Roman" w:hAnsi="Times New Roman" w:cs="Times New Roman"/>
          <w:color w:val="000000"/>
          <w:sz w:val="18"/>
          <w:szCs w:val="18"/>
        </w:rPr>
        <w:t>A contratada se vincula à sua proposta e às disposições contidas no edital e seus anexos;</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23.4.</w:t>
      </w:r>
      <w:r>
        <w:rPr>
          <w:rFonts w:ascii="Times New Roman" w:eastAsia="Times New Roman" w:hAnsi="Times New Roman" w:cs="Times New Roman"/>
          <w:color w:val="000000"/>
          <w:sz w:val="18"/>
          <w:szCs w:val="18"/>
        </w:rPr>
        <w:t xml:space="preserve"> Previamente à contratação a Administração poderá realizar consultas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23.5.</w:t>
      </w:r>
      <w:r>
        <w:rPr>
          <w:rFonts w:ascii="Times New Roman" w:eastAsia="Times New Roman" w:hAnsi="Times New Roman" w:cs="Times New Roman"/>
          <w:color w:val="000000"/>
          <w:sz w:val="18"/>
          <w:szCs w:val="18"/>
        </w:rPr>
        <w:t xml:space="preserve"> Na assinatura do contrato, será exigida a comprovação das condições de habilitação consignadas no edital, que deverão ser mantidas pelo licitante durante a vigência do contrato.</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23.6.</w:t>
      </w:r>
      <w:r>
        <w:rPr>
          <w:rFonts w:ascii="Times New Roman" w:eastAsia="Times New Roman" w:hAnsi="Times New Roman" w:cs="Times New Roman"/>
          <w:color w:val="000000"/>
          <w:sz w:val="18"/>
          <w:szCs w:val="18"/>
        </w:rPr>
        <w:t xml:space="preserve"> 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instrumento equivalente.</w:t>
      </w:r>
    </w:p>
    <w:p w:rsidR="00D35AD6" w:rsidRDefault="00D35AD6">
      <w:pPr>
        <w:spacing w:after="0" w:line="240" w:lineRule="auto"/>
        <w:rPr>
          <w:rFonts w:ascii="Times New Roman" w:eastAsia="Times New Roman" w:hAnsi="Times New Roman" w:cs="Times New Roman"/>
        </w:rPr>
      </w:pPr>
    </w:p>
    <w:tbl>
      <w:tblPr>
        <w:tblStyle w:val="afd"/>
        <w:tblW w:w="8550" w:type="dxa"/>
        <w:tblInd w:w="0" w:type="dxa"/>
        <w:tblLayout w:type="fixed"/>
        <w:tblLook w:val="0400" w:firstRow="0" w:lastRow="0" w:firstColumn="0" w:lastColumn="0" w:noHBand="0" w:noVBand="1"/>
      </w:tblPr>
      <w:tblGrid>
        <w:gridCol w:w="8550"/>
      </w:tblGrid>
      <w:tr w:rsidR="00D35AD6">
        <w:trPr>
          <w:tblHeader/>
        </w:trPr>
        <w:tc>
          <w:tcPr>
            <w:tcW w:w="8550"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rsidR="00D35AD6" w:rsidRDefault="00387F92">
            <w:pPr>
              <w:shd w:val="clear" w:color="auto" w:fill="FFFF00"/>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color w:val="000000"/>
                <w:sz w:val="18"/>
                <w:szCs w:val="18"/>
                <w:highlight w:val="yellow"/>
              </w:rPr>
              <w:t>24.</w:t>
            </w:r>
            <w:r>
              <w:rPr>
                <w:rFonts w:ascii="Times New Roman" w:eastAsia="Times New Roman" w:hAnsi="Times New Roman" w:cs="Times New Roman"/>
                <w:b/>
                <w:bCs/>
                <w:color w:val="000000"/>
                <w:sz w:val="18"/>
                <w:szCs w:val="18"/>
              </w:rPr>
              <w:t xml:space="preserve"> DAS OBRIGAÇÕES DAS PARTES</w:t>
            </w:r>
          </w:p>
        </w:tc>
      </w:tr>
    </w:tbl>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lastRenderedPageBreak/>
        <w:t>24.1.</w:t>
      </w:r>
      <w:r>
        <w:rPr>
          <w:rFonts w:ascii="Times New Roman" w:eastAsia="Times New Roman" w:hAnsi="Times New Roman" w:cs="Times New Roman"/>
          <w:color w:val="000000"/>
          <w:sz w:val="18"/>
          <w:szCs w:val="18"/>
        </w:rPr>
        <w:t xml:space="preserve"> As obrigações e responsabilidades das partes, são as estabelecidas no Termo de Referência, neste Edital e na Minuta da Ata de Registro de Preços e na Minuta do Instrumento Contratual, que fazem parte integrante deste Edital, independente de transcrição.</w:t>
      </w:r>
    </w:p>
    <w:p w:rsidR="00D35AD6" w:rsidRDefault="00D35AD6">
      <w:pPr>
        <w:spacing w:after="0" w:line="240" w:lineRule="auto"/>
        <w:rPr>
          <w:rFonts w:ascii="Times New Roman" w:eastAsia="Times New Roman" w:hAnsi="Times New Roman" w:cs="Times New Roman"/>
        </w:rPr>
      </w:pPr>
    </w:p>
    <w:tbl>
      <w:tblPr>
        <w:tblStyle w:val="afe"/>
        <w:tblW w:w="8505" w:type="dxa"/>
        <w:tblInd w:w="0" w:type="dxa"/>
        <w:tblLayout w:type="fixed"/>
        <w:tblLook w:val="0400" w:firstRow="0" w:lastRow="0" w:firstColumn="0" w:lastColumn="0" w:noHBand="0" w:noVBand="1"/>
      </w:tblPr>
      <w:tblGrid>
        <w:gridCol w:w="8505"/>
      </w:tblGrid>
      <w:tr w:rsidR="00D35AD6">
        <w:trPr>
          <w:tblHeader/>
        </w:trPr>
        <w:tc>
          <w:tcPr>
            <w:tcW w:w="8505"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rsidR="00D35AD6" w:rsidRDefault="00387F92">
            <w:pPr>
              <w:shd w:val="clear" w:color="auto" w:fill="FFFF00"/>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color w:val="000000"/>
                <w:sz w:val="18"/>
                <w:szCs w:val="18"/>
                <w:highlight w:val="yellow"/>
              </w:rPr>
              <w:t>25.</w:t>
            </w:r>
            <w:r>
              <w:rPr>
                <w:rFonts w:ascii="Times New Roman" w:eastAsia="Times New Roman" w:hAnsi="Times New Roman" w:cs="Times New Roman"/>
                <w:b/>
                <w:bCs/>
                <w:color w:val="000000"/>
                <w:sz w:val="18"/>
                <w:szCs w:val="18"/>
              </w:rPr>
              <w:t xml:space="preserve"> DOS PAGAMENTOS</w:t>
            </w:r>
          </w:p>
        </w:tc>
      </w:tr>
    </w:tbl>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25.1.</w:t>
      </w:r>
      <w:r>
        <w:rPr>
          <w:rFonts w:ascii="Times New Roman" w:eastAsia="Times New Roman" w:hAnsi="Times New Roman" w:cs="Times New Roman"/>
          <w:color w:val="000000"/>
          <w:sz w:val="18"/>
          <w:szCs w:val="18"/>
        </w:rPr>
        <w:t xml:space="preserve"> </w:t>
      </w:r>
      <w:proofErr w:type="gramStart"/>
      <w:r>
        <w:rPr>
          <w:rFonts w:ascii="Times New Roman" w:eastAsia="Times New Roman" w:hAnsi="Times New Roman" w:cs="Times New Roman"/>
          <w:color w:val="000000"/>
          <w:sz w:val="18"/>
          <w:szCs w:val="18"/>
        </w:rPr>
        <w:t>O(</w:t>
      </w:r>
      <w:proofErr w:type="gramEnd"/>
      <w:r>
        <w:rPr>
          <w:rFonts w:ascii="Times New Roman" w:eastAsia="Times New Roman" w:hAnsi="Times New Roman" w:cs="Times New Roman"/>
          <w:color w:val="000000"/>
          <w:sz w:val="18"/>
          <w:szCs w:val="18"/>
        </w:rPr>
        <w:t>s) pagamento(s) devidos pela aquisição dos produtos objeto deste Edital, são os estabelecidos no Termo de Referência, na Minuta da Ata de Registro de Preços e Minuta do Instrumento Contratual, que fazem parte integrante deste Edital, independente de transcrição.</w:t>
      </w:r>
    </w:p>
    <w:p w:rsidR="00D35AD6" w:rsidRDefault="00D35AD6">
      <w:pPr>
        <w:spacing w:after="0" w:line="240" w:lineRule="auto"/>
        <w:rPr>
          <w:rFonts w:ascii="Times New Roman" w:eastAsia="Times New Roman" w:hAnsi="Times New Roman" w:cs="Times New Roman"/>
        </w:rPr>
      </w:pPr>
    </w:p>
    <w:tbl>
      <w:tblPr>
        <w:tblStyle w:val="aff"/>
        <w:tblW w:w="8490" w:type="dxa"/>
        <w:tblInd w:w="0" w:type="dxa"/>
        <w:tblLayout w:type="fixed"/>
        <w:tblLook w:val="0400" w:firstRow="0" w:lastRow="0" w:firstColumn="0" w:lastColumn="0" w:noHBand="0" w:noVBand="1"/>
      </w:tblPr>
      <w:tblGrid>
        <w:gridCol w:w="8490"/>
      </w:tblGrid>
      <w:tr w:rsidR="00D35AD6">
        <w:trPr>
          <w:tblHeader/>
        </w:trPr>
        <w:tc>
          <w:tcPr>
            <w:tcW w:w="8490"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rsidR="00D35AD6" w:rsidRDefault="00387F92">
            <w:pPr>
              <w:shd w:val="clear" w:color="auto" w:fill="FFFF00"/>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color w:val="000000"/>
                <w:sz w:val="18"/>
                <w:szCs w:val="18"/>
                <w:highlight w:val="yellow"/>
              </w:rPr>
              <w:t>26.</w:t>
            </w:r>
            <w:r>
              <w:rPr>
                <w:rFonts w:ascii="Times New Roman" w:eastAsia="Times New Roman" w:hAnsi="Times New Roman" w:cs="Times New Roman"/>
                <w:b/>
                <w:bCs/>
                <w:color w:val="000000"/>
                <w:sz w:val="18"/>
                <w:szCs w:val="18"/>
              </w:rPr>
              <w:t xml:space="preserve"> DAS INFRAÇÕES E SANÇÕES ADMINISTRATIVAS</w:t>
            </w:r>
          </w:p>
        </w:tc>
      </w:tr>
    </w:tbl>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26.1.</w:t>
      </w:r>
      <w:r>
        <w:rPr>
          <w:rFonts w:ascii="Times New Roman" w:eastAsia="Times New Roman" w:hAnsi="Times New Roman" w:cs="Times New Roman"/>
          <w:color w:val="000000"/>
          <w:sz w:val="18"/>
          <w:szCs w:val="18"/>
        </w:rPr>
        <w:t xml:space="preserve"> As responsabilidades administrativas por infrações e as sanções aplicadas </w:t>
      </w:r>
      <w:proofErr w:type="gramStart"/>
      <w:r>
        <w:rPr>
          <w:rFonts w:ascii="Times New Roman" w:eastAsia="Times New Roman" w:hAnsi="Times New Roman" w:cs="Times New Roman"/>
          <w:color w:val="000000"/>
          <w:sz w:val="18"/>
          <w:szCs w:val="18"/>
        </w:rPr>
        <w:t>ao(</w:t>
      </w:r>
      <w:proofErr w:type="gramEnd"/>
      <w:r>
        <w:rPr>
          <w:rFonts w:ascii="Times New Roman" w:eastAsia="Times New Roman" w:hAnsi="Times New Roman" w:cs="Times New Roman"/>
          <w:color w:val="000000"/>
          <w:sz w:val="18"/>
          <w:szCs w:val="18"/>
        </w:rPr>
        <w:t>s) licitante(s) ou contratado(s), estão estabelecidas no Termo de Referência e na Minuta do Instrumento Contratual, que fazem parte integrante deste Edital, independente de transcrição.</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26.2.</w:t>
      </w:r>
      <w:r>
        <w:rPr>
          <w:rFonts w:ascii="Times New Roman" w:eastAsia="Times New Roman" w:hAnsi="Times New Roman" w:cs="Times New Roman"/>
          <w:color w:val="000000"/>
          <w:sz w:val="18"/>
          <w:szCs w:val="18"/>
        </w:rPr>
        <w:t xml:space="preserve"> Para aplicação das sanções administrativas, por infrações cometidas </w:t>
      </w:r>
      <w:proofErr w:type="gramStart"/>
      <w:r>
        <w:rPr>
          <w:rFonts w:ascii="Times New Roman" w:eastAsia="Times New Roman" w:hAnsi="Times New Roman" w:cs="Times New Roman"/>
          <w:color w:val="000000"/>
          <w:sz w:val="18"/>
          <w:szCs w:val="18"/>
        </w:rPr>
        <w:t>pelo(</w:t>
      </w:r>
      <w:proofErr w:type="gramEnd"/>
      <w:r>
        <w:rPr>
          <w:rFonts w:ascii="Times New Roman" w:eastAsia="Times New Roman" w:hAnsi="Times New Roman" w:cs="Times New Roman"/>
          <w:color w:val="000000"/>
          <w:sz w:val="18"/>
          <w:szCs w:val="18"/>
        </w:rPr>
        <w:t>s) licitante(s) ou contratado(s), serão observados em todo o caso, as disposições contidas na Lei nº 14.133, de 01 de abril de 2021, no Decreto nº 044/2023 e as disposições contidas neste Edital e seus anexos.</w:t>
      </w:r>
    </w:p>
    <w:p w:rsidR="00D35AD6" w:rsidRDefault="00D35AD6">
      <w:pPr>
        <w:spacing w:after="0" w:line="240" w:lineRule="auto"/>
        <w:rPr>
          <w:rFonts w:ascii="Times New Roman" w:eastAsia="Times New Roman" w:hAnsi="Times New Roman" w:cs="Times New Roman"/>
        </w:rPr>
      </w:pPr>
    </w:p>
    <w:tbl>
      <w:tblPr>
        <w:tblStyle w:val="aff0"/>
        <w:tblW w:w="8580" w:type="dxa"/>
        <w:tblInd w:w="0" w:type="dxa"/>
        <w:tblLayout w:type="fixed"/>
        <w:tblLook w:val="0400" w:firstRow="0" w:lastRow="0" w:firstColumn="0" w:lastColumn="0" w:noHBand="0" w:noVBand="1"/>
      </w:tblPr>
      <w:tblGrid>
        <w:gridCol w:w="8580"/>
      </w:tblGrid>
      <w:tr w:rsidR="00D35AD6">
        <w:trPr>
          <w:tblHeader/>
        </w:trPr>
        <w:tc>
          <w:tcPr>
            <w:tcW w:w="8580"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rsidR="00D35AD6" w:rsidRDefault="00387F92">
            <w:pPr>
              <w:shd w:val="clear" w:color="auto" w:fill="FFFF00"/>
              <w:spacing w:after="0" w:line="240" w:lineRule="auto"/>
              <w:jc w:val="both"/>
              <w:rPr>
                <w:rFonts w:ascii="Times New Roman" w:eastAsia="Times New Roman" w:hAnsi="Times New Roman" w:cs="Times New Roman"/>
                <w:b/>
                <w:bCs/>
              </w:rPr>
            </w:pPr>
            <w:r>
              <w:rPr>
                <w:rFonts w:ascii="Times New Roman" w:eastAsia="Times New Roman" w:hAnsi="Times New Roman" w:cs="Times New Roman"/>
                <w:b/>
                <w:bCs/>
                <w:color w:val="000000"/>
                <w:sz w:val="18"/>
                <w:szCs w:val="18"/>
                <w:highlight w:val="yellow"/>
              </w:rPr>
              <w:t>27.</w:t>
            </w:r>
            <w:r>
              <w:rPr>
                <w:rFonts w:ascii="Times New Roman" w:eastAsia="Times New Roman" w:hAnsi="Times New Roman" w:cs="Times New Roman"/>
                <w:b/>
                <w:bCs/>
                <w:color w:val="000000"/>
                <w:sz w:val="18"/>
                <w:szCs w:val="18"/>
              </w:rPr>
              <w:t xml:space="preserve"> DA ALTERAÇÃO DOS PREÇOS REGISTRADOS</w:t>
            </w:r>
          </w:p>
        </w:tc>
      </w:tr>
    </w:tbl>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27.1.</w:t>
      </w:r>
      <w:r>
        <w:rPr>
          <w:rFonts w:ascii="Times New Roman" w:eastAsia="Times New Roman" w:hAnsi="Times New Roman" w:cs="Times New Roman"/>
          <w:color w:val="000000"/>
          <w:sz w:val="18"/>
          <w:szCs w:val="18"/>
        </w:rPr>
        <w:t xml:space="preserve"> Os preços registrados poderão ser alterados ou atualizados em decorrência de eventual redução dos preços praticados no mercado ou de fato que eleve o custo dos produtos, nas seguintes situações: </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 xml:space="preserve">27.1.1. </w:t>
      </w:r>
      <w:r>
        <w:rPr>
          <w:rFonts w:ascii="Times New Roman" w:eastAsia="Times New Roman" w:hAnsi="Times New Roman" w:cs="Times New Roman"/>
          <w:color w:val="000000"/>
          <w:sz w:val="18"/>
          <w:szCs w:val="18"/>
        </w:rPr>
        <w:t>Em caso de força maior, caso fortuito ou fato do príncipe ou em decorrência de fatos imprevisíveis ou previsíveis de consequências incalculáveis, que inviabilizam a execução da ata tal como pactuada, nos termos do art. 124, II, d, da Lei nº 14.133, de 2021; </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 xml:space="preserve">27.1.2. </w:t>
      </w:r>
      <w:r>
        <w:rPr>
          <w:rFonts w:ascii="Times New Roman" w:eastAsia="Times New Roman" w:hAnsi="Times New Roman" w:cs="Times New Roman"/>
          <w:color w:val="000000"/>
          <w:sz w:val="18"/>
          <w:szCs w:val="18"/>
        </w:rPr>
        <w:t>Em caso de criação, alteração ou extinção de quaisquer tributos ou encargos legais ou a superveniência de disposições legais, com comprovada repercussão sobre os preços registrados; </w:t>
      </w:r>
    </w:p>
    <w:p w:rsidR="00D35AD6" w:rsidRDefault="00D35AD6">
      <w:pPr>
        <w:spacing w:after="0" w:line="240" w:lineRule="auto"/>
        <w:rPr>
          <w:rFonts w:ascii="Times New Roman" w:eastAsia="Times New Roman" w:hAnsi="Times New Roman" w:cs="Times New Roman"/>
        </w:rPr>
      </w:pPr>
    </w:p>
    <w:tbl>
      <w:tblPr>
        <w:tblStyle w:val="aff1"/>
        <w:tblW w:w="8520" w:type="dxa"/>
        <w:tblInd w:w="0" w:type="dxa"/>
        <w:tblLayout w:type="fixed"/>
        <w:tblLook w:val="0400" w:firstRow="0" w:lastRow="0" w:firstColumn="0" w:lastColumn="0" w:noHBand="0" w:noVBand="1"/>
      </w:tblPr>
      <w:tblGrid>
        <w:gridCol w:w="8520"/>
      </w:tblGrid>
      <w:tr w:rsidR="00D35AD6">
        <w:trPr>
          <w:tblHeader/>
        </w:trPr>
        <w:tc>
          <w:tcPr>
            <w:tcW w:w="8520"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rsidR="00D35AD6" w:rsidRDefault="00387F92">
            <w:pPr>
              <w:shd w:val="clear" w:color="auto" w:fill="FFFF00"/>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color w:val="000000"/>
                <w:sz w:val="18"/>
                <w:szCs w:val="18"/>
                <w:highlight w:val="yellow"/>
              </w:rPr>
              <w:t>28.</w:t>
            </w:r>
            <w:r>
              <w:rPr>
                <w:rFonts w:ascii="Times New Roman" w:eastAsia="Times New Roman" w:hAnsi="Times New Roman" w:cs="Times New Roman"/>
                <w:b/>
                <w:bCs/>
                <w:color w:val="000000"/>
                <w:sz w:val="18"/>
                <w:szCs w:val="18"/>
              </w:rPr>
              <w:t xml:space="preserve"> DA FISCALIZAÇÃO DA ATA DE REGISTRO DE PREÇOS E DO CONTRATO</w:t>
            </w:r>
          </w:p>
        </w:tc>
      </w:tr>
    </w:tbl>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28.1.</w:t>
      </w:r>
      <w:r>
        <w:rPr>
          <w:rFonts w:ascii="Times New Roman" w:eastAsia="Times New Roman" w:hAnsi="Times New Roman" w:cs="Times New Roman"/>
          <w:color w:val="000000"/>
          <w:sz w:val="18"/>
          <w:szCs w:val="18"/>
        </w:rPr>
        <w:t xml:space="preserve"> A execução das obrigações integrantes da Ata de Registro de Preços ou do Contrato será gerenciada e fiscalizada por servidores da Administração Municipal, que dispõem de autoridade para exercer toda e qualquer ação de orientação geral, acompanhamento e fiscalização da execução, objetivando garantir sua qualidade e conformidade com o objeto deste edital, nos termos da lei nº 14.133/2021.</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28.2.</w:t>
      </w:r>
      <w:r>
        <w:rPr>
          <w:rFonts w:ascii="Times New Roman" w:eastAsia="Times New Roman" w:hAnsi="Times New Roman" w:cs="Times New Roman"/>
          <w:color w:val="000000"/>
          <w:sz w:val="18"/>
          <w:szCs w:val="18"/>
        </w:rPr>
        <w:t xml:space="preserve"> O acompanhamento e a fiscalização dos instrumentos firmados com o vencedor do certame serão feitos por servidores designados por Portaria ou insertos no próprio contrato, em conformidade com os dispositivos legais previstos na lei nº 14.133/2021 e demais regulamentações pertinentes.</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 xml:space="preserve">28.3. </w:t>
      </w:r>
      <w:r>
        <w:rPr>
          <w:rFonts w:ascii="Times New Roman" w:eastAsia="Times New Roman" w:hAnsi="Times New Roman" w:cs="Times New Roman"/>
          <w:color w:val="000000"/>
          <w:sz w:val="18"/>
          <w:szCs w:val="18"/>
        </w:rPr>
        <w:t>Outras deliberações sobre a fiscalização e gestão do contrato estão consignadas no Termo de Referência, na Minuta da ARP e no Instrumento Contratual, que fazem parte integrante deste Edital, independente de transcrição e, observarão ainda os dispositivos legais previstos no Decreto nº 034/2023 e na Lei 14.133/2021. </w:t>
      </w:r>
    </w:p>
    <w:p w:rsidR="00D35AD6" w:rsidRDefault="00D35AD6">
      <w:pPr>
        <w:spacing w:after="0" w:line="240" w:lineRule="auto"/>
        <w:rPr>
          <w:rFonts w:ascii="Times New Roman" w:eastAsia="Times New Roman" w:hAnsi="Times New Roman" w:cs="Times New Roman"/>
        </w:rPr>
      </w:pPr>
    </w:p>
    <w:tbl>
      <w:tblPr>
        <w:tblStyle w:val="aff2"/>
        <w:tblW w:w="8580" w:type="dxa"/>
        <w:tblInd w:w="0" w:type="dxa"/>
        <w:tblLayout w:type="fixed"/>
        <w:tblLook w:val="0400" w:firstRow="0" w:lastRow="0" w:firstColumn="0" w:lastColumn="0" w:noHBand="0" w:noVBand="1"/>
      </w:tblPr>
      <w:tblGrid>
        <w:gridCol w:w="8580"/>
      </w:tblGrid>
      <w:tr w:rsidR="00D35AD6">
        <w:trPr>
          <w:tblHeader/>
        </w:trPr>
        <w:tc>
          <w:tcPr>
            <w:tcW w:w="8580"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rsidR="00D35AD6" w:rsidRDefault="00387F92">
            <w:pPr>
              <w:shd w:val="clear" w:color="auto" w:fill="FFFF00"/>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color w:val="000000"/>
                <w:sz w:val="18"/>
                <w:szCs w:val="18"/>
                <w:highlight w:val="yellow"/>
              </w:rPr>
              <w:t>29.</w:t>
            </w:r>
            <w:r>
              <w:rPr>
                <w:rFonts w:ascii="Times New Roman" w:eastAsia="Times New Roman" w:hAnsi="Times New Roman" w:cs="Times New Roman"/>
                <w:b/>
                <w:bCs/>
                <w:color w:val="000000"/>
                <w:sz w:val="18"/>
                <w:szCs w:val="18"/>
              </w:rPr>
              <w:t xml:space="preserve"> DOS PEDIDOS DE ESCLARECIMETOS E DA IMPUGNAÇÃO AO EDITAL</w:t>
            </w:r>
          </w:p>
        </w:tc>
      </w:tr>
    </w:tbl>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29.1.</w:t>
      </w:r>
      <w:r>
        <w:rPr>
          <w:rFonts w:ascii="Times New Roman" w:eastAsia="Times New Roman" w:hAnsi="Times New Roman" w:cs="Times New Roman"/>
          <w:color w:val="000000"/>
          <w:sz w:val="18"/>
          <w:szCs w:val="18"/>
        </w:rPr>
        <w:t xml:space="preserve"> Qualquer pessoa é parte legítima para impugnar edital de licitação ou para solicitar esclarecimento sobre os seus termos, devendo protocolar o pedido em </w:t>
      </w:r>
      <w:r>
        <w:rPr>
          <w:rFonts w:ascii="Times New Roman" w:eastAsia="Times New Roman" w:hAnsi="Times New Roman" w:cs="Times New Roman"/>
          <w:b/>
          <w:bCs/>
          <w:color w:val="000000"/>
          <w:sz w:val="18"/>
          <w:szCs w:val="18"/>
          <w:u w:val="single"/>
        </w:rPr>
        <w:t>até 3 (três) dias úteis antes da data de abertura da sessão pública</w:t>
      </w:r>
      <w:r>
        <w:rPr>
          <w:rFonts w:ascii="Times New Roman" w:eastAsia="Times New Roman" w:hAnsi="Times New Roman" w:cs="Times New Roman"/>
          <w:color w:val="000000"/>
          <w:sz w:val="18"/>
          <w:szCs w:val="18"/>
        </w:rPr>
        <w:t>, mediante documento formalizado, no endereço eletrônico: (</w:t>
      </w:r>
      <w:hyperlink r:id="rId16">
        <w:r>
          <w:rPr>
            <w:rFonts w:ascii="Times New Roman" w:eastAsia="Times New Roman" w:hAnsi="Times New Roman" w:cs="Times New Roman"/>
            <w:color w:val="0000FF"/>
            <w:sz w:val="18"/>
            <w:szCs w:val="18"/>
            <w:u w:val="single"/>
          </w:rPr>
          <w:t>www.bnc.org.br</w:t>
        </w:r>
      </w:hyperlink>
      <w:r>
        <w:rPr>
          <w:rFonts w:ascii="Times New Roman" w:eastAsia="Times New Roman" w:hAnsi="Times New Roman" w:cs="Times New Roman"/>
          <w:color w:val="000000"/>
          <w:sz w:val="18"/>
          <w:szCs w:val="18"/>
        </w:rPr>
        <w:t xml:space="preserve">) – </w:t>
      </w:r>
      <w:r>
        <w:rPr>
          <w:rFonts w:ascii="Times New Roman" w:eastAsia="Times New Roman" w:hAnsi="Times New Roman" w:cs="Times New Roman"/>
          <w:b/>
          <w:bCs/>
          <w:color w:val="000000"/>
          <w:sz w:val="18"/>
          <w:szCs w:val="18"/>
          <w:u w:val="single"/>
        </w:rPr>
        <w:t xml:space="preserve">Bolsa Nacional de Compras ou via e-mail: </w:t>
      </w:r>
      <w:hyperlink r:id="rId17">
        <w:r>
          <w:rPr>
            <w:rFonts w:ascii="Times New Roman" w:eastAsia="Times New Roman" w:hAnsi="Times New Roman" w:cs="Times New Roman"/>
            <w:color w:val="0000FF"/>
            <w:sz w:val="18"/>
            <w:szCs w:val="18"/>
            <w:u w:val="single"/>
          </w:rPr>
          <w:t>licitacao.concipa2025@gmail.com</w:t>
        </w:r>
      </w:hyperlink>
      <w:r>
        <w:rPr>
          <w:rFonts w:ascii="Times New Roman" w:eastAsia="Times New Roman" w:hAnsi="Times New Roman" w:cs="Times New Roman"/>
          <w:color w:val="000000"/>
          <w:sz w:val="18"/>
          <w:szCs w:val="18"/>
          <w:u w:val="single"/>
        </w:rPr>
        <w:t xml:space="preserve">. </w:t>
      </w:r>
      <w:r>
        <w:rPr>
          <w:rFonts w:ascii="Times New Roman" w:eastAsia="Times New Roman" w:hAnsi="Times New Roman" w:cs="Times New Roman"/>
          <w:color w:val="000000"/>
          <w:sz w:val="18"/>
          <w:szCs w:val="18"/>
        </w:rPr>
        <w:t>  </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29.2.</w:t>
      </w:r>
      <w:r>
        <w:rPr>
          <w:rFonts w:ascii="Times New Roman" w:eastAsia="Times New Roman" w:hAnsi="Times New Roman" w:cs="Times New Roman"/>
          <w:color w:val="000000"/>
          <w:sz w:val="18"/>
          <w:szCs w:val="18"/>
        </w:rPr>
        <w:t xml:space="preserve"> O Agente de Contratação, neste ato designado Pregoeira, quando o substituir, responderá aos pedidos de esclarecimentos e/ou impugnação no </w:t>
      </w:r>
      <w:r>
        <w:rPr>
          <w:rFonts w:ascii="Times New Roman" w:eastAsia="Times New Roman" w:hAnsi="Times New Roman" w:cs="Times New Roman"/>
          <w:b/>
          <w:bCs/>
          <w:color w:val="000000"/>
          <w:sz w:val="18"/>
          <w:szCs w:val="18"/>
          <w:u w:val="single"/>
        </w:rPr>
        <w:t>prazo de até 3 (três) dias úteis contado da data de recebimento do pedido</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b/>
          <w:bCs/>
          <w:color w:val="000000"/>
          <w:sz w:val="18"/>
          <w:szCs w:val="18"/>
          <w:u w:val="single"/>
        </w:rPr>
        <w:t>limitado ao último dia útil anterior à data da abertura do certame</w:t>
      </w:r>
      <w:r>
        <w:rPr>
          <w:rFonts w:ascii="Times New Roman" w:eastAsia="Times New Roman" w:hAnsi="Times New Roman" w:cs="Times New Roman"/>
          <w:color w:val="000000"/>
          <w:sz w:val="18"/>
          <w:szCs w:val="18"/>
        </w:rPr>
        <w:t>, e poderá requisitar subsídios formais aos responsáveis pela elaboração do Estudo Técnico Preliminar e Termo de Referência e seus anexos. </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29.3</w:t>
      </w:r>
      <w:r>
        <w:rPr>
          <w:rFonts w:ascii="Times New Roman" w:eastAsia="Times New Roman" w:hAnsi="Times New Roman" w:cs="Times New Roman"/>
          <w:color w:val="000000"/>
          <w:sz w:val="18"/>
          <w:szCs w:val="18"/>
        </w:rPr>
        <w:t>. A impugnação não possui efeito suspensivo, sendo a sua concessão medida excepcional que deverá ser motivada pelo Agente de Contratação, neste ato designado Pregoeira, quando o substituir, ou ainda pelos responsáveis pela elaboração do Termo de Referência e seus anexos, nos autos do processo de licitação. </w:t>
      </w: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29.4</w:t>
      </w:r>
      <w:r>
        <w:rPr>
          <w:rFonts w:ascii="Times New Roman" w:eastAsia="Times New Roman" w:hAnsi="Times New Roman" w:cs="Times New Roman"/>
          <w:color w:val="000000"/>
          <w:sz w:val="18"/>
          <w:szCs w:val="18"/>
        </w:rPr>
        <w:t xml:space="preserve"> - Acolhida a impugnação contra o instrumento convocatório, será definida e publicada nova data para a realização do certame. </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29.5</w:t>
      </w:r>
      <w:r>
        <w:rPr>
          <w:rFonts w:ascii="Times New Roman" w:eastAsia="Times New Roman" w:hAnsi="Times New Roman" w:cs="Times New Roman"/>
          <w:color w:val="000000"/>
          <w:sz w:val="18"/>
          <w:szCs w:val="18"/>
        </w:rPr>
        <w:t xml:space="preserve"> - As respostas aos pedidos de esclarecimentos e impugnações serão divulgadas no site: </w:t>
      </w:r>
      <w:hyperlink r:id="rId18">
        <w:r>
          <w:rPr>
            <w:rFonts w:ascii="Times New Roman" w:eastAsia="Times New Roman" w:hAnsi="Times New Roman" w:cs="Times New Roman"/>
            <w:color w:val="0000FF"/>
            <w:sz w:val="18"/>
            <w:szCs w:val="18"/>
            <w:u w:val="single"/>
          </w:rPr>
          <w:t>www.conceicaodeipanema.mg.gov.br</w:t>
        </w:r>
      </w:hyperlink>
      <w:r>
        <w:rPr>
          <w:rFonts w:ascii="Times New Roman" w:eastAsia="Times New Roman" w:hAnsi="Times New Roman" w:cs="Times New Roman"/>
          <w:color w:val="000000"/>
          <w:sz w:val="18"/>
          <w:szCs w:val="18"/>
        </w:rPr>
        <w:t xml:space="preserve"> e no Sistema Bolsa Nacional de Compras - BNC  (</w:t>
      </w:r>
      <w:hyperlink r:id="rId19">
        <w:r>
          <w:rPr>
            <w:rFonts w:ascii="Times New Roman" w:eastAsia="Times New Roman" w:hAnsi="Times New Roman" w:cs="Times New Roman"/>
            <w:color w:val="0000FF"/>
            <w:sz w:val="18"/>
            <w:szCs w:val="18"/>
            <w:u w:val="single"/>
          </w:rPr>
          <w:t>www.bnc.org.br</w:t>
        </w:r>
      </w:hyperlink>
      <w:r>
        <w:rPr>
          <w:rFonts w:ascii="Times New Roman" w:eastAsia="Times New Roman" w:hAnsi="Times New Roman" w:cs="Times New Roman"/>
          <w:color w:val="000000"/>
          <w:sz w:val="18"/>
          <w:szCs w:val="18"/>
        </w:rPr>
        <w:t>), e vincularão os participantes e a Administração.</w:t>
      </w: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color w:val="000000"/>
          <w:sz w:val="18"/>
          <w:szCs w:val="18"/>
        </w:rPr>
        <w:t> </w:t>
      </w:r>
    </w:p>
    <w:tbl>
      <w:tblPr>
        <w:tblStyle w:val="aff3"/>
        <w:tblW w:w="8520" w:type="dxa"/>
        <w:tblInd w:w="0" w:type="dxa"/>
        <w:tblLayout w:type="fixed"/>
        <w:tblLook w:val="0400" w:firstRow="0" w:lastRow="0" w:firstColumn="0" w:lastColumn="0" w:noHBand="0" w:noVBand="1"/>
      </w:tblPr>
      <w:tblGrid>
        <w:gridCol w:w="8520"/>
      </w:tblGrid>
      <w:tr w:rsidR="00D35AD6">
        <w:trPr>
          <w:tblHeader/>
        </w:trPr>
        <w:tc>
          <w:tcPr>
            <w:tcW w:w="8520"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rsidR="00D35AD6" w:rsidRDefault="00387F92">
            <w:pPr>
              <w:shd w:val="clear" w:color="auto" w:fill="FFFF00"/>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color w:val="000000"/>
                <w:sz w:val="18"/>
                <w:szCs w:val="18"/>
                <w:highlight w:val="yellow"/>
              </w:rPr>
              <w:t>30.</w:t>
            </w:r>
            <w:r>
              <w:rPr>
                <w:rFonts w:ascii="Times New Roman" w:eastAsia="Times New Roman" w:hAnsi="Times New Roman" w:cs="Times New Roman"/>
                <w:b/>
                <w:bCs/>
                <w:color w:val="000000"/>
                <w:sz w:val="18"/>
                <w:szCs w:val="18"/>
              </w:rPr>
              <w:t xml:space="preserve"> DAS MEDIDAS ACAUTELADORAS</w:t>
            </w:r>
          </w:p>
        </w:tc>
      </w:tr>
    </w:tbl>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30.1.</w:t>
      </w:r>
      <w:r>
        <w:rPr>
          <w:rFonts w:ascii="Times New Roman" w:eastAsia="Times New Roman" w:hAnsi="Times New Roman" w:cs="Times New Roman"/>
          <w:color w:val="000000"/>
          <w:sz w:val="18"/>
          <w:szCs w:val="18"/>
        </w:rPr>
        <w:t xml:space="preserve"> 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rsidR="00D35AD6" w:rsidRDefault="00D35AD6">
      <w:pPr>
        <w:spacing w:after="0" w:line="240" w:lineRule="auto"/>
        <w:rPr>
          <w:rFonts w:ascii="Times New Roman" w:eastAsia="Times New Roman" w:hAnsi="Times New Roman" w:cs="Times New Roman"/>
        </w:rPr>
      </w:pPr>
    </w:p>
    <w:tbl>
      <w:tblPr>
        <w:tblStyle w:val="aff4"/>
        <w:tblW w:w="8520" w:type="dxa"/>
        <w:tblInd w:w="0" w:type="dxa"/>
        <w:tblLayout w:type="fixed"/>
        <w:tblLook w:val="0400" w:firstRow="0" w:lastRow="0" w:firstColumn="0" w:lastColumn="0" w:noHBand="0" w:noVBand="1"/>
      </w:tblPr>
      <w:tblGrid>
        <w:gridCol w:w="8520"/>
      </w:tblGrid>
      <w:tr w:rsidR="00D35AD6">
        <w:trPr>
          <w:tblHeader/>
        </w:trPr>
        <w:tc>
          <w:tcPr>
            <w:tcW w:w="8520"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rsidR="00D35AD6" w:rsidRDefault="00387F92">
            <w:pPr>
              <w:shd w:val="clear" w:color="auto" w:fill="FFFF00"/>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color w:val="000000"/>
                <w:sz w:val="18"/>
                <w:szCs w:val="18"/>
                <w:highlight w:val="yellow"/>
              </w:rPr>
              <w:t>31.</w:t>
            </w:r>
            <w:r>
              <w:rPr>
                <w:rFonts w:ascii="Times New Roman" w:eastAsia="Times New Roman" w:hAnsi="Times New Roman" w:cs="Times New Roman"/>
                <w:b/>
                <w:bCs/>
                <w:color w:val="000000"/>
                <w:sz w:val="18"/>
                <w:szCs w:val="18"/>
              </w:rPr>
              <w:t xml:space="preserve"> DISPOSIÇÕES GERAIS</w:t>
            </w:r>
          </w:p>
        </w:tc>
      </w:tr>
    </w:tbl>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 xml:space="preserve">31.1. </w:t>
      </w:r>
      <w:r>
        <w:rPr>
          <w:rFonts w:ascii="Times New Roman" w:eastAsia="Times New Roman" w:hAnsi="Times New Roman" w:cs="Times New Roman"/>
          <w:color w:val="000000"/>
          <w:sz w:val="18"/>
          <w:szCs w:val="18"/>
        </w:rPr>
        <w:t>As normas que disciplinam este Pregão serão sempre interpretadas em favor da ampliação da disputa entre as empresas interessadas, atendido os interesses públicos e o da Administração, obedecendo a isonomia, sem comprometimento da segurança da contratação.</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31.2.</w:t>
      </w:r>
      <w:r>
        <w:rPr>
          <w:rFonts w:ascii="Times New Roman" w:eastAsia="Times New Roman" w:hAnsi="Times New Roman" w:cs="Times New Roman"/>
          <w:color w:val="000000"/>
          <w:sz w:val="18"/>
          <w:szCs w:val="18"/>
        </w:rPr>
        <w:t xml:space="preserve"> O desatendimento de exigências formais não essenciais, não importará no afastamento da licitante, desde que sejam possíveis as aferições das suas qualidades e as exatas compreensões da sua proposta, durante a realização da sessão pública e desde que não fique comprometido o interesse do órgão promotor, bem como, a finalidade e a segurança da futura contratação.</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 xml:space="preserve">31.3. </w:t>
      </w:r>
      <w:r>
        <w:rPr>
          <w:rFonts w:ascii="Times New Roman" w:eastAsia="Times New Roman" w:hAnsi="Times New Roman" w:cs="Times New Roman"/>
          <w:color w:val="000000"/>
          <w:sz w:val="18"/>
          <w:szCs w:val="18"/>
        </w:rPr>
        <w:t>É facultado ao Agente de Contratação, neste ato designado Pregoeira ou à Autoridade Superior, em qualquer fase da licitação, a promoção de diligência destinada a esclarecer ou complementar a instrução do processo, vedada a inclusão de documentos que deveriam constar originalmente das propostas.</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 xml:space="preserve">31.4.  </w:t>
      </w:r>
      <w:r>
        <w:rPr>
          <w:rFonts w:ascii="Times New Roman" w:eastAsia="Times New Roman" w:hAnsi="Times New Roman" w:cs="Times New Roman"/>
          <w:color w:val="000000"/>
          <w:sz w:val="18"/>
          <w:szCs w:val="18"/>
        </w:rPr>
        <w:t>Nenhuma indenização será devida à licitante, em caso de revogação deste Edital, e a homologação do resultado desta licitação não implicará em direito à contratação.</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 xml:space="preserve">31.5. </w:t>
      </w:r>
      <w:r>
        <w:rPr>
          <w:rFonts w:ascii="Times New Roman" w:eastAsia="Times New Roman" w:hAnsi="Times New Roman" w:cs="Times New Roman"/>
          <w:color w:val="000000"/>
          <w:sz w:val="18"/>
          <w:szCs w:val="18"/>
        </w:rPr>
        <w:t>Na contagem dos prazos estabelecidos neste edital, exclui-se o dia do início e inclui-se o do vencimento, observando-se que só iniciam e vencem prazos em dia de expediente normal na Prefeitura Municipal de Conceição de Ipanema/MG, exceto quando for explicitamente disposto em contrário.</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 xml:space="preserve">31.6. </w:t>
      </w:r>
      <w:r>
        <w:rPr>
          <w:rFonts w:ascii="Times New Roman" w:eastAsia="Times New Roman" w:hAnsi="Times New Roman" w:cs="Times New Roman"/>
          <w:color w:val="000000"/>
          <w:sz w:val="18"/>
          <w:szCs w:val="18"/>
        </w:rPr>
        <w:t xml:space="preserve">O Município de Conceição de Ipanema/MG, por intermédio da Autoridade Superior, poderá revogar a presente licitação por motivo de conveniência e oportunidade, bem como proceder a anulação da licitação de ofício ou mediante provocação de terceiros, sempre que presente ilegalidade insanável, nos termos dos </w:t>
      </w:r>
      <w:proofErr w:type="spellStart"/>
      <w:r>
        <w:rPr>
          <w:rFonts w:ascii="Times New Roman" w:eastAsia="Times New Roman" w:hAnsi="Times New Roman" w:cs="Times New Roman"/>
          <w:color w:val="000000"/>
          <w:sz w:val="18"/>
          <w:szCs w:val="18"/>
        </w:rPr>
        <w:t>incs</w:t>
      </w:r>
      <w:proofErr w:type="spellEnd"/>
      <w:r>
        <w:rPr>
          <w:rFonts w:ascii="Times New Roman" w:eastAsia="Times New Roman" w:hAnsi="Times New Roman" w:cs="Times New Roman"/>
          <w:color w:val="000000"/>
          <w:sz w:val="18"/>
          <w:szCs w:val="18"/>
        </w:rPr>
        <w:t>. II e III, do art. 71, da lei n° 14.133/2021.</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 xml:space="preserve">31.7. </w:t>
      </w:r>
      <w:proofErr w:type="gramStart"/>
      <w:r>
        <w:rPr>
          <w:rFonts w:ascii="Times New Roman" w:eastAsia="Times New Roman" w:hAnsi="Times New Roman" w:cs="Times New Roman"/>
          <w:color w:val="000000"/>
          <w:sz w:val="18"/>
          <w:szCs w:val="18"/>
        </w:rPr>
        <w:t>Eventuais modificações no edital implicará</w:t>
      </w:r>
      <w:proofErr w:type="gramEnd"/>
      <w:r>
        <w:rPr>
          <w:rFonts w:ascii="Times New Roman" w:eastAsia="Times New Roman" w:hAnsi="Times New Roman" w:cs="Times New Roman"/>
          <w:color w:val="000000"/>
          <w:sz w:val="18"/>
          <w:szCs w:val="18"/>
        </w:rPr>
        <w:t xml:space="preserve"> nova divulgação na mesma forma de sua divulgação inicial, além do cumprimento dos mesmos prazos dos atos e procedimentos originais, exceto quando a alteração não comprometer a formulação das propostas.</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31.8.</w:t>
      </w:r>
      <w:r>
        <w:rPr>
          <w:rFonts w:ascii="Times New Roman" w:eastAsia="Times New Roman" w:hAnsi="Times New Roman" w:cs="Times New Roman"/>
          <w:color w:val="000000"/>
          <w:sz w:val="18"/>
          <w:szCs w:val="18"/>
        </w:rPr>
        <w:t xml:space="preserve"> Na hipótese de não haver expediente no dia da abertura da presente licitação, a sessão ficará transferida para o primeiro dia útil subsequente, no mesmo local e horário anteriormente estabelecido.</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31.9.</w:t>
      </w:r>
      <w:r>
        <w:rPr>
          <w:rFonts w:ascii="Times New Roman" w:eastAsia="Times New Roman" w:hAnsi="Times New Roman" w:cs="Times New Roman"/>
          <w:color w:val="000000"/>
          <w:sz w:val="18"/>
          <w:szCs w:val="18"/>
        </w:rPr>
        <w:t xml:space="preserve"> Os atos e procedimentos e decisões decorrentes da presente licitação serão publicados no site do município: </w:t>
      </w:r>
      <w:hyperlink r:id="rId20">
        <w:r>
          <w:rPr>
            <w:rFonts w:ascii="Times New Roman" w:eastAsia="Times New Roman" w:hAnsi="Times New Roman" w:cs="Times New Roman"/>
            <w:color w:val="0000FF"/>
            <w:sz w:val="18"/>
            <w:szCs w:val="18"/>
            <w:u w:val="single"/>
          </w:rPr>
          <w:t>www.conceicaodeipanema.mg.gov.br</w:t>
        </w:r>
      </w:hyperlink>
      <w:r>
        <w:rPr>
          <w:rFonts w:ascii="Times New Roman" w:eastAsia="Times New Roman" w:hAnsi="Times New Roman" w:cs="Times New Roman"/>
          <w:color w:val="000000"/>
          <w:sz w:val="18"/>
          <w:szCs w:val="18"/>
          <w:u w:val="single"/>
        </w:rPr>
        <w:t>,</w:t>
      </w:r>
      <w:r>
        <w:rPr>
          <w:rFonts w:ascii="Times New Roman" w:eastAsia="Times New Roman" w:hAnsi="Times New Roman" w:cs="Times New Roman"/>
          <w:color w:val="000000"/>
          <w:sz w:val="18"/>
          <w:szCs w:val="18"/>
        </w:rPr>
        <w:t xml:space="preserve"> no Diário Oficial dos Municípios Mineiros ou no Diário Oficial da União, ou em jornal de circulação regional conforme o caso e no site </w:t>
      </w:r>
      <w:hyperlink r:id="rId21">
        <w:r>
          <w:rPr>
            <w:rFonts w:ascii="Times New Roman" w:eastAsia="Times New Roman" w:hAnsi="Times New Roman" w:cs="Times New Roman"/>
            <w:color w:val="0000FF"/>
            <w:sz w:val="18"/>
            <w:szCs w:val="18"/>
            <w:u w:val="single"/>
          </w:rPr>
          <w:t>https://www.bnc.org.br/</w:t>
        </w:r>
      </w:hyperlink>
      <w:r>
        <w:rPr>
          <w:rFonts w:ascii="Times New Roman" w:eastAsia="Times New Roman" w:hAnsi="Times New Roman" w:cs="Times New Roman"/>
          <w:color w:val="000000"/>
          <w:sz w:val="18"/>
          <w:szCs w:val="18"/>
        </w:rPr>
        <w:t>.  </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31.10.</w:t>
      </w:r>
      <w:r>
        <w:rPr>
          <w:rFonts w:ascii="Times New Roman" w:eastAsia="Times New Roman" w:hAnsi="Times New Roman" w:cs="Times New Roman"/>
          <w:color w:val="000000"/>
          <w:sz w:val="18"/>
          <w:szCs w:val="18"/>
        </w:rPr>
        <w:t xml:space="preserve"> Em caso de divergência entre as informações constantes do Termo de Referência e o Edital, prevalecerá a descrição do Edital e os casos omissos serão resolvidos pelo Agente de Contratação, neste ato designado Pregoeira, a luz da legislação de regência.</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lastRenderedPageBreak/>
        <w:t xml:space="preserve">31.11. </w:t>
      </w:r>
      <w:r>
        <w:rPr>
          <w:rFonts w:ascii="Times New Roman" w:eastAsia="Times New Roman" w:hAnsi="Times New Roman" w:cs="Times New Roman"/>
          <w:color w:val="000000"/>
          <w:sz w:val="18"/>
          <w:szCs w:val="18"/>
        </w:rPr>
        <w:t>Fica eleito o Foro da Comarca de Ipanema MG, para dirimir quaisquer litígios oriundos deste Edital, do contrato decorrente, com expressa renúncia a outro qualquer, por mais privilegiado que seja.</w:t>
      </w:r>
    </w:p>
    <w:p w:rsidR="00D35AD6" w:rsidRDefault="00D35AD6">
      <w:pPr>
        <w:spacing w:after="0" w:line="240" w:lineRule="auto"/>
        <w:rPr>
          <w:rFonts w:ascii="Times New Roman" w:eastAsia="Times New Roman" w:hAnsi="Times New Roman" w:cs="Times New Roman"/>
        </w:rPr>
      </w:pPr>
    </w:p>
    <w:tbl>
      <w:tblPr>
        <w:tblStyle w:val="aff5"/>
        <w:tblW w:w="8565" w:type="dxa"/>
        <w:tblInd w:w="0" w:type="dxa"/>
        <w:tblLayout w:type="fixed"/>
        <w:tblLook w:val="0400" w:firstRow="0" w:lastRow="0" w:firstColumn="0" w:lastColumn="0" w:noHBand="0" w:noVBand="1"/>
      </w:tblPr>
      <w:tblGrid>
        <w:gridCol w:w="8565"/>
      </w:tblGrid>
      <w:tr w:rsidR="00D35AD6">
        <w:trPr>
          <w:tblHeader/>
        </w:trPr>
        <w:tc>
          <w:tcPr>
            <w:tcW w:w="8565"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rsidR="00D35AD6" w:rsidRDefault="00387F92">
            <w:pPr>
              <w:shd w:val="clear" w:color="auto" w:fill="FFFF00"/>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color w:val="000000"/>
                <w:sz w:val="18"/>
                <w:szCs w:val="18"/>
              </w:rPr>
              <w:t>32. DOS ANEXOS VINCULADOS AO EDITAL</w:t>
            </w:r>
          </w:p>
        </w:tc>
      </w:tr>
    </w:tbl>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32.1.</w:t>
      </w:r>
      <w:r>
        <w:rPr>
          <w:rFonts w:ascii="Times New Roman" w:eastAsia="Times New Roman" w:hAnsi="Times New Roman" w:cs="Times New Roman"/>
          <w:color w:val="000000"/>
          <w:sz w:val="18"/>
          <w:szCs w:val="18"/>
        </w:rPr>
        <w:t xml:space="preserve"> Independentemente de sua transcrição, para todos os efeitos legais, fazem parte integrante do Processo Licitatório, o Estudo Técnico Preliminar, Termo de Referência, a Minuta do Contrato, todas as condições estabelecidas no presente Edital e seus Anexos, a Proposta de Preços do Licitante Vencedor, Nota de Autorização de Fornecimento e Nota de Empenho.</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000000"/>
          <w:sz w:val="18"/>
          <w:szCs w:val="18"/>
        </w:rPr>
        <w:t xml:space="preserve">32.2. </w:t>
      </w:r>
      <w:r>
        <w:rPr>
          <w:rFonts w:ascii="Times New Roman" w:eastAsia="Times New Roman" w:hAnsi="Times New Roman" w:cs="Times New Roman"/>
          <w:color w:val="000000"/>
          <w:sz w:val="18"/>
          <w:szCs w:val="18"/>
        </w:rPr>
        <w:t>Constituem anexos deste edital e dele fazendo parte integrante:</w:t>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color w:val="000000"/>
          <w:sz w:val="18"/>
          <w:szCs w:val="18"/>
        </w:rPr>
        <w:t>a) Anexo I – Estudo Técnico Preliminar;</w:t>
      </w: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color w:val="000000"/>
          <w:sz w:val="18"/>
          <w:szCs w:val="18"/>
        </w:rPr>
        <w:t>b) Anexo II – Termo de Referência;</w:t>
      </w: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color w:val="000000"/>
          <w:sz w:val="18"/>
          <w:szCs w:val="18"/>
        </w:rPr>
        <w:t>c) Anexo III – Proposta de Preços Readequada ao Último Lance;</w:t>
      </w: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color w:val="000000"/>
          <w:sz w:val="18"/>
          <w:szCs w:val="18"/>
        </w:rPr>
        <w:t>d) Anexo IV – Modelo Declaração Unificada; </w:t>
      </w:r>
    </w:p>
    <w:p w:rsidR="00D35AD6" w:rsidRDefault="00387F92">
      <w:pPr>
        <w:spacing w:after="0" w:line="240" w:lineRule="auto"/>
        <w:jc w:val="both"/>
        <w:rPr>
          <w:rFonts w:ascii="Times New Roman" w:eastAsia="Times New Roman" w:hAnsi="Times New Roman" w:cs="Times New Roman"/>
        </w:rPr>
      </w:pPr>
      <w:proofErr w:type="gramStart"/>
      <w:r>
        <w:rPr>
          <w:rFonts w:ascii="Times New Roman" w:eastAsia="Times New Roman" w:hAnsi="Times New Roman" w:cs="Times New Roman"/>
          <w:color w:val="000000"/>
          <w:sz w:val="18"/>
          <w:szCs w:val="18"/>
        </w:rPr>
        <w:t>e) Anexo</w:t>
      </w:r>
      <w:proofErr w:type="gramEnd"/>
      <w:r>
        <w:rPr>
          <w:rFonts w:ascii="Times New Roman" w:eastAsia="Times New Roman" w:hAnsi="Times New Roman" w:cs="Times New Roman"/>
          <w:color w:val="000000"/>
          <w:sz w:val="18"/>
          <w:szCs w:val="18"/>
        </w:rPr>
        <w:t xml:space="preserve"> V - Minuta da Ata de Registro de Preços</w:t>
      </w:r>
    </w:p>
    <w:p w:rsidR="00D35AD6" w:rsidRDefault="00387F92">
      <w:pPr>
        <w:spacing w:after="0" w:line="240" w:lineRule="auto"/>
        <w:jc w:val="both"/>
        <w:rPr>
          <w:rFonts w:ascii="Times New Roman" w:eastAsia="Times New Roman" w:hAnsi="Times New Roman" w:cs="Times New Roman"/>
        </w:rPr>
      </w:pPr>
      <w:r>
        <w:rPr>
          <w:rFonts w:ascii="Times New Roman" w:eastAsia="Times New Roman" w:hAnsi="Times New Roman" w:cs="Times New Roman"/>
          <w:color w:val="000000"/>
          <w:sz w:val="18"/>
          <w:szCs w:val="18"/>
        </w:rPr>
        <w:t>f)  Anexo VI – Minuta do Contrato.</w:t>
      </w:r>
      <w:r>
        <w:rPr>
          <w:rFonts w:ascii="Times New Roman" w:eastAsia="Times New Roman" w:hAnsi="Times New Roman" w:cs="Times New Roman"/>
          <w:color w:val="000000"/>
          <w:sz w:val="18"/>
          <w:szCs w:val="18"/>
        </w:rPr>
        <w:tab/>
      </w:r>
    </w:p>
    <w:p w:rsidR="00D35AD6" w:rsidRDefault="00D35AD6">
      <w:pPr>
        <w:spacing w:after="0" w:line="240" w:lineRule="auto"/>
        <w:rPr>
          <w:rFonts w:ascii="Times New Roman" w:eastAsia="Times New Roman" w:hAnsi="Times New Roman" w:cs="Times New Roman"/>
        </w:rPr>
      </w:pPr>
    </w:p>
    <w:p w:rsidR="00D35AD6" w:rsidRDefault="00387F92">
      <w:pPr>
        <w:spacing w:after="0" w:line="240" w:lineRule="auto"/>
        <w:jc w:val="right"/>
        <w:rPr>
          <w:rFonts w:ascii="Times New Roman" w:eastAsia="Times New Roman" w:hAnsi="Times New Roman" w:cs="Times New Roman"/>
        </w:rPr>
      </w:pPr>
      <w:r>
        <w:rPr>
          <w:rFonts w:ascii="Times New Roman" w:eastAsia="Times New Roman" w:hAnsi="Times New Roman" w:cs="Times New Roman"/>
          <w:color w:val="000000"/>
          <w:sz w:val="18"/>
          <w:szCs w:val="18"/>
        </w:rPr>
        <w:t>Conceição de Ipanema/MG, 24 de setembro de 2026.</w:t>
      </w:r>
    </w:p>
    <w:p w:rsidR="00D35AD6" w:rsidRDefault="00D35AD6">
      <w:pPr>
        <w:spacing w:after="0" w:line="240" w:lineRule="auto"/>
        <w:rPr>
          <w:rFonts w:ascii="Times New Roman" w:eastAsia="Times New Roman" w:hAnsi="Times New Roman" w:cs="Times New Roman"/>
        </w:rPr>
      </w:pPr>
    </w:p>
    <w:p w:rsidR="00D35AD6" w:rsidRDefault="00D35AD6">
      <w:pPr>
        <w:spacing w:after="0" w:line="240" w:lineRule="auto"/>
        <w:ind w:left="-4" w:hanging="2"/>
        <w:jc w:val="center"/>
        <w:rPr>
          <w:rFonts w:ascii="Times New Roman" w:eastAsia="Times New Roman" w:hAnsi="Times New Roman" w:cs="Times New Roman"/>
          <w:sz w:val="19"/>
          <w:szCs w:val="19"/>
        </w:rPr>
      </w:pPr>
    </w:p>
    <w:p w:rsidR="00D35AD6" w:rsidRDefault="00387F92">
      <w:pPr>
        <w:spacing w:after="0" w:line="240" w:lineRule="auto"/>
        <w:ind w:left="-4" w:hanging="2"/>
        <w:jc w:val="center"/>
        <w:rPr>
          <w:rFonts w:ascii="Times New Roman" w:eastAsia="Times New Roman" w:hAnsi="Times New Roman" w:cs="Times New Roman"/>
        </w:rPr>
      </w:pPr>
      <w:r>
        <w:rPr>
          <w:rFonts w:ascii="Times New Roman" w:eastAsia="Times New Roman" w:hAnsi="Times New Roman" w:cs="Times New Roman"/>
          <w:color w:val="000000"/>
          <w:sz w:val="19"/>
          <w:szCs w:val="19"/>
        </w:rPr>
        <w:t>Renato Silva</w:t>
      </w:r>
    </w:p>
    <w:p w:rsidR="00D35AD6" w:rsidRDefault="00387F92">
      <w:pPr>
        <w:spacing w:after="0" w:line="240" w:lineRule="auto"/>
        <w:jc w:val="center"/>
        <w:rPr>
          <w:rFonts w:ascii="Times New Roman" w:eastAsia="Times New Roman" w:hAnsi="Times New Roman" w:cs="Times New Roman"/>
        </w:rPr>
      </w:pPr>
      <w:r>
        <w:rPr>
          <w:rFonts w:ascii="Times New Roman" w:eastAsia="Times New Roman" w:hAnsi="Times New Roman" w:cs="Times New Roman"/>
          <w:color w:val="000000"/>
          <w:sz w:val="19"/>
          <w:szCs w:val="19"/>
        </w:rPr>
        <w:t>Secretaria Municipal de Esporte, Lazer e Cultura</w:t>
      </w:r>
    </w:p>
    <w:p w:rsidR="00D35AD6" w:rsidRDefault="00D35AD6">
      <w:pPr>
        <w:spacing w:after="240" w:line="240" w:lineRule="auto"/>
        <w:rPr>
          <w:rFonts w:ascii="Times New Roman" w:eastAsia="Times New Roman" w:hAnsi="Times New Roman" w:cs="Times New Roman"/>
        </w:rPr>
      </w:pPr>
    </w:p>
    <w:p w:rsidR="00D35AD6" w:rsidRDefault="00D35AD6">
      <w:pPr>
        <w:spacing w:after="240" w:line="240" w:lineRule="auto"/>
        <w:rPr>
          <w:rFonts w:ascii="Times New Roman" w:eastAsia="Times New Roman" w:hAnsi="Times New Roman" w:cs="Times New Roman"/>
        </w:rPr>
      </w:pPr>
    </w:p>
    <w:p w:rsidR="00D35AD6" w:rsidRDefault="00D35AD6">
      <w:pPr>
        <w:spacing w:after="240" w:line="240" w:lineRule="auto"/>
        <w:rPr>
          <w:rFonts w:ascii="Times New Roman" w:eastAsia="Times New Roman" w:hAnsi="Times New Roman" w:cs="Times New Roman"/>
          <w:sz w:val="20"/>
          <w:szCs w:val="20"/>
        </w:rPr>
      </w:pPr>
    </w:p>
    <w:sectPr w:rsidR="00D35AD6">
      <w:headerReference w:type="default" r:id="rId22"/>
      <w:pgSz w:w="11906" w:h="16838"/>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435C" w:rsidRDefault="00387F92">
      <w:pPr>
        <w:spacing w:after="0" w:line="240" w:lineRule="auto"/>
      </w:pPr>
      <w:r>
        <w:separator/>
      </w:r>
    </w:p>
  </w:endnote>
  <w:endnote w:type="continuationSeparator" w:id="0">
    <w:p w:rsidR="000F435C" w:rsidRDefault="00387F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charset w:val="00"/>
    <w:family w:val="auto"/>
    <w:pitch w:val="default"/>
    <w:embedRegular r:id="rId1" w:fontKey="{B732B058-1A93-4C32-9471-C862F4FF8572}"/>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embedRegular r:id="rId2" w:fontKey="{F9B4F8C3-76BF-4063-AD50-1F0DB1BAFA74}"/>
    <w:embedBold r:id="rId3" w:fontKey="{EB685D26-2CFF-4C87-BD8F-47E98285AB64}"/>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4" w:fontKey="{4889AD1E-290A-4991-AD27-ACCC984C7190}"/>
  </w:font>
  <w:font w:name="Lustria">
    <w:altName w:val="Times New Roman"/>
    <w:charset w:val="00"/>
    <w:family w:val="auto"/>
    <w:pitch w:val="default"/>
    <w:embedBold r:id="rId5" w:fontKey="{93AB4EDE-73ED-4627-B401-3413509565E8}"/>
  </w:font>
  <w:font w:name="Calibri Light">
    <w:panose1 w:val="020F0302020204030204"/>
    <w:charset w:val="00"/>
    <w:family w:val="swiss"/>
    <w:pitch w:val="variable"/>
    <w:sig w:usb0="E4002EFF" w:usb1="C000247B" w:usb2="00000009" w:usb3="00000000" w:csb0="000001FF" w:csb1="00000000"/>
    <w:embedRegular r:id="rId6" w:fontKey="{B15AAD53-45B3-4BC3-8904-29A6C2C8348D}"/>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435C" w:rsidRDefault="00387F92">
      <w:pPr>
        <w:spacing w:after="0" w:line="240" w:lineRule="auto"/>
      </w:pPr>
      <w:r>
        <w:separator/>
      </w:r>
    </w:p>
  </w:footnote>
  <w:footnote w:type="continuationSeparator" w:id="0">
    <w:p w:rsidR="000F435C" w:rsidRDefault="00387F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5AD6" w:rsidRDefault="00387F92">
    <w:pPr>
      <w:pBdr>
        <w:top w:val="nil"/>
        <w:left w:val="nil"/>
        <w:bottom w:val="nil"/>
        <w:right w:val="nil"/>
        <w:between w:val="nil"/>
      </w:pBdr>
      <w:spacing w:after="0" w:line="240" w:lineRule="auto"/>
      <w:ind w:left="1276"/>
      <w:jc w:val="center"/>
      <w:rPr>
        <w:rFonts w:ascii="Times New Roman" w:eastAsia="Times New Roman" w:hAnsi="Times New Roman" w:cs="Times New Roman"/>
        <w:color w:val="000000"/>
        <w:sz w:val="24"/>
        <w:szCs w:val="24"/>
      </w:rPr>
    </w:pPr>
    <w:r>
      <w:rPr>
        <w:rFonts w:ascii="Lustria" w:eastAsia="Lustria" w:hAnsi="Lustria" w:cs="Lustria"/>
        <w:b/>
        <w:bCs/>
        <w:color w:val="000000"/>
        <w:sz w:val="24"/>
        <w:szCs w:val="24"/>
      </w:rPr>
      <w:t>PREFEITURA MUNICIPAL CONCEIÇÃO DE IPANEMA – MG</w:t>
    </w:r>
    <w:r>
      <w:rPr>
        <w:noProof/>
      </w:rPr>
      <w:drawing>
        <wp:anchor distT="0" distB="0" distL="114300" distR="114300" simplePos="0" relativeHeight="251658240" behindDoc="0" locked="0" layoutInCell="1" hidden="0" allowOverlap="1">
          <wp:simplePos x="0" y="0"/>
          <wp:positionH relativeFrom="column">
            <wp:posOffset>-120649</wp:posOffset>
          </wp:positionH>
          <wp:positionV relativeFrom="paragraph">
            <wp:posOffset>-36829</wp:posOffset>
          </wp:positionV>
          <wp:extent cx="815975" cy="514350"/>
          <wp:effectExtent l="0" t="0" r="0" b="0"/>
          <wp:wrapSquare wrapText="bothSides" distT="0" distB="0" distL="114300" distR="114300"/>
          <wp:docPr id="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815975" cy="514350"/>
                  </a:xfrm>
                  <a:prstGeom prst="rect">
                    <a:avLst/>
                  </a:prstGeom>
                  <a:ln/>
                </pic:spPr>
              </pic:pic>
            </a:graphicData>
          </a:graphic>
        </wp:anchor>
      </w:drawing>
    </w:r>
  </w:p>
  <w:p w:rsidR="00D35AD6" w:rsidRDefault="00387F92">
    <w:pPr>
      <w:pBdr>
        <w:top w:val="nil"/>
        <w:left w:val="nil"/>
        <w:bottom w:val="nil"/>
        <w:right w:val="nil"/>
        <w:between w:val="nil"/>
      </w:pBdr>
      <w:tabs>
        <w:tab w:val="center" w:pos="4252"/>
        <w:tab w:val="right" w:pos="8504"/>
      </w:tabs>
      <w:spacing w:after="0" w:line="240" w:lineRule="auto"/>
      <w:jc w:val="center"/>
      <w:rPr>
        <w:rFonts w:ascii="Lustria" w:eastAsia="Lustria" w:hAnsi="Lustria" w:cs="Lustria"/>
        <w:b/>
        <w:bCs/>
        <w:color w:val="000000"/>
        <w:sz w:val="24"/>
        <w:szCs w:val="24"/>
      </w:rPr>
    </w:pPr>
    <w:r>
      <w:rPr>
        <w:rFonts w:ascii="Lustria" w:eastAsia="Lustria" w:hAnsi="Lustria" w:cs="Lustria"/>
        <w:b/>
        <w:bCs/>
        <w:color w:val="000000"/>
        <w:sz w:val="24"/>
        <w:szCs w:val="24"/>
      </w:rPr>
      <w:t>CNPJ: 18.334.300/0001-72</w:t>
    </w:r>
  </w:p>
  <w:p w:rsidR="00D35AD6" w:rsidRDefault="00D35AD6">
    <w:pPr>
      <w:pBdr>
        <w:top w:val="nil"/>
        <w:left w:val="nil"/>
        <w:bottom w:val="single" w:sz="12" w:space="1" w:color="000000"/>
        <w:right w:val="nil"/>
        <w:between w:val="nil"/>
      </w:pBdr>
      <w:tabs>
        <w:tab w:val="center" w:pos="4252"/>
        <w:tab w:val="right" w:pos="8504"/>
      </w:tabs>
      <w:spacing w:after="0" w:line="240" w:lineRule="auto"/>
      <w:jc w:val="center"/>
      <w:rPr>
        <w:rFonts w:ascii="Lustria" w:eastAsia="Lustria" w:hAnsi="Lustria" w:cs="Lustria"/>
        <w:b/>
        <w:bCs/>
        <w:color w:val="000000"/>
      </w:rPr>
    </w:pPr>
  </w:p>
  <w:p w:rsidR="00D35AD6" w:rsidRDefault="00387F92">
    <w:pPr>
      <w:pBdr>
        <w:top w:val="nil"/>
        <w:left w:val="nil"/>
        <w:bottom w:val="nil"/>
        <w:right w:val="nil"/>
        <w:between w:val="nil"/>
      </w:pBdr>
      <w:tabs>
        <w:tab w:val="center" w:pos="4252"/>
        <w:tab w:val="right" w:pos="8504"/>
      </w:tabs>
      <w:spacing w:after="0" w:line="240" w:lineRule="auto"/>
      <w:jc w:val="center"/>
      <w:rPr>
        <w:rFonts w:ascii="Lustria" w:eastAsia="Lustria" w:hAnsi="Lustria" w:cs="Lustria"/>
        <w:b/>
        <w:bCs/>
        <w:color w:val="000000"/>
      </w:rPr>
    </w:pPr>
    <w:r>
      <w:rPr>
        <w:rFonts w:ascii="Times New Roman" w:eastAsia="Times New Roman" w:hAnsi="Times New Roman" w:cs="Times New Roman"/>
        <w:noProof/>
        <w:color w:val="000000"/>
        <w:sz w:val="24"/>
        <w:szCs w:val="24"/>
      </w:rPr>
      <w:drawing>
        <wp:anchor distT="0" distB="0" distL="114300" distR="114300" simplePos="0" relativeHeight="251659264" behindDoc="0" locked="0" layoutInCell="1" hidden="0" allowOverlap="1">
          <wp:simplePos x="0" y="0"/>
          <wp:positionH relativeFrom="page">
            <wp:posOffset>-2346324</wp:posOffset>
          </wp:positionH>
          <wp:positionV relativeFrom="page">
            <wp:posOffset>-1085214</wp:posOffset>
          </wp:positionV>
          <wp:extent cx="9653270" cy="974090"/>
          <wp:effectExtent l="0" t="0" r="0" b="0"/>
          <wp:wrapSquare wrapText="bothSides" distT="0" distB="0" distL="114300" distR="11430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9653270" cy="974090"/>
                  </a:xfrm>
                  <a:prstGeom prst="rect">
                    <a:avLst/>
                  </a:prstGeom>
                  <a:ln/>
                </pic:spPr>
              </pic:pic>
            </a:graphicData>
          </a:graphic>
        </wp:anchor>
      </w:drawing>
    </w:r>
  </w:p>
  <w:p w:rsidR="00D35AD6" w:rsidRDefault="00D35AD6">
    <w:pPr>
      <w:pBdr>
        <w:top w:val="nil"/>
        <w:left w:val="nil"/>
        <w:bottom w:val="nil"/>
        <w:right w:val="nil"/>
        <w:between w:val="nil"/>
      </w:pBdr>
      <w:tabs>
        <w:tab w:val="center" w:pos="4252"/>
        <w:tab w:val="right" w:pos="8504"/>
      </w:tabs>
      <w:spacing w:after="0" w:line="240" w:lineRule="auto"/>
      <w:rPr>
        <w:color w:val="000000"/>
      </w:rPr>
    </w:pPr>
  </w:p>
  <w:p w:rsidR="00D35AD6" w:rsidRDefault="00D35AD6">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94C09"/>
    <w:multiLevelType w:val="multilevel"/>
    <w:tmpl w:val="83780B3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0FA300DF"/>
    <w:multiLevelType w:val="multilevel"/>
    <w:tmpl w:val="2DEC1A6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29027761"/>
    <w:multiLevelType w:val="multilevel"/>
    <w:tmpl w:val="27CAE32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3F6D7920"/>
    <w:multiLevelType w:val="multilevel"/>
    <w:tmpl w:val="1B1A012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4E6957AD"/>
    <w:multiLevelType w:val="multilevel"/>
    <w:tmpl w:val="B12C8E0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59321488"/>
    <w:multiLevelType w:val="multilevel"/>
    <w:tmpl w:val="A2680F9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6255253C"/>
    <w:multiLevelType w:val="multilevel"/>
    <w:tmpl w:val="63B8006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6"/>
  </w:num>
  <w:num w:numId="2">
    <w:abstractNumId w:val="5"/>
  </w:num>
  <w:num w:numId="3">
    <w:abstractNumId w:val="2"/>
  </w:num>
  <w:num w:numId="4">
    <w:abstractNumId w:val="4"/>
  </w:num>
  <w:num w:numId="5">
    <w:abstractNumId w:val="0"/>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5AD6"/>
    <w:rsid w:val="000F435C"/>
    <w:rsid w:val="00387F92"/>
    <w:rsid w:val="00D35AD6"/>
    <w:rsid w:val="00F3335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DBE8CE"/>
  <w15:docId w15:val="{43B224F0-E562-474E-A539-A6B6A445B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80" w:after="120"/>
      <w:outlineLvl w:val="0"/>
    </w:pPr>
    <w:rPr>
      <w:b/>
      <w:bCs/>
      <w:sz w:val="48"/>
      <w:szCs w:val="48"/>
    </w:rPr>
  </w:style>
  <w:style w:type="paragraph" w:styleId="Ttulo2">
    <w:name w:val="heading 2"/>
    <w:basedOn w:val="Normal"/>
    <w:next w:val="Normal"/>
    <w:pPr>
      <w:keepNext/>
      <w:keepLines/>
      <w:spacing w:before="360" w:after="80"/>
      <w:outlineLvl w:val="1"/>
    </w:pPr>
    <w:rPr>
      <w:b/>
      <w:bCs/>
      <w:sz w:val="36"/>
      <w:szCs w:val="36"/>
    </w:rPr>
  </w:style>
  <w:style w:type="paragraph" w:styleId="Ttulo3">
    <w:name w:val="heading 3"/>
    <w:basedOn w:val="Normal"/>
    <w:next w:val="Normal"/>
    <w:pPr>
      <w:keepNext/>
      <w:keepLines/>
      <w:spacing w:before="280" w:after="80"/>
      <w:outlineLvl w:val="2"/>
    </w:pPr>
    <w:rPr>
      <w:b/>
      <w:bCs/>
      <w:sz w:val="28"/>
      <w:szCs w:val="28"/>
    </w:rPr>
  </w:style>
  <w:style w:type="paragraph" w:styleId="Ttulo4">
    <w:name w:val="heading 4"/>
    <w:basedOn w:val="Normal"/>
    <w:next w:val="Normal"/>
    <w:pPr>
      <w:keepNext/>
      <w:keepLines/>
      <w:spacing w:before="240" w:after="40"/>
      <w:outlineLvl w:val="3"/>
    </w:pPr>
    <w:rPr>
      <w:b/>
      <w:bCs/>
      <w:sz w:val="24"/>
      <w:szCs w:val="24"/>
    </w:rPr>
  </w:style>
  <w:style w:type="paragraph" w:styleId="Ttulo5">
    <w:name w:val="heading 5"/>
    <w:basedOn w:val="Normal"/>
    <w:next w:val="Normal"/>
    <w:pPr>
      <w:keepNext/>
      <w:keepLines/>
      <w:spacing w:before="220" w:after="40"/>
      <w:outlineLvl w:val="4"/>
    </w:pPr>
    <w:rPr>
      <w:b/>
      <w:bCs/>
    </w:rPr>
  </w:style>
  <w:style w:type="paragraph" w:styleId="Ttulo6">
    <w:name w:val="heading 6"/>
    <w:basedOn w:val="Normal"/>
    <w:next w:val="Normal"/>
    <w:pPr>
      <w:keepNext/>
      <w:keepLines/>
      <w:spacing w:before="200" w:after="40"/>
      <w:outlineLvl w:val="5"/>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bCs/>
      <w:sz w:val="72"/>
      <w:szCs w:val="72"/>
    </w:rPr>
  </w:style>
  <w:style w:type="paragraph" w:styleId="NormalWeb">
    <w:name w:val="Normal (Web)"/>
    <w:basedOn w:val="Normal"/>
    <w:uiPriority w:val="99"/>
    <w:semiHidden/>
    <w:unhideWhenUsed/>
    <w:rsid w:val="009476E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semiHidden/>
    <w:unhideWhenUsed/>
    <w:rsid w:val="009476E0"/>
    <w:rPr>
      <w:color w:val="0000FF"/>
      <w:u w:val="single"/>
    </w:rPr>
  </w:style>
  <w:style w:type="character" w:styleId="HiperlinkVisitado">
    <w:name w:val="FollowedHyperlink"/>
    <w:basedOn w:val="Fontepargpadro"/>
    <w:uiPriority w:val="99"/>
    <w:semiHidden/>
    <w:unhideWhenUsed/>
    <w:rsid w:val="009476E0"/>
    <w:rPr>
      <w:color w:val="800080"/>
      <w:u w:val="single"/>
    </w:rPr>
  </w:style>
  <w:style w:type="character" w:customStyle="1" w:styleId="apple-tab-span">
    <w:name w:val="apple-tab-span"/>
    <w:basedOn w:val="Fontepargpadro"/>
    <w:rsid w:val="009476E0"/>
  </w:style>
  <w:style w:type="paragraph" w:styleId="Cabealho">
    <w:name w:val="header"/>
    <w:basedOn w:val="Normal"/>
    <w:link w:val="CabealhoChar"/>
    <w:uiPriority w:val="99"/>
    <w:unhideWhenUsed/>
    <w:rsid w:val="009476E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476E0"/>
  </w:style>
  <w:style w:type="paragraph" w:styleId="Rodap">
    <w:name w:val="footer"/>
    <w:basedOn w:val="Normal"/>
    <w:link w:val="RodapChar"/>
    <w:uiPriority w:val="99"/>
    <w:unhideWhenUsed/>
    <w:rsid w:val="009476E0"/>
    <w:pPr>
      <w:tabs>
        <w:tab w:val="center" w:pos="4252"/>
        <w:tab w:val="right" w:pos="8504"/>
      </w:tabs>
      <w:spacing w:after="0" w:line="240" w:lineRule="auto"/>
    </w:pPr>
  </w:style>
  <w:style w:type="character" w:customStyle="1" w:styleId="RodapChar">
    <w:name w:val="Rodapé Char"/>
    <w:basedOn w:val="Fontepargpadro"/>
    <w:link w:val="Rodap"/>
    <w:uiPriority w:val="99"/>
    <w:rsid w:val="009476E0"/>
  </w:style>
  <w:style w:type="paragraph" w:customStyle="1" w:styleId="Normal1">
    <w:name w:val="Normal1"/>
    <w:rsid w:val="009476E0"/>
    <w:pPr>
      <w:spacing w:after="0" w:line="240" w:lineRule="auto"/>
    </w:pPr>
    <w:rPr>
      <w:rFonts w:ascii="Times New Roman" w:eastAsia="Times New Roman" w:hAnsi="Times New Roman" w:cs="Times New Roman"/>
      <w:sz w:val="24"/>
      <w:szCs w:val="24"/>
    </w:rPr>
  </w:style>
  <w:style w:type="paragraph" w:styleId="Subttulo">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top w:w="15" w:type="dxa"/>
        <w:left w:w="15" w:type="dxa"/>
        <w:bottom w:w="15" w:type="dxa"/>
        <w:right w:w="15" w:type="dxa"/>
      </w:tblCellMar>
    </w:tblPr>
  </w:style>
  <w:style w:type="table" w:customStyle="1" w:styleId="a1">
    <w:basedOn w:val="TableNormal"/>
    <w:tblPr>
      <w:tblStyleRowBandSize w:val="1"/>
      <w:tblStyleColBandSize w:val="1"/>
      <w:tblCellMar>
        <w:top w:w="15" w:type="dxa"/>
        <w:left w:w="15" w:type="dxa"/>
        <w:bottom w:w="15" w:type="dxa"/>
        <w:right w:w="15" w:type="dxa"/>
      </w:tblCellMar>
    </w:tblPr>
  </w:style>
  <w:style w:type="table" w:customStyle="1" w:styleId="a2">
    <w:basedOn w:val="TableNormal"/>
    <w:tblPr>
      <w:tblStyleRowBandSize w:val="1"/>
      <w:tblStyleColBandSize w:val="1"/>
      <w:tblCellMar>
        <w:top w:w="15" w:type="dxa"/>
        <w:left w:w="15" w:type="dxa"/>
        <w:bottom w:w="15" w:type="dxa"/>
        <w:right w:w="15" w:type="dxa"/>
      </w:tblCellMar>
    </w:tblPr>
  </w:style>
  <w:style w:type="table" w:customStyle="1" w:styleId="a3">
    <w:basedOn w:val="TableNormal"/>
    <w:tblPr>
      <w:tblStyleRowBandSize w:val="1"/>
      <w:tblStyleColBandSize w:val="1"/>
      <w:tblCellMar>
        <w:top w:w="15" w:type="dxa"/>
        <w:left w:w="15" w:type="dxa"/>
        <w:bottom w:w="15" w:type="dxa"/>
        <w:right w:w="15" w:type="dxa"/>
      </w:tblCellMar>
    </w:tblPr>
  </w:style>
  <w:style w:type="table" w:customStyle="1" w:styleId="a4">
    <w:basedOn w:val="TableNormal"/>
    <w:tblPr>
      <w:tblStyleRowBandSize w:val="1"/>
      <w:tblStyleColBandSize w:val="1"/>
      <w:tblCellMar>
        <w:top w:w="15" w:type="dxa"/>
        <w:left w:w="15" w:type="dxa"/>
        <w:bottom w:w="15" w:type="dxa"/>
        <w:right w:w="15" w:type="dxa"/>
      </w:tblCellMar>
    </w:tblPr>
  </w:style>
  <w:style w:type="table" w:customStyle="1" w:styleId="a5">
    <w:basedOn w:val="TableNormal"/>
    <w:tblPr>
      <w:tblStyleRowBandSize w:val="1"/>
      <w:tblStyleColBandSize w:val="1"/>
      <w:tblCellMar>
        <w:top w:w="15" w:type="dxa"/>
        <w:left w:w="15" w:type="dxa"/>
        <w:bottom w:w="15" w:type="dxa"/>
        <w:right w:w="15" w:type="dxa"/>
      </w:tblCellMar>
    </w:tblPr>
  </w:style>
  <w:style w:type="table" w:customStyle="1" w:styleId="a6">
    <w:basedOn w:val="TableNormal"/>
    <w:tblPr>
      <w:tblStyleRowBandSize w:val="1"/>
      <w:tblStyleColBandSize w:val="1"/>
      <w:tblCellMar>
        <w:top w:w="15" w:type="dxa"/>
        <w:left w:w="15" w:type="dxa"/>
        <w:bottom w:w="15" w:type="dxa"/>
        <w:right w:w="15" w:type="dxa"/>
      </w:tblCellMar>
    </w:tblPr>
  </w:style>
  <w:style w:type="table" w:customStyle="1" w:styleId="a7">
    <w:basedOn w:val="TableNormal"/>
    <w:tblPr>
      <w:tblStyleRowBandSize w:val="1"/>
      <w:tblStyleColBandSize w:val="1"/>
      <w:tblCellMar>
        <w:top w:w="15" w:type="dxa"/>
        <w:left w:w="15" w:type="dxa"/>
        <w:bottom w:w="15" w:type="dxa"/>
        <w:right w:w="15" w:type="dxa"/>
      </w:tblCellMar>
    </w:tblPr>
  </w:style>
  <w:style w:type="table" w:customStyle="1" w:styleId="a8">
    <w:basedOn w:val="TableNormal"/>
    <w:tblPr>
      <w:tblStyleRowBandSize w:val="1"/>
      <w:tblStyleColBandSize w:val="1"/>
      <w:tblCellMar>
        <w:top w:w="15" w:type="dxa"/>
        <w:left w:w="15" w:type="dxa"/>
        <w:bottom w:w="15" w:type="dxa"/>
        <w:right w:w="15" w:type="dxa"/>
      </w:tblCellMar>
    </w:tblPr>
  </w:style>
  <w:style w:type="table" w:customStyle="1" w:styleId="a9">
    <w:basedOn w:val="TableNormal"/>
    <w:tblPr>
      <w:tblStyleRowBandSize w:val="1"/>
      <w:tblStyleColBandSize w:val="1"/>
      <w:tblCellMar>
        <w:top w:w="15" w:type="dxa"/>
        <w:left w:w="15" w:type="dxa"/>
        <w:bottom w:w="15" w:type="dxa"/>
        <w:right w:w="15" w:type="dxa"/>
      </w:tblCellMar>
    </w:tblPr>
  </w:style>
  <w:style w:type="table" w:customStyle="1" w:styleId="aa">
    <w:basedOn w:val="TableNormal"/>
    <w:tblPr>
      <w:tblStyleRowBandSize w:val="1"/>
      <w:tblStyleColBandSize w:val="1"/>
      <w:tblCellMar>
        <w:top w:w="15" w:type="dxa"/>
        <w:left w:w="15" w:type="dxa"/>
        <w:bottom w:w="15" w:type="dxa"/>
        <w:right w:w="15" w:type="dxa"/>
      </w:tblCellMar>
    </w:tblPr>
  </w:style>
  <w:style w:type="table" w:customStyle="1" w:styleId="ab">
    <w:basedOn w:val="TableNormal"/>
    <w:tblPr>
      <w:tblStyleRowBandSize w:val="1"/>
      <w:tblStyleColBandSize w:val="1"/>
      <w:tblCellMar>
        <w:top w:w="15" w:type="dxa"/>
        <w:left w:w="15" w:type="dxa"/>
        <w:bottom w:w="15" w:type="dxa"/>
        <w:right w:w="15" w:type="dxa"/>
      </w:tblCellMar>
    </w:tblPr>
  </w:style>
  <w:style w:type="table" w:customStyle="1" w:styleId="ac">
    <w:basedOn w:val="TableNormal"/>
    <w:tblPr>
      <w:tblStyleRowBandSize w:val="1"/>
      <w:tblStyleColBandSize w:val="1"/>
      <w:tblCellMar>
        <w:top w:w="15" w:type="dxa"/>
        <w:left w:w="15" w:type="dxa"/>
        <w:bottom w:w="15" w:type="dxa"/>
        <w:right w:w="15" w:type="dxa"/>
      </w:tblCellMar>
    </w:tblPr>
  </w:style>
  <w:style w:type="table" w:customStyle="1" w:styleId="ad">
    <w:basedOn w:val="TableNormal"/>
    <w:tblPr>
      <w:tblStyleRowBandSize w:val="1"/>
      <w:tblStyleColBandSize w:val="1"/>
      <w:tblCellMar>
        <w:top w:w="15" w:type="dxa"/>
        <w:left w:w="15" w:type="dxa"/>
        <w:bottom w:w="15" w:type="dxa"/>
        <w:right w:w="15" w:type="dxa"/>
      </w:tblCellMar>
    </w:tblPr>
  </w:style>
  <w:style w:type="table" w:customStyle="1" w:styleId="ae">
    <w:basedOn w:val="TableNormal"/>
    <w:tblPr>
      <w:tblStyleRowBandSize w:val="1"/>
      <w:tblStyleColBandSize w:val="1"/>
      <w:tblCellMar>
        <w:top w:w="15" w:type="dxa"/>
        <w:left w:w="15" w:type="dxa"/>
        <w:bottom w:w="15" w:type="dxa"/>
        <w:right w:w="15" w:type="dxa"/>
      </w:tblCellMar>
    </w:tblPr>
  </w:style>
  <w:style w:type="table" w:customStyle="1" w:styleId="af">
    <w:basedOn w:val="TableNormal"/>
    <w:tblPr>
      <w:tblStyleRowBandSize w:val="1"/>
      <w:tblStyleColBandSize w:val="1"/>
      <w:tblCellMar>
        <w:top w:w="15" w:type="dxa"/>
        <w:left w:w="15" w:type="dxa"/>
        <w:bottom w:w="15" w:type="dxa"/>
        <w:right w:w="15" w:type="dxa"/>
      </w:tblCellMar>
    </w:tblPr>
  </w:style>
  <w:style w:type="table" w:customStyle="1" w:styleId="af0">
    <w:basedOn w:val="TableNormal"/>
    <w:tblPr>
      <w:tblStyleRowBandSize w:val="1"/>
      <w:tblStyleColBandSize w:val="1"/>
      <w:tblCellMar>
        <w:top w:w="15" w:type="dxa"/>
        <w:left w:w="15" w:type="dxa"/>
        <w:bottom w:w="15" w:type="dxa"/>
        <w:right w:w="15" w:type="dxa"/>
      </w:tblCellMar>
    </w:tblPr>
  </w:style>
  <w:style w:type="table" w:customStyle="1" w:styleId="af1">
    <w:basedOn w:val="TableNormal"/>
    <w:tblPr>
      <w:tblStyleRowBandSize w:val="1"/>
      <w:tblStyleColBandSize w:val="1"/>
      <w:tblCellMar>
        <w:top w:w="15" w:type="dxa"/>
        <w:left w:w="15" w:type="dxa"/>
        <w:bottom w:w="15" w:type="dxa"/>
        <w:right w:w="15" w:type="dxa"/>
      </w:tblCellMar>
    </w:tblPr>
  </w:style>
  <w:style w:type="table" w:customStyle="1" w:styleId="af2">
    <w:basedOn w:val="TableNormal"/>
    <w:tblPr>
      <w:tblStyleRowBandSize w:val="1"/>
      <w:tblStyleColBandSize w:val="1"/>
      <w:tblCellMar>
        <w:top w:w="15" w:type="dxa"/>
        <w:left w:w="15" w:type="dxa"/>
        <w:bottom w:w="15" w:type="dxa"/>
        <w:right w:w="15" w:type="dxa"/>
      </w:tblCellMar>
    </w:tblPr>
  </w:style>
  <w:style w:type="table" w:customStyle="1" w:styleId="af3">
    <w:basedOn w:val="TableNormal"/>
    <w:tblPr>
      <w:tblStyleRowBandSize w:val="1"/>
      <w:tblStyleColBandSize w:val="1"/>
      <w:tblCellMar>
        <w:top w:w="15" w:type="dxa"/>
        <w:left w:w="15" w:type="dxa"/>
        <w:bottom w:w="15" w:type="dxa"/>
        <w:right w:w="15" w:type="dxa"/>
      </w:tblCellMar>
    </w:tblPr>
  </w:style>
  <w:style w:type="table" w:customStyle="1" w:styleId="af4">
    <w:basedOn w:val="TableNormal"/>
    <w:tblPr>
      <w:tblStyleRowBandSize w:val="1"/>
      <w:tblStyleColBandSize w:val="1"/>
      <w:tblCellMar>
        <w:top w:w="15" w:type="dxa"/>
        <w:left w:w="15" w:type="dxa"/>
        <w:bottom w:w="15" w:type="dxa"/>
        <w:right w:w="15" w:type="dxa"/>
      </w:tblCellMar>
    </w:tblPr>
  </w:style>
  <w:style w:type="table" w:customStyle="1" w:styleId="af5">
    <w:basedOn w:val="TableNormal"/>
    <w:tblPr>
      <w:tblStyleRowBandSize w:val="1"/>
      <w:tblStyleColBandSize w:val="1"/>
      <w:tblCellMar>
        <w:top w:w="15" w:type="dxa"/>
        <w:left w:w="15" w:type="dxa"/>
        <w:bottom w:w="15" w:type="dxa"/>
        <w:right w:w="15" w:type="dxa"/>
      </w:tblCellMar>
    </w:tblPr>
  </w:style>
  <w:style w:type="table" w:customStyle="1" w:styleId="af6">
    <w:basedOn w:val="TableNormal"/>
    <w:tblPr>
      <w:tblStyleRowBandSize w:val="1"/>
      <w:tblStyleColBandSize w:val="1"/>
      <w:tblCellMar>
        <w:top w:w="15" w:type="dxa"/>
        <w:left w:w="15" w:type="dxa"/>
        <w:bottom w:w="15" w:type="dxa"/>
        <w:right w:w="15" w:type="dxa"/>
      </w:tblCellMar>
    </w:tblPr>
  </w:style>
  <w:style w:type="table" w:customStyle="1" w:styleId="af7">
    <w:basedOn w:val="TableNormal"/>
    <w:tblPr>
      <w:tblStyleRowBandSize w:val="1"/>
      <w:tblStyleColBandSize w:val="1"/>
      <w:tblCellMar>
        <w:top w:w="15" w:type="dxa"/>
        <w:left w:w="15" w:type="dxa"/>
        <w:bottom w:w="15" w:type="dxa"/>
        <w:right w:w="15" w:type="dxa"/>
      </w:tblCellMar>
    </w:tblPr>
  </w:style>
  <w:style w:type="table" w:customStyle="1" w:styleId="af8">
    <w:basedOn w:val="TableNormal"/>
    <w:tblPr>
      <w:tblStyleRowBandSize w:val="1"/>
      <w:tblStyleColBandSize w:val="1"/>
      <w:tblCellMar>
        <w:top w:w="15" w:type="dxa"/>
        <w:left w:w="15" w:type="dxa"/>
        <w:bottom w:w="15" w:type="dxa"/>
        <w:right w:w="15" w:type="dxa"/>
      </w:tblCellMar>
    </w:tblPr>
  </w:style>
  <w:style w:type="table" w:customStyle="1" w:styleId="af9">
    <w:basedOn w:val="TableNormal"/>
    <w:tblPr>
      <w:tblStyleRowBandSize w:val="1"/>
      <w:tblStyleColBandSize w:val="1"/>
      <w:tblCellMar>
        <w:top w:w="15" w:type="dxa"/>
        <w:left w:w="15" w:type="dxa"/>
        <w:bottom w:w="15" w:type="dxa"/>
        <w:right w:w="15" w:type="dxa"/>
      </w:tblCellMar>
    </w:tblPr>
  </w:style>
  <w:style w:type="table" w:customStyle="1" w:styleId="afa">
    <w:basedOn w:val="TableNormal"/>
    <w:tblPr>
      <w:tblStyleRowBandSize w:val="1"/>
      <w:tblStyleColBandSize w:val="1"/>
      <w:tblCellMar>
        <w:top w:w="15" w:type="dxa"/>
        <w:left w:w="15" w:type="dxa"/>
        <w:bottom w:w="15" w:type="dxa"/>
        <w:right w:w="15" w:type="dxa"/>
      </w:tblCellMar>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15" w:type="dxa"/>
        <w:left w:w="15" w:type="dxa"/>
        <w:bottom w:w="15" w:type="dxa"/>
        <w:right w:w="15" w:type="dxa"/>
      </w:tblCellMar>
    </w:tblPr>
  </w:style>
  <w:style w:type="table" w:customStyle="1" w:styleId="aff">
    <w:basedOn w:val="TableNormal"/>
    <w:tblPr>
      <w:tblStyleRowBandSize w:val="1"/>
      <w:tblStyleColBandSize w:val="1"/>
      <w:tblCellMar>
        <w:top w:w="15" w:type="dxa"/>
        <w:left w:w="15" w:type="dxa"/>
        <w:bottom w:w="15" w:type="dxa"/>
        <w:right w:w="15" w:type="dxa"/>
      </w:tblCellMar>
    </w:tblPr>
  </w:style>
  <w:style w:type="table" w:customStyle="1" w:styleId="aff0">
    <w:basedOn w:val="TableNormal"/>
    <w:tblPr>
      <w:tblStyleRowBandSize w:val="1"/>
      <w:tblStyleColBandSize w:val="1"/>
      <w:tblCellMar>
        <w:top w:w="15" w:type="dxa"/>
        <w:left w:w="15" w:type="dxa"/>
        <w:bottom w:w="15" w:type="dxa"/>
        <w:right w:w="15" w:type="dxa"/>
      </w:tblCellMar>
    </w:tblPr>
  </w:style>
  <w:style w:type="table" w:customStyle="1" w:styleId="aff1">
    <w:basedOn w:val="TableNormal"/>
    <w:tblPr>
      <w:tblStyleRowBandSize w:val="1"/>
      <w:tblStyleColBandSize w:val="1"/>
      <w:tblCellMar>
        <w:top w:w="15" w:type="dxa"/>
        <w:left w:w="15" w:type="dxa"/>
        <w:bottom w:w="15" w:type="dxa"/>
        <w:right w:w="15" w:type="dxa"/>
      </w:tblCellMar>
    </w:tblPr>
  </w:style>
  <w:style w:type="table" w:customStyle="1" w:styleId="aff2">
    <w:basedOn w:val="TableNormal"/>
    <w:tblPr>
      <w:tblStyleRowBandSize w:val="1"/>
      <w:tblStyleColBandSize w:val="1"/>
      <w:tblCellMar>
        <w:top w:w="15" w:type="dxa"/>
        <w:left w:w="15" w:type="dxa"/>
        <w:bottom w:w="15" w:type="dxa"/>
        <w:right w:w="15" w:type="dxa"/>
      </w:tblCellMar>
    </w:tblPr>
  </w:style>
  <w:style w:type="table" w:customStyle="1" w:styleId="aff3">
    <w:basedOn w:val="TableNormal"/>
    <w:tblPr>
      <w:tblStyleRowBandSize w:val="1"/>
      <w:tblStyleColBandSize w:val="1"/>
      <w:tblCellMar>
        <w:top w:w="15" w:type="dxa"/>
        <w:left w:w="15" w:type="dxa"/>
        <w:bottom w:w="15" w:type="dxa"/>
        <w:right w:w="15" w:type="dxa"/>
      </w:tblCellMar>
    </w:tblPr>
  </w:style>
  <w:style w:type="table" w:customStyle="1" w:styleId="aff4">
    <w:basedOn w:val="TableNormal"/>
    <w:tblPr>
      <w:tblStyleRowBandSize w:val="1"/>
      <w:tblStyleColBandSize w:val="1"/>
      <w:tblCellMar>
        <w:top w:w="15" w:type="dxa"/>
        <w:left w:w="15" w:type="dxa"/>
        <w:bottom w:w="15" w:type="dxa"/>
        <w:right w:w="15" w:type="dxa"/>
      </w:tblCellMar>
    </w:tblPr>
  </w:style>
  <w:style w:type="table" w:customStyle="1" w:styleId="aff5">
    <w:basedOn w:val="TableNormal"/>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bnc.org.br/" TargetMode="External"/><Relationship Id="rId13" Type="http://schemas.openxmlformats.org/officeDocument/2006/relationships/hyperlink" Target="http://www.planalto.gov.br/ccivil_03/LEIS/L8666cons.htm" TargetMode="External"/><Relationship Id="rId18" Type="http://schemas.openxmlformats.org/officeDocument/2006/relationships/hyperlink" Target="http://www.pmsjmantimento.mg.gov.br" TargetMode="External"/><Relationship Id="rId3" Type="http://schemas.openxmlformats.org/officeDocument/2006/relationships/styles" Target="styles.xml"/><Relationship Id="rId21" Type="http://schemas.openxmlformats.org/officeDocument/2006/relationships/hyperlink" Target="https://www.bnc.org.br/" TargetMode="External"/><Relationship Id="rId7" Type="http://schemas.openxmlformats.org/officeDocument/2006/relationships/endnotes" Target="endnotes.xml"/><Relationship Id="rId12" Type="http://schemas.openxmlformats.org/officeDocument/2006/relationships/hyperlink" Target="http://www.pmsjmantimento.mg.gov.br" TargetMode="External"/><Relationship Id="rId17" Type="http://schemas.openxmlformats.org/officeDocument/2006/relationships/hyperlink" Target="mailto:licitacao.concipa2025@gmail.com" TargetMode="External"/><Relationship Id="rId2" Type="http://schemas.openxmlformats.org/officeDocument/2006/relationships/numbering" Target="numbering.xml"/><Relationship Id="rId16" Type="http://schemas.openxmlformats.org/officeDocument/2006/relationships/hyperlink" Target="http://www.bnc.org.br" TargetMode="External"/><Relationship Id="rId20" Type="http://schemas.openxmlformats.org/officeDocument/2006/relationships/hyperlink" Target="http://www.pmsjmantimento.mg.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_ato2019-2022/2021/Lei/L14133.htm"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licitacao.concipa2025@gmail.com" TargetMode="External"/><Relationship Id="rId23" Type="http://schemas.openxmlformats.org/officeDocument/2006/relationships/fontTable" Target="fontTable.xml"/><Relationship Id="rId10" Type="http://schemas.openxmlformats.org/officeDocument/2006/relationships/hyperlink" Target="https://www.bnc.org.br/" TargetMode="External"/><Relationship Id="rId19" Type="http://schemas.openxmlformats.org/officeDocument/2006/relationships/hyperlink" Target="http://www.bnc.org.br" TargetMode="External"/><Relationship Id="rId4" Type="http://schemas.openxmlformats.org/officeDocument/2006/relationships/settings" Target="settings.xml"/><Relationship Id="rId9" Type="http://schemas.openxmlformats.org/officeDocument/2006/relationships/hyperlink" Target="https://www.planalto.gov.br/ccivil_03/LEIS/L6404consol.htm" TargetMode="External"/><Relationship Id="rId14" Type="http://schemas.openxmlformats.org/officeDocument/2006/relationships/hyperlink" Target="mailto:licitacao.concipa2025@gmail.com" TargetMode="External"/><Relationship Id="rId22"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K3NovF7ucp+YxRbeBmi3fnVKOg==">CgMxLjAyDmguZGp5OW81bWJ5eThtOAByITEweUExSnloLUN0VFRxbXBJaUp6R19tSGtHVU9vR1RpTQ==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9705</Words>
  <Characters>52409</Characters>
  <Application>Microsoft Office Word</Application>
  <DocSecurity>0</DocSecurity>
  <Lines>436</Lines>
  <Paragraphs>123</Paragraphs>
  <ScaleCrop>false</ScaleCrop>
  <Company/>
  <LinksUpToDate>false</LinksUpToDate>
  <CharactersWithSpaces>61991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usuario2</cp:lastModifiedBy>
  <cp:revision>3</cp:revision>
  <dcterms:created xsi:type="dcterms:W3CDTF">2026-09-24T17:43:00Z</dcterms:created>
  <dcterms:modified xsi:type="dcterms:W3CDTF">2026-10-13T13:29:00Z</dcterms:modified>
</cp:coreProperties>
</file>