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3D6219DC" w:rsidR="00E81F0D" w:rsidRPr="007C6929" w:rsidRDefault="00E81F0D" w:rsidP="00867D23">
      <w:pPr>
        <w:pStyle w:val="Ttulo1"/>
        <w:ind w:left="0" w:firstLine="0"/>
        <w:jc w:val="center"/>
        <w:rPr>
          <w:b w:val="0"/>
        </w:rPr>
      </w:pPr>
    </w:p>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14EBE217" w:rsidR="11614CD2" w:rsidRPr="00867D23" w:rsidRDefault="00974BFC" w:rsidP="00867D23">
      <w:pPr>
        <w:spacing w:after="0" w:line="240" w:lineRule="auto"/>
        <w:jc w:val="both"/>
        <w:rPr>
          <w:rFonts w:ascii="Arial" w:hAnsi="Arial" w:cs="Arial"/>
          <w:b/>
        </w:rPr>
      </w:pPr>
      <w:r>
        <w:rPr>
          <w:rFonts w:ascii="Arial" w:eastAsia="Arial" w:hAnsi="Arial" w:cs="Arial"/>
          <w:b/>
          <w:bCs/>
        </w:rPr>
        <w:t>Secretaria Municipal de Obras.</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834F5B">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3445E46" w14:textId="185CAD09" w:rsidR="00F03FD3" w:rsidRDefault="00974BFC" w:rsidP="00867D23">
      <w:pPr>
        <w:spacing w:after="0" w:line="240" w:lineRule="auto"/>
        <w:jc w:val="both"/>
        <w:rPr>
          <w:rFonts w:ascii="Arial" w:hAnsi="Arial" w:cs="Arial"/>
          <w:b/>
        </w:rPr>
      </w:pPr>
      <w:r>
        <w:rPr>
          <w:rFonts w:ascii="Arial" w:hAnsi="Arial" w:cs="Arial"/>
          <w:b/>
        </w:rPr>
        <w:t>“REGISTRO DE PREÇOS PARA FUTURAS E EVENTUAIS AQUISIÇÕES PARCELADAS DE M</w:t>
      </w:r>
      <w:r w:rsidRPr="00974BFC">
        <w:rPr>
          <w:rFonts w:ascii="Arial" w:hAnsi="Arial" w:cs="Arial"/>
          <w:b/>
        </w:rPr>
        <w:t xml:space="preserve">ATERIAIS DE CONSTRUÇÃO EM GERAL, MATERIAIS HIDRÁULICOS E ELÉTRICOS, CONFORME ITENS DESCRITOS NA TABELA SINAPI DESONERADA, </w:t>
      </w:r>
      <w:r>
        <w:rPr>
          <w:rFonts w:ascii="Arial" w:hAnsi="Arial" w:cs="Arial"/>
          <w:b/>
        </w:rPr>
        <w:t>EM ATENDIMENTO A SECRETARIA MUNICIPAL DE OBRAS.”</w:t>
      </w:r>
    </w:p>
    <w:p w14:paraId="2CD2E8CD" w14:textId="77777777" w:rsidR="00974BFC" w:rsidRPr="007C6929" w:rsidRDefault="00974BFC" w:rsidP="00867D23">
      <w:pPr>
        <w:spacing w:after="0" w:line="240" w:lineRule="auto"/>
        <w:jc w:val="both"/>
        <w:rPr>
          <w:rFonts w:ascii="Arial" w:hAnsi="Arial" w:cs="Arial"/>
          <w:b/>
        </w:rPr>
      </w:pP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834F5B">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0"/>
        <w:gridCol w:w="5384"/>
        <w:gridCol w:w="1664"/>
        <w:gridCol w:w="1664"/>
      </w:tblGrid>
      <w:tr w:rsidR="00F60E09" w:rsidRPr="00CA7A98" w14:paraId="3736DB93" w14:textId="77777777" w:rsidTr="00F60E09">
        <w:trPr>
          <w:trHeight w:val="640"/>
        </w:trPr>
        <w:tc>
          <w:tcPr>
            <w:tcW w:w="367" w:type="pct"/>
            <w:shd w:val="clear" w:color="000000" w:fill="D9D9D9"/>
            <w:noWrap/>
            <w:vAlign w:val="center"/>
            <w:hideMark/>
          </w:tcPr>
          <w:p w14:paraId="73C86052" w14:textId="77777777" w:rsidR="00F60E09" w:rsidRPr="00CA7A98" w:rsidRDefault="00F60E09" w:rsidP="005A4BC5">
            <w:pPr>
              <w:spacing w:after="0"/>
              <w:jc w:val="center"/>
              <w:rPr>
                <w:rFonts w:eastAsia="Times New Roman"/>
                <w:b/>
                <w:bCs/>
                <w:color w:val="000000"/>
                <w:sz w:val="20"/>
                <w:szCs w:val="20"/>
                <w:lang w:eastAsia="pt-BR"/>
              </w:rPr>
            </w:pPr>
            <w:r w:rsidRPr="00CA7A98">
              <w:rPr>
                <w:rFonts w:eastAsia="Times New Roman"/>
                <w:b/>
                <w:bCs/>
                <w:color w:val="000000"/>
                <w:sz w:val="20"/>
                <w:szCs w:val="20"/>
                <w:lang w:eastAsia="pt-BR"/>
              </w:rPr>
              <w:t>ITEM</w:t>
            </w:r>
          </w:p>
        </w:tc>
        <w:tc>
          <w:tcPr>
            <w:tcW w:w="2863" w:type="pct"/>
            <w:shd w:val="clear" w:color="000000" w:fill="D9D9D9"/>
            <w:vAlign w:val="center"/>
            <w:hideMark/>
          </w:tcPr>
          <w:p w14:paraId="692430A8" w14:textId="77777777" w:rsidR="00F60E09" w:rsidRPr="00CA7A98" w:rsidRDefault="00F60E09" w:rsidP="005A4BC5">
            <w:pPr>
              <w:spacing w:after="0"/>
              <w:jc w:val="center"/>
              <w:rPr>
                <w:rFonts w:eastAsia="Times New Roman"/>
                <w:b/>
                <w:bCs/>
                <w:color w:val="000000"/>
                <w:sz w:val="20"/>
                <w:szCs w:val="20"/>
                <w:lang w:eastAsia="pt-BR"/>
              </w:rPr>
            </w:pPr>
            <w:r w:rsidRPr="00CA7A98">
              <w:rPr>
                <w:rFonts w:eastAsia="Times New Roman"/>
                <w:b/>
                <w:bCs/>
                <w:color w:val="000000"/>
                <w:sz w:val="20"/>
                <w:szCs w:val="20"/>
                <w:lang w:eastAsia="pt-BR"/>
              </w:rPr>
              <w:t>DESCRIÇÃO DO PRODUTO</w:t>
            </w:r>
          </w:p>
        </w:tc>
        <w:tc>
          <w:tcPr>
            <w:tcW w:w="885" w:type="pct"/>
            <w:shd w:val="clear" w:color="000000" w:fill="D9D9D9"/>
            <w:vAlign w:val="center"/>
          </w:tcPr>
          <w:p w14:paraId="2DD54266" w14:textId="173EA686" w:rsidR="00F60E09" w:rsidRPr="00F60E09" w:rsidRDefault="00F60E09" w:rsidP="00F60E09">
            <w:pPr>
              <w:spacing w:after="0"/>
              <w:jc w:val="center"/>
              <w:rPr>
                <w:rFonts w:eastAsia="Times New Roman"/>
                <w:b/>
                <w:bCs/>
                <w:color w:val="000000"/>
                <w:sz w:val="20"/>
                <w:szCs w:val="20"/>
                <w:lang w:eastAsia="pt-BR"/>
              </w:rPr>
            </w:pPr>
            <w:r>
              <w:rPr>
                <w:rFonts w:eastAsia="Times New Roman"/>
                <w:b/>
                <w:bCs/>
                <w:color w:val="000000"/>
                <w:sz w:val="20"/>
                <w:szCs w:val="20"/>
                <w:lang w:eastAsia="pt-BR"/>
              </w:rPr>
              <w:t>% MÉDIA DE DESCONTO</w:t>
            </w:r>
          </w:p>
        </w:tc>
        <w:tc>
          <w:tcPr>
            <w:tcW w:w="885" w:type="pct"/>
            <w:shd w:val="clear" w:color="000000" w:fill="D9D9D9"/>
            <w:vAlign w:val="center"/>
            <w:hideMark/>
          </w:tcPr>
          <w:p w14:paraId="2C6B9B70" w14:textId="0D63197B" w:rsidR="00F60E09" w:rsidRPr="00CA7A98" w:rsidRDefault="00F60E09" w:rsidP="005A4BC5">
            <w:pPr>
              <w:spacing w:after="0"/>
              <w:jc w:val="center"/>
              <w:rPr>
                <w:rFonts w:eastAsia="Times New Roman"/>
                <w:b/>
                <w:bCs/>
                <w:color w:val="000000"/>
                <w:sz w:val="20"/>
                <w:szCs w:val="20"/>
                <w:lang w:eastAsia="pt-BR"/>
              </w:rPr>
            </w:pPr>
            <w:r w:rsidRPr="00CA7A98">
              <w:rPr>
                <w:rFonts w:eastAsia="Times New Roman"/>
                <w:b/>
                <w:bCs/>
                <w:color w:val="000000"/>
                <w:sz w:val="20"/>
                <w:szCs w:val="20"/>
                <w:lang w:eastAsia="pt-BR"/>
              </w:rPr>
              <w:t xml:space="preserve">VALOR </w:t>
            </w:r>
            <w:r>
              <w:rPr>
                <w:rFonts w:eastAsia="Times New Roman"/>
                <w:b/>
                <w:bCs/>
                <w:color w:val="000000"/>
                <w:sz w:val="20"/>
                <w:szCs w:val="20"/>
                <w:lang w:eastAsia="pt-BR"/>
              </w:rPr>
              <w:t>TOTAL</w:t>
            </w:r>
          </w:p>
        </w:tc>
      </w:tr>
      <w:tr w:rsidR="00F60E09" w:rsidRPr="00CA7A98" w14:paraId="55A64FCC" w14:textId="77777777" w:rsidTr="00F60E09">
        <w:trPr>
          <w:trHeight w:val="1129"/>
        </w:trPr>
        <w:tc>
          <w:tcPr>
            <w:tcW w:w="367" w:type="pct"/>
            <w:shd w:val="clear" w:color="auto" w:fill="auto"/>
            <w:noWrap/>
            <w:vAlign w:val="center"/>
            <w:hideMark/>
          </w:tcPr>
          <w:p w14:paraId="4E925F9B" w14:textId="1065D72C"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1</w:t>
            </w:r>
          </w:p>
        </w:tc>
        <w:tc>
          <w:tcPr>
            <w:tcW w:w="2863" w:type="pct"/>
            <w:shd w:val="clear" w:color="auto" w:fill="auto"/>
            <w:vAlign w:val="center"/>
            <w:hideMark/>
          </w:tcPr>
          <w:p w14:paraId="606AA8E7"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Material de construção básico e em geral.</w:t>
            </w:r>
            <w:r w:rsidRPr="00CA7A98">
              <w:rPr>
                <w:rFonts w:eastAsia="Times New Roman"/>
                <w:color w:val="000000"/>
                <w:sz w:val="20"/>
                <w:szCs w:val="20"/>
                <w:lang w:eastAsia="pt-BR"/>
              </w:rPr>
              <w:br/>
              <w:t>Areia</w:t>
            </w:r>
            <w:r>
              <w:rPr>
                <w:rFonts w:eastAsia="Times New Roman"/>
                <w:color w:val="000000"/>
                <w:sz w:val="20"/>
                <w:szCs w:val="20"/>
                <w:lang w:eastAsia="pt-BR"/>
              </w:rPr>
              <w:t>s, cal, pedra britada, cimento</w:t>
            </w:r>
            <w:r w:rsidRPr="00CA7A98">
              <w:rPr>
                <w:rFonts w:eastAsia="Times New Roman"/>
                <w:color w:val="000000"/>
                <w:sz w:val="20"/>
                <w:szCs w:val="20"/>
                <w:lang w:eastAsia="pt-BR"/>
              </w:rPr>
              <w:t>, lona plástica, mangueiras, etc., e afins (baseando na tabela SINAPI-MG)</w:t>
            </w:r>
          </w:p>
        </w:tc>
        <w:tc>
          <w:tcPr>
            <w:tcW w:w="885" w:type="pct"/>
            <w:vAlign w:val="center"/>
          </w:tcPr>
          <w:p w14:paraId="4DCF2CAA" w14:textId="5BEA08B0"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5%</w:t>
            </w:r>
          </w:p>
        </w:tc>
        <w:tc>
          <w:tcPr>
            <w:tcW w:w="885" w:type="pct"/>
            <w:shd w:val="clear" w:color="auto" w:fill="auto"/>
            <w:noWrap/>
            <w:vAlign w:val="center"/>
            <w:hideMark/>
          </w:tcPr>
          <w:p w14:paraId="76DE9FD3" w14:textId="69611E2A"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R$ 500</w:t>
            </w:r>
            <w:r w:rsidRPr="00CA7A98">
              <w:rPr>
                <w:rFonts w:eastAsia="Times New Roman"/>
                <w:color w:val="000000"/>
                <w:sz w:val="20"/>
                <w:szCs w:val="20"/>
                <w:lang w:eastAsia="pt-BR"/>
              </w:rPr>
              <w:t>.000,00</w:t>
            </w:r>
          </w:p>
        </w:tc>
      </w:tr>
      <w:tr w:rsidR="00F60E09" w:rsidRPr="00CA7A98" w14:paraId="78972FF7" w14:textId="77777777" w:rsidTr="00F60E09">
        <w:trPr>
          <w:trHeight w:val="1131"/>
        </w:trPr>
        <w:tc>
          <w:tcPr>
            <w:tcW w:w="367" w:type="pct"/>
            <w:shd w:val="clear" w:color="auto" w:fill="auto"/>
            <w:noWrap/>
            <w:vAlign w:val="center"/>
            <w:hideMark/>
          </w:tcPr>
          <w:p w14:paraId="68501F8C" w14:textId="2DFC6A95"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2</w:t>
            </w:r>
          </w:p>
        </w:tc>
        <w:tc>
          <w:tcPr>
            <w:tcW w:w="2863" w:type="pct"/>
            <w:shd w:val="clear" w:color="auto" w:fill="auto"/>
            <w:vAlign w:val="center"/>
            <w:hideMark/>
          </w:tcPr>
          <w:p w14:paraId="64D720EA"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Material de fixação</w:t>
            </w:r>
            <w:r w:rsidRPr="00CA7A98">
              <w:rPr>
                <w:rFonts w:eastAsia="Times New Roman"/>
                <w:color w:val="000000"/>
                <w:sz w:val="20"/>
                <w:szCs w:val="20"/>
                <w:lang w:eastAsia="pt-BR"/>
              </w:rPr>
              <w:br/>
              <w:t>Bucha s6, parafusos em aço galvanizados, parafusos em geral, etc., e afins (baseando na tabela SINAPI-MG)</w:t>
            </w:r>
          </w:p>
        </w:tc>
        <w:tc>
          <w:tcPr>
            <w:tcW w:w="885" w:type="pct"/>
            <w:vAlign w:val="center"/>
          </w:tcPr>
          <w:p w14:paraId="08760786" w14:textId="35691964"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5,03%</w:t>
            </w:r>
          </w:p>
        </w:tc>
        <w:tc>
          <w:tcPr>
            <w:tcW w:w="885" w:type="pct"/>
            <w:shd w:val="clear" w:color="auto" w:fill="auto"/>
            <w:noWrap/>
            <w:vAlign w:val="center"/>
            <w:hideMark/>
          </w:tcPr>
          <w:p w14:paraId="2C168FCB" w14:textId="1FF155D1"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R$ 72</w:t>
            </w:r>
            <w:r w:rsidRPr="00CA7A98">
              <w:rPr>
                <w:rFonts w:eastAsia="Times New Roman"/>
                <w:color w:val="000000"/>
                <w:sz w:val="20"/>
                <w:szCs w:val="20"/>
                <w:lang w:eastAsia="pt-BR"/>
              </w:rPr>
              <w:t>.000,00</w:t>
            </w:r>
          </w:p>
        </w:tc>
      </w:tr>
      <w:tr w:rsidR="00F60E09" w:rsidRPr="00CA7A98" w14:paraId="4D53859D" w14:textId="77777777" w:rsidTr="00F60E09">
        <w:trPr>
          <w:trHeight w:val="1470"/>
        </w:trPr>
        <w:tc>
          <w:tcPr>
            <w:tcW w:w="367" w:type="pct"/>
            <w:shd w:val="clear" w:color="auto" w:fill="auto"/>
            <w:noWrap/>
            <w:vAlign w:val="center"/>
            <w:hideMark/>
          </w:tcPr>
          <w:p w14:paraId="5B181309" w14:textId="4791A76D"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3</w:t>
            </w:r>
          </w:p>
        </w:tc>
        <w:tc>
          <w:tcPr>
            <w:tcW w:w="2863" w:type="pct"/>
            <w:shd w:val="clear" w:color="auto" w:fill="auto"/>
            <w:vAlign w:val="center"/>
            <w:hideMark/>
          </w:tcPr>
          <w:p w14:paraId="459F274C"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Ferragens de aço para construção</w:t>
            </w:r>
            <w:r w:rsidRPr="00CA7A98">
              <w:rPr>
                <w:rFonts w:eastAsia="Times New Roman"/>
                <w:color w:val="000000"/>
                <w:sz w:val="20"/>
                <w:szCs w:val="20"/>
                <w:lang w:eastAsia="pt-BR"/>
              </w:rPr>
              <w:br/>
              <w:t xml:space="preserve">Barra de aço CA-25, CA-50, CA-60, </w:t>
            </w:r>
            <w:proofErr w:type="spellStart"/>
            <w:r w:rsidRPr="00CA7A98">
              <w:rPr>
                <w:rFonts w:eastAsia="Times New Roman"/>
                <w:color w:val="000000"/>
                <w:sz w:val="20"/>
                <w:szCs w:val="20"/>
                <w:lang w:eastAsia="pt-BR"/>
              </w:rPr>
              <w:t>gabião</w:t>
            </w:r>
            <w:proofErr w:type="spellEnd"/>
            <w:r w:rsidRPr="00CA7A98">
              <w:rPr>
                <w:rFonts w:eastAsia="Times New Roman"/>
                <w:color w:val="000000"/>
                <w:sz w:val="20"/>
                <w:szCs w:val="20"/>
                <w:lang w:eastAsia="pt-BR"/>
              </w:rPr>
              <w:t xml:space="preserve"> caixa de malha 8/10 cm, tela de aço, viga estrutura de aço, arame galvanizado, barra de ferro, Ferro 1, ferro 5/16, etc. e afins (baseando na tabela SINAPI-MG)</w:t>
            </w:r>
          </w:p>
        </w:tc>
        <w:tc>
          <w:tcPr>
            <w:tcW w:w="885" w:type="pct"/>
            <w:vAlign w:val="center"/>
          </w:tcPr>
          <w:p w14:paraId="54EC526B" w14:textId="1564FF43"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7,03%</w:t>
            </w:r>
          </w:p>
        </w:tc>
        <w:tc>
          <w:tcPr>
            <w:tcW w:w="885" w:type="pct"/>
            <w:shd w:val="clear" w:color="auto" w:fill="auto"/>
            <w:noWrap/>
            <w:vAlign w:val="center"/>
            <w:hideMark/>
          </w:tcPr>
          <w:p w14:paraId="05B35F16" w14:textId="330B55EE"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R$ 500</w:t>
            </w:r>
            <w:r w:rsidRPr="00CA7A98">
              <w:rPr>
                <w:rFonts w:eastAsia="Times New Roman"/>
                <w:color w:val="000000"/>
                <w:sz w:val="20"/>
                <w:szCs w:val="20"/>
                <w:lang w:eastAsia="pt-BR"/>
              </w:rPr>
              <w:t>.000,00</w:t>
            </w:r>
          </w:p>
        </w:tc>
      </w:tr>
      <w:tr w:rsidR="00F60E09" w:rsidRPr="00CA7A98" w14:paraId="3C637051" w14:textId="77777777" w:rsidTr="00F60E09">
        <w:trPr>
          <w:trHeight w:val="1470"/>
        </w:trPr>
        <w:tc>
          <w:tcPr>
            <w:tcW w:w="367" w:type="pct"/>
            <w:shd w:val="clear" w:color="auto" w:fill="auto"/>
            <w:noWrap/>
            <w:vAlign w:val="center"/>
            <w:hideMark/>
          </w:tcPr>
          <w:p w14:paraId="1839C1D6" w14:textId="39D0DD82"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4</w:t>
            </w:r>
          </w:p>
        </w:tc>
        <w:tc>
          <w:tcPr>
            <w:tcW w:w="2863" w:type="pct"/>
            <w:shd w:val="clear" w:color="auto" w:fill="auto"/>
            <w:vAlign w:val="center"/>
            <w:hideMark/>
          </w:tcPr>
          <w:p w14:paraId="7ACDF47F"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 xml:space="preserve">Artefatos de concretos e </w:t>
            </w:r>
            <w:proofErr w:type="spellStart"/>
            <w:r w:rsidRPr="00CA7A98">
              <w:rPr>
                <w:rFonts w:eastAsia="Times New Roman"/>
                <w:color w:val="000000"/>
                <w:sz w:val="20"/>
                <w:szCs w:val="20"/>
                <w:lang w:eastAsia="pt-BR"/>
              </w:rPr>
              <w:t>Fc</w:t>
            </w:r>
            <w:proofErr w:type="spellEnd"/>
            <w:r w:rsidRPr="00CA7A98">
              <w:rPr>
                <w:rFonts w:eastAsia="Times New Roman"/>
                <w:color w:val="000000"/>
                <w:sz w:val="20"/>
                <w:szCs w:val="20"/>
                <w:lang w:eastAsia="pt-BR"/>
              </w:rPr>
              <w:br/>
              <w:t xml:space="preserve">Laje </w:t>
            </w:r>
            <w:proofErr w:type="spellStart"/>
            <w:r w:rsidRPr="00CA7A98">
              <w:rPr>
                <w:rFonts w:eastAsia="Times New Roman"/>
                <w:color w:val="000000"/>
                <w:sz w:val="20"/>
                <w:szCs w:val="20"/>
                <w:lang w:eastAsia="pt-BR"/>
              </w:rPr>
              <w:t>pré</w:t>
            </w:r>
            <w:proofErr w:type="spellEnd"/>
            <w:r w:rsidRPr="00CA7A98">
              <w:rPr>
                <w:rFonts w:eastAsia="Times New Roman"/>
                <w:color w:val="000000"/>
                <w:sz w:val="20"/>
                <w:szCs w:val="20"/>
                <w:lang w:eastAsia="pt-BR"/>
              </w:rPr>
              <w:t xml:space="preserve"> moldada, blocos de concreto, fossa séptica, caixa d´água de </w:t>
            </w:r>
            <w:proofErr w:type="spellStart"/>
            <w:r w:rsidRPr="00CA7A98">
              <w:rPr>
                <w:rFonts w:eastAsia="Times New Roman"/>
                <w:color w:val="000000"/>
                <w:sz w:val="20"/>
                <w:szCs w:val="20"/>
                <w:lang w:eastAsia="pt-BR"/>
              </w:rPr>
              <w:t>fc</w:t>
            </w:r>
            <w:proofErr w:type="spellEnd"/>
            <w:r w:rsidRPr="00CA7A98">
              <w:rPr>
                <w:rFonts w:eastAsia="Times New Roman"/>
                <w:color w:val="000000"/>
                <w:sz w:val="20"/>
                <w:szCs w:val="20"/>
                <w:lang w:eastAsia="pt-BR"/>
              </w:rPr>
              <w:t xml:space="preserve">, telhas onduladas de </w:t>
            </w:r>
            <w:proofErr w:type="spellStart"/>
            <w:r w:rsidRPr="00CA7A98">
              <w:rPr>
                <w:rFonts w:eastAsia="Times New Roman"/>
                <w:color w:val="000000"/>
                <w:sz w:val="20"/>
                <w:szCs w:val="20"/>
                <w:lang w:eastAsia="pt-BR"/>
              </w:rPr>
              <w:t>fc</w:t>
            </w:r>
            <w:proofErr w:type="spellEnd"/>
            <w:r w:rsidRPr="00CA7A98">
              <w:rPr>
                <w:rFonts w:eastAsia="Times New Roman"/>
                <w:color w:val="000000"/>
                <w:sz w:val="20"/>
                <w:szCs w:val="20"/>
                <w:lang w:eastAsia="pt-BR"/>
              </w:rPr>
              <w:t>, meio fio ou guia de concreto, mourão de concreto em geral, manilhas de concreto em geral, etc. e afins (baseando na tabela SINAPI-MG)</w:t>
            </w:r>
          </w:p>
        </w:tc>
        <w:tc>
          <w:tcPr>
            <w:tcW w:w="885" w:type="pct"/>
            <w:vAlign w:val="center"/>
          </w:tcPr>
          <w:p w14:paraId="125CB2E3" w14:textId="1FEBC58D"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3,67%</w:t>
            </w:r>
          </w:p>
        </w:tc>
        <w:tc>
          <w:tcPr>
            <w:tcW w:w="885" w:type="pct"/>
            <w:shd w:val="clear" w:color="auto" w:fill="auto"/>
            <w:noWrap/>
            <w:vAlign w:val="center"/>
            <w:hideMark/>
          </w:tcPr>
          <w:p w14:paraId="4A29B076" w14:textId="0922AD3D"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R$ 500</w:t>
            </w:r>
            <w:r w:rsidRPr="00CA7A98">
              <w:rPr>
                <w:rFonts w:eastAsia="Times New Roman"/>
                <w:color w:val="000000"/>
                <w:sz w:val="20"/>
                <w:szCs w:val="20"/>
                <w:lang w:eastAsia="pt-BR"/>
              </w:rPr>
              <w:t>.000,00</w:t>
            </w:r>
          </w:p>
        </w:tc>
      </w:tr>
      <w:tr w:rsidR="00F60E09" w:rsidRPr="00CA7A98" w14:paraId="75DC7423" w14:textId="77777777" w:rsidTr="00F60E09">
        <w:trPr>
          <w:trHeight w:val="1275"/>
        </w:trPr>
        <w:tc>
          <w:tcPr>
            <w:tcW w:w="367" w:type="pct"/>
            <w:shd w:val="clear" w:color="auto" w:fill="auto"/>
            <w:noWrap/>
            <w:vAlign w:val="center"/>
            <w:hideMark/>
          </w:tcPr>
          <w:p w14:paraId="4DD897E9" w14:textId="1CCEA70F"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5</w:t>
            </w:r>
          </w:p>
        </w:tc>
        <w:tc>
          <w:tcPr>
            <w:tcW w:w="2863" w:type="pct"/>
            <w:shd w:val="clear" w:color="auto" w:fill="auto"/>
            <w:vAlign w:val="center"/>
            <w:hideMark/>
          </w:tcPr>
          <w:p w14:paraId="0948A03D"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Material cerâmico (Olarias)</w:t>
            </w:r>
            <w:r w:rsidRPr="00CA7A98">
              <w:rPr>
                <w:rFonts w:eastAsia="Times New Roman"/>
                <w:color w:val="000000"/>
                <w:sz w:val="20"/>
                <w:szCs w:val="20"/>
                <w:lang w:eastAsia="pt-BR"/>
              </w:rPr>
              <w:br/>
              <w:t xml:space="preserve">Tijolo furado, tijolo maciço, telha </w:t>
            </w:r>
            <w:proofErr w:type="spellStart"/>
            <w:r w:rsidRPr="00CA7A98">
              <w:rPr>
                <w:rFonts w:eastAsia="Times New Roman"/>
                <w:color w:val="000000"/>
                <w:sz w:val="20"/>
                <w:szCs w:val="20"/>
                <w:lang w:eastAsia="pt-BR"/>
              </w:rPr>
              <w:t>capanal</w:t>
            </w:r>
            <w:proofErr w:type="spellEnd"/>
            <w:r w:rsidRPr="00CA7A98">
              <w:rPr>
                <w:rFonts w:eastAsia="Times New Roman"/>
                <w:color w:val="000000"/>
                <w:sz w:val="20"/>
                <w:szCs w:val="20"/>
                <w:lang w:eastAsia="pt-BR"/>
              </w:rPr>
              <w:t>, e outros tipos de telhas, etc., e afins, (baseando na tabela SINAPI-MG)</w:t>
            </w:r>
          </w:p>
        </w:tc>
        <w:tc>
          <w:tcPr>
            <w:tcW w:w="885" w:type="pct"/>
            <w:vAlign w:val="center"/>
          </w:tcPr>
          <w:p w14:paraId="13E0FC94" w14:textId="4B17920C"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4,67%</w:t>
            </w:r>
          </w:p>
        </w:tc>
        <w:tc>
          <w:tcPr>
            <w:tcW w:w="885" w:type="pct"/>
            <w:shd w:val="clear" w:color="auto" w:fill="auto"/>
            <w:noWrap/>
            <w:vAlign w:val="center"/>
            <w:hideMark/>
          </w:tcPr>
          <w:p w14:paraId="4237E86D" w14:textId="09476B03"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R$ 300</w:t>
            </w:r>
            <w:r w:rsidRPr="00CA7A98">
              <w:rPr>
                <w:rFonts w:eastAsia="Times New Roman"/>
                <w:color w:val="000000"/>
                <w:sz w:val="20"/>
                <w:szCs w:val="20"/>
                <w:lang w:eastAsia="pt-BR"/>
              </w:rPr>
              <w:t>.000,00</w:t>
            </w:r>
          </w:p>
        </w:tc>
      </w:tr>
      <w:tr w:rsidR="00F60E09" w:rsidRPr="00CA7A98" w14:paraId="6C47B0D4" w14:textId="77777777" w:rsidTr="00F60E09">
        <w:trPr>
          <w:trHeight w:val="1470"/>
        </w:trPr>
        <w:tc>
          <w:tcPr>
            <w:tcW w:w="367" w:type="pct"/>
            <w:shd w:val="clear" w:color="auto" w:fill="auto"/>
            <w:noWrap/>
            <w:vAlign w:val="center"/>
            <w:hideMark/>
          </w:tcPr>
          <w:p w14:paraId="25605B0D" w14:textId="3EEBB454"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6</w:t>
            </w:r>
          </w:p>
        </w:tc>
        <w:tc>
          <w:tcPr>
            <w:tcW w:w="2863" w:type="pct"/>
            <w:shd w:val="clear" w:color="auto" w:fill="auto"/>
            <w:vAlign w:val="center"/>
            <w:hideMark/>
          </w:tcPr>
          <w:p w14:paraId="7C91D0C5"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Madeiras em geral Madeiras serradas, madeiras para forma e cercas, madeiras para telhados, madeiras para armários, forros e assoalho de madeira e esquadrilhas de madeiras, pranchões de madeira, etc. e afins (baseando na tabela SINAPI-MG)</w:t>
            </w:r>
          </w:p>
        </w:tc>
        <w:tc>
          <w:tcPr>
            <w:tcW w:w="885" w:type="pct"/>
            <w:vAlign w:val="center"/>
          </w:tcPr>
          <w:p w14:paraId="5DCB55D7" w14:textId="492CBDFD"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5,01%</w:t>
            </w:r>
          </w:p>
        </w:tc>
        <w:tc>
          <w:tcPr>
            <w:tcW w:w="885" w:type="pct"/>
            <w:shd w:val="clear" w:color="auto" w:fill="auto"/>
            <w:noWrap/>
            <w:vAlign w:val="center"/>
            <w:hideMark/>
          </w:tcPr>
          <w:p w14:paraId="0103079D" w14:textId="39466CDE"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R$ 400</w:t>
            </w:r>
            <w:r w:rsidRPr="00CA7A98">
              <w:rPr>
                <w:rFonts w:eastAsia="Times New Roman"/>
                <w:color w:val="000000"/>
                <w:sz w:val="20"/>
                <w:szCs w:val="20"/>
                <w:lang w:eastAsia="pt-BR"/>
              </w:rPr>
              <w:t>.000,00</w:t>
            </w:r>
          </w:p>
        </w:tc>
      </w:tr>
      <w:tr w:rsidR="00F60E09" w:rsidRPr="00CA7A98" w14:paraId="5237C4F7" w14:textId="77777777" w:rsidTr="00F60E09">
        <w:trPr>
          <w:trHeight w:val="1470"/>
        </w:trPr>
        <w:tc>
          <w:tcPr>
            <w:tcW w:w="367" w:type="pct"/>
            <w:shd w:val="clear" w:color="auto" w:fill="auto"/>
            <w:noWrap/>
            <w:vAlign w:val="center"/>
            <w:hideMark/>
          </w:tcPr>
          <w:p w14:paraId="1557A7F6" w14:textId="7371D819"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lastRenderedPageBreak/>
              <w:t>0</w:t>
            </w:r>
            <w:r w:rsidRPr="00CA7A98">
              <w:rPr>
                <w:rFonts w:eastAsia="Times New Roman"/>
                <w:color w:val="000000"/>
                <w:sz w:val="20"/>
                <w:szCs w:val="20"/>
                <w:lang w:eastAsia="pt-BR"/>
              </w:rPr>
              <w:t>7</w:t>
            </w:r>
          </w:p>
        </w:tc>
        <w:tc>
          <w:tcPr>
            <w:tcW w:w="2863" w:type="pct"/>
            <w:shd w:val="clear" w:color="auto" w:fill="auto"/>
            <w:vAlign w:val="center"/>
            <w:hideMark/>
          </w:tcPr>
          <w:p w14:paraId="5ED33972"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Esquadrilha de alumínio aço/ferro, ferragens para esquadrilha, basculante de alumínio, basculante de ferro, porta de abrir de ferro, janela de correr de alumínio e porta de correr de alumínio, dobradiças de ferro, cadeados em geral, fechaduras em geral, etc. (baseando na tabela SINAPI-MG)</w:t>
            </w:r>
          </w:p>
        </w:tc>
        <w:tc>
          <w:tcPr>
            <w:tcW w:w="885" w:type="pct"/>
            <w:vAlign w:val="center"/>
          </w:tcPr>
          <w:p w14:paraId="5B823CCC" w14:textId="0BAD0B0E"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9%</w:t>
            </w:r>
          </w:p>
        </w:tc>
        <w:tc>
          <w:tcPr>
            <w:tcW w:w="885" w:type="pct"/>
            <w:shd w:val="clear" w:color="auto" w:fill="auto"/>
            <w:noWrap/>
            <w:vAlign w:val="center"/>
            <w:hideMark/>
          </w:tcPr>
          <w:p w14:paraId="684FA347" w14:textId="5CA90719"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R$ 300</w:t>
            </w:r>
            <w:r w:rsidRPr="00CA7A98">
              <w:rPr>
                <w:rFonts w:eastAsia="Times New Roman"/>
                <w:color w:val="000000"/>
                <w:sz w:val="20"/>
                <w:szCs w:val="20"/>
                <w:lang w:eastAsia="pt-BR"/>
              </w:rPr>
              <w:t>.000,00</w:t>
            </w:r>
          </w:p>
        </w:tc>
      </w:tr>
      <w:tr w:rsidR="00F60E09" w:rsidRPr="00CA7A98" w14:paraId="63B35B65" w14:textId="77777777" w:rsidTr="00F60E09">
        <w:trPr>
          <w:trHeight w:val="896"/>
        </w:trPr>
        <w:tc>
          <w:tcPr>
            <w:tcW w:w="367" w:type="pct"/>
            <w:shd w:val="clear" w:color="auto" w:fill="auto"/>
            <w:noWrap/>
            <w:vAlign w:val="center"/>
            <w:hideMark/>
          </w:tcPr>
          <w:p w14:paraId="408C2055" w14:textId="717C3243"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8</w:t>
            </w:r>
          </w:p>
        </w:tc>
        <w:tc>
          <w:tcPr>
            <w:tcW w:w="2863" w:type="pct"/>
            <w:shd w:val="clear" w:color="auto" w:fill="auto"/>
            <w:vAlign w:val="center"/>
            <w:hideMark/>
          </w:tcPr>
          <w:p w14:paraId="5AC1263B"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Divisórias e forros em geral, etc., e afins (baseando na tabela SINAPI-MG)</w:t>
            </w:r>
          </w:p>
        </w:tc>
        <w:tc>
          <w:tcPr>
            <w:tcW w:w="885" w:type="pct"/>
            <w:vAlign w:val="center"/>
          </w:tcPr>
          <w:p w14:paraId="2FED50DF" w14:textId="20F012E5"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8,15%</w:t>
            </w:r>
          </w:p>
        </w:tc>
        <w:tc>
          <w:tcPr>
            <w:tcW w:w="885" w:type="pct"/>
            <w:shd w:val="clear" w:color="auto" w:fill="auto"/>
            <w:noWrap/>
            <w:vAlign w:val="center"/>
            <w:hideMark/>
          </w:tcPr>
          <w:p w14:paraId="3EE49EF8" w14:textId="2E633B79"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R$ 300</w:t>
            </w:r>
            <w:r w:rsidRPr="00CA7A98">
              <w:rPr>
                <w:rFonts w:eastAsia="Times New Roman"/>
                <w:color w:val="000000"/>
                <w:sz w:val="20"/>
                <w:szCs w:val="20"/>
                <w:lang w:eastAsia="pt-BR"/>
              </w:rPr>
              <w:t>.000,00</w:t>
            </w:r>
          </w:p>
        </w:tc>
      </w:tr>
      <w:tr w:rsidR="00F60E09" w:rsidRPr="00CA7A98" w14:paraId="4CEC9E1B" w14:textId="77777777" w:rsidTr="00F60E09">
        <w:trPr>
          <w:trHeight w:val="966"/>
        </w:trPr>
        <w:tc>
          <w:tcPr>
            <w:tcW w:w="367" w:type="pct"/>
            <w:shd w:val="clear" w:color="auto" w:fill="auto"/>
            <w:noWrap/>
            <w:vAlign w:val="center"/>
            <w:hideMark/>
          </w:tcPr>
          <w:p w14:paraId="72C62095" w14:textId="44A125DB"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0</w:t>
            </w:r>
            <w:r w:rsidRPr="00CA7A98">
              <w:rPr>
                <w:rFonts w:eastAsia="Times New Roman"/>
                <w:color w:val="000000"/>
                <w:sz w:val="20"/>
                <w:szCs w:val="20"/>
                <w:lang w:eastAsia="pt-BR"/>
              </w:rPr>
              <w:t>9</w:t>
            </w:r>
          </w:p>
        </w:tc>
        <w:tc>
          <w:tcPr>
            <w:tcW w:w="2863" w:type="pct"/>
            <w:shd w:val="clear" w:color="auto" w:fill="auto"/>
            <w:vAlign w:val="center"/>
            <w:hideMark/>
          </w:tcPr>
          <w:p w14:paraId="35DCEDBD"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Vidros em geral, todos os tipos de vidro, etc., e afins (baseando na tabela SINAPI-MG)</w:t>
            </w:r>
          </w:p>
        </w:tc>
        <w:tc>
          <w:tcPr>
            <w:tcW w:w="885" w:type="pct"/>
            <w:vAlign w:val="center"/>
          </w:tcPr>
          <w:p w14:paraId="5E1EE4E0" w14:textId="119846BF"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5,90%</w:t>
            </w:r>
          </w:p>
        </w:tc>
        <w:tc>
          <w:tcPr>
            <w:tcW w:w="885" w:type="pct"/>
            <w:shd w:val="clear" w:color="auto" w:fill="auto"/>
            <w:noWrap/>
            <w:vAlign w:val="center"/>
            <w:hideMark/>
          </w:tcPr>
          <w:p w14:paraId="77993E01" w14:textId="3E445287"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R$ 250</w:t>
            </w:r>
            <w:r w:rsidRPr="00CA7A98">
              <w:rPr>
                <w:rFonts w:eastAsia="Times New Roman"/>
                <w:color w:val="000000"/>
                <w:sz w:val="20"/>
                <w:szCs w:val="20"/>
                <w:lang w:eastAsia="pt-BR"/>
              </w:rPr>
              <w:t>.000,00</w:t>
            </w:r>
          </w:p>
        </w:tc>
      </w:tr>
      <w:tr w:rsidR="00F60E09" w:rsidRPr="00CA7A98" w14:paraId="20F1CA45" w14:textId="77777777" w:rsidTr="00F60E09">
        <w:trPr>
          <w:trHeight w:val="1470"/>
        </w:trPr>
        <w:tc>
          <w:tcPr>
            <w:tcW w:w="367" w:type="pct"/>
            <w:shd w:val="clear" w:color="auto" w:fill="auto"/>
            <w:noWrap/>
            <w:vAlign w:val="center"/>
            <w:hideMark/>
          </w:tcPr>
          <w:p w14:paraId="2C7A4175"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10</w:t>
            </w:r>
          </w:p>
        </w:tc>
        <w:tc>
          <w:tcPr>
            <w:tcW w:w="2863" w:type="pct"/>
            <w:shd w:val="clear" w:color="auto" w:fill="auto"/>
            <w:vAlign w:val="center"/>
            <w:hideMark/>
          </w:tcPr>
          <w:p w14:paraId="692E0290"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Revestimento pisos e paredes</w:t>
            </w:r>
            <w:r w:rsidRPr="00CA7A98">
              <w:rPr>
                <w:rFonts w:eastAsia="Times New Roman"/>
                <w:color w:val="000000"/>
                <w:sz w:val="20"/>
                <w:szCs w:val="20"/>
                <w:lang w:eastAsia="pt-BR"/>
              </w:rPr>
              <w:br/>
              <w:t>Azulejo branco liso 15x15cm, cerâmica vermelha 1 qual. Cerâmica esmaltada p/piso granito amêndoa, pedra ardósia 40x40cm, junta de dilatação p/pisos, mármore branco 30x30, etc. e afins (baseando na tabela SINAPI-MG)</w:t>
            </w:r>
          </w:p>
        </w:tc>
        <w:tc>
          <w:tcPr>
            <w:tcW w:w="885" w:type="pct"/>
            <w:vAlign w:val="center"/>
          </w:tcPr>
          <w:p w14:paraId="313D7D93" w14:textId="00F33B78"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6,58%</w:t>
            </w:r>
          </w:p>
        </w:tc>
        <w:tc>
          <w:tcPr>
            <w:tcW w:w="885" w:type="pct"/>
            <w:shd w:val="clear" w:color="auto" w:fill="auto"/>
            <w:noWrap/>
            <w:vAlign w:val="center"/>
            <w:hideMark/>
          </w:tcPr>
          <w:p w14:paraId="25253F15" w14:textId="623F4B6D"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R$ 200</w:t>
            </w:r>
            <w:r w:rsidRPr="00CA7A98">
              <w:rPr>
                <w:rFonts w:eastAsia="Times New Roman"/>
                <w:color w:val="000000"/>
                <w:sz w:val="20"/>
                <w:szCs w:val="20"/>
                <w:lang w:eastAsia="pt-BR"/>
              </w:rPr>
              <w:t>.000,00</w:t>
            </w:r>
          </w:p>
        </w:tc>
      </w:tr>
      <w:tr w:rsidR="00F60E09" w:rsidRPr="00CA7A98" w14:paraId="46027E4C" w14:textId="77777777" w:rsidTr="00F60E09">
        <w:trPr>
          <w:trHeight w:val="1688"/>
        </w:trPr>
        <w:tc>
          <w:tcPr>
            <w:tcW w:w="367" w:type="pct"/>
            <w:shd w:val="clear" w:color="auto" w:fill="auto"/>
            <w:noWrap/>
            <w:vAlign w:val="center"/>
            <w:hideMark/>
          </w:tcPr>
          <w:p w14:paraId="76E97109"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11</w:t>
            </w:r>
          </w:p>
        </w:tc>
        <w:tc>
          <w:tcPr>
            <w:tcW w:w="2863" w:type="pct"/>
            <w:shd w:val="clear" w:color="auto" w:fill="auto"/>
            <w:vAlign w:val="center"/>
            <w:hideMark/>
          </w:tcPr>
          <w:p w14:paraId="74A25A68"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Pintura</w:t>
            </w:r>
            <w:r w:rsidRPr="00CA7A98">
              <w:rPr>
                <w:rFonts w:eastAsia="Times New Roman"/>
                <w:color w:val="000000"/>
                <w:sz w:val="20"/>
                <w:szCs w:val="20"/>
                <w:lang w:eastAsia="pt-BR"/>
              </w:rPr>
              <w:br/>
              <w:t>Materiais de pintura abrangendo tintas, massas, impermeabilizantes, solventes e removedores, fundos e seladores, vernizes, silicones, adesivos, e colas, pinceis, rolos, acessórios, e demais complementos, etc. e afins (baseando na tabela SINAPI-MG)</w:t>
            </w:r>
          </w:p>
        </w:tc>
        <w:tc>
          <w:tcPr>
            <w:tcW w:w="885" w:type="pct"/>
            <w:vAlign w:val="center"/>
          </w:tcPr>
          <w:p w14:paraId="72B880B9" w14:textId="591AC142"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18%</w:t>
            </w:r>
          </w:p>
        </w:tc>
        <w:tc>
          <w:tcPr>
            <w:tcW w:w="885" w:type="pct"/>
            <w:shd w:val="clear" w:color="auto" w:fill="auto"/>
            <w:noWrap/>
            <w:vAlign w:val="center"/>
            <w:hideMark/>
          </w:tcPr>
          <w:p w14:paraId="1373369A" w14:textId="1F07363D"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R$ 250</w:t>
            </w:r>
            <w:r w:rsidRPr="00CA7A98">
              <w:rPr>
                <w:rFonts w:eastAsia="Times New Roman"/>
                <w:color w:val="000000"/>
                <w:sz w:val="20"/>
                <w:szCs w:val="20"/>
                <w:lang w:eastAsia="pt-BR"/>
              </w:rPr>
              <w:t>.000,00</w:t>
            </w:r>
          </w:p>
        </w:tc>
      </w:tr>
      <w:tr w:rsidR="00F60E09" w:rsidRPr="00CA7A98" w14:paraId="5B2EDE60" w14:textId="77777777" w:rsidTr="00F60E09">
        <w:trPr>
          <w:trHeight w:val="1840"/>
        </w:trPr>
        <w:tc>
          <w:tcPr>
            <w:tcW w:w="367" w:type="pct"/>
            <w:shd w:val="clear" w:color="auto" w:fill="auto"/>
            <w:noWrap/>
            <w:vAlign w:val="center"/>
            <w:hideMark/>
          </w:tcPr>
          <w:p w14:paraId="68B406F8"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12</w:t>
            </w:r>
          </w:p>
        </w:tc>
        <w:tc>
          <w:tcPr>
            <w:tcW w:w="2863" w:type="pct"/>
            <w:shd w:val="clear" w:color="auto" w:fill="auto"/>
            <w:vAlign w:val="center"/>
            <w:hideMark/>
          </w:tcPr>
          <w:p w14:paraId="5D7C3E5F"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 xml:space="preserve">Materiais hidráulicos e </w:t>
            </w:r>
            <w:proofErr w:type="spellStart"/>
            <w:r w:rsidRPr="00CA7A98">
              <w:rPr>
                <w:rFonts w:eastAsia="Times New Roman"/>
                <w:color w:val="000000"/>
                <w:sz w:val="20"/>
                <w:szCs w:val="20"/>
                <w:lang w:eastAsia="pt-BR"/>
              </w:rPr>
              <w:t>Hidrossanitários</w:t>
            </w:r>
            <w:proofErr w:type="spellEnd"/>
            <w:r w:rsidRPr="00CA7A98">
              <w:rPr>
                <w:rFonts w:eastAsia="Times New Roman"/>
                <w:color w:val="000000"/>
                <w:sz w:val="20"/>
                <w:szCs w:val="20"/>
                <w:lang w:eastAsia="pt-BR"/>
              </w:rPr>
              <w:br/>
              <w:t>Tubos e conexões em geral, kit cavalete de PVC, válvula de bronze, adesivo de PVC, grelha fofo para águas pluviais, aparelhos e metais, caixa e ralos, registros e válvulas, louças, torneiras, chuveiros, reservatórios e demais acessórios e complementos, conforme tabela SINAPI-MG)</w:t>
            </w:r>
          </w:p>
        </w:tc>
        <w:tc>
          <w:tcPr>
            <w:tcW w:w="885" w:type="pct"/>
            <w:vAlign w:val="center"/>
          </w:tcPr>
          <w:p w14:paraId="4BD478D2" w14:textId="7E0250E9"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15,96%</w:t>
            </w:r>
          </w:p>
        </w:tc>
        <w:tc>
          <w:tcPr>
            <w:tcW w:w="885" w:type="pct"/>
            <w:shd w:val="clear" w:color="auto" w:fill="auto"/>
            <w:noWrap/>
            <w:vAlign w:val="center"/>
            <w:hideMark/>
          </w:tcPr>
          <w:p w14:paraId="02719A08" w14:textId="2B2F2CC0"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R$ 300</w:t>
            </w:r>
            <w:r w:rsidRPr="00CA7A98">
              <w:rPr>
                <w:rFonts w:eastAsia="Times New Roman"/>
                <w:color w:val="000000"/>
                <w:sz w:val="20"/>
                <w:szCs w:val="20"/>
                <w:lang w:eastAsia="pt-BR"/>
              </w:rPr>
              <w:t>.000,00</w:t>
            </w:r>
          </w:p>
        </w:tc>
      </w:tr>
      <w:tr w:rsidR="00F60E09" w:rsidRPr="00CA7A98" w14:paraId="2896AEA9" w14:textId="77777777" w:rsidTr="00F60E09">
        <w:trPr>
          <w:trHeight w:val="1683"/>
        </w:trPr>
        <w:tc>
          <w:tcPr>
            <w:tcW w:w="367" w:type="pct"/>
            <w:shd w:val="clear" w:color="auto" w:fill="auto"/>
            <w:noWrap/>
            <w:vAlign w:val="center"/>
            <w:hideMark/>
          </w:tcPr>
          <w:p w14:paraId="3015EEEE"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13</w:t>
            </w:r>
          </w:p>
        </w:tc>
        <w:tc>
          <w:tcPr>
            <w:tcW w:w="2863" w:type="pct"/>
            <w:shd w:val="clear" w:color="auto" w:fill="auto"/>
            <w:vAlign w:val="center"/>
            <w:hideMark/>
          </w:tcPr>
          <w:p w14:paraId="547BFA13"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Materiais elétricos</w:t>
            </w:r>
            <w:r w:rsidRPr="00CA7A98">
              <w:rPr>
                <w:rFonts w:eastAsia="Times New Roman"/>
                <w:color w:val="000000"/>
                <w:sz w:val="20"/>
                <w:szCs w:val="20"/>
                <w:lang w:eastAsia="pt-BR"/>
              </w:rPr>
              <w:br/>
              <w:t>Materiais elétricos abrangendo tomadas, interruptores, cabos, fios, iluminação, disjuntores, acessórios, complementos, etc., e materiais elétricos, materiais elétricos abrangendo tomadas, interruptores, cabos, fios, iluminação, disjuntores, acessórios, complementos, etc.</w:t>
            </w:r>
          </w:p>
        </w:tc>
        <w:tc>
          <w:tcPr>
            <w:tcW w:w="885" w:type="pct"/>
            <w:vAlign w:val="center"/>
          </w:tcPr>
          <w:p w14:paraId="7FAA4429" w14:textId="2E4CAD61"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14,10%</w:t>
            </w:r>
          </w:p>
        </w:tc>
        <w:tc>
          <w:tcPr>
            <w:tcW w:w="885" w:type="pct"/>
            <w:shd w:val="clear" w:color="auto" w:fill="auto"/>
            <w:noWrap/>
            <w:vAlign w:val="center"/>
            <w:hideMark/>
          </w:tcPr>
          <w:p w14:paraId="33358E09" w14:textId="312BFD89"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R$ 300</w:t>
            </w:r>
            <w:r w:rsidRPr="00CA7A98">
              <w:rPr>
                <w:rFonts w:eastAsia="Times New Roman"/>
                <w:color w:val="000000"/>
                <w:sz w:val="20"/>
                <w:szCs w:val="20"/>
                <w:lang w:eastAsia="pt-BR"/>
              </w:rPr>
              <w:t>.000,00</w:t>
            </w:r>
          </w:p>
        </w:tc>
      </w:tr>
      <w:tr w:rsidR="00F60E09" w:rsidRPr="00CA7A98" w14:paraId="1C0FC94E" w14:textId="77777777" w:rsidTr="00F60E09">
        <w:trPr>
          <w:trHeight w:val="997"/>
        </w:trPr>
        <w:tc>
          <w:tcPr>
            <w:tcW w:w="367" w:type="pct"/>
            <w:shd w:val="clear" w:color="auto" w:fill="auto"/>
            <w:noWrap/>
            <w:vAlign w:val="center"/>
            <w:hideMark/>
          </w:tcPr>
          <w:p w14:paraId="37B7567F"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14</w:t>
            </w:r>
          </w:p>
        </w:tc>
        <w:tc>
          <w:tcPr>
            <w:tcW w:w="2863" w:type="pct"/>
            <w:shd w:val="clear" w:color="auto" w:fill="auto"/>
            <w:vAlign w:val="center"/>
            <w:hideMark/>
          </w:tcPr>
          <w:p w14:paraId="0F7E1C75"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Ferramentas em geral, etc., e afins (baseando na tabela SINAPI-MG)</w:t>
            </w:r>
          </w:p>
        </w:tc>
        <w:tc>
          <w:tcPr>
            <w:tcW w:w="885" w:type="pct"/>
            <w:vAlign w:val="center"/>
          </w:tcPr>
          <w:p w14:paraId="765ABAC2" w14:textId="340A1F91"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11,01%</w:t>
            </w:r>
          </w:p>
        </w:tc>
        <w:tc>
          <w:tcPr>
            <w:tcW w:w="885" w:type="pct"/>
            <w:shd w:val="clear" w:color="auto" w:fill="auto"/>
            <w:noWrap/>
            <w:vAlign w:val="center"/>
            <w:hideMark/>
          </w:tcPr>
          <w:p w14:paraId="74167191" w14:textId="4205DF77"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R$ 300</w:t>
            </w:r>
            <w:r w:rsidRPr="00CA7A98">
              <w:rPr>
                <w:rFonts w:eastAsia="Times New Roman"/>
                <w:color w:val="000000"/>
                <w:sz w:val="20"/>
                <w:szCs w:val="20"/>
                <w:lang w:eastAsia="pt-BR"/>
              </w:rPr>
              <w:t>.000,00</w:t>
            </w:r>
          </w:p>
        </w:tc>
      </w:tr>
      <w:tr w:rsidR="00F60E09" w:rsidRPr="00CA7A98" w14:paraId="6BCAA0CE" w14:textId="77777777" w:rsidTr="00F60E09">
        <w:trPr>
          <w:trHeight w:val="1253"/>
        </w:trPr>
        <w:tc>
          <w:tcPr>
            <w:tcW w:w="367" w:type="pct"/>
            <w:shd w:val="clear" w:color="auto" w:fill="auto"/>
            <w:noWrap/>
            <w:vAlign w:val="center"/>
            <w:hideMark/>
          </w:tcPr>
          <w:p w14:paraId="24AA721B"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15</w:t>
            </w:r>
          </w:p>
        </w:tc>
        <w:tc>
          <w:tcPr>
            <w:tcW w:w="2863" w:type="pct"/>
            <w:shd w:val="clear" w:color="auto" w:fill="auto"/>
            <w:vAlign w:val="center"/>
            <w:hideMark/>
          </w:tcPr>
          <w:p w14:paraId="39E83533" w14:textId="77777777" w:rsidR="00F60E09" w:rsidRPr="00CA7A98" w:rsidRDefault="00F60E09" w:rsidP="005A4BC5">
            <w:pPr>
              <w:spacing w:after="0"/>
              <w:jc w:val="center"/>
              <w:rPr>
                <w:rFonts w:eastAsia="Times New Roman"/>
                <w:color w:val="000000"/>
                <w:sz w:val="20"/>
                <w:szCs w:val="20"/>
                <w:lang w:eastAsia="pt-BR"/>
              </w:rPr>
            </w:pPr>
            <w:r w:rsidRPr="00CA7A98">
              <w:rPr>
                <w:rFonts w:eastAsia="Times New Roman"/>
                <w:color w:val="000000"/>
                <w:sz w:val="20"/>
                <w:szCs w:val="20"/>
                <w:lang w:eastAsia="pt-BR"/>
              </w:rPr>
              <w:t>EPIs em Geral - EPI</w:t>
            </w:r>
            <w:r w:rsidRPr="00CA7A98">
              <w:rPr>
                <w:rFonts w:eastAsia="Times New Roman"/>
                <w:color w:val="000000"/>
                <w:sz w:val="20"/>
                <w:szCs w:val="20"/>
                <w:lang w:eastAsia="pt-BR"/>
              </w:rPr>
              <w:br/>
              <w:t>Necessários para cada ambiente de trabalho e atividade. (Segundo a Norma ABNT 16295).</w:t>
            </w:r>
          </w:p>
        </w:tc>
        <w:tc>
          <w:tcPr>
            <w:tcW w:w="885" w:type="pct"/>
            <w:vAlign w:val="center"/>
          </w:tcPr>
          <w:p w14:paraId="65D7A279" w14:textId="314AA176" w:rsidR="00F60E09" w:rsidRDefault="00F60E09" w:rsidP="00F60E09">
            <w:pPr>
              <w:spacing w:after="0"/>
              <w:jc w:val="center"/>
              <w:rPr>
                <w:rFonts w:eastAsia="Times New Roman"/>
                <w:color w:val="000000"/>
                <w:sz w:val="20"/>
                <w:szCs w:val="20"/>
                <w:lang w:eastAsia="pt-BR"/>
              </w:rPr>
            </w:pPr>
            <w:r>
              <w:rPr>
                <w:rFonts w:eastAsia="Times New Roman"/>
                <w:color w:val="000000"/>
                <w:sz w:val="20"/>
                <w:szCs w:val="20"/>
                <w:lang w:eastAsia="pt-BR"/>
              </w:rPr>
              <w:t>4,34%</w:t>
            </w:r>
          </w:p>
        </w:tc>
        <w:tc>
          <w:tcPr>
            <w:tcW w:w="885" w:type="pct"/>
            <w:shd w:val="clear" w:color="auto" w:fill="auto"/>
            <w:noWrap/>
            <w:vAlign w:val="center"/>
            <w:hideMark/>
          </w:tcPr>
          <w:p w14:paraId="1C4DB2A2" w14:textId="11BB9F36" w:rsidR="00F60E09" w:rsidRPr="00CA7A98" w:rsidRDefault="00F60E09" w:rsidP="005A4BC5">
            <w:pPr>
              <w:spacing w:after="0"/>
              <w:jc w:val="center"/>
              <w:rPr>
                <w:rFonts w:eastAsia="Times New Roman"/>
                <w:color w:val="000000"/>
                <w:sz w:val="20"/>
                <w:szCs w:val="20"/>
                <w:lang w:eastAsia="pt-BR"/>
              </w:rPr>
            </w:pPr>
            <w:r>
              <w:rPr>
                <w:rFonts w:eastAsia="Times New Roman"/>
                <w:color w:val="000000"/>
                <w:sz w:val="20"/>
                <w:szCs w:val="20"/>
                <w:lang w:eastAsia="pt-BR"/>
              </w:rPr>
              <w:t>R$ 250</w:t>
            </w:r>
            <w:r w:rsidRPr="00CA7A98">
              <w:rPr>
                <w:rFonts w:eastAsia="Times New Roman"/>
                <w:color w:val="000000"/>
                <w:sz w:val="20"/>
                <w:szCs w:val="20"/>
                <w:lang w:eastAsia="pt-BR"/>
              </w:rPr>
              <w:t>.000,00</w:t>
            </w:r>
          </w:p>
        </w:tc>
      </w:tr>
    </w:tbl>
    <w:p w14:paraId="323AF563" w14:textId="77777777" w:rsidR="00406911" w:rsidRDefault="00406911" w:rsidP="00867D23">
      <w:pPr>
        <w:spacing w:after="0" w:line="240" w:lineRule="auto"/>
        <w:jc w:val="both"/>
        <w:rPr>
          <w:rFonts w:ascii="Arial" w:hAnsi="Arial" w:cs="Arial"/>
        </w:rPr>
      </w:pPr>
    </w:p>
    <w:p w14:paraId="76906F41" w14:textId="77777777" w:rsidR="005A4BC5" w:rsidRDefault="005A4BC5" w:rsidP="00867D23">
      <w:pPr>
        <w:spacing w:after="0" w:line="240" w:lineRule="auto"/>
        <w:jc w:val="both"/>
        <w:rPr>
          <w:rFonts w:ascii="Arial" w:hAnsi="Arial" w:cs="Arial"/>
        </w:rPr>
      </w:pPr>
    </w:p>
    <w:p w14:paraId="67BF1A0B" w14:textId="6E779C37" w:rsidR="00974BFC" w:rsidRPr="007C6929" w:rsidRDefault="00974BFC" w:rsidP="00867D23">
      <w:pPr>
        <w:spacing w:after="0" w:line="240" w:lineRule="auto"/>
        <w:jc w:val="both"/>
        <w:rPr>
          <w:rFonts w:ascii="Arial" w:eastAsia="Arial" w:hAnsi="Arial" w:cs="Arial"/>
          <w:b/>
          <w:bCs/>
        </w:rPr>
      </w:pPr>
      <w:r w:rsidRPr="00974BFC">
        <w:rPr>
          <w:rFonts w:ascii="Arial" w:eastAsia="Arial" w:hAnsi="Arial" w:cs="Arial"/>
          <w:b/>
          <w:bCs/>
        </w:rPr>
        <w:t xml:space="preserve">Valor Total </w:t>
      </w:r>
      <w:r>
        <w:rPr>
          <w:rFonts w:ascii="Arial" w:eastAsia="Arial" w:hAnsi="Arial" w:cs="Arial"/>
          <w:b/>
          <w:bCs/>
        </w:rPr>
        <w:t>da Contratação</w:t>
      </w:r>
      <w:r w:rsidRPr="00974BFC">
        <w:rPr>
          <w:rFonts w:ascii="Arial" w:eastAsia="Arial" w:hAnsi="Arial" w:cs="Arial"/>
          <w:b/>
          <w:bCs/>
        </w:rPr>
        <w:t xml:space="preserve">: R$ </w:t>
      </w:r>
      <w:r>
        <w:rPr>
          <w:rFonts w:ascii="Arial" w:eastAsia="Arial" w:hAnsi="Arial" w:cs="Arial"/>
          <w:b/>
          <w:bCs/>
        </w:rPr>
        <w:t>4.722.00,00</w:t>
      </w:r>
      <w:r w:rsidRPr="00974BFC">
        <w:rPr>
          <w:rFonts w:ascii="Arial" w:eastAsia="Arial" w:hAnsi="Arial" w:cs="Arial"/>
          <w:b/>
          <w:bCs/>
        </w:rPr>
        <w:t xml:space="preserve"> (</w:t>
      </w:r>
      <w:r>
        <w:rPr>
          <w:rFonts w:ascii="Arial" w:eastAsia="Arial" w:hAnsi="Arial" w:cs="Arial"/>
          <w:b/>
          <w:bCs/>
        </w:rPr>
        <w:t>quatro milhões, setecentos e vinte e dois mil reais</w:t>
      </w:r>
      <w:r w:rsidRPr="00974BFC">
        <w:rPr>
          <w:rFonts w:ascii="Arial" w:eastAsia="Arial" w:hAnsi="Arial" w:cs="Arial"/>
          <w:b/>
          <w:bCs/>
        </w:rPr>
        <w:t>).</w:t>
      </w:r>
    </w:p>
    <w:p w14:paraId="504CC6DB" w14:textId="77777777" w:rsidR="005D6901" w:rsidRDefault="005D6901" w:rsidP="00867D23">
      <w:pPr>
        <w:spacing w:after="0" w:line="240" w:lineRule="auto"/>
        <w:jc w:val="both"/>
        <w:rPr>
          <w:rFonts w:ascii="Arial" w:eastAsia="Arial" w:hAnsi="Arial" w:cs="Arial"/>
          <w:b/>
          <w:bCs/>
        </w:rPr>
      </w:pPr>
    </w:p>
    <w:p w14:paraId="7A2EF596" w14:textId="77777777" w:rsidR="005A4BC5" w:rsidRPr="007C6929" w:rsidRDefault="005A4BC5" w:rsidP="00867D23">
      <w:pPr>
        <w:spacing w:after="0" w:line="240" w:lineRule="auto"/>
        <w:jc w:val="both"/>
        <w:rPr>
          <w:rFonts w:ascii="Arial" w:eastAsia="Arial" w:hAnsi="Arial" w:cs="Arial"/>
          <w:b/>
          <w:bCs/>
        </w:rPr>
      </w:pPr>
    </w:p>
    <w:p w14:paraId="6C060CD4" w14:textId="77777777" w:rsidR="000612B9" w:rsidRPr="007C6929" w:rsidRDefault="000612B9" w:rsidP="00834F5B">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834F5B">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834F5B">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306188F2" w14:textId="77777777" w:rsidR="00F60E09" w:rsidRDefault="00F60E09" w:rsidP="00F60E09">
      <w:pPr>
        <w:pStyle w:val="NormalWeb"/>
        <w:shd w:val="clear" w:color="auto" w:fill="FFFFFF"/>
        <w:spacing w:before="0" w:beforeAutospacing="0" w:after="0" w:afterAutospacing="0"/>
        <w:jc w:val="both"/>
        <w:rPr>
          <w:rFonts w:ascii="Arial" w:hAnsi="Arial" w:cs="Arial"/>
          <w:sz w:val="22"/>
          <w:szCs w:val="22"/>
        </w:rPr>
      </w:pPr>
    </w:p>
    <w:p w14:paraId="63D261EA"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A contratação pretendida pelo Município de Iapu tem por objetivo atender às demandas contínuas e eventuais relacionadas à manutenção, adequação, melhoria e expansão da infraestrutura pública municipal, especialmente no que se refere ao fornecimento de materiais de construção em geral, materiais hidráulicos e elétricos destinados à execução de obras, reformas, reparos, manutenções preventivas e corretivas e demais intervenções necessárias ao pleno funcionamento dos equipamentos públicos.</w:t>
      </w:r>
    </w:p>
    <w:p w14:paraId="190334E3"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Os materiais abrangem a manutenção de vias públicas, praças, prédios públicos, unidades administrativas, escolas, unidades de saúde e demais espaços pertencentes ao Município, sendo indispensáveis para garantir segurança, funcionalidade, conservação e melhores condições de atendimento à população.</w:t>
      </w:r>
    </w:p>
    <w:p w14:paraId="2B10AB01"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Tais demandas possuem caráter contínuo, recorrente e, em muitos casos, imprevisível, surgindo conforme a necessidade de manutenção corretiva, preventiva ou ampliação da infraestrutura existente. Dessa forma, torna-se necessária a formalização de contratação que permita atendimento célere e contínuo das solicitações, observada a disponibilidade orçamentária e financeira da Administração.</w:t>
      </w:r>
    </w:p>
    <w:p w14:paraId="397D043B"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A aquisição dos materiais requer padronização de especificações, observância às normas técnicas aplicáveis e compatibilidade com os serviços executados pela Administração Municipal. Nesse contexto, verifica-se a necessidade de contratação especializada para fornecimento parcelado dos materiais, conforme demanda, garantindo maior eficiência administrativa, economicidade e continuidade dos serviços públicos.</w:t>
      </w:r>
    </w:p>
    <w:p w14:paraId="0C180E20"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A adoção da Tabela SINAPI como referência orçamentária e contratual proporciona maior objetividade na composição dos custos, padronização dos preços públicos, transparência, controle da economicidade e alinhamento às orientações dos órgãos de controle externo, especialmente Tribunal de Contas da União – TCU e Controladoria-Geral da União – CGU. O critério de julgamento pelo maior desconto sobre a Tabela SINAPI assegura a obtenção de proposta mais vantajosa para a Administração, garantindo compatibilidade dos preços contratados com os valores praticados no mercado.</w:t>
      </w:r>
    </w:p>
    <w:p w14:paraId="11E28811"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Destacamos que caso os itens existentes na tabela SINAPI não estejam precificados, deverá ser consultado outras tabelas oficiais, como TABELA SEPOP/SEINFRA, caso os mesmos itens não estejam precificados, deverá o setor de engenharia realizar a precificação via orçamentos em banco de preços oficiais ou potenciais fornecedores.</w:t>
      </w:r>
    </w:p>
    <w:p w14:paraId="3A8AAE9F"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A presente contratação visa assegurar a continuidade da prestação de serviços públicos essenciais, promovendo a conservação e melhoria da infraestrutura urbana municipal, contribuindo diretamente para a segurança da população, valorização dos espaços públicos e adequada execução das políticas públicas municipais.</w:t>
      </w:r>
    </w:p>
    <w:p w14:paraId="7559D74F"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lastRenderedPageBreak/>
        <w:t>Ante o exposto, a contratação de empresa especializada para fornecimento de materiais de construção em geral, materiais hidráulicos e elétricos, conforme demanda da Administração Municipal e com base nos preços referenciais da Tabela SINAPI, mostra-se tecnicamente viável, economicamente vantajosa e juridicamente adequada, atendendo plenamente ao interesse público e às necessidades do Município de Iapu.</w:t>
      </w:r>
    </w:p>
    <w:p w14:paraId="12A5F1D4"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Trata-se de medida indispensável à manutenção da eficiência administrativa e à continuidade dos serviços públicos municipais, evitando prejuízos ao funcionamento das atividades institucionais, educacionais, assistenciais, urbanísticas e de saúde.</w:t>
      </w:r>
    </w:p>
    <w:p w14:paraId="033B1CDF"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A presente licitação observará, ainda, o tratamento favorecido às Microempresas e Empresas de Pequeno Porte, nos termos dos artigos 47 e 48 da Lei Complementar nº 123/2006, visando fomentar o desenvolvimento econômico local e regional, ampliar a competitividade e incentivar a participação das empresas de pequeno porte nas contratações públicas.</w:t>
      </w:r>
    </w:p>
    <w:p w14:paraId="0DCF5C19"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Quanto à natureza do objeto, destaca-se que os materiais pretendidos possuem padrões de desempenho e qualidade objetivamente definidos por meio de especificações usuais de mercado, composições padronizadas e metodologia amplamente consolidada, possibilitando perfeita definição dos quantitativos, especificações técnicas e custos unitários.</w:t>
      </w:r>
    </w:p>
    <w:p w14:paraId="670CF0B1"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No que se refere à adoção do Sistema de Registro de Preços, observa-se plena compatibilidade com o objeto pretendido, considerando que a Lei Federal nº 14.133/2021 admite expressamente sua utilização para aquisições futuras e parceladas, desde que seja possível definir previamente especificações e custos unitários, condição plenamente atendida no presente caso por meio das composições constantes da planilha orçamentária baseada no SINAPI.</w:t>
      </w:r>
    </w:p>
    <w:p w14:paraId="767A9D53" w14:textId="77777777" w:rsidR="00974BFC" w:rsidRPr="00974BFC"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O Sistema de Registro de Preços mostra-se adequado em razão da natureza parcelada, contínua e variável das demandas, permitindo que a Administração realize as aquisições conforme a efetiva necessidade, sem obrigatoriedade de contratação integral dos quantitativos estimados.</w:t>
      </w:r>
    </w:p>
    <w:p w14:paraId="14C4FFF1" w14:textId="58F26FFD" w:rsidR="007C6929" w:rsidRDefault="00974BFC" w:rsidP="00F60E09">
      <w:pPr>
        <w:pStyle w:val="NormalWeb"/>
        <w:shd w:val="clear" w:color="auto" w:fill="FFFFFF"/>
        <w:spacing w:before="0" w:beforeAutospacing="0" w:after="120" w:afterAutospacing="0"/>
        <w:jc w:val="both"/>
        <w:rPr>
          <w:rFonts w:ascii="Arial" w:hAnsi="Arial" w:cs="Arial"/>
          <w:sz w:val="22"/>
          <w:szCs w:val="22"/>
        </w:rPr>
      </w:pPr>
      <w:r w:rsidRPr="00974BFC">
        <w:rPr>
          <w:rFonts w:ascii="Arial" w:hAnsi="Arial" w:cs="Arial"/>
          <w:sz w:val="22"/>
          <w:szCs w:val="22"/>
        </w:rPr>
        <w:t>Por fim, o edital deverá estabelecer que os preços referenciais adotados terão como base a Tabela SINAPI desonerada, em conformidade com a Lei Federal nº 12.546/2011 e orientações da Caixa Econômica Federal, assegurando maior economicidade à contratação e evitando a inclusão indevida de encargos previdenciários já contemplados pela legislação específica.</w:t>
      </w:r>
    </w:p>
    <w:p w14:paraId="55829981" w14:textId="664A4B04" w:rsidR="00974BFC" w:rsidRDefault="00F60E09" w:rsidP="00F60E09">
      <w:pPr>
        <w:pStyle w:val="NormalWeb"/>
        <w:shd w:val="clear" w:color="auto" w:fill="FFFFFF"/>
        <w:tabs>
          <w:tab w:val="left" w:pos="2257"/>
        </w:tabs>
        <w:spacing w:before="0" w:beforeAutospacing="0" w:after="0" w:afterAutospacing="0"/>
        <w:jc w:val="both"/>
        <w:rPr>
          <w:rFonts w:ascii="Arial" w:hAnsi="Arial" w:cs="Arial"/>
          <w:sz w:val="22"/>
          <w:szCs w:val="22"/>
        </w:rPr>
      </w:pPr>
      <w:r>
        <w:rPr>
          <w:rFonts w:ascii="Arial" w:hAnsi="Arial" w:cs="Arial"/>
          <w:sz w:val="22"/>
          <w:szCs w:val="22"/>
        </w:rPr>
        <w:tab/>
      </w:r>
    </w:p>
    <w:p w14:paraId="4C8C2D15" w14:textId="434335F2" w:rsidR="002E1C88" w:rsidRPr="007C6929" w:rsidRDefault="00F52FB8" w:rsidP="00834F5B">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59610CE5" w:rsidR="79E77914" w:rsidRPr="007C6929"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974BFC">
        <w:rPr>
          <w:rFonts w:ascii="Arial" w:eastAsia="Calibri" w:hAnsi="Arial" w:cs="Arial"/>
          <w:b/>
          <w:bCs/>
        </w:rPr>
        <w:t>PREGÃO ELETRÔNICO</w:t>
      </w:r>
      <w:r w:rsidRPr="00974BFC">
        <w:rPr>
          <w:rFonts w:ascii="Arial" w:eastAsia="Calibri" w:hAnsi="Arial" w:cs="Arial"/>
        </w:rPr>
        <w:t xml:space="preserve">, do tipo </w:t>
      </w:r>
      <w:r w:rsidR="00F60E09">
        <w:rPr>
          <w:rFonts w:ascii="Arial" w:eastAsia="Calibri" w:hAnsi="Arial" w:cs="Arial"/>
          <w:b/>
          <w:bCs/>
        </w:rPr>
        <w:t>MAIO</w:t>
      </w:r>
      <w:r w:rsidR="00AD334E" w:rsidRPr="00974BFC">
        <w:rPr>
          <w:rFonts w:ascii="Arial" w:eastAsia="Calibri" w:hAnsi="Arial" w:cs="Arial"/>
          <w:b/>
          <w:bCs/>
        </w:rPr>
        <w:t xml:space="preserve">R </w:t>
      </w:r>
      <w:r w:rsidR="00F60E09">
        <w:rPr>
          <w:rFonts w:ascii="Arial" w:eastAsia="Calibri" w:hAnsi="Arial" w:cs="Arial"/>
          <w:b/>
          <w:bCs/>
        </w:rPr>
        <w:t xml:space="preserve">PERCENTUAL DE DESCONTO </w:t>
      </w:r>
      <w:r w:rsidR="005A4BC5">
        <w:rPr>
          <w:rFonts w:ascii="Arial" w:eastAsia="Calibri" w:hAnsi="Arial" w:cs="Arial"/>
          <w:b/>
          <w:bCs/>
        </w:rPr>
        <w:t xml:space="preserve">POR ITEM </w:t>
      </w:r>
      <w:r w:rsidR="005F68FC" w:rsidRPr="00974BFC">
        <w:rPr>
          <w:rFonts w:ascii="Arial" w:eastAsia="Calibri" w:hAnsi="Arial" w:cs="Arial"/>
          <w:b/>
          <w:bCs/>
        </w:rPr>
        <w:t>EM</w:t>
      </w:r>
      <w:r w:rsidRPr="00974BFC">
        <w:rPr>
          <w:rFonts w:ascii="Arial" w:eastAsia="Calibri" w:hAnsi="Arial" w:cs="Arial"/>
          <w:b/>
          <w:bCs/>
        </w:rPr>
        <w:t xml:space="preserve"> MODO DE DISPUTA ABERTO</w:t>
      </w:r>
      <w:r w:rsidRPr="00974BFC">
        <w:rPr>
          <w:rFonts w:ascii="Arial" w:eastAsia="Calibri" w:hAnsi="Arial" w:cs="Arial"/>
        </w:rPr>
        <w:t>.</w:t>
      </w:r>
    </w:p>
    <w:p w14:paraId="637805D2" w14:textId="4B275BDA" w:rsidR="009D7302" w:rsidRPr="007C6929" w:rsidRDefault="00F60E09" w:rsidP="00F60E09">
      <w:pPr>
        <w:tabs>
          <w:tab w:val="left" w:pos="2053"/>
        </w:tabs>
        <w:spacing w:after="0" w:line="240" w:lineRule="auto"/>
        <w:jc w:val="both"/>
        <w:rPr>
          <w:rFonts w:ascii="Arial" w:hAnsi="Arial" w:cs="Arial"/>
        </w:rPr>
      </w:pPr>
      <w:r>
        <w:rPr>
          <w:rFonts w:ascii="Arial" w:hAnsi="Arial" w:cs="Arial"/>
        </w:rPr>
        <w:tab/>
      </w:r>
    </w:p>
    <w:p w14:paraId="16DCD166" w14:textId="436451E5" w:rsidR="005A4BC5" w:rsidRPr="005A4BC5" w:rsidRDefault="005A4BC5" w:rsidP="00834F5B">
      <w:pPr>
        <w:pStyle w:val="PargrafodaLista"/>
        <w:numPr>
          <w:ilvl w:val="1"/>
          <w:numId w:val="13"/>
        </w:numPr>
        <w:spacing w:before="4" w:after="0" w:line="240" w:lineRule="auto"/>
        <w:ind w:right="83"/>
        <w:rPr>
          <w:rStyle w:val="normaltextrun"/>
          <w:rFonts w:ascii="Arial" w:eastAsia="Arial MT" w:hAnsi="Arial" w:cs="Arial"/>
          <w:b/>
          <w:lang w:val="pt-PT"/>
        </w:rPr>
      </w:pPr>
      <w:r w:rsidRPr="005A4BC5">
        <w:rPr>
          <w:rFonts w:ascii="Arial" w:eastAsia="Arial MT" w:hAnsi="Arial" w:cs="Arial"/>
          <w:b/>
          <w:lang w:val="pt-PT"/>
        </w:rPr>
        <w:t xml:space="preserve">Será </w:t>
      </w:r>
      <w:r w:rsidRPr="005A4BC5">
        <w:rPr>
          <w:rStyle w:val="normaltextrun"/>
          <w:rFonts w:ascii="Arial" w:hAnsi="Arial" w:cs="Arial"/>
          <w:b/>
          <w:bCs/>
          <w:lang w:val="pt-PT"/>
        </w:rPr>
        <w:t>adotado o Sistema de Registro de Preços – SRP</w:t>
      </w:r>
    </w:p>
    <w:p w14:paraId="7B3894D0" w14:textId="77777777" w:rsidR="00F60E09" w:rsidRDefault="00F60E09" w:rsidP="00F60E09">
      <w:pPr>
        <w:pStyle w:val="paragraph"/>
        <w:spacing w:before="0" w:beforeAutospacing="0" w:after="0" w:afterAutospacing="0"/>
        <w:jc w:val="both"/>
        <w:textAlignment w:val="baseline"/>
        <w:rPr>
          <w:rFonts w:ascii="Arial" w:eastAsia="Arial MT" w:hAnsi="Arial" w:cs="Arial"/>
          <w:b/>
          <w:szCs w:val="22"/>
          <w:lang w:val="pt-PT" w:eastAsia="en-US"/>
        </w:rPr>
      </w:pPr>
    </w:p>
    <w:p w14:paraId="4257BF4B" w14:textId="44B1F7C8" w:rsidR="005A4BC5" w:rsidRPr="005A4BC5" w:rsidRDefault="005A4BC5" w:rsidP="00F60E09">
      <w:pPr>
        <w:pStyle w:val="paragraph"/>
        <w:spacing w:before="0" w:beforeAutospacing="0" w:after="0" w:afterAutospacing="0"/>
        <w:jc w:val="center"/>
        <w:textAlignment w:val="baseline"/>
        <w:rPr>
          <w:rFonts w:ascii="Segoe UI" w:hAnsi="Segoe UI" w:cs="Segoe UI"/>
          <w:sz w:val="20"/>
          <w:szCs w:val="18"/>
        </w:rPr>
      </w:pPr>
      <w:r w:rsidRPr="005A4BC5">
        <w:rPr>
          <w:rStyle w:val="normaltextrun"/>
          <w:rFonts w:ascii="Arial" w:hAnsi="Arial" w:cs="Arial"/>
          <w:b/>
          <w:bCs/>
          <w:sz w:val="22"/>
          <w:szCs w:val="20"/>
        </w:rPr>
        <w:t>Justificativa para adoção do Sistema de Registro de Preços</w:t>
      </w:r>
    </w:p>
    <w:p w14:paraId="3B527FA1" w14:textId="77777777" w:rsidR="005A4BC5" w:rsidRPr="005A4BC5" w:rsidRDefault="005A4BC5" w:rsidP="005A4BC5">
      <w:pPr>
        <w:pStyle w:val="paragraph"/>
        <w:spacing w:before="0" w:beforeAutospacing="0" w:after="0" w:afterAutospacing="0"/>
        <w:jc w:val="both"/>
        <w:textAlignment w:val="baseline"/>
        <w:rPr>
          <w:rFonts w:ascii="Segoe UI" w:hAnsi="Segoe UI" w:cs="Segoe UI"/>
          <w:sz w:val="20"/>
          <w:szCs w:val="18"/>
        </w:rPr>
      </w:pPr>
      <w:r w:rsidRPr="005A4BC5">
        <w:rPr>
          <w:rStyle w:val="eop"/>
          <w:rFonts w:ascii="Arial" w:hAnsi="Arial" w:cs="Arial"/>
          <w:sz w:val="22"/>
          <w:szCs w:val="20"/>
        </w:rPr>
        <w:t> </w:t>
      </w:r>
    </w:p>
    <w:p w14:paraId="327D420F" w14:textId="12E7E2DB" w:rsidR="005A4BC5" w:rsidRPr="005A4BC5" w:rsidRDefault="005A4BC5" w:rsidP="00F60E09">
      <w:pPr>
        <w:pStyle w:val="paragraph"/>
        <w:spacing w:before="0" w:beforeAutospacing="0" w:after="0" w:afterAutospacing="0"/>
        <w:jc w:val="both"/>
        <w:textAlignment w:val="baseline"/>
        <w:rPr>
          <w:rFonts w:ascii="Segoe UI" w:hAnsi="Segoe UI" w:cs="Segoe UI"/>
          <w:sz w:val="20"/>
          <w:szCs w:val="18"/>
        </w:rPr>
      </w:pPr>
      <w:r w:rsidRPr="005A4BC5">
        <w:rPr>
          <w:rStyle w:val="eop"/>
          <w:rFonts w:ascii="Arial" w:hAnsi="Arial" w:cs="Arial"/>
          <w:sz w:val="22"/>
          <w:szCs w:val="20"/>
        </w:rPr>
        <w:t> </w:t>
      </w:r>
      <w:r w:rsidRPr="005A4BC5">
        <w:rPr>
          <w:rStyle w:val="normaltextrun"/>
          <w:rFonts w:ascii="Arial" w:hAnsi="Arial" w:cs="Arial"/>
          <w:sz w:val="22"/>
          <w:szCs w:val="20"/>
          <w:lang w:val="pt-PT"/>
        </w:rPr>
        <w:t>Nos termos do artigo 3º, do Decreto nº. 11.462/2023, o sistema de registro de preços poderá ser adotado nas seguintes situações:</w:t>
      </w:r>
      <w:r w:rsidRPr="005A4BC5">
        <w:rPr>
          <w:rStyle w:val="eop"/>
          <w:rFonts w:ascii="Arial" w:hAnsi="Arial" w:cs="Arial"/>
          <w:sz w:val="22"/>
          <w:szCs w:val="20"/>
        </w:rPr>
        <w:t> </w:t>
      </w:r>
    </w:p>
    <w:p w14:paraId="0A5BFD0A" w14:textId="10D9E9B8" w:rsidR="005A4BC5" w:rsidRPr="005A4BC5" w:rsidRDefault="005A4BC5" w:rsidP="005A4BC5">
      <w:pPr>
        <w:pStyle w:val="paragraph"/>
        <w:spacing w:before="0" w:beforeAutospacing="0" w:after="0" w:afterAutospacing="0"/>
        <w:ind w:left="195" w:right="225"/>
        <w:jc w:val="both"/>
        <w:textAlignment w:val="baseline"/>
        <w:rPr>
          <w:rFonts w:ascii="Arial" w:eastAsia="Arial" w:hAnsi="Arial" w:cs="Arial"/>
          <w:sz w:val="22"/>
          <w:szCs w:val="20"/>
        </w:rPr>
      </w:pPr>
      <w:r w:rsidRPr="005A4BC5">
        <w:rPr>
          <w:rStyle w:val="eop"/>
          <w:rFonts w:ascii="Arial" w:hAnsi="Arial" w:cs="Arial"/>
          <w:sz w:val="22"/>
          <w:szCs w:val="20"/>
        </w:rPr>
        <w:t> </w:t>
      </w:r>
      <w:r w:rsidRPr="005A4BC5">
        <w:rPr>
          <w:rFonts w:ascii="Arial" w:eastAsia="Arial" w:hAnsi="Arial" w:cs="Arial"/>
          <w:sz w:val="22"/>
          <w:szCs w:val="20"/>
        </w:rPr>
        <w:t>Art. 3</w:t>
      </w:r>
      <w:r w:rsidR="00F60E09" w:rsidRPr="005A4BC5">
        <w:rPr>
          <w:rFonts w:ascii="Arial" w:eastAsia="Arial" w:hAnsi="Arial" w:cs="Arial"/>
          <w:sz w:val="22"/>
          <w:szCs w:val="20"/>
        </w:rPr>
        <w:t>º O</w:t>
      </w:r>
      <w:r w:rsidRPr="005A4BC5">
        <w:rPr>
          <w:rFonts w:ascii="Arial" w:eastAsia="Arial" w:hAnsi="Arial" w:cs="Arial"/>
          <w:sz w:val="22"/>
          <w:szCs w:val="20"/>
        </w:rPr>
        <w:t xml:space="preserve"> SRP poderá ser adotado quando a Administração julgar pertinente, em especial:</w:t>
      </w:r>
    </w:p>
    <w:p w14:paraId="060715F8" w14:textId="77777777" w:rsidR="005A4BC5" w:rsidRPr="005A4BC5" w:rsidRDefault="005A4BC5" w:rsidP="005A4BC5">
      <w:pPr>
        <w:spacing w:before="195" w:after="0"/>
        <w:ind w:firstLine="567"/>
        <w:jc w:val="both"/>
        <w:rPr>
          <w:rFonts w:ascii="Arial" w:eastAsia="Arial" w:hAnsi="Arial" w:cs="Arial"/>
          <w:szCs w:val="20"/>
        </w:rPr>
      </w:pPr>
      <w:r w:rsidRPr="005A4BC5">
        <w:rPr>
          <w:rFonts w:ascii="Arial" w:eastAsia="Arial" w:hAnsi="Arial" w:cs="Arial"/>
          <w:szCs w:val="20"/>
        </w:rPr>
        <w:t>I - quando, pelas características do objeto, houver necessidade de contratações permanentes ou frequentes;</w:t>
      </w:r>
    </w:p>
    <w:p w14:paraId="58E27A72" w14:textId="77777777" w:rsidR="005A4BC5" w:rsidRPr="005A4BC5" w:rsidRDefault="005A4BC5" w:rsidP="005A4BC5">
      <w:pPr>
        <w:spacing w:before="195" w:after="0"/>
        <w:ind w:firstLine="567"/>
        <w:jc w:val="both"/>
        <w:rPr>
          <w:rFonts w:ascii="Arial" w:eastAsia="Arial" w:hAnsi="Arial" w:cs="Arial"/>
          <w:szCs w:val="20"/>
        </w:rPr>
      </w:pPr>
      <w:r w:rsidRPr="005A4BC5">
        <w:rPr>
          <w:rFonts w:ascii="Arial" w:eastAsia="Arial" w:hAnsi="Arial" w:cs="Arial"/>
          <w:szCs w:val="20"/>
        </w:rPr>
        <w:t>II - quando for conveniente a aquisição de bens com previsão de entregas parceladas ou contratação de serviços remunerados por unidade de medida, como quantidade de horas de serviço, postos de trabalho ou em regime de tarefa;</w:t>
      </w:r>
    </w:p>
    <w:p w14:paraId="03805FD4" w14:textId="77777777" w:rsidR="005A4BC5" w:rsidRPr="005A4BC5" w:rsidRDefault="005A4BC5" w:rsidP="005A4BC5">
      <w:pPr>
        <w:spacing w:before="195" w:after="0"/>
        <w:ind w:firstLine="567"/>
        <w:jc w:val="both"/>
        <w:rPr>
          <w:rFonts w:ascii="Arial" w:eastAsia="Arial" w:hAnsi="Arial" w:cs="Arial"/>
          <w:szCs w:val="20"/>
        </w:rPr>
      </w:pPr>
      <w:r w:rsidRPr="005A4BC5">
        <w:rPr>
          <w:rFonts w:ascii="Arial" w:eastAsia="Arial" w:hAnsi="Arial" w:cs="Arial"/>
          <w:szCs w:val="20"/>
        </w:rPr>
        <w:lastRenderedPageBreak/>
        <w:t>III - quando for conveniente para atendimento a mais de um órgão ou a mais de uma entidade, inclusive nas compras centralizadas;</w:t>
      </w:r>
    </w:p>
    <w:p w14:paraId="6EE8F785" w14:textId="77777777" w:rsidR="005A4BC5" w:rsidRPr="005A4BC5" w:rsidRDefault="005A4BC5" w:rsidP="005A4BC5">
      <w:pPr>
        <w:spacing w:before="195" w:after="0"/>
        <w:ind w:firstLine="567"/>
        <w:jc w:val="both"/>
        <w:rPr>
          <w:rFonts w:ascii="Arial" w:eastAsia="Arial" w:hAnsi="Arial" w:cs="Arial"/>
          <w:szCs w:val="20"/>
        </w:rPr>
      </w:pPr>
      <w:r w:rsidRPr="005A4BC5">
        <w:rPr>
          <w:rFonts w:ascii="Arial" w:eastAsia="Arial" w:hAnsi="Arial" w:cs="Arial"/>
          <w:szCs w:val="20"/>
        </w:rPr>
        <w:t>IV - quando for atender a execução descentralizada de programa ou projeto federal, por meio de compra nacional ou da adesão de que trata o § 2º do art. 32; ou</w:t>
      </w:r>
    </w:p>
    <w:p w14:paraId="7A6C894C" w14:textId="77777777" w:rsidR="005A4BC5" w:rsidRPr="005A4BC5" w:rsidRDefault="005A4BC5" w:rsidP="005A4BC5">
      <w:pPr>
        <w:spacing w:before="195" w:after="120"/>
        <w:ind w:firstLine="567"/>
        <w:jc w:val="both"/>
        <w:rPr>
          <w:rFonts w:ascii="Arial" w:eastAsia="Arial" w:hAnsi="Arial" w:cs="Arial"/>
          <w:szCs w:val="20"/>
        </w:rPr>
      </w:pPr>
      <w:r w:rsidRPr="005A4BC5">
        <w:rPr>
          <w:rFonts w:ascii="Arial" w:eastAsia="Arial" w:hAnsi="Arial" w:cs="Arial"/>
          <w:szCs w:val="20"/>
        </w:rPr>
        <w:t>V - quando, pela natureza do objeto, não for possível definir previamente o quantitativo a ser demandado pela Administração.</w:t>
      </w:r>
    </w:p>
    <w:p w14:paraId="30DC1CAD" w14:textId="77777777" w:rsidR="005A4BC5" w:rsidRPr="005A4BC5" w:rsidRDefault="005A4BC5" w:rsidP="005A4BC5">
      <w:pPr>
        <w:pStyle w:val="paragraph"/>
        <w:shd w:val="clear" w:color="auto" w:fill="FFFFFF"/>
        <w:spacing w:before="0" w:beforeAutospacing="0" w:after="120" w:afterAutospacing="0"/>
        <w:ind w:left="3675" w:right="225"/>
        <w:jc w:val="both"/>
        <w:textAlignment w:val="baseline"/>
        <w:rPr>
          <w:rFonts w:ascii="Segoe UI" w:hAnsi="Segoe UI" w:cs="Segoe UI"/>
          <w:sz w:val="20"/>
          <w:szCs w:val="18"/>
        </w:rPr>
      </w:pPr>
      <w:r w:rsidRPr="005A4BC5">
        <w:rPr>
          <w:rStyle w:val="normaltextrun"/>
          <w:rFonts w:ascii="Arial" w:hAnsi="Arial" w:cs="Arial"/>
          <w:sz w:val="22"/>
          <w:szCs w:val="20"/>
          <w:lang w:val="pt-PT"/>
        </w:rPr>
        <w:t>É importante ressaltar:</w:t>
      </w:r>
      <w:r w:rsidRPr="005A4BC5">
        <w:rPr>
          <w:rStyle w:val="eop"/>
          <w:rFonts w:ascii="Arial" w:hAnsi="Arial" w:cs="Arial"/>
          <w:sz w:val="22"/>
          <w:szCs w:val="20"/>
        </w:rPr>
        <w:t> </w:t>
      </w:r>
    </w:p>
    <w:p w14:paraId="0744DA44" w14:textId="77777777" w:rsidR="005A4BC5" w:rsidRPr="005A4BC5" w:rsidRDefault="005A4BC5" w:rsidP="005A4BC5">
      <w:pPr>
        <w:pStyle w:val="paragraph"/>
        <w:shd w:val="clear" w:color="auto" w:fill="FFFFFF"/>
        <w:spacing w:before="0" w:beforeAutospacing="0" w:after="120" w:afterAutospacing="0"/>
        <w:ind w:left="3675" w:right="225"/>
        <w:jc w:val="both"/>
        <w:textAlignment w:val="baseline"/>
        <w:rPr>
          <w:rFonts w:ascii="Segoe UI" w:hAnsi="Segoe UI" w:cs="Segoe UI"/>
          <w:sz w:val="20"/>
          <w:szCs w:val="18"/>
        </w:rPr>
      </w:pPr>
      <w:r w:rsidRPr="005A4BC5">
        <w:rPr>
          <w:rStyle w:val="normaltextrun"/>
          <w:rFonts w:ascii="Arial" w:hAnsi="Arial" w:cs="Arial"/>
          <w:sz w:val="22"/>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5A4BC5">
        <w:rPr>
          <w:rStyle w:val="normaltextrun"/>
          <w:rFonts w:ascii="Arial" w:hAnsi="Arial" w:cs="Arial"/>
          <w:sz w:val="22"/>
          <w:szCs w:val="20"/>
          <w:shd w:val="clear" w:color="auto" w:fill="F5F5F5"/>
          <w:lang w:val="pt-PT"/>
        </w:rPr>
        <w:t>.</w:t>
      </w:r>
      <w:r w:rsidRPr="005A4BC5">
        <w:rPr>
          <w:rStyle w:val="eop"/>
          <w:rFonts w:ascii="Arial" w:hAnsi="Arial" w:cs="Arial"/>
          <w:sz w:val="22"/>
          <w:szCs w:val="20"/>
        </w:rPr>
        <w:t> </w:t>
      </w:r>
    </w:p>
    <w:p w14:paraId="777605C4" w14:textId="77777777" w:rsidR="005A4BC5" w:rsidRPr="005A4BC5" w:rsidRDefault="005A4BC5" w:rsidP="005A4BC5">
      <w:pPr>
        <w:pStyle w:val="paragraph"/>
        <w:shd w:val="clear" w:color="auto" w:fill="FFFFFF"/>
        <w:spacing w:before="0" w:beforeAutospacing="0" w:after="120" w:afterAutospacing="0"/>
        <w:ind w:left="3675" w:right="225"/>
        <w:jc w:val="both"/>
        <w:textAlignment w:val="baseline"/>
        <w:rPr>
          <w:rFonts w:ascii="Segoe UI" w:hAnsi="Segoe UI" w:cs="Segoe UI"/>
          <w:sz w:val="20"/>
          <w:szCs w:val="18"/>
        </w:rPr>
      </w:pPr>
      <w:r w:rsidRPr="005A4BC5">
        <w:rPr>
          <w:rStyle w:val="normaltextrun"/>
          <w:rFonts w:ascii="Arial" w:hAnsi="Arial" w:cs="Arial"/>
          <w:sz w:val="22"/>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5A4BC5">
        <w:rPr>
          <w:rStyle w:val="eop"/>
          <w:rFonts w:ascii="Arial" w:hAnsi="Arial" w:cs="Arial"/>
          <w:sz w:val="22"/>
          <w:szCs w:val="20"/>
        </w:rPr>
        <w:t> </w:t>
      </w:r>
    </w:p>
    <w:p w14:paraId="05C830B6" w14:textId="77777777" w:rsidR="005A4BC5" w:rsidRPr="005A4BC5" w:rsidRDefault="005A4BC5" w:rsidP="005A4BC5">
      <w:pPr>
        <w:pStyle w:val="paragraph"/>
        <w:shd w:val="clear" w:color="auto" w:fill="FFFFFF"/>
        <w:spacing w:before="0" w:beforeAutospacing="0" w:after="0" w:afterAutospacing="0"/>
        <w:ind w:left="3675" w:right="225"/>
        <w:jc w:val="both"/>
        <w:textAlignment w:val="baseline"/>
        <w:rPr>
          <w:rStyle w:val="eop"/>
          <w:rFonts w:ascii="Arial" w:hAnsi="Arial" w:cs="Arial"/>
          <w:sz w:val="22"/>
          <w:szCs w:val="20"/>
        </w:rPr>
      </w:pPr>
      <w:r w:rsidRPr="005A4BC5">
        <w:rPr>
          <w:rStyle w:val="normaltextrun"/>
          <w:rFonts w:ascii="Arial" w:hAnsi="Arial" w:cs="Arial"/>
          <w:sz w:val="22"/>
          <w:szCs w:val="20"/>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w:t>
      </w:r>
      <w:r w:rsidRPr="005A4BC5">
        <w:rPr>
          <w:rStyle w:val="eop"/>
          <w:rFonts w:ascii="Arial" w:hAnsi="Arial" w:cs="Arial"/>
          <w:sz w:val="22"/>
          <w:szCs w:val="20"/>
        </w:rPr>
        <w:t> </w:t>
      </w:r>
    </w:p>
    <w:p w14:paraId="45E0230F" w14:textId="77777777" w:rsidR="005A4BC5" w:rsidRPr="005A4BC5" w:rsidRDefault="005A4BC5" w:rsidP="005A4BC5">
      <w:pPr>
        <w:spacing w:before="4" w:after="0" w:line="240" w:lineRule="auto"/>
        <w:ind w:right="83"/>
        <w:rPr>
          <w:rFonts w:ascii="Arial" w:eastAsia="Arial MT" w:hAnsi="Arial" w:cs="Arial"/>
          <w:b/>
          <w:lang w:val="pt-PT"/>
        </w:rPr>
      </w:pPr>
    </w:p>
    <w:p w14:paraId="0490BA8A" w14:textId="051BB9BD" w:rsidR="005A4BC5" w:rsidRDefault="005A4BC5" w:rsidP="00834F5B">
      <w:pPr>
        <w:pStyle w:val="PargrafodaLista"/>
        <w:numPr>
          <w:ilvl w:val="1"/>
          <w:numId w:val="13"/>
        </w:numPr>
        <w:spacing w:before="4" w:after="0" w:line="240" w:lineRule="auto"/>
        <w:ind w:right="83"/>
        <w:rPr>
          <w:rFonts w:ascii="Arial" w:eastAsia="Arial MT" w:hAnsi="Arial" w:cs="Arial"/>
          <w:b/>
          <w:lang w:val="pt-PT"/>
        </w:rPr>
      </w:pPr>
      <w:r>
        <w:rPr>
          <w:rFonts w:ascii="Arial" w:eastAsia="Arial MT" w:hAnsi="Arial" w:cs="Arial"/>
          <w:b/>
          <w:lang w:val="pt-PT"/>
        </w:rPr>
        <w:t>Outras informações pertinentes a Ata de Registro de Preços:</w:t>
      </w:r>
    </w:p>
    <w:p w14:paraId="13B1422F" w14:textId="77777777" w:rsidR="005A4BC5" w:rsidRDefault="005A4BC5" w:rsidP="005A4BC5">
      <w:pPr>
        <w:spacing w:before="4" w:after="0" w:line="240" w:lineRule="auto"/>
        <w:ind w:right="83"/>
        <w:rPr>
          <w:rFonts w:ascii="Arial" w:eastAsia="Arial MT" w:hAnsi="Arial" w:cs="Arial"/>
          <w:b/>
          <w:lang w:val="pt-PT"/>
        </w:rPr>
      </w:pPr>
    </w:p>
    <w:p w14:paraId="6435B4BE" w14:textId="452A5826" w:rsidR="005A4BC5" w:rsidRPr="005A4BC5" w:rsidRDefault="005A4BC5" w:rsidP="005A4BC5">
      <w:pPr>
        <w:spacing w:after="120" w:line="240" w:lineRule="auto"/>
        <w:ind w:left="193" w:right="227"/>
        <w:jc w:val="both"/>
        <w:textAlignment w:val="baseline"/>
        <w:rPr>
          <w:rFonts w:ascii="Segoe UI" w:eastAsia="Times New Roman" w:hAnsi="Segoe UI" w:cs="Segoe UI"/>
          <w:sz w:val="20"/>
          <w:szCs w:val="18"/>
          <w:lang w:eastAsia="pt-BR"/>
        </w:rPr>
      </w:pPr>
      <w:r w:rsidRPr="005A4BC5">
        <w:rPr>
          <w:rFonts w:ascii="Arial" w:eastAsia="Times New Roman" w:hAnsi="Arial" w:cs="Arial"/>
          <w:szCs w:val="20"/>
          <w:lang w:val="pt-PT" w:eastAsia="pt-BR"/>
        </w:rPr>
        <w:t xml:space="preserve">a) A Ata de Registro de Preços será gerenciada pela </w:t>
      </w:r>
      <w:r w:rsidRPr="005A4BC5">
        <w:rPr>
          <w:rFonts w:ascii="Arial" w:eastAsia="Times New Roman" w:hAnsi="Arial" w:cs="Arial"/>
          <w:b/>
          <w:bCs/>
          <w:szCs w:val="20"/>
          <w:u w:val="single"/>
          <w:lang w:val="pt-PT" w:eastAsia="pt-BR"/>
        </w:rPr>
        <w:t>Secretaria Municipal de Obras</w:t>
      </w:r>
      <w:r w:rsidRPr="005A4BC5">
        <w:rPr>
          <w:rFonts w:ascii="Arial" w:eastAsia="Times New Roman" w:hAnsi="Arial" w:cs="Arial"/>
          <w:szCs w:val="20"/>
          <w:lang w:val="pt-PT" w:eastAsia="pt-BR"/>
        </w:rPr>
        <w:t>;</w:t>
      </w:r>
      <w:r w:rsidRPr="005A4BC5">
        <w:rPr>
          <w:rFonts w:ascii="Arial" w:eastAsia="Times New Roman" w:hAnsi="Arial" w:cs="Arial"/>
          <w:szCs w:val="20"/>
          <w:lang w:eastAsia="pt-BR"/>
        </w:rPr>
        <w:t> </w:t>
      </w:r>
    </w:p>
    <w:p w14:paraId="7B63C1CC" w14:textId="77777777" w:rsidR="005A4BC5" w:rsidRPr="005A4BC5" w:rsidRDefault="005A4BC5" w:rsidP="005A4BC5">
      <w:pPr>
        <w:spacing w:after="120" w:line="240" w:lineRule="auto"/>
        <w:ind w:left="193" w:right="227"/>
        <w:jc w:val="both"/>
        <w:textAlignment w:val="baseline"/>
        <w:rPr>
          <w:rFonts w:ascii="Segoe UI" w:eastAsia="Times New Roman" w:hAnsi="Segoe UI" w:cs="Segoe UI"/>
          <w:sz w:val="20"/>
          <w:szCs w:val="18"/>
          <w:lang w:eastAsia="pt-BR"/>
        </w:rPr>
      </w:pPr>
      <w:r w:rsidRPr="005A4BC5">
        <w:rPr>
          <w:rFonts w:ascii="Arial" w:eastAsia="Times New Roman" w:hAnsi="Arial" w:cs="Arial"/>
          <w:szCs w:val="20"/>
          <w:lang w:val="pt-PT" w:eastAsia="pt-BR"/>
        </w:rPr>
        <w:t xml:space="preserve">b) O prazo para assinatura da ata será de ( </w:t>
      </w:r>
      <w:r w:rsidRPr="005A4BC5">
        <w:rPr>
          <w:rFonts w:ascii="Arial" w:eastAsia="Times New Roman" w:hAnsi="Arial" w:cs="Arial"/>
          <w:b/>
          <w:bCs/>
          <w:szCs w:val="20"/>
          <w:lang w:val="pt-PT" w:eastAsia="pt-BR"/>
        </w:rPr>
        <w:t xml:space="preserve">5 </w:t>
      </w:r>
      <w:r w:rsidRPr="005A4BC5">
        <w:rPr>
          <w:rFonts w:ascii="Arial" w:eastAsia="Times New Roman" w:hAnsi="Arial" w:cs="Arial"/>
          <w:szCs w:val="20"/>
          <w:lang w:val="pt-PT" w:eastAsia="pt-BR"/>
        </w:rPr>
        <w:t>) dias, improrrogáveis;</w:t>
      </w:r>
      <w:r w:rsidRPr="005A4BC5">
        <w:rPr>
          <w:rFonts w:ascii="Arial" w:eastAsia="Times New Roman" w:hAnsi="Arial" w:cs="Arial"/>
          <w:szCs w:val="20"/>
          <w:lang w:eastAsia="pt-BR"/>
        </w:rPr>
        <w:t> </w:t>
      </w:r>
    </w:p>
    <w:p w14:paraId="3D0EBB13" w14:textId="77777777" w:rsidR="005A4BC5" w:rsidRPr="005A4BC5" w:rsidRDefault="005A4BC5" w:rsidP="005A4BC5">
      <w:pPr>
        <w:spacing w:after="120" w:line="240" w:lineRule="auto"/>
        <w:ind w:left="193" w:right="227"/>
        <w:jc w:val="both"/>
        <w:textAlignment w:val="baseline"/>
        <w:rPr>
          <w:rFonts w:ascii="Segoe UI" w:eastAsia="Times New Roman" w:hAnsi="Segoe UI" w:cs="Segoe UI"/>
          <w:sz w:val="20"/>
          <w:szCs w:val="18"/>
          <w:lang w:eastAsia="pt-BR"/>
        </w:rPr>
      </w:pPr>
      <w:r w:rsidRPr="005A4BC5">
        <w:rPr>
          <w:rFonts w:ascii="Arial" w:eastAsia="Times New Roman" w:hAnsi="Arial" w:cs="Arial"/>
          <w:szCs w:val="20"/>
          <w:lang w:val="pt-PT" w:eastAsia="pt-BR"/>
        </w:rPr>
        <w:t xml:space="preserve">c) O prazo de vigência da ata é de ( </w:t>
      </w:r>
      <w:r w:rsidRPr="005A4BC5">
        <w:rPr>
          <w:rFonts w:ascii="Arial" w:eastAsia="Times New Roman" w:hAnsi="Arial" w:cs="Arial"/>
          <w:b/>
          <w:bCs/>
          <w:szCs w:val="20"/>
          <w:lang w:val="pt-PT" w:eastAsia="pt-BR"/>
        </w:rPr>
        <w:t>1</w:t>
      </w:r>
      <w:r w:rsidRPr="005A4BC5">
        <w:rPr>
          <w:rFonts w:ascii="Arial" w:eastAsia="Times New Roman" w:hAnsi="Arial" w:cs="Arial"/>
          <w:szCs w:val="20"/>
          <w:lang w:val="pt-PT" w:eastAsia="pt-BR"/>
        </w:rPr>
        <w:t xml:space="preserve"> ) ano.</w:t>
      </w:r>
      <w:r w:rsidRPr="005A4BC5">
        <w:rPr>
          <w:rFonts w:ascii="Arial" w:eastAsia="Times New Roman" w:hAnsi="Arial" w:cs="Arial"/>
          <w:szCs w:val="20"/>
          <w:lang w:eastAsia="pt-BR"/>
        </w:rPr>
        <w:t> </w:t>
      </w:r>
    </w:p>
    <w:p w14:paraId="792BAD6D" w14:textId="77777777" w:rsidR="005A4BC5" w:rsidRPr="005A4BC5" w:rsidRDefault="005A4BC5" w:rsidP="005A4BC5">
      <w:pPr>
        <w:spacing w:after="120"/>
        <w:ind w:left="193" w:right="227"/>
        <w:jc w:val="both"/>
        <w:rPr>
          <w:rFonts w:ascii="Arial" w:eastAsia="Arial" w:hAnsi="Arial" w:cs="Arial"/>
          <w:szCs w:val="20"/>
          <w:lang w:val="pt"/>
        </w:rPr>
      </w:pPr>
      <w:r w:rsidRPr="005A4BC5">
        <w:rPr>
          <w:rFonts w:ascii="Arial" w:eastAsia="Arial" w:hAnsi="Arial" w:cs="Arial"/>
          <w:szCs w:val="20"/>
        </w:rPr>
        <w:t>d</w:t>
      </w:r>
      <w:r w:rsidRPr="005A4BC5">
        <w:rPr>
          <w:rFonts w:ascii="Arial" w:eastAsia="Arial" w:hAnsi="Arial" w:cs="Arial"/>
          <w:szCs w:val="20"/>
          <w:lang w:val="pt"/>
        </w:rPr>
        <w:t xml:space="preserve">) Admitir-se-á a prorrogação de validade da Ata por até </w:t>
      </w:r>
      <w:proofErr w:type="gramStart"/>
      <w:r w:rsidRPr="005A4BC5">
        <w:rPr>
          <w:rFonts w:ascii="Arial" w:eastAsia="Arial" w:hAnsi="Arial" w:cs="Arial"/>
          <w:szCs w:val="20"/>
          <w:lang w:val="pt"/>
        </w:rPr>
        <w:t>( 1</w:t>
      </w:r>
      <w:proofErr w:type="gramEnd"/>
      <w:r w:rsidRPr="005A4BC5">
        <w:rPr>
          <w:rFonts w:ascii="Arial" w:eastAsia="Arial" w:hAnsi="Arial" w:cs="Arial"/>
          <w:szCs w:val="20"/>
          <w:lang w:val="pt"/>
        </w:rPr>
        <w:t xml:space="preserve"> ) um ano, desde que comprovado preço vantajoso.</w:t>
      </w:r>
    </w:p>
    <w:p w14:paraId="1BA93386" w14:textId="77777777" w:rsidR="005A4BC5" w:rsidRPr="005A4BC5" w:rsidRDefault="005A4BC5" w:rsidP="005A4BC5">
      <w:pPr>
        <w:spacing w:after="0"/>
        <w:ind w:left="195" w:right="225"/>
        <w:jc w:val="both"/>
        <w:rPr>
          <w:rFonts w:ascii="Arial" w:eastAsia="Arial" w:hAnsi="Arial" w:cs="Arial"/>
          <w:szCs w:val="20"/>
          <w:lang w:val="pt"/>
        </w:rPr>
      </w:pPr>
      <w:r w:rsidRPr="005A4BC5">
        <w:rPr>
          <w:rFonts w:ascii="Arial" w:eastAsia="Arial" w:hAnsi="Arial" w:cs="Arial"/>
          <w:szCs w:val="20"/>
          <w:lang w:val="pt"/>
        </w:rPr>
        <w:t>e) Os quantitativos a serem prorrogados, serão aqueles referentes ao saldo da respectiva ata de registro de preço.</w:t>
      </w:r>
    </w:p>
    <w:p w14:paraId="58E0C433" w14:textId="77777777" w:rsidR="005A4BC5" w:rsidRDefault="005A4BC5" w:rsidP="005A4BC5">
      <w:pPr>
        <w:pStyle w:val="PargrafodaLista"/>
        <w:spacing w:before="4" w:after="0" w:line="240" w:lineRule="auto"/>
        <w:ind w:left="644" w:right="83"/>
        <w:jc w:val="both"/>
        <w:rPr>
          <w:rFonts w:ascii="Arial" w:eastAsia="Arial MT" w:hAnsi="Arial" w:cs="Arial"/>
          <w:b/>
          <w:lang w:val="pt-PT"/>
        </w:rPr>
      </w:pPr>
    </w:p>
    <w:p w14:paraId="3F7C3D44" w14:textId="3E5F66BB" w:rsidR="005A4BC5" w:rsidRDefault="005A4BC5" w:rsidP="00834F5B">
      <w:pPr>
        <w:pStyle w:val="PargrafodaLista"/>
        <w:numPr>
          <w:ilvl w:val="1"/>
          <w:numId w:val="13"/>
        </w:numPr>
        <w:spacing w:before="4" w:after="0" w:line="240" w:lineRule="auto"/>
        <w:ind w:right="83"/>
        <w:jc w:val="both"/>
        <w:rPr>
          <w:rFonts w:ascii="Arial" w:eastAsia="Arial MT" w:hAnsi="Arial" w:cs="Arial"/>
          <w:b/>
          <w:lang w:val="pt-PT"/>
        </w:rPr>
      </w:pPr>
      <w:r>
        <w:rPr>
          <w:rFonts w:ascii="Arial" w:eastAsia="Arial MT" w:hAnsi="Arial" w:cs="Arial"/>
          <w:b/>
          <w:lang w:val="pt-PT"/>
        </w:rPr>
        <w:t xml:space="preserve">Será adotado tratamento </w:t>
      </w:r>
      <w:r w:rsidRPr="005A4BC5">
        <w:rPr>
          <w:rFonts w:ascii="Arial" w:eastAsia="Arial MT" w:hAnsi="Arial" w:cs="Arial"/>
          <w:b/>
          <w:lang w:val="pt-PT"/>
        </w:rPr>
        <w:t>diferenciado a microempresas (ME) e empresas de pequeno porte (EPP), conforme o disposto no art. 48 da Lei Complementar nº 123/2006 (alterado pela Lei Complementar nº 147/2014) em lotes com valor referencial até a R$ 80.000,00 por lote</w:t>
      </w:r>
      <w:r>
        <w:rPr>
          <w:rFonts w:ascii="Arial" w:eastAsia="Arial MT" w:hAnsi="Arial" w:cs="Arial"/>
          <w:b/>
          <w:lang w:val="pt-PT"/>
        </w:rPr>
        <w:t>.</w:t>
      </w:r>
    </w:p>
    <w:p w14:paraId="6CF4D9FD" w14:textId="77777777" w:rsidR="005A4BC5" w:rsidRDefault="005A4BC5" w:rsidP="005A4BC5">
      <w:pPr>
        <w:spacing w:before="4" w:after="0" w:line="240" w:lineRule="auto"/>
        <w:ind w:left="284" w:right="83"/>
        <w:rPr>
          <w:rFonts w:ascii="Arial" w:eastAsia="Arial MT" w:hAnsi="Arial" w:cs="Arial"/>
          <w:b/>
          <w:lang w:val="pt-PT"/>
        </w:rPr>
      </w:pPr>
    </w:p>
    <w:p w14:paraId="0E8CFB7A" w14:textId="77777777" w:rsidR="005A4BC5" w:rsidRPr="005A4BC5" w:rsidRDefault="005A4BC5" w:rsidP="005A4BC5">
      <w:pPr>
        <w:spacing w:after="0"/>
        <w:ind w:left="1134"/>
        <w:jc w:val="both"/>
        <w:rPr>
          <w:rFonts w:ascii="Arial" w:hAnsi="Arial" w:cs="Arial"/>
          <w:szCs w:val="20"/>
        </w:rPr>
      </w:pPr>
      <w:r w:rsidRPr="005A4BC5">
        <w:rPr>
          <w:rFonts w:ascii="Arial" w:hAnsi="Arial" w:cs="Arial"/>
          <w:szCs w:val="20"/>
        </w:rPr>
        <w:t xml:space="preserve">“Art. 48”. Para o cumprimento do disposto no art. 47 desta Lei Complementar sita acima, a administração pública: </w:t>
      </w:r>
    </w:p>
    <w:p w14:paraId="51983044" w14:textId="77777777" w:rsidR="005A4BC5" w:rsidRPr="005A4BC5" w:rsidRDefault="005A4BC5" w:rsidP="005A4BC5">
      <w:pPr>
        <w:spacing w:after="0"/>
        <w:ind w:left="1134"/>
        <w:jc w:val="both"/>
        <w:rPr>
          <w:rFonts w:ascii="Arial" w:hAnsi="Arial" w:cs="Arial"/>
          <w:szCs w:val="20"/>
        </w:rPr>
      </w:pPr>
      <w:r w:rsidRPr="005A4BC5">
        <w:rPr>
          <w:rFonts w:ascii="Arial" w:hAnsi="Arial" w:cs="Arial"/>
          <w:szCs w:val="20"/>
        </w:rPr>
        <w:lastRenderedPageBreak/>
        <w:t xml:space="preserve">I - deverá realizar processo licitatório destinado exclusivamente à participação de microempresas e empresas de pequeno porte nos itens de contratação cujo valor seja de até R$ 80.000,00 (oitenta mil reais); </w:t>
      </w:r>
    </w:p>
    <w:p w14:paraId="56807C57" w14:textId="77777777" w:rsidR="005A4BC5" w:rsidRPr="005A4BC5" w:rsidRDefault="005A4BC5" w:rsidP="005A4BC5">
      <w:pPr>
        <w:spacing w:after="0"/>
        <w:ind w:left="1134"/>
        <w:jc w:val="both"/>
        <w:rPr>
          <w:rFonts w:ascii="Arial" w:hAnsi="Arial" w:cs="Arial"/>
          <w:szCs w:val="20"/>
        </w:rPr>
      </w:pPr>
    </w:p>
    <w:p w14:paraId="1A2EF511" w14:textId="77777777" w:rsidR="005A4BC5" w:rsidRPr="005A4BC5" w:rsidRDefault="005A4BC5" w:rsidP="005A4BC5">
      <w:pPr>
        <w:spacing w:after="0"/>
        <w:ind w:left="1134"/>
        <w:jc w:val="both"/>
        <w:rPr>
          <w:rFonts w:ascii="Arial" w:hAnsi="Arial" w:cs="Arial"/>
          <w:szCs w:val="20"/>
        </w:rPr>
      </w:pPr>
      <w:r w:rsidRPr="005A4BC5">
        <w:rPr>
          <w:rFonts w:ascii="Arial" w:hAnsi="Arial" w:cs="Arial"/>
          <w:szCs w:val="20"/>
        </w:rPr>
        <w:t>Justifica-se ainda o tratamento diferenciado e simplificados as microempresas e empresas de pequeno portenho termos do art. 1º e seus incisos da Lei Municipal nº 1.545/2018.</w:t>
      </w:r>
    </w:p>
    <w:p w14:paraId="167C5064" w14:textId="77777777" w:rsidR="005A4BC5" w:rsidRPr="005A4BC5" w:rsidRDefault="005A4BC5" w:rsidP="005A4BC5">
      <w:pPr>
        <w:spacing w:after="0"/>
        <w:ind w:left="1134"/>
        <w:jc w:val="both"/>
        <w:rPr>
          <w:rFonts w:ascii="Arial" w:hAnsi="Arial" w:cs="Arial"/>
          <w:szCs w:val="20"/>
        </w:rPr>
      </w:pPr>
    </w:p>
    <w:p w14:paraId="3A24BD2F" w14:textId="77777777" w:rsidR="005A4BC5" w:rsidRPr="005A4BC5" w:rsidRDefault="005A4BC5" w:rsidP="005A4BC5">
      <w:pPr>
        <w:spacing w:after="0"/>
        <w:ind w:left="1134"/>
        <w:jc w:val="both"/>
        <w:rPr>
          <w:rFonts w:ascii="Arial" w:hAnsi="Arial" w:cs="Arial"/>
          <w:szCs w:val="20"/>
        </w:rPr>
      </w:pPr>
      <w:r w:rsidRPr="005A4BC5">
        <w:rPr>
          <w:rFonts w:ascii="Arial" w:hAnsi="Arial" w:cs="Arial"/>
          <w:szCs w:val="20"/>
        </w:rPr>
        <w:t xml:space="preserve"> Art. 1º Nas contratações públicas da administração direta e indireta, autárquica e fundacional do Município de Iapu será concedido tratamento diferenciado e simplificado para as microempresas- ME e empresas de pequeno porte- EPP objetivando:</w:t>
      </w:r>
    </w:p>
    <w:p w14:paraId="2E7A7809" w14:textId="77777777" w:rsidR="005A4BC5" w:rsidRPr="005A4BC5" w:rsidRDefault="005A4BC5" w:rsidP="005A4BC5">
      <w:pPr>
        <w:spacing w:after="0"/>
        <w:ind w:left="1134"/>
        <w:jc w:val="both"/>
        <w:rPr>
          <w:rFonts w:ascii="Arial" w:hAnsi="Arial" w:cs="Arial"/>
          <w:szCs w:val="20"/>
        </w:rPr>
      </w:pPr>
      <w:r w:rsidRPr="005A4BC5">
        <w:rPr>
          <w:rFonts w:ascii="Arial" w:hAnsi="Arial" w:cs="Arial"/>
          <w:szCs w:val="20"/>
        </w:rPr>
        <w:t xml:space="preserve"> I- a promoção do desenvolvimento econômico e social no âmbito municipal e regional;</w:t>
      </w:r>
    </w:p>
    <w:p w14:paraId="2B5BC172" w14:textId="77777777" w:rsidR="005A4BC5" w:rsidRPr="005A4BC5" w:rsidRDefault="005A4BC5" w:rsidP="005A4BC5">
      <w:pPr>
        <w:spacing w:after="0"/>
        <w:ind w:left="1134"/>
        <w:jc w:val="both"/>
        <w:rPr>
          <w:rFonts w:ascii="Arial" w:hAnsi="Arial" w:cs="Arial"/>
          <w:szCs w:val="20"/>
        </w:rPr>
      </w:pPr>
      <w:r w:rsidRPr="005A4BC5">
        <w:rPr>
          <w:rFonts w:ascii="Arial" w:hAnsi="Arial" w:cs="Arial"/>
          <w:szCs w:val="20"/>
        </w:rPr>
        <w:t xml:space="preserve"> II- a ampliação da eficiência das políticas públicas; e,</w:t>
      </w:r>
    </w:p>
    <w:p w14:paraId="7A18F386" w14:textId="77777777" w:rsidR="005A4BC5" w:rsidRPr="005A4BC5" w:rsidRDefault="005A4BC5" w:rsidP="005A4BC5">
      <w:pPr>
        <w:spacing w:after="0"/>
        <w:ind w:left="1134"/>
        <w:jc w:val="both"/>
        <w:rPr>
          <w:rFonts w:ascii="Arial" w:hAnsi="Arial" w:cs="Arial"/>
          <w:szCs w:val="20"/>
        </w:rPr>
      </w:pPr>
      <w:r w:rsidRPr="005A4BC5">
        <w:rPr>
          <w:rFonts w:ascii="Arial" w:hAnsi="Arial" w:cs="Arial"/>
          <w:szCs w:val="20"/>
        </w:rPr>
        <w:t xml:space="preserve"> III- o incentivo à inovação tecnológica</w:t>
      </w:r>
      <w:proofErr w:type="gramStart"/>
      <w:r w:rsidRPr="005A4BC5">
        <w:rPr>
          <w:rFonts w:ascii="Arial" w:hAnsi="Arial" w:cs="Arial"/>
          <w:szCs w:val="20"/>
        </w:rPr>
        <w:t>. ”</w:t>
      </w:r>
      <w:proofErr w:type="gramEnd"/>
      <w:r w:rsidRPr="005A4BC5">
        <w:rPr>
          <w:rFonts w:ascii="Arial" w:hAnsi="Arial" w:cs="Arial"/>
          <w:szCs w:val="20"/>
        </w:rPr>
        <w:t xml:space="preserve"> (...)</w:t>
      </w:r>
    </w:p>
    <w:p w14:paraId="7445A8FD" w14:textId="77777777" w:rsidR="005A4BC5" w:rsidRPr="005A4BC5" w:rsidRDefault="005A4BC5" w:rsidP="005A4BC5">
      <w:pPr>
        <w:spacing w:after="0"/>
        <w:ind w:left="1134"/>
        <w:jc w:val="both"/>
        <w:rPr>
          <w:rFonts w:ascii="Arial" w:hAnsi="Arial" w:cs="Arial"/>
          <w:color w:val="000000" w:themeColor="text1"/>
          <w:szCs w:val="20"/>
        </w:rPr>
      </w:pPr>
    </w:p>
    <w:p w14:paraId="2F70DDF5" w14:textId="77777777" w:rsidR="005A4BC5" w:rsidRPr="005A4BC5" w:rsidRDefault="005A4BC5" w:rsidP="005A4BC5">
      <w:pPr>
        <w:spacing w:after="0"/>
        <w:ind w:left="1134"/>
        <w:jc w:val="both"/>
        <w:rPr>
          <w:rFonts w:ascii="Arial" w:hAnsi="Arial" w:cs="Arial"/>
          <w:color w:val="000000"/>
          <w:szCs w:val="20"/>
        </w:rPr>
      </w:pPr>
      <w:r w:rsidRPr="005A4BC5">
        <w:rPr>
          <w:rFonts w:ascii="Arial" w:hAnsi="Arial" w:cs="Arial"/>
          <w:szCs w:val="20"/>
        </w:rPr>
        <w:t>De acordo com a lei 14.133/2024, Art. 3º,</w:t>
      </w:r>
      <w:r w:rsidRPr="005A4BC5">
        <w:rPr>
          <w:rFonts w:ascii="Arial" w:hAnsi="Arial" w:cs="Arial"/>
          <w:color w:val="000000"/>
          <w:szCs w:val="20"/>
        </w:rPr>
        <w:t xml:space="preserve"> § 2º;</w:t>
      </w:r>
    </w:p>
    <w:p w14:paraId="17FFD726" w14:textId="77777777" w:rsidR="005A4BC5" w:rsidRPr="005A4BC5" w:rsidRDefault="005A4BC5" w:rsidP="005A4BC5">
      <w:pPr>
        <w:spacing w:after="0"/>
        <w:ind w:left="1134"/>
        <w:jc w:val="both"/>
        <w:rPr>
          <w:rFonts w:ascii="Arial" w:hAnsi="Arial" w:cs="Arial"/>
          <w:szCs w:val="20"/>
        </w:rPr>
      </w:pPr>
    </w:p>
    <w:p w14:paraId="4CED89CC" w14:textId="77777777" w:rsidR="005A4BC5" w:rsidRPr="005A4BC5" w:rsidRDefault="005A4BC5" w:rsidP="005A4BC5">
      <w:pPr>
        <w:spacing w:after="0"/>
        <w:ind w:left="1134"/>
        <w:jc w:val="both"/>
        <w:rPr>
          <w:rFonts w:ascii="Arial" w:hAnsi="Arial" w:cs="Arial"/>
          <w:szCs w:val="20"/>
        </w:rPr>
      </w:pPr>
      <w:r w:rsidRPr="005A4BC5">
        <w:rPr>
          <w:rFonts w:ascii="Arial" w:hAnsi="Arial" w:cs="Arial"/>
          <w:color w:val="000000"/>
          <w:szCs w:val="2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da licitante declaração de observância desse limite na licitação.</w:t>
      </w:r>
    </w:p>
    <w:p w14:paraId="70102A01" w14:textId="77777777" w:rsidR="005A4BC5" w:rsidRPr="005A4BC5" w:rsidRDefault="005A4BC5" w:rsidP="005A4BC5">
      <w:pPr>
        <w:spacing w:before="4" w:after="0" w:line="240" w:lineRule="auto"/>
        <w:ind w:right="83"/>
        <w:rPr>
          <w:rFonts w:ascii="Arial" w:eastAsia="Arial MT" w:hAnsi="Arial" w:cs="Arial"/>
          <w:b/>
          <w:lang w:val="pt-PT"/>
        </w:rPr>
      </w:pPr>
    </w:p>
    <w:p w14:paraId="5CC8B48B" w14:textId="2DF0187C" w:rsidR="005A4BC5" w:rsidRDefault="005A4BC5" w:rsidP="00834F5B">
      <w:pPr>
        <w:pStyle w:val="PargrafodaLista"/>
        <w:numPr>
          <w:ilvl w:val="2"/>
          <w:numId w:val="13"/>
        </w:numPr>
        <w:spacing w:before="4" w:after="0" w:line="240" w:lineRule="auto"/>
        <w:ind w:right="83"/>
        <w:rPr>
          <w:rFonts w:ascii="Arial" w:eastAsia="Arial MT" w:hAnsi="Arial" w:cs="Arial"/>
          <w:b/>
          <w:lang w:val="pt-PT"/>
        </w:rPr>
      </w:pPr>
      <w:r>
        <w:rPr>
          <w:rFonts w:ascii="Arial" w:eastAsia="Arial MT" w:hAnsi="Arial" w:cs="Arial"/>
          <w:b/>
          <w:lang w:val="pt-PT"/>
        </w:rPr>
        <w:t>Lote exclusivo para Microempresas e Empresas de Pequeno Porte.</w:t>
      </w:r>
    </w:p>
    <w:p w14:paraId="6EE809BC" w14:textId="77777777" w:rsidR="005A4BC5" w:rsidRDefault="005A4BC5" w:rsidP="005A4BC5">
      <w:pPr>
        <w:spacing w:before="4" w:after="0" w:line="240" w:lineRule="auto"/>
        <w:ind w:right="83"/>
        <w:rPr>
          <w:rFonts w:ascii="Arial" w:eastAsia="Arial MT" w:hAnsi="Arial" w:cs="Arial"/>
          <w:b/>
          <w:lang w:val="pt-PT"/>
        </w:rPr>
      </w:pPr>
    </w:p>
    <w:p w14:paraId="381F1FB3" w14:textId="1B49CE05" w:rsidR="005A4BC5" w:rsidRPr="005A4BC5" w:rsidRDefault="005A4BC5" w:rsidP="005A4BC5">
      <w:pPr>
        <w:spacing w:before="4" w:after="0" w:line="240" w:lineRule="auto"/>
        <w:ind w:right="83"/>
        <w:jc w:val="both"/>
        <w:rPr>
          <w:rFonts w:ascii="Arial" w:eastAsia="Arial MT" w:hAnsi="Arial" w:cs="Arial"/>
          <w:lang w:val="pt-PT"/>
        </w:rPr>
      </w:pPr>
      <w:r w:rsidRPr="005A4BC5">
        <w:rPr>
          <w:rFonts w:ascii="Arial" w:eastAsia="Arial MT" w:hAnsi="Arial" w:cs="Arial"/>
          <w:lang w:val="pt-PT"/>
        </w:rPr>
        <w:t>De acordo com a</w:t>
      </w:r>
      <w:r>
        <w:rPr>
          <w:rFonts w:ascii="Arial" w:eastAsia="Arial MT" w:hAnsi="Arial" w:cs="Arial"/>
          <w:lang w:val="pt-PT"/>
        </w:rPr>
        <w:t xml:space="preserve"> Lei Municipal nº 1.545/2018, o item 02 deste Pregão será exclusivo</w:t>
      </w:r>
      <w:r w:rsidRPr="005A4BC5">
        <w:rPr>
          <w:rFonts w:ascii="Arial" w:eastAsia="Arial MT" w:hAnsi="Arial" w:cs="Arial"/>
          <w:lang w:val="pt-PT"/>
        </w:rPr>
        <w:t xml:space="preserve"> para a participação de Microempresas e Empresas de pequeno porte, sediadas no âmbito local, de acordo com o artigo 1º, 3º e incisos da Lei Municipal nº 1.545/2018.</w:t>
      </w:r>
    </w:p>
    <w:p w14:paraId="700A6825" w14:textId="77777777" w:rsidR="005A4BC5" w:rsidRPr="005A4BC5" w:rsidRDefault="005A4BC5" w:rsidP="005A4BC5">
      <w:pPr>
        <w:spacing w:before="4" w:after="0" w:line="240" w:lineRule="auto"/>
        <w:ind w:right="83"/>
        <w:rPr>
          <w:rFonts w:ascii="Arial" w:eastAsia="Arial MT" w:hAnsi="Arial" w:cs="Arial"/>
          <w:b/>
          <w:lang w:val="pt-PT"/>
        </w:rPr>
      </w:pPr>
    </w:p>
    <w:p w14:paraId="01E5F411" w14:textId="2235F31C" w:rsidR="00F967C0" w:rsidRPr="007C6929" w:rsidRDefault="00F967C0" w:rsidP="00834F5B">
      <w:pPr>
        <w:pStyle w:val="PargrafodaLista"/>
        <w:numPr>
          <w:ilvl w:val="1"/>
          <w:numId w:val="13"/>
        </w:numPr>
        <w:spacing w:before="4"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5F316458"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834F5B">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 xml:space="preserve">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w:t>
      </w:r>
      <w:r w:rsidR="004D724A" w:rsidRPr="007C6929">
        <w:rPr>
          <w:rFonts w:ascii="Arial" w:eastAsia="Times New Roman" w:hAnsi="Arial" w:cs="Arial"/>
          <w:bCs/>
          <w:lang w:eastAsia="pt-BR"/>
        </w:rPr>
        <w:lastRenderedPageBreak/>
        <w:t>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834F5B">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834F5B">
      <w:pPr>
        <w:pStyle w:val="PargrafodaLista"/>
        <w:numPr>
          <w:ilvl w:val="1"/>
          <w:numId w:val="12"/>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834F5B">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834F5B">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834F5B">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834F5B">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834F5B">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5FD1F7E" w:rsidR="00084647" w:rsidRPr="007C6929" w:rsidRDefault="00974BFC" w:rsidP="00974BFC">
      <w:pPr>
        <w:spacing w:before="96" w:after="0" w:line="240" w:lineRule="auto"/>
        <w:ind w:left="426"/>
        <w:jc w:val="both"/>
        <w:rPr>
          <w:rFonts w:ascii="Arial" w:eastAsia="Arial MT" w:hAnsi="Arial" w:cs="Arial"/>
          <w:color w:val="000000"/>
          <w:lang w:val="pt-PT"/>
        </w:rPr>
      </w:pPr>
      <w:r>
        <w:rPr>
          <w:rFonts w:ascii="Arial" w:eastAsia="Arial MT" w:hAnsi="Arial" w:cs="Arial"/>
          <w:color w:val="000000" w:themeColor="text1"/>
          <w:lang w:val="pt-PT"/>
        </w:rPr>
        <w:t xml:space="preserve">Obs.: </w:t>
      </w:r>
      <w:r w:rsidR="00084647"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834F5B">
      <w:pPr>
        <w:pStyle w:val="PargrafodaLista"/>
        <w:numPr>
          <w:ilvl w:val="1"/>
          <w:numId w:val="12"/>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834F5B">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AEB56EC" w14:textId="63758C1A" w:rsidR="007F65B8" w:rsidRPr="007C6929" w:rsidRDefault="46DE35D0" w:rsidP="00834F5B">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7C6929">
        <w:rPr>
          <w:rFonts w:ascii="Arial" w:eastAsia="Arial MT" w:hAnsi="Arial" w:cs="Arial"/>
          <w:color w:val="000000" w:themeColor="text1"/>
          <w:lang w:val="pt-PT"/>
        </w:rPr>
        <w:lastRenderedPageBreak/>
        <w:t>aqueles relativos à Seguridade Social, nos termos da Portaria Conjunta nº 1.751, de 02 de outubro de 2014, do Secretário da Receita Federal do Brasil e da Procuradora-Geral da Fazenda Nacional.</w:t>
      </w:r>
    </w:p>
    <w:p w14:paraId="2AC77C1B" w14:textId="2605608E" w:rsidR="00084647" w:rsidRPr="00974BFC" w:rsidRDefault="00084647" w:rsidP="00834F5B">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974BFC">
        <w:rPr>
          <w:rFonts w:ascii="Arial" w:eastAsia="Arial MT" w:hAnsi="Arial" w:cs="Arial"/>
          <w:color w:val="000000"/>
          <w:lang w:val="pt-PT"/>
        </w:rPr>
        <w:t xml:space="preserve"> </w:t>
      </w:r>
      <w:r w:rsidR="00C92426" w:rsidRPr="00974BFC">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974BFC" w:rsidRPr="00974BFC">
        <w:rPr>
          <w:rFonts w:ascii="Arial" w:eastAsia="Arial MT" w:hAnsi="Arial" w:cs="Arial"/>
          <w:color w:val="000000"/>
          <w:lang w:val="pt-PT"/>
        </w:rPr>
        <w:t xml:space="preserve">. </w:t>
      </w:r>
      <w:r w:rsidRPr="00974BFC">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834F5B">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974BFC" w:rsidRDefault="00084647" w:rsidP="00834F5B">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FDF841" w14:textId="77777777" w:rsidR="00974BFC" w:rsidRPr="007C6929" w:rsidRDefault="00974BFC" w:rsidP="00974BFC">
      <w:pPr>
        <w:spacing w:before="96" w:after="0" w:line="240" w:lineRule="auto"/>
        <w:ind w:left="786"/>
        <w:jc w:val="both"/>
        <w:rPr>
          <w:rFonts w:ascii="Arial" w:eastAsia="Arial MT" w:hAnsi="Arial" w:cs="Arial"/>
          <w:color w:val="000000"/>
          <w:lang w:val="pt-PT"/>
        </w:rPr>
      </w:pPr>
    </w:p>
    <w:p w14:paraId="6693F04A" w14:textId="3755E34E" w:rsidR="004B29BC" w:rsidRPr="007C6929" w:rsidRDefault="00A211F1" w:rsidP="00834F5B">
      <w:pPr>
        <w:pStyle w:val="PargrafodaLista"/>
        <w:numPr>
          <w:ilvl w:val="1"/>
          <w:numId w:val="12"/>
        </w:numPr>
        <w:spacing w:before="4" w:after="0" w:line="240" w:lineRule="auto"/>
        <w:ind w:right="83"/>
        <w:rPr>
          <w:rFonts w:ascii="Arial" w:hAnsi="Arial" w:cs="Arial"/>
          <w:b/>
          <w:bCs/>
        </w:rPr>
      </w:pPr>
      <w:r w:rsidRPr="007C6929">
        <w:rPr>
          <w:rFonts w:ascii="Arial" w:hAnsi="Arial" w:cs="Arial"/>
          <w:b/>
          <w:bCs/>
          <w:color w:val="000000" w:themeColor="text1"/>
        </w:rPr>
        <w:t>QUALIFICAÇÃO</w:t>
      </w:r>
      <w:r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12E2B7F9" w:rsidR="00A620C7" w:rsidRPr="00974BFC" w:rsidRDefault="00A05EAE" w:rsidP="00834F5B">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974BFC">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6B1178" w:rsidRDefault="00A05EAE" w:rsidP="00834F5B">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7AAE25BD" w14:textId="77777777" w:rsidR="006B1178" w:rsidRDefault="006B1178" w:rsidP="006B1178">
      <w:pPr>
        <w:spacing w:after="0" w:line="240" w:lineRule="auto"/>
        <w:jc w:val="both"/>
        <w:rPr>
          <w:rFonts w:ascii="Arial" w:eastAsia="Arial MT" w:hAnsi="Arial" w:cs="Arial"/>
          <w:bCs/>
          <w:color w:val="000000"/>
          <w:lang w:val="pt-PT"/>
        </w:rPr>
      </w:pPr>
    </w:p>
    <w:p w14:paraId="2BAA9423" w14:textId="0B608A95" w:rsidR="006B1178" w:rsidRPr="006B1178" w:rsidRDefault="006B1178" w:rsidP="00834F5B">
      <w:pPr>
        <w:pStyle w:val="PargrafodaLista"/>
        <w:numPr>
          <w:ilvl w:val="1"/>
          <w:numId w:val="17"/>
        </w:numPr>
        <w:spacing w:before="4" w:after="0" w:line="240" w:lineRule="auto"/>
        <w:ind w:right="83"/>
        <w:rPr>
          <w:rFonts w:ascii="Arial" w:eastAsia="Arial MT" w:hAnsi="Arial" w:cs="Arial"/>
          <w:b/>
          <w:bCs/>
          <w:color w:val="000000"/>
          <w:lang w:val="pt-PT"/>
        </w:rPr>
      </w:pPr>
      <w:r w:rsidRPr="006B1178">
        <w:rPr>
          <w:rFonts w:ascii="Arial" w:eastAsia="Arial MT" w:hAnsi="Arial" w:cs="Arial"/>
          <w:b/>
          <w:bCs/>
          <w:color w:val="000000"/>
          <w:lang w:val="pt-PT"/>
        </w:rPr>
        <w:t>QUALIFICAÇÃO TÉCNICA</w:t>
      </w:r>
    </w:p>
    <w:p w14:paraId="4A01BFA2" w14:textId="77777777" w:rsidR="006B1178" w:rsidRPr="006B1178" w:rsidRDefault="006B1178" w:rsidP="006B1178">
      <w:pPr>
        <w:spacing w:before="100" w:beforeAutospacing="1" w:after="100" w:afterAutospacing="1" w:line="240" w:lineRule="auto"/>
        <w:ind w:left="426"/>
        <w:jc w:val="both"/>
        <w:rPr>
          <w:rFonts w:ascii="Arial" w:eastAsia="Times New Roman" w:hAnsi="Arial" w:cs="Arial"/>
          <w:lang w:eastAsia="pt-BR"/>
        </w:rPr>
      </w:pPr>
      <w:r w:rsidRPr="006B1178">
        <w:rPr>
          <w:rFonts w:ascii="Arial" w:eastAsia="Times New Roman" w:hAnsi="Arial" w:cs="Arial"/>
          <w:lang w:eastAsia="pt-BR"/>
        </w:rPr>
        <w:t>Para a habilitação no certame e execução do objeto do contrato, a empresa licitante vencedora do lote referente ao fornecimento de areia e brita deverá apresentar a seguinte documentação:</w:t>
      </w:r>
    </w:p>
    <w:p w14:paraId="4021772E" w14:textId="77777777" w:rsidR="006B1178" w:rsidRPr="006B1178" w:rsidRDefault="006B1178" w:rsidP="006B1178">
      <w:pPr>
        <w:spacing w:before="100" w:beforeAutospacing="1" w:after="100" w:afterAutospacing="1" w:line="240" w:lineRule="auto"/>
        <w:ind w:left="426"/>
        <w:jc w:val="both"/>
        <w:rPr>
          <w:rFonts w:ascii="Arial" w:eastAsia="Times New Roman" w:hAnsi="Arial" w:cs="Arial"/>
          <w:lang w:eastAsia="pt-BR"/>
        </w:rPr>
      </w:pPr>
      <w:r w:rsidRPr="006B1178">
        <w:rPr>
          <w:rFonts w:ascii="Arial" w:eastAsia="Times New Roman" w:hAnsi="Arial" w:cs="Arial"/>
          <w:bCs/>
          <w:lang w:eastAsia="pt-BR"/>
        </w:rPr>
        <w:t>a)</w:t>
      </w:r>
      <w:r w:rsidRPr="006B1178">
        <w:rPr>
          <w:rFonts w:ascii="Arial" w:eastAsia="Times New Roman" w:hAnsi="Arial" w:cs="Arial"/>
          <w:b/>
          <w:bCs/>
          <w:lang w:eastAsia="pt-BR"/>
        </w:rPr>
        <w:t xml:space="preserve"> Cópia da Autorização Ambiental de Funcionamento ou Licença ambiental emitida pelo órgão competente</w:t>
      </w:r>
      <w:r w:rsidRPr="006B1178">
        <w:rPr>
          <w:rFonts w:ascii="Arial" w:eastAsia="Times New Roman" w:hAnsi="Arial" w:cs="Arial"/>
          <w:lang w:eastAsia="pt-BR"/>
        </w:rPr>
        <w:t xml:space="preserve">, em nome da empresa responsável pela extração de areia, brita e correlatos. O documento deverá estar dentro do prazo de validade e devidamente regularizado junto aos órgãos ambientais competentes, conforme a legislação vigente. </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41F23177" w14:textId="50A700E2" w:rsidR="00C122F7" w:rsidRPr="006B1178" w:rsidRDefault="00C122F7" w:rsidP="00834F5B">
      <w:pPr>
        <w:pStyle w:val="PargrafodaLista"/>
        <w:numPr>
          <w:ilvl w:val="1"/>
          <w:numId w:val="17"/>
        </w:numPr>
        <w:spacing w:before="4" w:after="0" w:line="240" w:lineRule="auto"/>
        <w:ind w:right="83"/>
        <w:rPr>
          <w:rFonts w:ascii="Arial" w:eastAsia="Arial MT" w:hAnsi="Arial" w:cs="Arial"/>
          <w:b/>
          <w:bCs/>
          <w:color w:val="000000"/>
          <w:lang w:val="pt-PT"/>
        </w:rPr>
      </w:pPr>
      <w:bookmarkStart w:id="0" w:name="_GoBack"/>
      <w:bookmarkEnd w:id="0"/>
      <w:r w:rsidRPr="006B1178">
        <w:rPr>
          <w:rFonts w:ascii="Arial" w:eastAsia="Arial MT" w:hAnsi="Arial" w:cs="Arial"/>
          <w:b/>
          <w:bCs/>
          <w:lang w:val="pt-PT"/>
        </w:rPr>
        <w:t>DECLARAÇÃO COMPLEMENTARES DE APRESENTAÇÃO OBRIGATÓRIA</w:t>
      </w:r>
      <w:r w:rsidRPr="006B1178">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5FE66F2A" w:rsidR="00F46FEE" w:rsidRPr="007C6929" w:rsidRDefault="0074676F" w:rsidP="00834F5B">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834F5B">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3A4F8368" w14:textId="53BD453F" w:rsidR="00C74991" w:rsidRPr="007C6929" w:rsidRDefault="0E82872C" w:rsidP="00834F5B">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lastRenderedPageBreak/>
        <w:t xml:space="preserve"> Dados da Empresa / Licitante vencedora;</w:t>
      </w:r>
      <w:r w:rsidR="00E27BD3" w:rsidRPr="007C6929">
        <w:rPr>
          <w:rFonts w:ascii="Arial" w:eastAsia="Arial" w:hAnsi="Arial" w:cs="Arial"/>
          <w:b/>
          <w:bCs/>
          <w:color w:val="000000" w:themeColor="text1"/>
        </w:rPr>
        <w:t xml:space="preserve"> Os dados abaixo poderão estar inclusos na proposta final, substituindo esta declaração.</w:t>
      </w:r>
    </w:p>
    <w:p w14:paraId="686E0F59" w14:textId="71E212F2" w:rsidR="00C74991" w:rsidRPr="007C6929" w:rsidRDefault="0E82872C" w:rsidP="00834F5B">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Nome da empresa;</w:t>
      </w:r>
    </w:p>
    <w:p w14:paraId="467275B0" w14:textId="699071E6" w:rsidR="00C74991" w:rsidRPr="007C6929" w:rsidRDefault="0E82872C" w:rsidP="00834F5B">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3446F8AE" w14:textId="4901F7F6" w:rsidR="00C74991" w:rsidRPr="007C6929" w:rsidRDefault="0E82872C" w:rsidP="00834F5B">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5023141B" w14:textId="39F17AEA" w:rsidR="00C74991" w:rsidRPr="007C6929" w:rsidRDefault="0E82872C" w:rsidP="00834F5B">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Dados bancários;</w:t>
      </w:r>
    </w:p>
    <w:p w14:paraId="1F3B1409" w14:textId="77777777" w:rsidR="00C122F7" w:rsidRPr="007C6929" w:rsidRDefault="00C122F7" w:rsidP="00867D23">
      <w:pPr>
        <w:spacing w:before="96" w:after="0" w:line="240" w:lineRule="auto"/>
        <w:jc w:val="both"/>
        <w:rPr>
          <w:rFonts w:ascii="Arial" w:eastAsia="Arial MT" w:hAnsi="Arial" w:cs="Arial"/>
          <w:bCs/>
          <w:color w:val="000000"/>
          <w:lang w:val="pt-PT"/>
        </w:rPr>
      </w:pPr>
    </w:p>
    <w:p w14:paraId="0A722019" w14:textId="3B34C39B" w:rsidR="00BF7420" w:rsidRPr="007C6929" w:rsidRDefault="00BF7420" w:rsidP="00834F5B">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834F5B">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68CC29BF" w14:textId="77777777" w:rsidR="005A4BC5" w:rsidRDefault="005A4BC5" w:rsidP="005A4BC5">
      <w:pPr>
        <w:spacing w:after="0" w:line="240" w:lineRule="auto"/>
        <w:rPr>
          <w:rFonts w:ascii="Arial" w:hAnsi="Arial" w:cs="Arial"/>
          <w:lang w:val="pt-PT"/>
        </w:rPr>
      </w:pPr>
    </w:p>
    <w:p w14:paraId="7085A396" w14:textId="430B4BED" w:rsidR="005A4BC5" w:rsidRPr="005A4BC5" w:rsidRDefault="005A4BC5" w:rsidP="00834F5B">
      <w:pPr>
        <w:pStyle w:val="PargrafodaLista"/>
        <w:numPr>
          <w:ilvl w:val="0"/>
          <w:numId w:val="16"/>
        </w:numPr>
        <w:autoSpaceDE w:val="0"/>
        <w:autoSpaceDN w:val="0"/>
        <w:adjustRightInd w:val="0"/>
        <w:spacing w:after="120" w:line="240" w:lineRule="auto"/>
        <w:ind w:left="357" w:hanging="357"/>
        <w:contextualSpacing w:val="0"/>
        <w:jc w:val="both"/>
        <w:rPr>
          <w:rFonts w:ascii="Arial" w:hAnsi="Arial" w:cs="Arial"/>
          <w:color w:val="000000"/>
          <w:szCs w:val="20"/>
        </w:rPr>
      </w:pPr>
      <w:r w:rsidRPr="005A4BC5">
        <w:rPr>
          <w:rFonts w:ascii="Arial" w:hAnsi="Arial" w:cs="Arial"/>
          <w:color w:val="000000"/>
          <w:szCs w:val="20"/>
        </w:rPr>
        <w:t>O objet</w:t>
      </w:r>
      <w:r>
        <w:rPr>
          <w:rFonts w:ascii="Arial" w:hAnsi="Arial" w:cs="Arial"/>
          <w:color w:val="000000"/>
          <w:szCs w:val="20"/>
        </w:rPr>
        <w:t>o deverá ser fornecido em até 10</w:t>
      </w:r>
      <w:r w:rsidRPr="005A4BC5">
        <w:rPr>
          <w:rFonts w:ascii="Arial" w:hAnsi="Arial" w:cs="Arial"/>
          <w:color w:val="000000"/>
          <w:szCs w:val="20"/>
        </w:rPr>
        <w:t xml:space="preserve"> (</w:t>
      </w:r>
      <w:r>
        <w:rPr>
          <w:rFonts w:ascii="Arial" w:hAnsi="Arial" w:cs="Arial"/>
          <w:color w:val="000000"/>
          <w:szCs w:val="20"/>
        </w:rPr>
        <w:t>dez</w:t>
      </w:r>
      <w:r w:rsidRPr="005A4BC5">
        <w:rPr>
          <w:rFonts w:ascii="Arial" w:hAnsi="Arial" w:cs="Arial"/>
          <w:color w:val="000000"/>
          <w:szCs w:val="20"/>
        </w:rPr>
        <w:t xml:space="preserve">) úteis a partir da solicitação, no endereço expresso na Ordem de Fornecimento (O.F). </w:t>
      </w:r>
    </w:p>
    <w:p w14:paraId="51E19B11" w14:textId="77777777" w:rsidR="005A4BC5" w:rsidRPr="005A4BC5" w:rsidRDefault="005A4BC5" w:rsidP="00834F5B">
      <w:pPr>
        <w:pStyle w:val="PargrafodaLista"/>
        <w:numPr>
          <w:ilvl w:val="0"/>
          <w:numId w:val="16"/>
        </w:numPr>
        <w:autoSpaceDE w:val="0"/>
        <w:autoSpaceDN w:val="0"/>
        <w:adjustRightInd w:val="0"/>
        <w:spacing w:after="120" w:line="240" w:lineRule="auto"/>
        <w:ind w:left="357" w:hanging="357"/>
        <w:contextualSpacing w:val="0"/>
        <w:jc w:val="both"/>
        <w:rPr>
          <w:rFonts w:ascii="Arial" w:hAnsi="Arial" w:cs="Arial"/>
          <w:color w:val="000000"/>
          <w:szCs w:val="20"/>
        </w:rPr>
      </w:pPr>
      <w:r w:rsidRPr="005A4BC5">
        <w:rPr>
          <w:rFonts w:ascii="Arial" w:hAnsi="Arial" w:cs="Arial"/>
          <w:szCs w:val="20"/>
        </w:rPr>
        <w:t>Os materiais serão acompanhados e fiscalizados pela Secretaria Municipal de Obras na condição de representante do Município de Iapu.</w:t>
      </w:r>
    </w:p>
    <w:p w14:paraId="5706B277" w14:textId="4B35D570" w:rsidR="005A4BC5" w:rsidRPr="005A4BC5" w:rsidRDefault="005A4BC5" w:rsidP="00834F5B">
      <w:pPr>
        <w:pStyle w:val="PargrafodaLista"/>
        <w:numPr>
          <w:ilvl w:val="0"/>
          <w:numId w:val="16"/>
        </w:numPr>
        <w:autoSpaceDE w:val="0"/>
        <w:autoSpaceDN w:val="0"/>
        <w:adjustRightInd w:val="0"/>
        <w:spacing w:after="120" w:line="240" w:lineRule="auto"/>
        <w:ind w:left="357" w:hanging="357"/>
        <w:contextualSpacing w:val="0"/>
        <w:jc w:val="both"/>
        <w:rPr>
          <w:rFonts w:ascii="Arial" w:hAnsi="Arial" w:cs="Arial"/>
          <w:szCs w:val="20"/>
          <w:lang w:val="pt-PT"/>
        </w:rPr>
      </w:pPr>
      <w:r w:rsidRPr="005A4BC5">
        <w:rPr>
          <w:rFonts w:ascii="Arial" w:hAnsi="Arial" w:cs="Arial"/>
          <w:color w:val="000000"/>
          <w:szCs w:val="20"/>
        </w:rPr>
        <w:t xml:space="preserve">Verificada a desconformidade de material, a licitante vencedora deverá promover substituição necessária no prazo máximo de </w:t>
      </w:r>
      <w:r w:rsidR="00B31B0D">
        <w:rPr>
          <w:rFonts w:ascii="Arial" w:hAnsi="Arial" w:cs="Arial"/>
          <w:b/>
          <w:bCs/>
          <w:color w:val="000000"/>
          <w:szCs w:val="20"/>
        </w:rPr>
        <w:t>5</w:t>
      </w:r>
      <w:r w:rsidRPr="005A4BC5">
        <w:rPr>
          <w:rFonts w:ascii="Arial" w:hAnsi="Arial" w:cs="Arial"/>
          <w:b/>
          <w:bCs/>
          <w:color w:val="000000"/>
          <w:szCs w:val="20"/>
        </w:rPr>
        <w:t xml:space="preserve"> (</w:t>
      </w:r>
      <w:r w:rsidR="00B31B0D">
        <w:rPr>
          <w:rFonts w:ascii="Arial" w:hAnsi="Arial" w:cs="Arial"/>
          <w:b/>
          <w:bCs/>
          <w:color w:val="000000"/>
          <w:szCs w:val="20"/>
        </w:rPr>
        <w:t>cinco</w:t>
      </w:r>
      <w:r w:rsidRPr="005A4BC5">
        <w:rPr>
          <w:rFonts w:ascii="Arial" w:hAnsi="Arial" w:cs="Arial"/>
          <w:b/>
          <w:bCs/>
          <w:color w:val="000000"/>
          <w:szCs w:val="20"/>
        </w:rPr>
        <w:t xml:space="preserve">) </w:t>
      </w:r>
      <w:r w:rsidR="00B31B0D">
        <w:rPr>
          <w:rFonts w:ascii="Arial" w:hAnsi="Arial" w:cs="Arial"/>
          <w:b/>
          <w:bCs/>
          <w:color w:val="000000"/>
          <w:szCs w:val="20"/>
        </w:rPr>
        <w:t>dias</w:t>
      </w:r>
      <w:r w:rsidRPr="005A4BC5">
        <w:rPr>
          <w:rFonts w:ascii="Arial" w:hAnsi="Arial" w:cs="Arial"/>
          <w:color w:val="000000"/>
          <w:szCs w:val="20"/>
        </w:rPr>
        <w:t>, sujeitando-se às penalidades previstas neste edital.</w:t>
      </w:r>
    </w:p>
    <w:p w14:paraId="36F97086" w14:textId="77777777" w:rsidR="005A4BC5" w:rsidRPr="005A4BC5" w:rsidRDefault="005A4BC5" w:rsidP="00834F5B">
      <w:pPr>
        <w:pStyle w:val="PargrafodaLista"/>
        <w:numPr>
          <w:ilvl w:val="0"/>
          <w:numId w:val="16"/>
        </w:numPr>
        <w:autoSpaceDE w:val="0"/>
        <w:autoSpaceDN w:val="0"/>
        <w:adjustRightInd w:val="0"/>
        <w:spacing w:after="120" w:line="240" w:lineRule="auto"/>
        <w:ind w:left="357" w:hanging="357"/>
        <w:contextualSpacing w:val="0"/>
        <w:jc w:val="both"/>
        <w:rPr>
          <w:rFonts w:ascii="Arial" w:hAnsi="Arial" w:cs="Arial"/>
          <w:color w:val="000000"/>
          <w:szCs w:val="20"/>
        </w:rPr>
      </w:pPr>
      <w:r w:rsidRPr="005A4BC5">
        <w:rPr>
          <w:rFonts w:ascii="Arial" w:hAnsi="Arial" w:cs="Arial"/>
          <w:color w:val="000000"/>
          <w:szCs w:val="20"/>
        </w:rPr>
        <w:t xml:space="preserve">A Contratada deverá estar apta a fornecer os materiais imediatamente após a assinatura da Ata de Registro de Preços. </w:t>
      </w:r>
    </w:p>
    <w:p w14:paraId="1A5E90BC" w14:textId="796246F1" w:rsidR="005A4BC5" w:rsidRPr="005A4BC5" w:rsidRDefault="005A4BC5" w:rsidP="00834F5B">
      <w:pPr>
        <w:pStyle w:val="PargrafodaLista"/>
        <w:numPr>
          <w:ilvl w:val="0"/>
          <w:numId w:val="16"/>
        </w:numPr>
        <w:autoSpaceDE w:val="0"/>
        <w:autoSpaceDN w:val="0"/>
        <w:adjustRightInd w:val="0"/>
        <w:spacing w:after="120" w:line="240" w:lineRule="auto"/>
        <w:ind w:left="357" w:hanging="357"/>
        <w:contextualSpacing w:val="0"/>
        <w:jc w:val="both"/>
        <w:rPr>
          <w:rFonts w:ascii="Arial" w:hAnsi="Arial" w:cs="Arial"/>
          <w:color w:val="000000"/>
          <w:szCs w:val="20"/>
        </w:rPr>
      </w:pPr>
      <w:r w:rsidRPr="005A4BC5">
        <w:rPr>
          <w:rFonts w:ascii="Arial" w:hAnsi="Arial" w:cs="Arial"/>
          <w:color w:val="000000"/>
          <w:szCs w:val="20"/>
        </w:rPr>
        <w:t xml:space="preserve">A Ordem de entrega será imediata e o prazo da entrega inicia-se após a emissão da Ordem de Entrega que será expedida após a assinatura do contrato. O prazo máximo de entrega do objeto é de </w:t>
      </w:r>
      <w:r w:rsidR="00B31B0D">
        <w:rPr>
          <w:rFonts w:ascii="Arial" w:hAnsi="Arial" w:cs="Arial"/>
          <w:color w:val="000000"/>
          <w:szCs w:val="20"/>
        </w:rPr>
        <w:t>10</w:t>
      </w:r>
      <w:r w:rsidRPr="005A4BC5">
        <w:rPr>
          <w:rFonts w:ascii="Arial" w:hAnsi="Arial" w:cs="Arial"/>
          <w:color w:val="000000"/>
          <w:szCs w:val="20"/>
        </w:rPr>
        <w:t xml:space="preserve"> (d</w:t>
      </w:r>
      <w:r w:rsidR="00B31B0D">
        <w:rPr>
          <w:rFonts w:ascii="Arial" w:hAnsi="Arial" w:cs="Arial"/>
          <w:color w:val="000000"/>
          <w:szCs w:val="20"/>
        </w:rPr>
        <w:t>ez</w:t>
      </w:r>
      <w:r w:rsidRPr="005A4BC5">
        <w:rPr>
          <w:rFonts w:ascii="Arial" w:hAnsi="Arial" w:cs="Arial"/>
          <w:color w:val="000000"/>
          <w:szCs w:val="20"/>
        </w:rPr>
        <w:t xml:space="preserve">) dias contados da confirmação do recebimento da Ordem de Entrega. </w:t>
      </w:r>
    </w:p>
    <w:p w14:paraId="38E33DC9" w14:textId="77777777" w:rsidR="005A4BC5" w:rsidRPr="005A4BC5" w:rsidRDefault="005A4BC5" w:rsidP="00834F5B">
      <w:pPr>
        <w:pStyle w:val="PargrafodaLista"/>
        <w:numPr>
          <w:ilvl w:val="0"/>
          <w:numId w:val="16"/>
        </w:numPr>
        <w:autoSpaceDE w:val="0"/>
        <w:autoSpaceDN w:val="0"/>
        <w:adjustRightInd w:val="0"/>
        <w:spacing w:after="120" w:line="240" w:lineRule="auto"/>
        <w:ind w:left="357" w:hanging="357"/>
        <w:contextualSpacing w:val="0"/>
        <w:jc w:val="both"/>
        <w:rPr>
          <w:rFonts w:ascii="Arial" w:hAnsi="Arial" w:cs="Arial"/>
          <w:color w:val="000000"/>
          <w:szCs w:val="20"/>
        </w:rPr>
      </w:pPr>
      <w:r w:rsidRPr="005A4BC5">
        <w:rPr>
          <w:rFonts w:ascii="Arial" w:hAnsi="Arial" w:cs="Arial"/>
          <w:color w:val="000000"/>
          <w:szCs w:val="20"/>
        </w:rPr>
        <w:t xml:space="preserve">A Ordem de Entrega será enviada ao fornecedor por meio de fax e/ou e-mail, a qual deverá ser devolvida a Prefeitura Municipal de Iapu, pelo recebedor, por meio do e-mail: licitaiapu@gmail.com no prazo de 01 (um) dia útil, para fins de comprovação do recebimento. </w:t>
      </w:r>
    </w:p>
    <w:p w14:paraId="00C6186C" w14:textId="77777777" w:rsidR="005A4BC5" w:rsidRPr="005A4BC5" w:rsidRDefault="005A4BC5" w:rsidP="00834F5B">
      <w:pPr>
        <w:pStyle w:val="PargrafodaLista"/>
        <w:numPr>
          <w:ilvl w:val="0"/>
          <w:numId w:val="16"/>
        </w:numPr>
        <w:autoSpaceDE w:val="0"/>
        <w:autoSpaceDN w:val="0"/>
        <w:adjustRightInd w:val="0"/>
        <w:spacing w:after="120" w:line="240" w:lineRule="auto"/>
        <w:ind w:left="357" w:hanging="357"/>
        <w:contextualSpacing w:val="0"/>
        <w:jc w:val="both"/>
        <w:rPr>
          <w:rFonts w:ascii="Arial" w:hAnsi="Arial" w:cs="Arial"/>
          <w:color w:val="000000"/>
          <w:szCs w:val="20"/>
        </w:rPr>
      </w:pPr>
      <w:r w:rsidRPr="005A4BC5">
        <w:rPr>
          <w:rFonts w:ascii="Arial" w:hAnsi="Arial" w:cs="Arial"/>
          <w:color w:val="000000"/>
          <w:szCs w:val="20"/>
        </w:rPr>
        <w:t xml:space="preserve">As avarias que por ventura venham a ocorrer por parte de colaboradores da CONTRATADA nos materiais durante a entrega serão registrados sendo de sua inteira responsabilidade e o valor apurado pelo dano causado será descontado no pagamento da fatura da CONTRATADA; </w:t>
      </w:r>
    </w:p>
    <w:p w14:paraId="4AA396E3" w14:textId="77777777" w:rsidR="005A4BC5" w:rsidRPr="00B31B0D" w:rsidRDefault="005A4BC5" w:rsidP="00834F5B">
      <w:pPr>
        <w:pStyle w:val="PargrafodaLista"/>
        <w:numPr>
          <w:ilvl w:val="0"/>
          <w:numId w:val="16"/>
        </w:numPr>
        <w:autoSpaceDE w:val="0"/>
        <w:autoSpaceDN w:val="0"/>
        <w:adjustRightInd w:val="0"/>
        <w:spacing w:after="0" w:line="240" w:lineRule="auto"/>
        <w:jc w:val="both"/>
        <w:rPr>
          <w:rFonts w:ascii="Arial" w:hAnsi="Arial" w:cs="Arial"/>
          <w:szCs w:val="20"/>
          <w:lang w:val="pt-PT"/>
        </w:rPr>
      </w:pPr>
      <w:r w:rsidRPr="005A4BC5">
        <w:rPr>
          <w:rFonts w:ascii="Arial" w:hAnsi="Arial" w:cs="Arial"/>
          <w:color w:val="000000"/>
          <w:szCs w:val="20"/>
        </w:rPr>
        <w:t>O recebimento do instrumento de compra fica condicionada a atualização, pelo fornecedor, de sua regularidade fiscal. Se as certidões apresentadas para habilitação ainda estiverem válidas o fornecedor estará dispensado de atualizá-las.</w:t>
      </w:r>
    </w:p>
    <w:p w14:paraId="4A48956B" w14:textId="77777777" w:rsidR="00B31B0D" w:rsidRPr="005A4BC5" w:rsidRDefault="00B31B0D" w:rsidP="00B31B0D">
      <w:pPr>
        <w:pStyle w:val="PargrafodaLista"/>
        <w:autoSpaceDE w:val="0"/>
        <w:autoSpaceDN w:val="0"/>
        <w:adjustRightInd w:val="0"/>
        <w:spacing w:after="0" w:line="240" w:lineRule="auto"/>
        <w:ind w:left="360"/>
        <w:jc w:val="both"/>
        <w:rPr>
          <w:rFonts w:ascii="Arial" w:hAnsi="Arial" w:cs="Arial"/>
          <w:szCs w:val="20"/>
          <w:lang w:val="pt-PT"/>
        </w:rPr>
      </w:pPr>
    </w:p>
    <w:p w14:paraId="30D29DCE" w14:textId="77777777" w:rsidR="00DA20D4" w:rsidRPr="007C6929" w:rsidRDefault="00DA20D4" w:rsidP="00834F5B">
      <w:pPr>
        <w:pStyle w:val="PargrafodaLista"/>
        <w:numPr>
          <w:ilvl w:val="1"/>
          <w:numId w:val="7"/>
        </w:numPr>
        <w:spacing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7777777" w:rsidR="00B542F3" w:rsidRPr="007C6929" w:rsidRDefault="00B542F3" w:rsidP="00B31B0D">
      <w:pPr>
        <w:pStyle w:val="PargrafodaLista"/>
        <w:spacing w:after="0" w:line="240" w:lineRule="auto"/>
        <w:contextualSpacing w:val="0"/>
        <w:jc w:val="both"/>
        <w:rPr>
          <w:rFonts w:ascii="Arial" w:hAnsi="Arial" w:cs="Arial"/>
          <w:b/>
          <w:color w:val="000000" w:themeColor="text1"/>
        </w:rPr>
      </w:pPr>
    </w:p>
    <w:p w14:paraId="54E11D2A" w14:textId="0DF9E13F" w:rsidR="004A7744" w:rsidRPr="007C6929" w:rsidRDefault="00B542F3" w:rsidP="00834F5B">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5832F1A0" w:rsidR="00B542F3" w:rsidRPr="007C6929" w:rsidRDefault="00B542F3" w:rsidP="00834F5B">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356C79EB" w:rsidR="00FD59B8" w:rsidRPr="007C6929" w:rsidRDefault="00B542F3" w:rsidP="00834F5B">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834F5B">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 xml:space="preserve">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w:t>
      </w:r>
      <w:r w:rsidRPr="007C6929">
        <w:rPr>
          <w:rFonts w:ascii="Arial" w:eastAsia="Arial MT" w:hAnsi="Arial" w:cs="Arial"/>
          <w:bCs/>
          <w:sz w:val="22"/>
          <w:szCs w:val="22"/>
          <w:lang w:val="pt-PT"/>
        </w:rPr>
        <w:lastRenderedPageBreak/>
        <w:t>comprovação da regularização da situação, não acarretando qualquer ônus para o contratante.</w:t>
      </w:r>
    </w:p>
    <w:p w14:paraId="49E398E2" w14:textId="452D2E99" w:rsidR="00FD59B8" w:rsidRPr="007C6929" w:rsidRDefault="00B542F3" w:rsidP="00834F5B">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834F5B">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834F5B">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834F5B">
      <w:pPr>
        <w:pStyle w:val="Default"/>
        <w:numPr>
          <w:ilvl w:val="2"/>
          <w:numId w:val="7"/>
        </w:numPr>
        <w:spacing w:before="4"/>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834F5B">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lastRenderedPageBreak/>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834F5B">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834F5B">
      <w:pPr>
        <w:numPr>
          <w:ilvl w:val="0"/>
          <w:numId w:val="8"/>
        </w:numPr>
        <w:spacing w:after="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834F5B">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834F5B">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834F5B">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834F5B">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834F5B">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834F5B">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834F5B">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834F5B">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834F5B">
      <w:pPr>
        <w:pStyle w:val="TableParagraph"/>
        <w:numPr>
          <w:ilvl w:val="1"/>
          <w:numId w:val="10"/>
        </w:numPr>
        <w:ind w:right="228"/>
        <w:jc w:val="left"/>
        <w:rPr>
          <w:b/>
          <w:sz w:val="22"/>
          <w:szCs w:val="22"/>
        </w:rPr>
      </w:pPr>
      <w:r>
        <w:rPr>
          <w:b/>
          <w:sz w:val="22"/>
          <w:szCs w:val="22"/>
        </w:rPr>
        <w:t>INSTRUMENTO CONTRATUAL</w:t>
      </w:r>
    </w:p>
    <w:p w14:paraId="072C02DE" w14:textId="00FFD1D0" w:rsidR="007C6929" w:rsidRPr="00B31B0D" w:rsidRDefault="00B31B0D" w:rsidP="00834F5B">
      <w:pPr>
        <w:pStyle w:val="TableParagraph"/>
        <w:numPr>
          <w:ilvl w:val="0"/>
          <w:numId w:val="14"/>
        </w:numPr>
        <w:ind w:right="228"/>
        <w:jc w:val="both"/>
        <w:rPr>
          <w:sz w:val="22"/>
          <w:szCs w:val="22"/>
        </w:rPr>
      </w:pPr>
      <w:r>
        <w:rPr>
          <w:sz w:val="22"/>
          <w:szCs w:val="22"/>
        </w:rPr>
        <w:t>Ata de Registro de Preços</w:t>
      </w:r>
      <w:r w:rsidR="007C6929" w:rsidRPr="00B31B0D">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834F5B">
      <w:pPr>
        <w:pStyle w:val="TableParagraph"/>
        <w:numPr>
          <w:ilvl w:val="1"/>
          <w:numId w:val="10"/>
        </w:numPr>
        <w:ind w:right="228"/>
        <w:jc w:val="left"/>
        <w:rPr>
          <w:b/>
          <w:sz w:val="22"/>
          <w:szCs w:val="22"/>
        </w:rPr>
      </w:pPr>
      <w:r>
        <w:rPr>
          <w:b/>
          <w:sz w:val="22"/>
          <w:szCs w:val="22"/>
        </w:rPr>
        <w:t>VIGÊNCIA</w:t>
      </w:r>
    </w:p>
    <w:p w14:paraId="4A3B684F" w14:textId="099974D1" w:rsidR="007C6929" w:rsidRPr="007C6929" w:rsidRDefault="007C6929" w:rsidP="00834F5B">
      <w:pPr>
        <w:pStyle w:val="TableParagraph"/>
        <w:numPr>
          <w:ilvl w:val="0"/>
          <w:numId w:val="15"/>
        </w:numPr>
        <w:ind w:right="228"/>
        <w:jc w:val="both"/>
        <w:rPr>
          <w:sz w:val="22"/>
          <w:szCs w:val="22"/>
        </w:rPr>
      </w:pPr>
      <w:r>
        <w:rPr>
          <w:sz w:val="22"/>
          <w:szCs w:val="22"/>
        </w:rPr>
        <w:t xml:space="preserve">O prazo de vigência da contratação é de 12 (doze) meses contados do (a) da data de sua assinatura, </w:t>
      </w:r>
      <w:r w:rsidR="00B31B0D">
        <w:rPr>
          <w:sz w:val="22"/>
          <w:szCs w:val="22"/>
        </w:rPr>
        <w:t xml:space="preserve">podendo ser prorrogado </w:t>
      </w:r>
      <w:r>
        <w:rPr>
          <w:sz w:val="22"/>
          <w:szCs w:val="22"/>
        </w:rPr>
        <w:t>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B31B0D" w:rsidRDefault="00BA4F6A" w:rsidP="00834F5B">
      <w:pPr>
        <w:pStyle w:val="TableParagraph"/>
        <w:numPr>
          <w:ilvl w:val="1"/>
          <w:numId w:val="10"/>
        </w:numPr>
        <w:ind w:right="228"/>
        <w:jc w:val="left"/>
        <w:rPr>
          <w:b/>
          <w:sz w:val="22"/>
          <w:szCs w:val="22"/>
        </w:rPr>
      </w:pPr>
      <w:r w:rsidRPr="00B31B0D">
        <w:rPr>
          <w:rFonts w:eastAsia="Arial MT"/>
          <w:b/>
          <w:sz w:val="22"/>
          <w:szCs w:val="22"/>
        </w:rPr>
        <w:t>GESTÃO E FISCALIZAÇÃO</w:t>
      </w:r>
    </w:p>
    <w:p w14:paraId="03EFCA41" w14:textId="77777777" w:rsidR="00BA4F6A" w:rsidRPr="00B31B0D"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B31B0D" w:rsidRDefault="00BA4F6A" w:rsidP="00867D23">
      <w:pPr>
        <w:spacing w:after="0" w:line="240" w:lineRule="auto"/>
        <w:ind w:left="196" w:right="228"/>
        <w:jc w:val="both"/>
        <w:rPr>
          <w:rFonts w:ascii="Arial" w:eastAsia="Times New Roman" w:hAnsi="Arial" w:cs="Arial"/>
          <w:b/>
          <w:lang w:eastAsia="pt-BR"/>
        </w:rPr>
      </w:pPr>
      <w:r w:rsidRPr="00B31B0D">
        <w:rPr>
          <w:rFonts w:ascii="Arial" w:eastAsia="Times New Roman" w:hAnsi="Arial" w:cs="Arial"/>
          <w:b/>
          <w:lang w:eastAsia="pt-BR"/>
        </w:rPr>
        <w:t>Gestor:</w:t>
      </w:r>
    </w:p>
    <w:p w14:paraId="5F96A722" w14:textId="77777777" w:rsidR="00BA4F6A" w:rsidRPr="00B31B0D"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B31B0D" w14:paraId="73776641" w14:textId="77777777" w:rsidTr="00DA220C">
        <w:tc>
          <w:tcPr>
            <w:tcW w:w="8405" w:type="dxa"/>
            <w:shd w:val="clear" w:color="auto" w:fill="auto"/>
          </w:tcPr>
          <w:p w14:paraId="0342D142" w14:textId="2579B6CF" w:rsidR="00BA4F6A" w:rsidRPr="00B31B0D" w:rsidRDefault="00BA4F6A" w:rsidP="00B31B0D">
            <w:pPr>
              <w:spacing w:after="0" w:line="240" w:lineRule="auto"/>
              <w:ind w:left="196" w:right="228"/>
              <w:jc w:val="both"/>
              <w:rPr>
                <w:rFonts w:ascii="Arial" w:eastAsia="Times New Roman" w:hAnsi="Arial" w:cs="Arial"/>
                <w:lang w:eastAsia="pt-BR"/>
              </w:rPr>
            </w:pPr>
            <w:r w:rsidRPr="00B31B0D">
              <w:rPr>
                <w:rFonts w:ascii="Arial" w:eastAsia="Times New Roman" w:hAnsi="Arial" w:cs="Arial"/>
                <w:lang w:eastAsia="pt-BR"/>
              </w:rPr>
              <w:t xml:space="preserve">Nome: </w:t>
            </w:r>
            <w:r w:rsidR="00B31B0D">
              <w:rPr>
                <w:rFonts w:ascii="Arial" w:eastAsia="Times New Roman" w:hAnsi="Arial" w:cs="Arial"/>
                <w:lang w:eastAsia="pt-BR"/>
              </w:rPr>
              <w:t>Alaor da Rosa Silva</w:t>
            </w:r>
          </w:p>
        </w:tc>
      </w:tr>
      <w:tr w:rsidR="00BA4F6A" w:rsidRPr="00B31B0D" w14:paraId="71870431" w14:textId="77777777" w:rsidTr="00DA220C">
        <w:tc>
          <w:tcPr>
            <w:tcW w:w="8405" w:type="dxa"/>
            <w:shd w:val="clear" w:color="auto" w:fill="auto"/>
          </w:tcPr>
          <w:p w14:paraId="6C05E3CE" w14:textId="7C112C4A" w:rsidR="00BA4F6A" w:rsidRPr="00B31B0D" w:rsidRDefault="00BA4F6A" w:rsidP="00B31B0D">
            <w:pPr>
              <w:spacing w:after="0" w:line="240" w:lineRule="auto"/>
              <w:ind w:left="196" w:right="228"/>
              <w:jc w:val="both"/>
              <w:rPr>
                <w:rFonts w:ascii="Arial" w:eastAsia="Times New Roman" w:hAnsi="Arial" w:cs="Arial"/>
                <w:lang w:eastAsia="pt-BR"/>
              </w:rPr>
            </w:pPr>
            <w:r w:rsidRPr="00B31B0D">
              <w:rPr>
                <w:rFonts w:ascii="Arial" w:eastAsia="Times New Roman" w:hAnsi="Arial" w:cs="Arial"/>
                <w:lang w:eastAsia="pt-BR"/>
              </w:rPr>
              <w:t xml:space="preserve">Cargo: </w:t>
            </w:r>
            <w:r w:rsidR="00B31B0D">
              <w:rPr>
                <w:rFonts w:ascii="Arial" w:eastAsia="Times New Roman" w:hAnsi="Arial" w:cs="Arial"/>
                <w:lang w:eastAsia="pt-BR"/>
              </w:rPr>
              <w:t>Secretário Municipal de Obras, Transporte e Serviços Urbanos</w:t>
            </w:r>
          </w:p>
        </w:tc>
      </w:tr>
    </w:tbl>
    <w:p w14:paraId="0C956466" w14:textId="77777777" w:rsidR="00867D23" w:rsidRPr="00B31B0D" w:rsidRDefault="00867D23" w:rsidP="00867D23">
      <w:pPr>
        <w:spacing w:after="0" w:line="240" w:lineRule="auto"/>
        <w:ind w:right="228"/>
        <w:jc w:val="both"/>
        <w:rPr>
          <w:rFonts w:ascii="Arial" w:eastAsia="Times New Roman" w:hAnsi="Arial" w:cs="Arial"/>
          <w:b/>
          <w:lang w:eastAsia="pt-BR"/>
        </w:rPr>
      </w:pPr>
    </w:p>
    <w:p w14:paraId="407D1A6E" w14:textId="77777777" w:rsidR="00BA4F6A" w:rsidRPr="00B31B0D" w:rsidRDefault="00BA4F6A" w:rsidP="00867D23">
      <w:pPr>
        <w:spacing w:after="0" w:line="240" w:lineRule="auto"/>
        <w:ind w:left="196" w:right="228"/>
        <w:jc w:val="both"/>
        <w:rPr>
          <w:rFonts w:ascii="Arial" w:eastAsia="Times New Roman" w:hAnsi="Arial" w:cs="Arial"/>
          <w:b/>
          <w:lang w:eastAsia="pt-BR"/>
        </w:rPr>
      </w:pPr>
      <w:r w:rsidRPr="00B31B0D">
        <w:rPr>
          <w:rFonts w:ascii="Arial" w:eastAsia="Times New Roman" w:hAnsi="Arial" w:cs="Arial"/>
          <w:b/>
          <w:lang w:eastAsia="pt-BR"/>
        </w:rPr>
        <w:t>Fiscal:</w:t>
      </w:r>
    </w:p>
    <w:p w14:paraId="13CB595B" w14:textId="77777777" w:rsidR="00BA4F6A" w:rsidRPr="00B31B0D"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B31B0D" w14:paraId="673CB7D3" w14:textId="77777777" w:rsidTr="00DA220C">
        <w:tc>
          <w:tcPr>
            <w:tcW w:w="8405" w:type="dxa"/>
            <w:shd w:val="clear" w:color="auto" w:fill="auto"/>
          </w:tcPr>
          <w:p w14:paraId="19011FDD" w14:textId="65D25A46" w:rsidR="00BA4F6A" w:rsidRPr="00B31B0D" w:rsidRDefault="00BA4F6A" w:rsidP="00867D23">
            <w:pPr>
              <w:spacing w:after="0" w:line="240" w:lineRule="auto"/>
              <w:ind w:left="196" w:right="228"/>
              <w:jc w:val="both"/>
              <w:rPr>
                <w:rFonts w:ascii="Arial" w:eastAsia="Times New Roman" w:hAnsi="Arial" w:cs="Arial"/>
                <w:bCs/>
                <w:lang w:eastAsia="pt-BR"/>
              </w:rPr>
            </w:pPr>
            <w:r w:rsidRPr="00B31B0D">
              <w:rPr>
                <w:rFonts w:ascii="Arial" w:eastAsia="Times New Roman" w:hAnsi="Arial" w:cs="Arial"/>
                <w:bCs/>
                <w:lang w:eastAsia="pt-BR"/>
              </w:rPr>
              <w:t xml:space="preserve">Nome: </w:t>
            </w:r>
            <w:proofErr w:type="spellStart"/>
            <w:r w:rsidR="009E20B9" w:rsidRPr="00B31B0D">
              <w:rPr>
                <w:rFonts w:ascii="Arial" w:eastAsia="Times New Roman" w:hAnsi="Arial" w:cs="Arial"/>
                <w:lang w:eastAsia="pt-BR"/>
              </w:rPr>
              <w:t>Eudimar</w:t>
            </w:r>
            <w:proofErr w:type="spellEnd"/>
            <w:r w:rsidR="009E20B9" w:rsidRPr="00B31B0D">
              <w:rPr>
                <w:rFonts w:ascii="Arial" w:eastAsia="Times New Roman" w:hAnsi="Arial" w:cs="Arial"/>
                <w:lang w:eastAsia="pt-BR"/>
              </w:rPr>
              <w:t xml:space="preserve"> da Costa Junior</w:t>
            </w:r>
          </w:p>
        </w:tc>
      </w:tr>
      <w:tr w:rsidR="00BA4F6A" w:rsidRPr="007C6929" w14:paraId="5D0DB9DF" w14:textId="77777777" w:rsidTr="00DA220C">
        <w:tc>
          <w:tcPr>
            <w:tcW w:w="8405" w:type="dxa"/>
            <w:shd w:val="clear" w:color="auto" w:fill="auto"/>
          </w:tcPr>
          <w:p w14:paraId="388CECEB" w14:textId="0CDABCAF" w:rsidR="00BA4F6A" w:rsidRPr="007C6929" w:rsidRDefault="00BA4F6A" w:rsidP="00B31B0D">
            <w:pPr>
              <w:spacing w:after="0" w:line="240" w:lineRule="auto"/>
              <w:ind w:left="196" w:right="228"/>
              <w:jc w:val="both"/>
              <w:rPr>
                <w:rFonts w:ascii="Arial" w:eastAsia="Times New Roman" w:hAnsi="Arial" w:cs="Arial"/>
                <w:bCs/>
                <w:lang w:eastAsia="pt-BR"/>
              </w:rPr>
            </w:pPr>
            <w:r w:rsidRPr="00B31B0D">
              <w:rPr>
                <w:rFonts w:ascii="Arial" w:eastAsia="Times New Roman" w:hAnsi="Arial" w:cs="Arial"/>
                <w:bCs/>
                <w:lang w:eastAsia="pt-BR"/>
              </w:rPr>
              <w:lastRenderedPageBreak/>
              <w:t xml:space="preserve">Cargo: </w:t>
            </w:r>
            <w:r w:rsidR="009E20B9" w:rsidRPr="00B31B0D">
              <w:rPr>
                <w:rFonts w:ascii="Arial" w:eastAsia="Times New Roman" w:hAnsi="Arial" w:cs="Arial"/>
                <w:lang w:eastAsia="pt-BR"/>
              </w:rPr>
              <w:t>Secretário</w:t>
            </w:r>
            <w:r w:rsidR="00B31B0D">
              <w:rPr>
                <w:rFonts w:ascii="Arial" w:eastAsia="Times New Roman" w:hAnsi="Arial" w:cs="Arial"/>
                <w:lang w:eastAsia="pt-BR"/>
              </w:rPr>
              <w:t xml:space="preserve"> Municipal </w:t>
            </w:r>
            <w:r w:rsidR="009E20B9" w:rsidRPr="00B31B0D">
              <w:rPr>
                <w:rFonts w:ascii="Arial" w:eastAsia="Times New Roman" w:hAnsi="Arial" w:cs="Arial"/>
                <w:lang w:eastAsia="pt-BR"/>
              </w:rPr>
              <w:t>de Administração e</w:t>
            </w:r>
            <w:r w:rsidR="00B31B0D">
              <w:rPr>
                <w:rFonts w:ascii="Arial" w:eastAsia="Times New Roman" w:hAnsi="Arial" w:cs="Arial"/>
                <w:lang w:eastAsia="pt-BR"/>
              </w:rPr>
              <w:t xml:space="preserve"> Planejamento</w:t>
            </w:r>
          </w:p>
        </w:tc>
      </w:tr>
    </w:tbl>
    <w:p w14:paraId="3A785DEE" w14:textId="77777777" w:rsidR="001237A2" w:rsidRDefault="001237A2" w:rsidP="00867D23">
      <w:pPr>
        <w:spacing w:before="4" w:after="0" w:line="240" w:lineRule="auto"/>
        <w:ind w:right="83"/>
        <w:rPr>
          <w:rFonts w:ascii="Arial" w:hAnsi="Arial" w:cs="Arial"/>
        </w:rPr>
      </w:pPr>
    </w:p>
    <w:p w14:paraId="3DE79E0D" w14:textId="77777777" w:rsidR="00867D23" w:rsidRPr="007C6929" w:rsidRDefault="00867D23" w:rsidP="00867D23">
      <w:pPr>
        <w:spacing w:before="4" w:after="0" w:line="240" w:lineRule="auto"/>
        <w:ind w:right="83"/>
        <w:rPr>
          <w:rFonts w:ascii="Arial" w:hAnsi="Arial" w:cs="Arial"/>
        </w:rPr>
      </w:pPr>
    </w:p>
    <w:p w14:paraId="3D7D9EA1" w14:textId="77777777" w:rsidR="00BA4F6A" w:rsidRPr="007C6929" w:rsidRDefault="00BA4F6A" w:rsidP="00834F5B">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834F5B">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834F5B">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1EB92D72" w:rsidR="001237A2" w:rsidRDefault="00B31B0D" w:rsidP="00867D23">
      <w:pPr>
        <w:spacing w:after="0" w:line="240" w:lineRule="auto"/>
        <w:jc w:val="both"/>
        <w:rPr>
          <w:rFonts w:ascii="Arial" w:hAnsi="Arial" w:cs="Arial"/>
        </w:rPr>
      </w:pPr>
      <w:r w:rsidRPr="00B31B0D">
        <w:rPr>
          <w:rFonts w:ascii="Arial" w:hAnsi="Arial" w:cs="Arial"/>
        </w:rPr>
        <w:t xml:space="preserve">Próprio, </w:t>
      </w:r>
      <w:r w:rsidR="00541F96" w:rsidRPr="00B31B0D">
        <w:rPr>
          <w:rFonts w:ascii="Arial" w:hAnsi="Arial" w:cs="Arial"/>
        </w:rPr>
        <w:t>Estadual</w:t>
      </w:r>
      <w:r w:rsidRPr="00B31B0D">
        <w:rPr>
          <w:rFonts w:ascii="Arial" w:hAnsi="Arial" w:cs="Arial"/>
        </w:rPr>
        <w:t xml:space="preserve"> e Federal.</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834F5B">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834F5B">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401CF634" w:rsidR="001237A2" w:rsidRDefault="00BA4F6A" w:rsidP="00867D23">
      <w:pPr>
        <w:spacing w:after="0" w:line="240" w:lineRule="auto"/>
        <w:jc w:val="both"/>
        <w:rPr>
          <w:rFonts w:ascii="Arial" w:hAnsi="Arial" w:cs="Arial"/>
          <w:shd w:val="clear" w:color="auto" w:fill="F8F9FA"/>
        </w:rPr>
      </w:pPr>
      <w:r w:rsidRPr="00B31B0D">
        <w:rPr>
          <w:rFonts w:ascii="Arial" w:hAnsi="Arial" w:cs="Arial"/>
        </w:rPr>
        <w:t>O valor máximo estimado será de</w:t>
      </w:r>
      <w:r w:rsidR="00CB6172" w:rsidRPr="00B31B0D">
        <w:rPr>
          <w:rFonts w:ascii="Arial" w:hAnsi="Arial" w:cs="Arial"/>
        </w:rPr>
        <w:t xml:space="preserve"> </w:t>
      </w:r>
      <w:r w:rsidRPr="00B31B0D">
        <w:rPr>
          <w:rFonts w:ascii="Arial" w:hAnsi="Arial" w:cs="Arial"/>
          <w:b/>
        </w:rPr>
        <w:t xml:space="preserve">R$ </w:t>
      </w:r>
      <w:r w:rsidR="00B31B0D">
        <w:rPr>
          <w:rFonts w:ascii="Arial" w:hAnsi="Arial" w:cs="Arial"/>
          <w:b/>
        </w:rPr>
        <w:t>4.722.000,00</w:t>
      </w:r>
      <w:r w:rsidR="00D65500" w:rsidRPr="00B31B0D">
        <w:rPr>
          <w:rFonts w:ascii="Arial" w:hAnsi="Arial" w:cs="Arial"/>
          <w:b/>
        </w:rPr>
        <w:t xml:space="preserve"> </w:t>
      </w:r>
      <w:r w:rsidR="0038493B" w:rsidRPr="00B31B0D">
        <w:rPr>
          <w:rFonts w:ascii="Arial" w:hAnsi="Arial" w:cs="Arial"/>
        </w:rPr>
        <w:t>(</w:t>
      </w:r>
      <w:r w:rsidR="00B31B0D">
        <w:rPr>
          <w:rFonts w:ascii="Arial" w:hAnsi="Arial" w:cs="Arial"/>
        </w:rPr>
        <w:t>quatro milhões, setecentos e vinte e dois mil reais</w:t>
      </w:r>
      <w:r w:rsidR="00C96ED0" w:rsidRPr="00B31B0D">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834F5B">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834F5B">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Pr="007C6929" w:rsidRDefault="00D65500" w:rsidP="00867D23">
      <w:pPr>
        <w:pStyle w:val="PargrafodaLista"/>
        <w:spacing w:before="4" w:after="0" w:line="240" w:lineRule="auto"/>
        <w:ind w:left="1146" w:right="83"/>
        <w:rPr>
          <w:rFonts w:ascii="Arial" w:hAnsi="Arial" w:cs="Arial"/>
        </w:rPr>
      </w:pPr>
    </w:p>
    <w:sectPr w:rsidR="00D65500" w:rsidRPr="007C6929" w:rsidSect="00623F29">
      <w:headerReference w:type="even" r:id="rId8"/>
      <w:headerReference w:type="default" r:id="rId9"/>
      <w:footerReference w:type="even" r:id="rId10"/>
      <w:footerReference w:type="default" r:id="rId11"/>
      <w:headerReference w:type="first" r:id="rId12"/>
      <w:footerReference w:type="first" r:id="rId13"/>
      <w:pgSz w:w="11906" w:h="16838"/>
      <w:pgMar w:top="1418" w:right="1247" w:bottom="1247" w:left="1247" w:header="0" w:footer="68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C616C" w14:textId="77777777" w:rsidR="00834F5B" w:rsidRDefault="00834F5B" w:rsidP="00E81F0D">
      <w:pPr>
        <w:spacing w:after="0" w:line="240" w:lineRule="auto"/>
      </w:pPr>
      <w:r>
        <w:separator/>
      </w:r>
    </w:p>
  </w:endnote>
  <w:endnote w:type="continuationSeparator" w:id="0">
    <w:p w14:paraId="380D8475" w14:textId="77777777" w:rsidR="00834F5B" w:rsidRDefault="00834F5B"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04D0" w14:textId="77777777" w:rsidR="008A182D" w:rsidRDefault="008A182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75E97" w14:textId="77777777" w:rsidR="008A182D" w:rsidRDefault="008A18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E0ABE3" w14:textId="77777777" w:rsidR="00834F5B" w:rsidRDefault="00834F5B" w:rsidP="00E81F0D">
      <w:pPr>
        <w:spacing w:after="0" w:line="240" w:lineRule="auto"/>
      </w:pPr>
      <w:r>
        <w:separator/>
      </w:r>
    </w:p>
  </w:footnote>
  <w:footnote w:type="continuationSeparator" w:id="0">
    <w:p w14:paraId="7876FC05" w14:textId="77777777" w:rsidR="00834F5B" w:rsidRDefault="00834F5B"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033DD" w14:textId="77777777" w:rsidR="008A182D" w:rsidRDefault="008A18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3" name="Imagem 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AD480" w14:textId="77777777" w:rsidR="008A182D" w:rsidRDefault="008A182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7E49"/>
    <w:multiLevelType w:val="hybridMultilevel"/>
    <w:tmpl w:val="343AF304"/>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2">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4">
    <w:nsid w:val="11B15683"/>
    <w:multiLevelType w:val="multilevel"/>
    <w:tmpl w:val="5D32BA54"/>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6">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7">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8">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1">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6">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6"/>
  </w:num>
  <w:num w:numId="2">
    <w:abstractNumId w:val="3"/>
  </w:num>
  <w:num w:numId="3">
    <w:abstractNumId w:val="7"/>
  </w:num>
  <w:num w:numId="4">
    <w:abstractNumId w:val="15"/>
  </w:num>
  <w:num w:numId="5">
    <w:abstractNumId w:val="12"/>
  </w:num>
  <w:num w:numId="6">
    <w:abstractNumId w:val="14"/>
  </w:num>
  <w:num w:numId="7">
    <w:abstractNumId w:val="11"/>
  </w:num>
  <w:num w:numId="8">
    <w:abstractNumId w:val="8"/>
  </w:num>
  <w:num w:numId="9">
    <w:abstractNumId w:val="9"/>
  </w:num>
  <w:num w:numId="10">
    <w:abstractNumId w:val="13"/>
  </w:num>
  <w:num w:numId="11">
    <w:abstractNumId w:val="6"/>
  </w:num>
  <w:num w:numId="12">
    <w:abstractNumId w:val="5"/>
  </w:num>
  <w:num w:numId="13">
    <w:abstractNumId w:val="2"/>
  </w:num>
  <w:num w:numId="14">
    <w:abstractNumId w:val="1"/>
  </w:num>
  <w:num w:numId="15">
    <w:abstractNumId w:val="10"/>
  </w:num>
  <w:num w:numId="16">
    <w:abstractNumId w:val="0"/>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24898"/>
    <w:rsid w:val="000612B9"/>
    <w:rsid w:val="00061711"/>
    <w:rsid w:val="00061BE4"/>
    <w:rsid w:val="000622C5"/>
    <w:rsid w:val="0006303E"/>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B2ABD"/>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637DD"/>
    <w:rsid w:val="0026460A"/>
    <w:rsid w:val="0027496A"/>
    <w:rsid w:val="00281624"/>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606C"/>
    <w:rsid w:val="00322C22"/>
    <w:rsid w:val="0032574D"/>
    <w:rsid w:val="00326492"/>
    <w:rsid w:val="00333928"/>
    <w:rsid w:val="00335AA9"/>
    <w:rsid w:val="00341B14"/>
    <w:rsid w:val="00354AE8"/>
    <w:rsid w:val="00362BE0"/>
    <w:rsid w:val="00376824"/>
    <w:rsid w:val="0038493B"/>
    <w:rsid w:val="003B26C7"/>
    <w:rsid w:val="003C3F0D"/>
    <w:rsid w:val="003D753F"/>
    <w:rsid w:val="004034C3"/>
    <w:rsid w:val="00406911"/>
    <w:rsid w:val="0041711F"/>
    <w:rsid w:val="004242C2"/>
    <w:rsid w:val="00431C6E"/>
    <w:rsid w:val="00434058"/>
    <w:rsid w:val="00453A74"/>
    <w:rsid w:val="0045572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6681B"/>
    <w:rsid w:val="00570AED"/>
    <w:rsid w:val="00570DB2"/>
    <w:rsid w:val="00574C69"/>
    <w:rsid w:val="005757E8"/>
    <w:rsid w:val="00577D6B"/>
    <w:rsid w:val="00580E3C"/>
    <w:rsid w:val="0059007A"/>
    <w:rsid w:val="00591AFA"/>
    <w:rsid w:val="005930D3"/>
    <w:rsid w:val="005A1B15"/>
    <w:rsid w:val="005A1B51"/>
    <w:rsid w:val="005A4BC5"/>
    <w:rsid w:val="005A6B3A"/>
    <w:rsid w:val="005B2927"/>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0411"/>
    <w:rsid w:val="00662149"/>
    <w:rsid w:val="00676BC1"/>
    <w:rsid w:val="00681B96"/>
    <w:rsid w:val="006861C7"/>
    <w:rsid w:val="00686B2B"/>
    <w:rsid w:val="006A34F1"/>
    <w:rsid w:val="006A3D5D"/>
    <w:rsid w:val="006A48F4"/>
    <w:rsid w:val="006B1178"/>
    <w:rsid w:val="006C0CA1"/>
    <w:rsid w:val="006C5F81"/>
    <w:rsid w:val="006C7001"/>
    <w:rsid w:val="006E100B"/>
    <w:rsid w:val="006F166A"/>
    <w:rsid w:val="006F714E"/>
    <w:rsid w:val="0070591E"/>
    <w:rsid w:val="00707A54"/>
    <w:rsid w:val="00720BCE"/>
    <w:rsid w:val="00725AE6"/>
    <w:rsid w:val="007313CA"/>
    <w:rsid w:val="00732AEA"/>
    <w:rsid w:val="007373B5"/>
    <w:rsid w:val="00740046"/>
    <w:rsid w:val="00741A5C"/>
    <w:rsid w:val="00742469"/>
    <w:rsid w:val="0074676F"/>
    <w:rsid w:val="0075594C"/>
    <w:rsid w:val="0077374C"/>
    <w:rsid w:val="00791393"/>
    <w:rsid w:val="0079365B"/>
    <w:rsid w:val="007943FA"/>
    <w:rsid w:val="007A37D7"/>
    <w:rsid w:val="007C3B49"/>
    <w:rsid w:val="007C6929"/>
    <w:rsid w:val="007D0562"/>
    <w:rsid w:val="007D05CE"/>
    <w:rsid w:val="007D422A"/>
    <w:rsid w:val="007D7DA7"/>
    <w:rsid w:val="007E1283"/>
    <w:rsid w:val="007E6470"/>
    <w:rsid w:val="007E722A"/>
    <w:rsid w:val="007F65B8"/>
    <w:rsid w:val="00804F0F"/>
    <w:rsid w:val="008055D3"/>
    <w:rsid w:val="0082379F"/>
    <w:rsid w:val="00834EA9"/>
    <w:rsid w:val="00834F5B"/>
    <w:rsid w:val="00842E12"/>
    <w:rsid w:val="00852B48"/>
    <w:rsid w:val="00862557"/>
    <w:rsid w:val="00867D23"/>
    <w:rsid w:val="0088566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54CA1"/>
    <w:rsid w:val="0095665B"/>
    <w:rsid w:val="009617BB"/>
    <w:rsid w:val="00974BFC"/>
    <w:rsid w:val="00977DCD"/>
    <w:rsid w:val="00983B86"/>
    <w:rsid w:val="00992A09"/>
    <w:rsid w:val="009A237F"/>
    <w:rsid w:val="009C06CE"/>
    <w:rsid w:val="009C1D28"/>
    <w:rsid w:val="009C29F0"/>
    <w:rsid w:val="009D28CE"/>
    <w:rsid w:val="009D514D"/>
    <w:rsid w:val="009D6C75"/>
    <w:rsid w:val="009D7302"/>
    <w:rsid w:val="009E20B9"/>
    <w:rsid w:val="009F2D9B"/>
    <w:rsid w:val="009F72B9"/>
    <w:rsid w:val="009F746E"/>
    <w:rsid w:val="00A01BAE"/>
    <w:rsid w:val="00A02E56"/>
    <w:rsid w:val="00A03AFB"/>
    <w:rsid w:val="00A05EAE"/>
    <w:rsid w:val="00A15AFF"/>
    <w:rsid w:val="00A211F1"/>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1B0D"/>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206F8"/>
    <w:rsid w:val="00D31260"/>
    <w:rsid w:val="00D342AB"/>
    <w:rsid w:val="00D42AA8"/>
    <w:rsid w:val="00D465D9"/>
    <w:rsid w:val="00D56E98"/>
    <w:rsid w:val="00D65493"/>
    <w:rsid w:val="00D65500"/>
    <w:rsid w:val="00D707CF"/>
    <w:rsid w:val="00D75515"/>
    <w:rsid w:val="00D75F4A"/>
    <w:rsid w:val="00D81C91"/>
    <w:rsid w:val="00D83266"/>
    <w:rsid w:val="00D910E0"/>
    <w:rsid w:val="00D93CCB"/>
    <w:rsid w:val="00DA20D4"/>
    <w:rsid w:val="00DA220C"/>
    <w:rsid w:val="00DB020C"/>
    <w:rsid w:val="00DB29E8"/>
    <w:rsid w:val="00DC7282"/>
    <w:rsid w:val="00DD5ADD"/>
    <w:rsid w:val="00DD78E4"/>
    <w:rsid w:val="00DD7D4F"/>
    <w:rsid w:val="00DE27A8"/>
    <w:rsid w:val="00DE7B66"/>
    <w:rsid w:val="00DF012A"/>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B636F"/>
    <w:rsid w:val="00EC2DAF"/>
    <w:rsid w:val="00ED5C99"/>
    <w:rsid w:val="00F03FD3"/>
    <w:rsid w:val="00F12F7B"/>
    <w:rsid w:val="00F1319D"/>
    <w:rsid w:val="00F13232"/>
    <w:rsid w:val="00F20F94"/>
    <w:rsid w:val="00F24F9B"/>
    <w:rsid w:val="00F35014"/>
    <w:rsid w:val="00F374E1"/>
    <w:rsid w:val="00F41655"/>
    <w:rsid w:val="00F46FEE"/>
    <w:rsid w:val="00F52FB8"/>
    <w:rsid w:val="00F53B68"/>
    <w:rsid w:val="00F53F87"/>
    <w:rsid w:val="00F60E09"/>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99457-0567-4069-9634-3D5BB0762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4714</Words>
  <Characters>25461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5</cp:revision>
  <cp:lastPrinted>2026-06-16T17:48:00Z</cp:lastPrinted>
  <dcterms:created xsi:type="dcterms:W3CDTF">2026-06-16T18:34:00Z</dcterms:created>
  <dcterms:modified xsi:type="dcterms:W3CDTF">2026-07-01T13:29:00Z</dcterms:modified>
</cp:coreProperties>
</file>