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12" w:lineRule="auto"/>
        <w:jc w:val="center"/>
        <w:rPr>
          <w:b w:val="0"/>
          <w:i w:val="0"/>
          <w:vertAlign w:val="baseline"/>
        </w:rPr>
      </w:pPr>
      <w:r w:rsidDel="00000000" w:rsidR="00000000" w:rsidRPr="00000000">
        <w:rPr>
          <w:b w:val="1"/>
          <w:i w:val="1"/>
          <w:vertAlign w:val="baseline"/>
          <w:rtl w:val="0"/>
        </w:rPr>
        <w:t xml:space="preserve">ANEXO V</w:t>
      </w:r>
      <w:r w:rsidDel="00000000" w:rsidR="00000000" w:rsidRPr="00000000">
        <w:rPr>
          <w:rtl w:val="0"/>
        </w:rPr>
      </w:r>
    </w:p>
    <w:p w:rsidR="00000000" w:rsidDel="00000000" w:rsidP="00000000" w:rsidRDefault="00000000" w:rsidRPr="00000000" w14:paraId="00000002">
      <w:pPr>
        <w:spacing w:line="312" w:lineRule="auto"/>
        <w:jc w:val="center"/>
        <w:rPr>
          <w:b w:val="0"/>
          <w:i w:val="0"/>
          <w:vertAlign w:val="baseline"/>
        </w:rPr>
      </w:pPr>
      <w:r w:rsidDel="00000000" w:rsidR="00000000" w:rsidRPr="00000000">
        <w:rPr>
          <w:rtl w:val="0"/>
        </w:rPr>
      </w:r>
    </w:p>
    <w:p w:rsidR="00000000" w:rsidDel="00000000" w:rsidP="00000000" w:rsidRDefault="00000000" w:rsidRPr="00000000" w14:paraId="00000003">
      <w:pPr>
        <w:spacing w:line="312" w:lineRule="auto"/>
        <w:jc w:val="center"/>
        <w:rPr>
          <w:b w:val="0"/>
          <w:i w:val="0"/>
          <w:vertAlign w:val="baseline"/>
        </w:rPr>
      </w:pPr>
      <w:r w:rsidDel="00000000" w:rsidR="00000000" w:rsidRPr="00000000">
        <w:rPr>
          <w:b w:val="1"/>
          <w:i w:val="1"/>
          <w:vertAlign w:val="baseline"/>
          <w:rtl w:val="0"/>
        </w:rPr>
        <w:t xml:space="preserve">MINUTA DA ATA DE REGISTRO DE PREÇOS Nº ___/2024.</w:t>
      </w:r>
      <w:r w:rsidDel="00000000" w:rsidR="00000000" w:rsidRPr="00000000">
        <w:rPr>
          <w:rtl w:val="0"/>
        </w:rPr>
      </w:r>
    </w:p>
    <w:p w:rsidR="00000000" w:rsidDel="00000000" w:rsidP="00000000" w:rsidRDefault="00000000" w:rsidRPr="00000000" w14:paraId="00000004">
      <w:pPr>
        <w:spacing w:line="312" w:lineRule="auto"/>
        <w:jc w:val="both"/>
        <w:rPr>
          <w:b w:val="0"/>
          <w:vertAlign w:val="baseline"/>
        </w:rPr>
      </w:pPr>
      <w:r w:rsidDel="00000000" w:rsidR="00000000" w:rsidRPr="00000000">
        <w:rPr>
          <w:rtl w:val="0"/>
        </w:rPr>
      </w:r>
    </w:p>
    <w:p w:rsidR="00000000" w:rsidDel="00000000" w:rsidP="00000000" w:rsidRDefault="00000000" w:rsidRPr="00000000" w14:paraId="0000000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1" w:hanging="56"/>
        <w:jc w:val="left"/>
        <w:rPr>
          <w:rFonts w:ascii="Times New Roman" w:cs="Times New Roman" w:eastAsia="Times New Roman" w:hAnsi="Times New Roman"/>
          <w:b w:val="1"/>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PROCESSO ADMINISTRATIVO Nº 048/2024.</w:t>
      </w:r>
    </w:p>
    <w:p w:rsidR="00000000" w:rsidDel="00000000" w:rsidP="00000000" w:rsidRDefault="00000000" w:rsidRPr="00000000" w14:paraId="0000000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1" w:hanging="56"/>
        <w:jc w:val="left"/>
        <w:rPr>
          <w:rFonts w:ascii="Times New Roman" w:cs="Times New Roman" w:eastAsia="Times New Roman" w:hAnsi="Times New Roman"/>
          <w:b w:val="1"/>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PREGÃO ELETRÔNICO SRP Nº 015/2024</w:t>
      </w:r>
    </w:p>
    <w:p w:rsidR="00000000" w:rsidDel="00000000" w:rsidP="00000000" w:rsidRDefault="00000000" w:rsidRPr="00000000" w14:paraId="00000007">
      <w:pPr>
        <w:spacing w:line="312" w:lineRule="auto"/>
        <w:rPr>
          <w:b w:val="0"/>
          <w:vertAlign w:val="baseline"/>
        </w:rPr>
      </w:pPr>
      <w:r w:rsidDel="00000000" w:rsidR="00000000" w:rsidRPr="00000000">
        <w:rPr>
          <w:rtl w:val="0"/>
        </w:rPr>
      </w:r>
    </w:p>
    <w:p w:rsidR="00000000" w:rsidDel="00000000" w:rsidP="00000000" w:rsidRDefault="00000000" w:rsidRPr="00000000" w14:paraId="00000008">
      <w:pPr>
        <w:spacing w:line="312" w:lineRule="auto"/>
        <w:jc w:val="both"/>
        <w:rPr>
          <w:b w:val="0"/>
          <w:vertAlign w:val="baseline"/>
        </w:rPr>
      </w:pPr>
      <w:r w:rsidDel="00000000" w:rsidR="00000000" w:rsidRPr="00000000">
        <w:rPr>
          <w:rtl w:val="0"/>
        </w:rPr>
      </w:r>
    </w:p>
    <w:p w:rsidR="00000000" w:rsidDel="00000000" w:rsidP="00000000" w:rsidRDefault="00000000" w:rsidRPr="00000000" w14:paraId="00000009">
      <w:pPr>
        <w:spacing w:line="312" w:lineRule="auto"/>
        <w:jc w:val="both"/>
        <w:rPr>
          <w:vertAlign w:val="baseline"/>
        </w:rPr>
      </w:pPr>
      <w:r w:rsidDel="00000000" w:rsidR="00000000" w:rsidRPr="00000000">
        <w:rPr>
          <w:b w:val="1"/>
          <w:vertAlign w:val="baseline"/>
          <w:rtl w:val="0"/>
        </w:rPr>
        <w:t xml:space="preserve">O MUNICÍPIO DE SÃO JOSÉ DO MANTIMENTO, MG</w:t>
      </w:r>
      <w:r w:rsidDel="00000000" w:rsidR="00000000" w:rsidRPr="00000000">
        <w:rPr>
          <w:vertAlign w:val="baseline"/>
          <w:rtl w:val="0"/>
        </w:rPr>
        <w:t xml:space="preserve">, pessoa jurídica de direito público, devidamente inscrito no CNPJ/MF sob nº 18.392.514/0001-03, com endereço na Praça Marechal Rondon, nº 60, Centro, São José do Mantimento/MG neste ato representado pelo Prefeito Municipal, Sr. </w:t>
      </w:r>
      <w:r w:rsidDel="00000000" w:rsidR="00000000" w:rsidRPr="00000000">
        <w:rPr>
          <w:b w:val="1"/>
          <w:vertAlign w:val="baseline"/>
          <w:rtl w:val="0"/>
        </w:rPr>
        <w:t xml:space="preserve">Misael Huebra Klem, </w:t>
      </w:r>
      <w:r w:rsidDel="00000000" w:rsidR="00000000" w:rsidRPr="00000000">
        <w:rPr>
          <w:vertAlign w:val="baseline"/>
          <w:rtl w:val="0"/>
        </w:rPr>
        <w:t xml:space="preserve">brasileiro, casado, empresário, portador do CPF nº 779.456.116-72, RG nº M-5.594.427 – SSP/MG, residente no Córrego da Pedra Redonda, s/n, Zona Rural, São José do Mantimento/MG, no uso de suas atribuições legais, adiante denominado simplesmente </w:t>
      </w:r>
      <w:r w:rsidDel="00000000" w:rsidR="00000000" w:rsidRPr="00000000">
        <w:rPr>
          <w:b w:val="1"/>
          <w:vertAlign w:val="baseline"/>
          <w:rtl w:val="0"/>
        </w:rPr>
        <w:t xml:space="preserve">ÓRGÃO GERENCIADOR DO REGISTRO DE PREÇOS </w:t>
      </w:r>
      <w:r w:rsidDel="00000000" w:rsidR="00000000" w:rsidRPr="00000000">
        <w:rPr>
          <w:vertAlign w:val="baseline"/>
          <w:rtl w:val="0"/>
        </w:rPr>
        <w:t xml:space="preserve">e de outro lado a </w:t>
      </w:r>
      <w:r w:rsidDel="00000000" w:rsidR="00000000" w:rsidRPr="00000000">
        <w:rPr>
          <w:b w:val="1"/>
          <w:vertAlign w:val="baseline"/>
          <w:rtl w:val="0"/>
        </w:rPr>
        <w:t xml:space="preserve">Empresa </w:t>
      </w:r>
      <w:r w:rsidDel="00000000" w:rsidR="00000000" w:rsidRPr="00000000">
        <w:rPr>
          <w:vertAlign w:val="baseline"/>
          <w:rtl w:val="0"/>
        </w:rPr>
        <w:t xml:space="preserve">__________________, pessoa jurídica de direito privado, devidamente inscrita no CNPJ nº ____________, com sede à Rua __________________, CEP: ___________, representada neste ato por seu sócio administrador Sr. ______, _________ (nacionalidade e estado civil), portador do RG nº _________ SSP/__, CPF nº _____________, residente e domiciliado ______________, doravante denominada simplesmente </w:t>
      </w:r>
      <w:r w:rsidDel="00000000" w:rsidR="00000000" w:rsidRPr="00000000">
        <w:rPr>
          <w:b w:val="1"/>
          <w:vertAlign w:val="baseline"/>
          <w:rtl w:val="0"/>
        </w:rPr>
        <w:t xml:space="preserve">COMPROMISSÁRIO FORNECEDOR</w:t>
      </w:r>
      <w:r w:rsidDel="00000000" w:rsidR="00000000" w:rsidRPr="00000000">
        <w:rPr>
          <w:vertAlign w:val="baseline"/>
          <w:rtl w:val="0"/>
        </w:rPr>
        <w:t xml:space="preserve">, considerando o julgamento da licitação na modalidade Pregão Eletrônico SRP nº 015/2024, Processo Administrativo nº 048/2024, RESOLVEM registrar os preços da  empresa indicada e qualificada nesta ata, de acordo com a classificação alcançada e na(s)  quantidade(s)  cotada(s), sujeitando-se as partes às normas constantes na Lei nº 14.133, de 1º de abril de 2021, no Decreto Municipal n.º 098/2023, e em conformidade com as disposições a seguir:</w:t>
      </w:r>
    </w:p>
    <w:p w:rsidR="00000000" w:rsidDel="00000000" w:rsidP="00000000" w:rsidRDefault="00000000" w:rsidRPr="00000000" w14:paraId="0000000A">
      <w:pPr>
        <w:spacing w:line="312" w:lineRule="auto"/>
        <w:jc w:val="both"/>
        <w:rPr>
          <w:b w:val="0"/>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CLÁUSULA PRIMEIRA – OBJETO </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presente ata tem como objeto, o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registro de preços para futura e eventual contratação de empresa para fornecimento de materiais de construção em geral, com maior percentual sobre a TABELA SINAPI, para atendimento a Secretaria Municipal de Obras e Serviços Urbanos e Outras, do Município de São José do Mantimento/MG.</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F">
      <w:pPr>
        <w:spacing w:line="312" w:lineRule="auto"/>
        <w:jc w:val="both"/>
        <w:rPr>
          <w:b w:val="0"/>
          <w:u w:val="single"/>
          <w:vertAlign w:val="baseline"/>
        </w:rPr>
      </w:pPr>
      <w:r w:rsidDel="00000000" w:rsidR="00000000" w:rsidRPr="00000000">
        <w:rPr>
          <w:b w:val="1"/>
          <w:u w:val="single"/>
          <w:vertAlign w:val="baseline"/>
          <w:rtl w:val="0"/>
        </w:rPr>
        <w:t xml:space="preserve">CLÁUSULA SEGUNDA – DOS PREÇOS, ESPECIFICAÇÕES E QUANTITATIVOS REGISTRADOS</w:t>
      </w:r>
      <w:r w:rsidDel="00000000" w:rsidR="00000000" w:rsidRPr="00000000">
        <w:rPr>
          <w:rtl w:val="0"/>
        </w:rPr>
      </w:r>
    </w:p>
    <w:p w:rsidR="00000000" w:rsidDel="00000000" w:rsidP="00000000" w:rsidRDefault="00000000" w:rsidRPr="00000000" w14:paraId="00000010">
      <w:pPr>
        <w:spacing w:line="312" w:lineRule="auto"/>
        <w:jc w:val="both"/>
        <w:rPr>
          <w:b w:val="0"/>
          <w:u w:val="single"/>
          <w:vertAlign w:val="baseline"/>
        </w:rPr>
      </w:pPr>
      <w:r w:rsidDel="00000000" w:rsidR="00000000" w:rsidRPr="00000000">
        <w:rPr>
          <w:rtl w:val="0"/>
        </w:rPr>
      </w:r>
    </w:p>
    <w:p w:rsidR="00000000" w:rsidDel="00000000" w:rsidP="00000000" w:rsidRDefault="00000000" w:rsidRPr="00000000" w14:paraId="00000011">
      <w:pPr>
        <w:spacing w:line="312" w:lineRule="auto"/>
        <w:jc w:val="both"/>
        <w:rPr>
          <w:vertAlign w:val="baseline"/>
        </w:rPr>
      </w:pPr>
      <w:bookmarkStart w:colFirst="0" w:colLast="0" w:name="_heading=h.gjdgxs" w:id="0"/>
      <w:bookmarkEnd w:id="0"/>
      <w:r w:rsidDel="00000000" w:rsidR="00000000" w:rsidRPr="00000000">
        <w:rPr>
          <w:b w:val="1"/>
          <w:vertAlign w:val="baseline"/>
          <w:rtl w:val="0"/>
        </w:rPr>
        <w:t xml:space="preserve">2.1. </w:t>
      </w:r>
      <w:r w:rsidDel="00000000" w:rsidR="00000000" w:rsidRPr="00000000">
        <w:rPr>
          <w:vertAlign w:val="baseline"/>
          <w:rtl w:val="0"/>
        </w:rPr>
        <w:t xml:space="preserve">O preço, especificações e quantitativos registrado nesta Ata de Registro de Preço e demais condições ofertadas na proposta, são as que seguem:</w:t>
      </w:r>
    </w:p>
    <w:p w:rsidR="00000000" w:rsidDel="00000000" w:rsidP="00000000" w:rsidRDefault="00000000" w:rsidRPr="00000000" w14:paraId="00000012">
      <w:pPr>
        <w:spacing w:line="312" w:lineRule="auto"/>
        <w:jc w:val="both"/>
        <w:rPr>
          <w:b w:val="0"/>
          <w:sz w:val="18"/>
          <w:szCs w:val="18"/>
          <w:u w:val="single"/>
          <w:vertAlign w:val="baseline"/>
        </w:rPr>
      </w:pPr>
      <w:r w:rsidDel="00000000" w:rsidR="00000000" w:rsidRPr="00000000">
        <w:rPr>
          <w:rtl w:val="0"/>
        </w:rPr>
      </w:r>
    </w:p>
    <w:tbl>
      <w:tblPr>
        <w:tblStyle w:val="Table1"/>
        <w:tblW w:w="1003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76"/>
        <w:gridCol w:w="707"/>
        <w:gridCol w:w="597"/>
        <w:gridCol w:w="1347"/>
        <w:gridCol w:w="3118"/>
        <w:gridCol w:w="1134"/>
        <w:gridCol w:w="1276"/>
        <w:gridCol w:w="1276"/>
        <w:tblGridChange w:id="0">
          <w:tblGrid>
            <w:gridCol w:w="576"/>
            <w:gridCol w:w="707"/>
            <w:gridCol w:w="597"/>
            <w:gridCol w:w="1347"/>
            <w:gridCol w:w="3118"/>
            <w:gridCol w:w="1134"/>
            <w:gridCol w:w="1276"/>
            <w:gridCol w:w="1276"/>
          </w:tblGrid>
        </w:tblGridChange>
      </w:tblGrid>
      <w:tr>
        <w:trPr>
          <w:cantSplit w:val="0"/>
          <w:tblHeader w:val="0"/>
        </w:trPr>
        <w:tc>
          <w:tcPr>
            <w:vAlign w:val="center"/>
          </w:tcPr>
          <w:p w:rsidR="00000000" w:rsidDel="00000000" w:rsidP="00000000" w:rsidRDefault="00000000" w:rsidRPr="00000000" w14:paraId="00000013">
            <w:pPr>
              <w:widowControl w:val="0"/>
              <w:spacing w:line="312" w:lineRule="auto"/>
              <w:jc w:val="center"/>
              <w:rPr>
                <w:b w:val="0"/>
                <w:color w:val="000000"/>
                <w:sz w:val="18"/>
                <w:szCs w:val="18"/>
                <w:vertAlign w:val="baseline"/>
              </w:rPr>
            </w:pPr>
            <w:r w:rsidDel="00000000" w:rsidR="00000000" w:rsidRPr="00000000">
              <w:rPr>
                <w:b w:val="1"/>
                <w:color w:val="000000"/>
                <w:sz w:val="18"/>
                <w:szCs w:val="18"/>
                <w:vertAlign w:val="baseline"/>
                <w:rtl w:val="0"/>
              </w:rPr>
              <w:t xml:space="preserve">Item</w:t>
            </w:r>
            <w:r w:rsidDel="00000000" w:rsidR="00000000" w:rsidRPr="00000000">
              <w:rPr>
                <w:rtl w:val="0"/>
              </w:rPr>
            </w:r>
          </w:p>
        </w:tc>
        <w:tc>
          <w:tcPr>
            <w:vAlign w:val="center"/>
          </w:tcPr>
          <w:p w:rsidR="00000000" w:rsidDel="00000000" w:rsidP="00000000" w:rsidRDefault="00000000" w:rsidRPr="00000000" w14:paraId="00000014">
            <w:pPr>
              <w:widowControl w:val="0"/>
              <w:spacing w:line="312" w:lineRule="auto"/>
              <w:jc w:val="center"/>
              <w:rPr>
                <w:b w:val="0"/>
                <w:color w:val="000000"/>
                <w:sz w:val="18"/>
                <w:szCs w:val="18"/>
                <w:vertAlign w:val="baseline"/>
              </w:rPr>
            </w:pPr>
            <w:r w:rsidDel="00000000" w:rsidR="00000000" w:rsidRPr="00000000">
              <w:rPr>
                <w:b w:val="1"/>
                <w:color w:val="000000"/>
                <w:sz w:val="18"/>
                <w:szCs w:val="18"/>
                <w:vertAlign w:val="baseline"/>
                <w:rtl w:val="0"/>
              </w:rPr>
              <w:t xml:space="preserve">Quant</w:t>
            </w:r>
            <w:r w:rsidDel="00000000" w:rsidR="00000000" w:rsidRPr="00000000">
              <w:rPr>
                <w:rtl w:val="0"/>
              </w:rPr>
            </w:r>
          </w:p>
        </w:tc>
        <w:tc>
          <w:tcPr>
            <w:vAlign w:val="center"/>
          </w:tcPr>
          <w:p w:rsidR="00000000" w:rsidDel="00000000" w:rsidP="00000000" w:rsidRDefault="00000000" w:rsidRPr="00000000" w14:paraId="00000015">
            <w:pPr>
              <w:widowControl w:val="0"/>
              <w:spacing w:line="312" w:lineRule="auto"/>
              <w:jc w:val="center"/>
              <w:rPr>
                <w:b w:val="0"/>
                <w:color w:val="000000"/>
                <w:sz w:val="18"/>
                <w:szCs w:val="18"/>
                <w:vertAlign w:val="baseline"/>
              </w:rPr>
            </w:pPr>
            <w:r w:rsidDel="00000000" w:rsidR="00000000" w:rsidRPr="00000000">
              <w:rPr>
                <w:b w:val="1"/>
                <w:color w:val="000000"/>
                <w:sz w:val="18"/>
                <w:szCs w:val="18"/>
                <w:vertAlign w:val="baseline"/>
                <w:rtl w:val="0"/>
              </w:rPr>
              <w:t xml:space="preserve">Unid</w:t>
            </w:r>
            <w:r w:rsidDel="00000000" w:rsidR="00000000" w:rsidRPr="00000000">
              <w:rPr>
                <w:rtl w:val="0"/>
              </w:rPr>
            </w:r>
          </w:p>
        </w:tc>
        <w:tc>
          <w:tcPr>
            <w:vAlign w:val="center"/>
          </w:tcPr>
          <w:p w:rsidR="00000000" w:rsidDel="00000000" w:rsidP="00000000" w:rsidRDefault="00000000" w:rsidRPr="00000000" w14:paraId="00000016">
            <w:pPr>
              <w:widowControl w:val="0"/>
              <w:spacing w:line="312" w:lineRule="auto"/>
              <w:jc w:val="center"/>
              <w:rPr>
                <w:b w:val="0"/>
                <w:color w:val="000000"/>
                <w:sz w:val="18"/>
                <w:szCs w:val="18"/>
                <w:vertAlign w:val="baseline"/>
              </w:rPr>
            </w:pPr>
            <w:r w:rsidDel="00000000" w:rsidR="00000000" w:rsidRPr="00000000">
              <w:rPr>
                <w:b w:val="1"/>
                <w:color w:val="000000"/>
                <w:sz w:val="18"/>
                <w:szCs w:val="18"/>
                <w:vertAlign w:val="baseline"/>
                <w:rtl w:val="0"/>
              </w:rPr>
              <w:t xml:space="preserve">Classe</w:t>
            </w:r>
            <w:r w:rsidDel="00000000" w:rsidR="00000000" w:rsidRPr="00000000">
              <w:rPr>
                <w:rtl w:val="0"/>
              </w:rPr>
            </w:r>
          </w:p>
        </w:tc>
        <w:tc>
          <w:tcPr>
            <w:vAlign w:val="center"/>
          </w:tcPr>
          <w:p w:rsidR="00000000" w:rsidDel="00000000" w:rsidP="00000000" w:rsidRDefault="00000000" w:rsidRPr="00000000" w14:paraId="00000017">
            <w:pPr>
              <w:widowControl w:val="0"/>
              <w:spacing w:line="312" w:lineRule="auto"/>
              <w:jc w:val="center"/>
              <w:rPr>
                <w:b w:val="0"/>
                <w:color w:val="000000"/>
                <w:sz w:val="18"/>
                <w:szCs w:val="18"/>
                <w:vertAlign w:val="baseline"/>
              </w:rPr>
            </w:pPr>
            <w:r w:rsidDel="00000000" w:rsidR="00000000" w:rsidRPr="00000000">
              <w:rPr>
                <w:b w:val="1"/>
                <w:color w:val="000000"/>
                <w:sz w:val="18"/>
                <w:szCs w:val="18"/>
                <w:vertAlign w:val="baseline"/>
                <w:rtl w:val="0"/>
              </w:rPr>
              <w:t xml:space="preserve">Descrição/Especificações dos Produtos</w:t>
            </w:r>
            <w:r w:rsidDel="00000000" w:rsidR="00000000" w:rsidRPr="00000000">
              <w:rPr>
                <w:rtl w:val="0"/>
              </w:rPr>
            </w:r>
          </w:p>
        </w:tc>
        <w:tc>
          <w:tcPr>
            <w:vAlign w:val="top"/>
          </w:tcPr>
          <w:p w:rsidR="00000000" w:rsidDel="00000000" w:rsidP="00000000" w:rsidRDefault="00000000" w:rsidRPr="00000000" w14:paraId="00000018">
            <w:pPr>
              <w:widowControl w:val="0"/>
              <w:spacing w:line="312" w:lineRule="auto"/>
              <w:jc w:val="center"/>
              <w:rPr>
                <w:b w:val="0"/>
                <w:color w:val="000000"/>
                <w:sz w:val="18"/>
                <w:szCs w:val="18"/>
                <w:vertAlign w:val="baseline"/>
              </w:rPr>
            </w:pPr>
            <w:r w:rsidDel="00000000" w:rsidR="00000000" w:rsidRPr="00000000">
              <w:rPr>
                <w:b w:val="1"/>
                <w:color w:val="000000"/>
                <w:sz w:val="18"/>
                <w:szCs w:val="18"/>
                <w:vertAlign w:val="baseline"/>
                <w:rtl w:val="0"/>
              </w:rPr>
              <w:t xml:space="preserve">Marca</w:t>
            </w:r>
            <w:r w:rsidDel="00000000" w:rsidR="00000000" w:rsidRPr="00000000">
              <w:rPr>
                <w:rtl w:val="0"/>
              </w:rPr>
            </w:r>
          </w:p>
        </w:tc>
        <w:tc>
          <w:tcPr>
            <w:vAlign w:val="center"/>
          </w:tcPr>
          <w:p w:rsidR="00000000" w:rsidDel="00000000" w:rsidP="00000000" w:rsidRDefault="00000000" w:rsidRPr="00000000" w14:paraId="00000019">
            <w:pPr>
              <w:widowControl w:val="0"/>
              <w:spacing w:line="312" w:lineRule="auto"/>
              <w:jc w:val="center"/>
              <w:rPr>
                <w:b w:val="0"/>
                <w:color w:val="000000"/>
                <w:sz w:val="18"/>
                <w:szCs w:val="18"/>
                <w:vertAlign w:val="baseline"/>
              </w:rPr>
            </w:pPr>
            <w:r w:rsidDel="00000000" w:rsidR="00000000" w:rsidRPr="00000000">
              <w:rPr>
                <w:b w:val="1"/>
                <w:color w:val="000000"/>
                <w:sz w:val="18"/>
                <w:szCs w:val="18"/>
                <w:vertAlign w:val="baseline"/>
                <w:rtl w:val="0"/>
              </w:rPr>
              <w:t xml:space="preserve">Valor Estimado (R$)</w:t>
            </w:r>
            <w:r w:rsidDel="00000000" w:rsidR="00000000" w:rsidRPr="00000000">
              <w:rPr>
                <w:rtl w:val="0"/>
              </w:rPr>
            </w:r>
          </w:p>
        </w:tc>
        <w:tc>
          <w:tcPr>
            <w:vAlign w:val="center"/>
          </w:tcPr>
          <w:p w:rsidR="00000000" w:rsidDel="00000000" w:rsidP="00000000" w:rsidRDefault="00000000" w:rsidRPr="00000000" w14:paraId="0000001A">
            <w:pPr>
              <w:widowControl w:val="0"/>
              <w:spacing w:line="312" w:lineRule="auto"/>
              <w:jc w:val="center"/>
              <w:rPr>
                <w:b w:val="0"/>
                <w:color w:val="000000"/>
                <w:sz w:val="18"/>
                <w:szCs w:val="18"/>
                <w:vertAlign w:val="baseline"/>
              </w:rPr>
            </w:pPr>
            <w:r w:rsidDel="00000000" w:rsidR="00000000" w:rsidRPr="00000000">
              <w:rPr>
                <w:b w:val="1"/>
                <w:color w:val="000000"/>
                <w:sz w:val="18"/>
                <w:szCs w:val="18"/>
                <w:vertAlign w:val="baseline"/>
                <w:rtl w:val="0"/>
              </w:rPr>
              <w:t xml:space="preserve">Percentual de desconto (%)</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B">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01</w:t>
            </w:r>
          </w:p>
        </w:tc>
        <w:tc>
          <w:tcPr>
            <w:vAlign w:val="center"/>
          </w:tcPr>
          <w:p w:rsidR="00000000" w:rsidDel="00000000" w:rsidP="00000000" w:rsidRDefault="00000000" w:rsidRPr="00000000" w14:paraId="0000001C">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01</w:t>
            </w:r>
          </w:p>
        </w:tc>
        <w:tc>
          <w:tcPr>
            <w:vAlign w:val="center"/>
          </w:tcPr>
          <w:p w:rsidR="00000000" w:rsidDel="00000000" w:rsidP="00000000" w:rsidRDefault="00000000" w:rsidRPr="00000000" w14:paraId="0000001D">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Unid</w:t>
            </w:r>
          </w:p>
        </w:tc>
        <w:tc>
          <w:tcPr>
            <w:vAlign w:val="center"/>
          </w:tcPr>
          <w:p w:rsidR="00000000" w:rsidDel="00000000" w:rsidP="00000000" w:rsidRDefault="00000000" w:rsidRPr="00000000" w14:paraId="0000001E">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DROP, ESCO, FUES, PARE, PAVI, SINA, REVE</w:t>
            </w:r>
          </w:p>
        </w:tc>
        <w:tc>
          <w:tcPr>
            <w:vAlign w:val="center"/>
          </w:tcPr>
          <w:p w:rsidR="00000000" w:rsidDel="00000000" w:rsidP="00000000" w:rsidRDefault="00000000" w:rsidRPr="00000000" w14:paraId="0000001F">
            <w:pPr>
              <w:widowControl w:val="0"/>
              <w:spacing w:line="312" w:lineRule="auto"/>
              <w:jc w:val="both"/>
              <w:rPr>
                <w:color w:val="000000"/>
                <w:sz w:val="18"/>
                <w:szCs w:val="18"/>
                <w:vertAlign w:val="baseline"/>
              </w:rPr>
            </w:pPr>
            <w:r w:rsidDel="00000000" w:rsidR="00000000" w:rsidRPr="00000000">
              <w:rPr>
                <w:color w:val="000000"/>
                <w:sz w:val="18"/>
                <w:szCs w:val="18"/>
                <w:vertAlign w:val="baseline"/>
                <w:rtl w:val="0"/>
              </w:rPr>
              <w:t xml:space="preserve">Materiais de Alvenaria abrangendo blocos, tijolos, cimento, areia, brita, argamassas, cal e afins (baseado na Tabela SINAPI-MG - 05/2024)</w:t>
            </w:r>
          </w:p>
        </w:tc>
        <w:tc>
          <w:tcPr>
            <w:vAlign w:val="top"/>
          </w:tcPr>
          <w:p w:rsidR="00000000" w:rsidDel="00000000" w:rsidP="00000000" w:rsidRDefault="00000000" w:rsidRPr="00000000" w14:paraId="00000020">
            <w:pPr>
              <w:widowControl w:val="0"/>
              <w:spacing w:line="312" w:lineRule="auto"/>
              <w:jc w:val="right"/>
              <w:rPr>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021">
            <w:pPr>
              <w:widowControl w:val="0"/>
              <w:spacing w:line="312" w:lineRule="auto"/>
              <w:jc w:val="right"/>
              <w:rPr>
                <w:color w:val="000000"/>
                <w:sz w:val="18"/>
                <w:szCs w:val="18"/>
                <w:vertAlign w:val="baseline"/>
              </w:rPr>
            </w:pPr>
            <w:r w:rsidDel="00000000" w:rsidR="00000000" w:rsidRPr="00000000">
              <w:rPr>
                <w:sz w:val="18"/>
                <w:szCs w:val="18"/>
                <w:vertAlign w:val="baseline"/>
                <w:rtl w:val="0"/>
              </w:rPr>
              <w:t xml:space="preserve">600.000,00</w:t>
            </w:r>
            <w:r w:rsidDel="00000000" w:rsidR="00000000" w:rsidRPr="00000000">
              <w:rPr>
                <w:color w:val="000000"/>
                <w:sz w:val="18"/>
                <w:szCs w:val="18"/>
                <w:vertAlign w:val="baseline"/>
                <w:rtl w:val="0"/>
              </w:rPr>
              <w:t xml:space="preserve"> </w:t>
            </w:r>
          </w:p>
        </w:tc>
        <w:tc>
          <w:tcPr>
            <w:vAlign w:val="center"/>
          </w:tcPr>
          <w:p w:rsidR="00000000" w:rsidDel="00000000" w:rsidP="00000000" w:rsidRDefault="00000000" w:rsidRPr="00000000" w14:paraId="00000022">
            <w:pPr>
              <w:widowControl w:val="0"/>
              <w:spacing w:line="312" w:lineRule="auto"/>
              <w:jc w:val="center"/>
              <w:rPr>
                <w:color w:val="000000"/>
                <w:sz w:val="18"/>
                <w:szCs w:val="1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23">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02</w:t>
            </w:r>
          </w:p>
        </w:tc>
        <w:tc>
          <w:tcPr>
            <w:vAlign w:val="center"/>
          </w:tcPr>
          <w:p w:rsidR="00000000" w:rsidDel="00000000" w:rsidP="00000000" w:rsidRDefault="00000000" w:rsidRPr="00000000" w14:paraId="00000024">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01</w:t>
            </w:r>
          </w:p>
        </w:tc>
        <w:tc>
          <w:tcPr>
            <w:vAlign w:val="center"/>
          </w:tcPr>
          <w:p w:rsidR="00000000" w:rsidDel="00000000" w:rsidP="00000000" w:rsidRDefault="00000000" w:rsidRPr="00000000" w14:paraId="00000025">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Unid</w:t>
            </w:r>
          </w:p>
        </w:tc>
        <w:tc>
          <w:tcPr>
            <w:vAlign w:val="center"/>
          </w:tcPr>
          <w:p w:rsidR="00000000" w:rsidDel="00000000" w:rsidP="00000000" w:rsidRDefault="00000000" w:rsidRPr="00000000" w14:paraId="00000026">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ESQV (maiores)</w:t>
            </w:r>
          </w:p>
        </w:tc>
        <w:tc>
          <w:tcPr>
            <w:vAlign w:val="center"/>
          </w:tcPr>
          <w:p w:rsidR="00000000" w:rsidDel="00000000" w:rsidP="00000000" w:rsidRDefault="00000000" w:rsidRPr="00000000" w14:paraId="00000027">
            <w:pPr>
              <w:widowControl w:val="0"/>
              <w:spacing w:line="312" w:lineRule="auto"/>
              <w:jc w:val="both"/>
              <w:rPr>
                <w:color w:val="000000"/>
                <w:sz w:val="18"/>
                <w:szCs w:val="18"/>
                <w:vertAlign w:val="baseline"/>
              </w:rPr>
            </w:pPr>
            <w:r w:rsidDel="00000000" w:rsidR="00000000" w:rsidRPr="00000000">
              <w:rPr>
                <w:color w:val="000000"/>
                <w:sz w:val="18"/>
                <w:szCs w:val="18"/>
                <w:vertAlign w:val="baseline"/>
                <w:rtl w:val="0"/>
              </w:rPr>
              <w:t xml:space="preserve">Materiais de Ferro e Aço abrangendo tubos, chapas, telhas, arames, telas, vigas, vergalhões e demais acessórios, complementos e afins (baseados na Tabela SINAPI-MG)</w:t>
            </w:r>
          </w:p>
        </w:tc>
        <w:tc>
          <w:tcPr>
            <w:vAlign w:val="top"/>
          </w:tcPr>
          <w:p w:rsidR="00000000" w:rsidDel="00000000" w:rsidP="00000000" w:rsidRDefault="00000000" w:rsidRPr="00000000" w14:paraId="00000028">
            <w:pPr>
              <w:widowControl w:val="0"/>
              <w:spacing w:line="312" w:lineRule="auto"/>
              <w:jc w:val="right"/>
              <w:rPr>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029">
            <w:pPr>
              <w:widowControl w:val="0"/>
              <w:spacing w:line="312" w:lineRule="auto"/>
              <w:jc w:val="right"/>
              <w:rPr>
                <w:color w:val="000000"/>
                <w:sz w:val="18"/>
                <w:szCs w:val="18"/>
                <w:vertAlign w:val="baseline"/>
              </w:rPr>
            </w:pPr>
            <w:r w:rsidDel="00000000" w:rsidR="00000000" w:rsidRPr="00000000">
              <w:rPr>
                <w:sz w:val="18"/>
                <w:szCs w:val="18"/>
                <w:rtl w:val="0"/>
              </w:rPr>
              <w:t xml:space="preserve">30</w:t>
            </w:r>
            <w:r w:rsidDel="00000000" w:rsidR="00000000" w:rsidRPr="00000000">
              <w:rPr>
                <w:sz w:val="18"/>
                <w:szCs w:val="18"/>
                <w:vertAlign w:val="baseline"/>
                <w:rtl w:val="0"/>
              </w:rPr>
              <w:t xml:space="preserve">0.000,00</w:t>
            </w:r>
            <w:r w:rsidDel="00000000" w:rsidR="00000000" w:rsidRPr="00000000">
              <w:rPr>
                <w:color w:val="000000"/>
                <w:sz w:val="18"/>
                <w:szCs w:val="18"/>
                <w:vertAlign w:val="baseline"/>
                <w:rtl w:val="0"/>
              </w:rPr>
              <w:t xml:space="preserve"> </w:t>
            </w:r>
          </w:p>
        </w:tc>
        <w:tc>
          <w:tcPr>
            <w:vAlign w:val="center"/>
          </w:tcPr>
          <w:p w:rsidR="00000000" w:rsidDel="00000000" w:rsidP="00000000" w:rsidRDefault="00000000" w:rsidRPr="00000000" w14:paraId="0000002A">
            <w:pPr>
              <w:widowControl w:val="0"/>
              <w:spacing w:line="312" w:lineRule="auto"/>
              <w:jc w:val="center"/>
              <w:rPr>
                <w:color w:val="000000"/>
                <w:sz w:val="18"/>
                <w:szCs w:val="1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2B">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03</w:t>
            </w:r>
          </w:p>
        </w:tc>
        <w:tc>
          <w:tcPr>
            <w:vAlign w:val="center"/>
          </w:tcPr>
          <w:p w:rsidR="00000000" w:rsidDel="00000000" w:rsidP="00000000" w:rsidRDefault="00000000" w:rsidRPr="00000000" w14:paraId="0000002C">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01</w:t>
            </w:r>
          </w:p>
        </w:tc>
        <w:tc>
          <w:tcPr>
            <w:vAlign w:val="center"/>
          </w:tcPr>
          <w:p w:rsidR="00000000" w:rsidDel="00000000" w:rsidP="00000000" w:rsidRDefault="00000000" w:rsidRPr="00000000" w14:paraId="0000002D">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Unid</w:t>
            </w:r>
          </w:p>
        </w:tc>
        <w:tc>
          <w:tcPr>
            <w:vAlign w:val="center"/>
          </w:tcPr>
          <w:p w:rsidR="00000000" w:rsidDel="00000000" w:rsidP="00000000" w:rsidRDefault="00000000" w:rsidRPr="00000000" w14:paraId="0000002E">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ASTU, INHI</w:t>
            </w:r>
          </w:p>
        </w:tc>
        <w:tc>
          <w:tcPr>
            <w:vAlign w:val="center"/>
          </w:tcPr>
          <w:p w:rsidR="00000000" w:rsidDel="00000000" w:rsidP="00000000" w:rsidRDefault="00000000" w:rsidRPr="00000000" w14:paraId="0000002F">
            <w:pPr>
              <w:widowControl w:val="0"/>
              <w:spacing w:line="312" w:lineRule="auto"/>
              <w:jc w:val="both"/>
              <w:rPr>
                <w:color w:val="000000"/>
                <w:sz w:val="18"/>
                <w:szCs w:val="18"/>
                <w:vertAlign w:val="baseline"/>
              </w:rPr>
            </w:pPr>
            <w:r w:rsidDel="00000000" w:rsidR="00000000" w:rsidRPr="00000000">
              <w:rPr>
                <w:color w:val="000000"/>
                <w:sz w:val="18"/>
                <w:szCs w:val="18"/>
                <w:vertAlign w:val="baseline"/>
                <w:rtl w:val="0"/>
              </w:rPr>
              <w:t xml:space="preserve">Materiais Hidráulicos abrangendo tubos e conexões, aparelhos e metais, caixas e ralos, registros e válvulas, louças, torneiras, chuveiros e reservatórios e demais acessórios, complementos e afins (baseado na Tabela SINAPI-MG)</w:t>
            </w:r>
          </w:p>
        </w:tc>
        <w:tc>
          <w:tcPr>
            <w:vAlign w:val="top"/>
          </w:tcPr>
          <w:p w:rsidR="00000000" w:rsidDel="00000000" w:rsidP="00000000" w:rsidRDefault="00000000" w:rsidRPr="00000000" w14:paraId="00000030">
            <w:pPr>
              <w:widowControl w:val="0"/>
              <w:spacing w:line="312" w:lineRule="auto"/>
              <w:jc w:val="right"/>
              <w:rPr>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031">
            <w:pPr>
              <w:widowControl w:val="0"/>
              <w:spacing w:line="312" w:lineRule="auto"/>
              <w:jc w:val="right"/>
              <w:rPr>
                <w:color w:val="000000"/>
                <w:sz w:val="18"/>
                <w:szCs w:val="18"/>
                <w:vertAlign w:val="baseline"/>
              </w:rPr>
            </w:pPr>
            <w:r w:rsidDel="00000000" w:rsidR="00000000" w:rsidRPr="00000000">
              <w:rPr>
                <w:sz w:val="18"/>
                <w:szCs w:val="18"/>
                <w:vertAlign w:val="baseline"/>
                <w:rtl w:val="0"/>
              </w:rPr>
              <w:t xml:space="preserve">2</w:t>
            </w:r>
            <w:r w:rsidDel="00000000" w:rsidR="00000000" w:rsidRPr="00000000">
              <w:rPr>
                <w:sz w:val="18"/>
                <w:szCs w:val="18"/>
                <w:rtl w:val="0"/>
              </w:rPr>
              <w:t xml:space="preserve">5</w:t>
            </w:r>
            <w:r w:rsidDel="00000000" w:rsidR="00000000" w:rsidRPr="00000000">
              <w:rPr>
                <w:sz w:val="18"/>
                <w:szCs w:val="18"/>
                <w:vertAlign w:val="baseline"/>
                <w:rtl w:val="0"/>
              </w:rPr>
              <w:t xml:space="preserve">0.000,00</w:t>
            </w:r>
            <w:r w:rsidDel="00000000" w:rsidR="00000000" w:rsidRPr="00000000">
              <w:rPr>
                <w:color w:val="000000"/>
                <w:sz w:val="18"/>
                <w:szCs w:val="18"/>
                <w:vertAlign w:val="baseline"/>
                <w:rtl w:val="0"/>
              </w:rPr>
              <w:t xml:space="preserve"> </w:t>
            </w:r>
          </w:p>
        </w:tc>
        <w:tc>
          <w:tcPr>
            <w:vAlign w:val="center"/>
          </w:tcPr>
          <w:p w:rsidR="00000000" w:rsidDel="00000000" w:rsidP="00000000" w:rsidRDefault="00000000" w:rsidRPr="00000000" w14:paraId="00000032">
            <w:pPr>
              <w:widowControl w:val="0"/>
              <w:spacing w:line="312" w:lineRule="auto"/>
              <w:jc w:val="center"/>
              <w:rPr>
                <w:color w:val="000000"/>
                <w:sz w:val="18"/>
                <w:szCs w:val="1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33">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04</w:t>
            </w:r>
          </w:p>
        </w:tc>
        <w:tc>
          <w:tcPr>
            <w:vAlign w:val="center"/>
          </w:tcPr>
          <w:p w:rsidR="00000000" w:rsidDel="00000000" w:rsidP="00000000" w:rsidRDefault="00000000" w:rsidRPr="00000000" w14:paraId="00000034">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01</w:t>
            </w:r>
          </w:p>
        </w:tc>
        <w:tc>
          <w:tcPr>
            <w:vAlign w:val="center"/>
          </w:tcPr>
          <w:p w:rsidR="00000000" w:rsidDel="00000000" w:rsidP="00000000" w:rsidRDefault="00000000" w:rsidRPr="00000000" w14:paraId="00000035">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Unid</w:t>
            </w:r>
          </w:p>
        </w:tc>
        <w:tc>
          <w:tcPr>
            <w:vAlign w:val="center"/>
          </w:tcPr>
          <w:p w:rsidR="00000000" w:rsidDel="00000000" w:rsidP="00000000" w:rsidRDefault="00000000" w:rsidRPr="00000000" w14:paraId="00000036">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INEL, INES, SINA</w:t>
            </w:r>
          </w:p>
        </w:tc>
        <w:tc>
          <w:tcPr>
            <w:vAlign w:val="center"/>
          </w:tcPr>
          <w:p w:rsidR="00000000" w:rsidDel="00000000" w:rsidP="00000000" w:rsidRDefault="00000000" w:rsidRPr="00000000" w14:paraId="00000037">
            <w:pPr>
              <w:widowControl w:val="0"/>
              <w:spacing w:line="312" w:lineRule="auto"/>
              <w:jc w:val="both"/>
              <w:rPr>
                <w:color w:val="000000"/>
                <w:sz w:val="18"/>
                <w:szCs w:val="18"/>
                <w:vertAlign w:val="baseline"/>
              </w:rPr>
            </w:pPr>
            <w:r w:rsidDel="00000000" w:rsidR="00000000" w:rsidRPr="00000000">
              <w:rPr>
                <w:color w:val="000000"/>
                <w:sz w:val="18"/>
                <w:szCs w:val="18"/>
                <w:vertAlign w:val="baseline"/>
                <w:rtl w:val="0"/>
              </w:rPr>
              <w:t xml:space="preserve">Materiais Elétricos abrangendo tomadas, interruptores, cabos fios, iluminação, disjuntores complementos e afins (baseado na Tabela SINAPI-MG)</w:t>
            </w:r>
          </w:p>
        </w:tc>
        <w:tc>
          <w:tcPr>
            <w:vAlign w:val="top"/>
          </w:tcPr>
          <w:p w:rsidR="00000000" w:rsidDel="00000000" w:rsidP="00000000" w:rsidRDefault="00000000" w:rsidRPr="00000000" w14:paraId="00000038">
            <w:pPr>
              <w:widowControl w:val="0"/>
              <w:spacing w:line="312" w:lineRule="auto"/>
              <w:jc w:val="right"/>
              <w:rPr>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039">
            <w:pPr>
              <w:widowControl w:val="0"/>
              <w:spacing w:line="312" w:lineRule="auto"/>
              <w:jc w:val="right"/>
              <w:rPr>
                <w:color w:val="000000"/>
                <w:sz w:val="18"/>
                <w:szCs w:val="18"/>
                <w:vertAlign w:val="baseline"/>
              </w:rPr>
            </w:pPr>
            <w:r w:rsidDel="00000000" w:rsidR="00000000" w:rsidRPr="00000000">
              <w:rPr>
                <w:sz w:val="18"/>
                <w:szCs w:val="18"/>
                <w:vertAlign w:val="baseline"/>
                <w:rtl w:val="0"/>
              </w:rPr>
              <w:t xml:space="preserve">2</w:t>
            </w:r>
            <w:r w:rsidDel="00000000" w:rsidR="00000000" w:rsidRPr="00000000">
              <w:rPr>
                <w:sz w:val="18"/>
                <w:szCs w:val="18"/>
                <w:rtl w:val="0"/>
              </w:rPr>
              <w:t xml:space="preserve">5</w:t>
            </w:r>
            <w:r w:rsidDel="00000000" w:rsidR="00000000" w:rsidRPr="00000000">
              <w:rPr>
                <w:sz w:val="18"/>
                <w:szCs w:val="18"/>
                <w:vertAlign w:val="baseline"/>
                <w:rtl w:val="0"/>
              </w:rPr>
              <w:t xml:space="preserve">0.000,00</w:t>
            </w:r>
            <w:r w:rsidDel="00000000" w:rsidR="00000000" w:rsidRPr="00000000">
              <w:rPr>
                <w:color w:val="000000"/>
                <w:sz w:val="18"/>
                <w:szCs w:val="18"/>
                <w:vertAlign w:val="baseline"/>
                <w:rtl w:val="0"/>
              </w:rPr>
              <w:t xml:space="preserve"> </w:t>
            </w:r>
          </w:p>
        </w:tc>
        <w:tc>
          <w:tcPr>
            <w:vAlign w:val="center"/>
          </w:tcPr>
          <w:p w:rsidR="00000000" w:rsidDel="00000000" w:rsidP="00000000" w:rsidRDefault="00000000" w:rsidRPr="00000000" w14:paraId="0000003A">
            <w:pPr>
              <w:widowControl w:val="0"/>
              <w:spacing w:line="312" w:lineRule="auto"/>
              <w:jc w:val="center"/>
              <w:rPr>
                <w:color w:val="000000"/>
                <w:sz w:val="18"/>
                <w:szCs w:val="1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3B">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05</w:t>
            </w:r>
          </w:p>
        </w:tc>
        <w:tc>
          <w:tcPr>
            <w:vAlign w:val="center"/>
          </w:tcPr>
          <w:p w:rsidR="00000000" w:rsidDel="00000000" w:rsidP="00000000" w:rsidRDefault="00000000" w:rsidRPr="00000000" w14:paraId="0000003C">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01</w:t>
            </w:r>
          </w:p>
        </w:tc>
        <w:tc>
          <w:tcPr>
            <w:vAlign w:val="center"/>
          </w:tcPr>
          <w:p w:rsidR="00000000" w:rsidDel="00000000" w:rsidP="00000000" w:rsidRDefault="00000000" w:rsidRPr="00000000" w14:paraId="0000003D">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Unid</w:t>
            </w:r>
          </w:p>
        </w:tc>
        <w:tc>
          <w:tcPr>
            <w:vAlign w:val="center"/>
          </w:tcPr>
          <w:p w:rsidR="00000000" w:rsidDel="00000000" w:rsidP="00000000" w:rsidRDefault="00000000" w:rsidRPr="00000000" w14:paraId="0000003E">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PINT, PAVI</w:t>
            </w:r>
          </w:p>
        </w:tc>
        <w:tc>
          <w:tcPr>
            <w:vAlign w:val="center"/>
          </w:tcPr>
          <w:p w:rsidR="00000000" w:rsidDel="00000000" w:rsidP="00000000" w:rsidRDefault="00000000" w:rsidRPr="00000000" w14:paraId="0000003F">
            <w:pPr>
              <w:widowControl w:val="0"/>
              <w:spacing w:line="312" w:lineRule="auto"/>
              <w:jc w:val="both"/>
              <w:rPr>
                <w:color w:val="000000"/>
                <w:sz w:val="18"/>
                <w:szCs w:val="18"/>
                <w:vertAlign w:val="baseline"/>
              </w:rPr>
            </w:pPr>
            <w:r w:rsidDel="00000000" w:rsidR="00000000" w:rsidRPr="00000000">
              <w:rPr>
                <w:color w:val="000000"/>
                <w:sz w:val="18"/>
                <w:szCs w:val="18"/>
                <w:vertAlign w:val="baseline"/>
                <w:rtl w:val="0"/>
              </w:rPr>
              <w:t xml:space="preserve">Materiais de Pintura abrangendo tintas, massas, impermeabilizantes, solventes e removedores, fundos e seladores, vernizes, silicones, adesivos e colas, pinceis, rolos e afins (baseado na Tabela SINAPI-MG)</w:t>
            </w:r>
          </w:p>
        </w:tc>
        <w:tc>
          <w:tcPr>
            <w:vAlign w:val="top"/>
          </w:tcPr>
          <w:p w:rsidR="00000000" w:rsidDel="00000000" w:rsidP="00000000" w:rsidRDefault="00000000" w:rsidRPr="00000000" w14:paraId="00000040">
            <w:pPr>
              <w:jc w:val="right"/>
              <w:rPr>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041">
            <w:pPr>
              <w:jc w:val="right"/>
              <w:rPr>
                <w:sz w:val="18"/>
                <w:szCs w:val="18"/>
                <w:vertAlign w:val="baseline"/>
              </w:rPr>
            </w:pPr>
            <w:r w:rsidDel="00000000" w:rsidR="00000000" w:rsidRPr="00000000">
              <w:rPr>
                <w:rtl w:val="0"/>
              </w:rPr>
            </w:r>
          </w:p>
          <w:p w:rsidR="00000000" w:rsidDel="00000000" w:rsidP="00000000" w:rsidRDefault="00000000" w:rsidRPr="00000000" w14:paraId="00000042">
            <w:pPr>
              <w:widowControl w:val="0"/>
              <w:spacing w:line="312" w:lineRule="auto"/>
              <w:jc w:val="right"/>
              <w:rPr>
                <w:color w:val="000000"/>
                <w:sz w:val="18"/>
                <w:szCs w:val="18"/>
                <w:vertAlign w:val="baseline"/>
              </w:rPr>
            </w:pPr>
            <w:r w:rsidDel="00000000" w:rsidR="00000000" w:rsidRPr="00000000">
              <w:rPr>
                <w:sz w:val="18"/>
                <w:szCs w:val="18"/>
                <w:vertAlign w:val="baseline"/>
                <w:rtl w:val="0"/>
              </w:rPr>
              <w:t xml:space="preserve">250.000,00</w:t>
            </w:r>
            <w:r w:rsidDel="00000000" w:rsidR="00000000" w:rsidRPr="00000000">
              <w:rPr>
                <w:color w:val="000000"/>
                <w:sz w:val="18"/>
                <w:szCs w:val="18"/>
                <w:vertAlign w:val="baseline"/>
                <w:rtl w:val="0"/>
              </w:rPr>
              <w:t xml:space="preserve"> </w:t>
            </w:r>
          </w:p>
        </w:tc>
        <w:tc>
          <w:tcPr>
            <w:vAlign w:val="center"/>
          </w:tcPr>
          <w:p w:rsidR="00000000" w:rsidDel="00000000" w:rsidP="00000000" w:rsidRDefault="00000000" w:rsidRPr="00000000" w14:paraId="00000043">
            <w:pPr>
              <w:widowControl w:val="0"/>
              <w:spacing w:line="312" w:lineRule="auto"/>
              <w:jc w:val="center"/>
              <w:rPr>
                <w:color w:val="000000"/>
                <w:sz w:val="18"/>
                <w:szCs w:val="1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44">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06</w:t>
            </w:r>
          </w:p>
        </w:tc>
        <w:tc>
          <w:tcPr>
            <w:vAlign w:val="center"/>
          </w:tcPr>
          <w:p w:rsidR="00000000" w:rsidDel="00000000" w:rsidP="00000000" w:rsidRDefault="00000000" w:rsidRPr="00000000" w14:paraId="00000045">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01</w:t>
            </w:r>
          </w:p>
        </w:tc>
        <w:tc>
          <w:tcPr>
            <w:vAlign w:val="center"/>
          </w:tcPr>
          <w:p w:rsidR="00000000" w:rsidDel="00000000" w:rsidP="00000000" w:rsidRDefault="00000000" w:rsidRPr="00000000" w14:paraId="00000046">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Unid</w:t>
            </w:r>
          </w:p>
        </w:tc>
        <w:tc>
          <w:tcPr>
            <w:vAlign w:val="center"/>
          </w:tcPr>
          <w:p w:rsidR="00000000" w:rsidDel="00000000" w:rsidP="00000000" w:rsidRDefault="00000000" w:rsidRPr="00000000" w14:paraId="00000047">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COBE, ESQV</w:t>
            </w:r>
          </w:p>
        </w:tc>
        <w:tc>
          <w:tcPr>
            <w:vAlign w:val="center"/>
          </w:tcPr>
          <w:p w:rsidR="00000000" w:rsidDel="00000000" w:rsidP="00000000" w:rsidRDefault="00000000" w:rsidRPr="00000000" w14:paraId="00000048">
            <w:pPr>
              <w:widowControl w:val="0"/>
              <w:spacing w:line="312" w:lineRule="auto"/>
              <w:jc w:val="both"/>
              <w:rPr>
                <w:color w:val="000000"/>
                <w:sz w:val="18"/>
                <w:szCs w:val="18"/>
                <w:vertAlign w:val="baseline"/>
              </w:rPr>
            </w:pPr>
            <w:r w:rsidDel="00000000" w:rsidR="00000000" w:rsidRPr="00000000">
              <w:rPr>
                <w:color w:val="000000"/>
                <w:sz w:val="18"/>
                <w:szCs w:val="18"/>
                <w:vertAlign w:val="baseline"/>
                <w:rtl w:val="0"/>
              </w:rPr>
              <w:t xml:space="preserve">Materiais de carpintaria e marcenaria, abrangendo madeiras, compensados, barrotes, caibros, tábuas e demais acessórios, complementos e afins (baseado na Tabela SINAPI-MG)</w:t>
            </w:r>
          </w:p>
        </w:tc>
        <w:tc>
          <w:tcPr>
            <w:vAlign w:val="top"/>
          </w:tcPr>
          <w:p w:rsidR="00000000" w:rsidDel="00000000" w:rsidP="00000000" w:rsidRDefault="00000000" w:rsidRPr="00000000" w14:paraId="00000049">
            <w:pPr>
              <w:widowControl w:val="0"/>
              <w:spacing w:line="312" w:lineRule="auto"/>
              <w:jc w:val="right"/>
              <w:rPr>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04A">
            <w:pPr>
              <w:widowControl w:val="0"/>
              <w:spacing w:line="312" w:lineRule="auto"/>
              <w:jc w:val="right"/>
              <w:rPr>
                <w:color w:val="000000"/>
                <w:sz w:val="18"/>
                <w:szCs w:val="18"/>
                <w:vertAlign w:val="baseline"/>
              </w:rPr>
            </w:pPr>
            <w:r w:rsidDel="00000000" w:rsidR="00000000" w:rsidRPr="00000000">
              <w:rPr>
                <w:sz w:val="18"/>
                <w:szCs w:val="18"/>
                <w:rtl w:val="0"/>
              </w:rPr>
              <w:t xml:space="preserve">20</w:t>
            </w:r>
            <w:r w:rsidDel="00000000" w:rsidR="00000000" w:rsidRPr="00000000">
              <w:rPr>
                <w:sz w:val="18"/>
                <w:szCs w:val="18"/>
                <w:vertAlign w:val="baseline"/>
                <w:rtl w:val="0"/>
              </w:rPr>
              <w:t xml:space="preserve">0.000,00</w:t>
            </w:r>
            <w:r w:rsidDel="00000000" w:rsidR="00000000" w:rsidRPr="00000000">
              <w:rPr>
                <w:color w:val="000000"/>
                <w:sz w:val="18"/>
                <w:szCs w:val="18"/>
                <w:vertAlign w:val="baseline"/>
                <w:rtl w:val="0"/>
              </w:rPr>
              <w:t xml:space="preserve"> </w:t>
            </w:r>
          </w:p>
        </w:tc>
        <w:tc>
          <w:tcPr>
            <w:vAlign w:val="center"/>
          </w:tcPr>
          <w:p w:rsidR="00000000" w:rsidDel="00000000" w:rsidP="00000000" w:rsidRDefault="00000000" w:rsidRPr="00000000" w14:paraId="0000004B">
            <w:pPr>
              <w:widowControl w:val="0"/>
              <w:spacing w:line="312" w:lineRule="auto"/>
              <w:jc w:val="center"/>
              <w:rPr>
                <w:color w:val="000000"/>
                <w:sz w:val="18"/>
                <w:szCs w:val="1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4C">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07</w:t>
            </w:r>
          </w:p>
        </w:tc>
        <w:tc>
          <w:tcPr>
            <w:vAlign w:val="center"/>
          </w:tcPr>
          <w:p w:rsidR="00000000" w:rsidDel="00000000" w:rsidP="00000000" w:rsidRDefault="00000000" w:rsidRPr="00000000" w14:paraId="0000004D">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01</w:t>
            </w:r>
          </w:p>
        </w:tc>
        <w:tc>
          <w:tcPr>
            <w:vAlign w:val="center"/>
          </w:tcPr>
          <w:p w:rsidR="00000000" w:rsidDel="00000000" w:rsidP="00000000" w:rsidRDefault="00000000" w:rsidRPr="00000000" w14:paraId="0000004E">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Unid</w:t>
            </w:r>
          </w:p>
        </w:tc>
        <w:tc>
          <w:tcPr>
            <w:vAlign w:val="center"/>
          </w:tcPr>
          <w:p w:rsidR="00000000" w:rsidDel="00000000" w:rsidP="00000000" w:rsidRDefault="00000000" w:rsidRPr="00000000" w14:paraId="0000004F">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PISO</w:t>
            </w:r>
          </w:p>
        </w:tc>
        <w:tc>
          <w:tcPr>
            <w:vAlign w:val="center"/>
          </w:tcPr>
          <w:p w:rsidR="00000000" w:rsidDel="00000000" w:rsidP="00000000" w:rsidRDefault="00000000" w:rsidRPr="00000000" w14:paraId="00000050">
            <w:pPr>
              <w:widowControl w:val="0"/>
              <w:spacing w:line="312" w:lineRule="auto"/>
              <w:jc w:val="both"/>
              <w:rPr>
                <w:color w:val="000000"/>
                <w:sz w:val="18"/>
                <w:szCs w:val="18"/>
                <w:vertAlign w:val="baseline"/>
              </w:rPr>
            </w:pPr>
            <w:r w:rsidDel="00000000" w:rsidR="00000000" w:rsidRPr="00000000">
              <w:rPr>
                <w:color w:val="000000"/>
                <w:sz w:val="18"/>
                <w:szCs w:val="18"/>
                <w:vertAlign w:val="baseline"/>
                <w:rtl w:val="0"/>
              </w:rPr>
              <w:t xml:space="preserve">Materiais de Pisos, Revestimentos e demais acessórios, complementos e afins (baseado na Tabela SINAPI-MG).</w:t>
            </w:r>
          </w:p>
        </w:tc>
        <w:tc>
          <w:tcPr>
            <w:vAlign w:val="top"/>
          </w:tcPr>
          <w:p w:rsidR="00000000" w:rsidDel="00000000" w:rsidP="00000000" w:rsidRDefault="00000000" w:rsidRPr="00000000" w14:paraId="00000051">
            <w:pPr>
              <w:widowControl w:val="0"/>
              <w:spacing w:line="312" w:lineRule="auto"/>
              <w:jc w:val="right"/>
              <w:rPr>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052">
            <w:pPr>
              <w:widowControl w:val="0"/>
              <w:spacing w:line="312" w:lineRule="auto"/>
              <w:jc w:val="right"/>
              <w:rPr>
                <w:color w:val="000000"/>
                <w:sz w:val="18"/>
                <w:szCs w:val="18"/>
                <w:vertAlign w:val="baseline"/>
              </w:rPr>
            </w:pPr>
            <w:r w:rsidDel="00000000" w:rsidR="00000000" w:rsidRPr="00000000">
              <w:rPr>
                <w:sz w:val="18"/>
                <w:szCs w:val="18"/>
                <w:vertAlign w:val="baseline"/>
                <w:rtl w:val="0"/>
              </w:rPr>
              <w:t xml:space="preserve">100.000,00</w:t>
            </w:r>
            <w:r w:rsidDel="00000000" w:rsidR="00000000" w:rsidRPr="00000000">
              <w:rPr>
                <w:color w:val="000000"/>
                <w:sz w:val="18"/>
                <w:szCs w:val="18"/>
                <w:vertAlign w:val="baseline"/>
                <w:rtl w:val="0"/>
              </w:rPr>
              <w:t xml:space="preserve"> </w:t>
            </w:r>
          </w:p>
        </w:tc>
        <w:tc>
          <w:tcPr>
            <w:vAlign w:val="center"/>
          </w:tcPr>
          <w:p w:rsidR="00000000" w:rsidDel="00000000" w:rsidP="00000000" w:rsidRDefault="00000000" w:rsidRPr="00000000" w14:paraId="00000053">
            <w:pPr>
              <w:widowControl w:val="0"/>
              <w:spacing w:line="312" w:lineRule="auto"/>
              <w:jc w:val="center"/>
              <w:rPr>
                <w:color w:val="000000"/>
                <w:sz w:val="18"/>
                <w:szCs w:val="1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4">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08</w:t>
            </w:r>
          </w:p>
        </w:tc>
        <w:tc>
          <w:tcPr>
            <w:vAlign w:val="center"/>
          </w:tcPr>
          <w:p w:rsidR="00000000" w:rsidDel="00000000" w:rsidP="00000000" w:rsidRDefault="00000000" w:rsidRPr="00000000" w14:paraId="00000055">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01</w:t>
            </w:r>
          </w:p>
        </w:tc>
        <w:tc>
          <w:tcPr>
            <w:vAlign w:val="center"/>
          </w:tcPr>
          <w:p w:rsidR="00000000" w:rsidDel="00000000" w:rsidP="00000000" w:rsidRDefault="00000000" w:rsidRPr="00000000" w14:paraId="00000056">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Unid</w:t>
            </w:r>
          </w:p>
        </w:tc>
        <w:tc>
          <w:tcPr>
            <w:vAlign w:val="center"/>
          </w:tcPr>
          <w:p w:rsidR="00000000" w:rsidDel="00000000" w:rsidP="00000000" w:rsidRDefault="00000000" w:rsidRPr="00000000" w14:paraId="00000057">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ESQV</w:t>
            </w:r>
          </w:p>
        </w:tc>
        <w:tc>
          <w:tcPr>
            <w:vAlign w:val="center"/>
          </w:tcPr>
          <w:p w:rsidR="00000000" w:rsidDel="00000000" w:rsidP="00000000" w:rsidRDefault="00000000" w:rsidRPr="00000000" w14:paraId="00000058">
            <w:pPr>
              <w:widowControl w:val="0"/>
              <w:spacing w:line="312" w:lineRule="auto"/>
              <w:jc w:val="both"/>
              <w:rPr>
                <w:color w:val="000000"/>
                <w:sz w:val="18"/>
                <w:szCs w:val="18"/>
                <w:vertAlign w:val="baseline"/>
              </w:rPr>
            </w:pPr>
            <w:r w:rsidDel="00000000" w:rsidR="00000000" w:rsidRPr="00000000">
              <w:rPr>
                <w:color w:val="000000"/>
                <w:sz w:val="18"/>
                <w:szCs w:val="18"/>
                <w:vertAlign w:val="baseline"/>
                <w:rtl w:val="0"/>
              </w:rPr>
              <w:t xml:space="preserve">Materiais de Janelas, Portas e demais acessórios, complementos e afins (baseado na Tabela SINAPI-MG)</w:t>
            </w:r>
          </w:p>
        </w:tc>
        <w:tc>
          <w:tcPr>
            <w:vAlign w:val="top"/>
          </w:tcPr>
          <w:p w:rsidR="00000000" w:rsidDel="00000000" w:rsidP="00000000" w:rsidRDefault="00000000" w:rsidRPr="00000000" w14:paraId="00000059">
            <w:pPr>
              <w:widowControl w:val="0"/>
              <w:spacing w:line="312" w:lineRule="auto"/>
              <w:jc w:val="right"/>
              <w:rPr>
                <w:color w:val="000000"/>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05A">
            <w:pPr>
              <w:widowControl w:val="0"/>
              <w:spacing w:line="312" w:lineRule="auto"/>
              <w:jc w:val="right"/>
              <w:rPr>
                <w:color w:val="000000"/>
                <w:sz w:val="18"/>
                <w:szCs w:val="18"/>
                <w:vertAlign w:val="baseline"/>
              </w:rPr>
            </w:pPr>
            <w:r w:rsidDel="00000000" w:rsidR="00000000" w:rsidRPr="00000000">
              <w:rPr>
                <w:color w:val="000000"/>
                <w:sz w:val="18"/>
                <w:szCs w:val="18"/>
                <w:vertAlign w:val="baseline"/>
                <w:rtl w:val="0"/>
              </w:rPr>
              <w:t xml:space="preserve"> 50.000,00</w:t>
            </w:r>
          </w:p>
        </w:tc>
        <w:tc>
          <w:tcPr>
            <w:vAlign w:val="center"/>
          </w:tcPr>
          <w:p w:rsidR="00000000" w:rsidDel="00000000" w:rsidP="00000000" w:rsidRDefault="00000000" w:rsidRPr="00000000" w14:paraId="0000005B">
            <w:pPr>
              <w:widowControl w:val="0"/>
              <w:spacing w:line="312" w:lineRule="auto"/>
              <w:jc w:val="center"/>
              <w:rPr>
                <w:color w:val="000000"/>
                <w:sz w:val="18"/>
                <w:szCs w:val="1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C">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09</w:t>
            </w:r>
          </w:p>
        </w:tc>
        <w:tc>
          <w:tcPr>
            <w:vAlign w:val="center"/>
          </w:tcPr>
          <w:p w:rsidR="00000000" w:rsidDel="00000000" w:rsidP="00000000" w:rsidRDefault="00000000" w:rsidRPr="00000000" w14:paraId="0000005D">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01</w:t>
            </w:r>
          </w:p>
        </w:tc>
        <w:tc>
          <w:tcPr>
            <w:vAlign w:val="center"/>
          </w:tcPr>
          <w:p w:rsidR="00000000" w:rsidDel="00000000" w:rsidP="00000000" w:rsidRDefault="00000000" w:rsidRPr="00000000" w14:paraId="0000005E">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Unid</w:t>
            </w:r>
          </w:p>
        </w:tc>
        <w:tc>
          <w:tcPr>
            <w:vAlign w:val="center"/>
          </w:tcPr>
          <w:p w:rsidR="00000000" w:rsidDel="00000000" w:rsidP="00000000" w:rsidRDefault="00000000" w:rsidRPr="00000000" w14:paraId="0000005F">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COBE</w:t>
            </w:r>
          </w:p>
        </w:tc>
        <w:tc>
          <w:tcPr>
            <w:vAlign w:val="center"/>
          </w:tcPr>
          <w:p w:rsidR="00000000" w:rsidDel="00000000" w:rsidP="00000000" w:rsidRDefault="00000000" w:rsidRPr="00000000" w14:paraId="00000060">
            <w:pPr>
              <w:widowControl w:val="0"/>
              <w:spacing w:line="312" w:lineRule="auto"/>
              <w:jc w:val="both"/>
              <w:rPr>
                <w:color w:val="000000"/>
                <w:sz w:val="18"/>
                <w:szCs w:val="18"/>
                <w:vertAlign w:val="baseline"/>
              </w:rPr>
            </w:pPr>
            <w:r w:rsidDel="00000000" w:rsidR="00000000" w:rsidRPr="00000000">
              <w:rPr>
                <w:color w:val="000000"/>
                <w:sz w:val="18"/>
                <w:szCs w:val="18"/>
                <w:vertAlign w:val="baseline"/>
                <w:rtl w:val="0"/>
              </w:rPr>
              <w:t xml:space="preserve">Materiais de Telhas e Calhas e demais acessórios, complementos e afins (baseado na Tabela SINAPI-MG)</w:t>
            </w:r>
          </w:p>
        </w:tc>
        <w:tc>
          <w:tcPr>
            <w:vAlign w:val="top"/>
          </w:tcPr>
          <w:p w:rsidR="00000000" w:rsidDel="00000000" w:rsidP="00000000" w:rsidRDefault="00000000" w:rsidRPr="00000000" w14:paraId="00000061">
            <w:pPr>
              <w:widowControl w:val="0"/>
              <w:spacing w:line="312" w:lineRule="auto"/>
              <w:jc w:val="right"/>
              <w:rPr>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062">
            <w:pPr>
              <w:widowControl w:val="0"/>
              <w:spacing w:line="312" w:lineRule="auto"/>
              <w:jc w:val="right"/>
              <w:rPr>
                <w:color w:val="000000"/>
                <w:sz w:val="18"/>
                <w:szCs w:val="18"/>
                <w:vertAlign w:val="baseline"/>
              </w:rPr>
            </w:pPr>
            <w:r w:rsidDel="00000000" w:rsidR="00000000" w:rsidRPr="00000000">
              <w:rPr>
                <w:sz w:val="18"/>
                <w:szCs w:val="18"/>
                <w:vertAlign w:val="baseline"/>
                <w:rtl w:val="0"/>
              </w:rPr>
              <w:t xml:space="preserve">100.000,00</w:t>
            </w:r>
            <w:r w:rsidDel="00000000" w:rsidR="00000000" w:rsidRPr="00000000">
              <w:rPr>
                <w:color w:val="000000"/>
                <w:sz w:val="18"/>
                <w:szCs w:val="18"/>
                <w:vertAlign w:val="baseline"/>
                <w:rtl w:val="0"/>
              </w:rPr>
              <w:t xml:space="preserve"> </w:t>
            </w:r>
          </w:p>
        </w:tc>
        <w:tc>
          <w:tcPr>
            <w:vAlign w:val="center"/>
          </w:tcPr>
          <w:p w:rsidR="00000000" w:rsidDel="00000000" w:rsidP="00000000" w:rsidRDefault="00000000" w:rsidRPr="00000000" w14:paraId="00000063">
            <w:pPr>
              <w:widowControl w:val="0"/>
              <w:spacing w:line="312" w:lineRule="auto"/>
              <w:jc w:val="center"/>
              <w:rPr>
                <w:color w:val="000000"/>
                <w:sz w:val="18"/>
                <w:szCs w:val="1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4">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10</w:t>
            </w:r>
          </w:p>
        </w:tc>
        <w:tc>
          <w:tcPr>
            <w:vAlign w:val="center"/>
          </w:tcPr>
          <w:p w:rsidR="00000000" w:rsidDel="00000000" w:rsidP="00000000" w:rsidRDefault="00000000" w:rsidRPr="00000000" w14:paraId="00000065">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01</w:t>
            </w:r>
          </w:p>
        </w:tc>
        <w:tc>
          <w:tcPr>
            <w:vAlign w:val="center"/>
          </w:tcPr>
          <w:p w:rsidR="00000000" w:rsidDel="00000000" w:rsidP="00000000" w:rsidRDefault="00000000" w:rsidRPr="00000000" w14:paraId="00000066">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Unid</w:t>
            </w:r>
          </w:p>
        </w:tc>
        <w:tc>
          <w:tcPr>
            <w:vAlign w:val="center"/>
          </w:tcPr>
          <w:p w:rsidR="00000000" w:rsidDel="00000000" w:rsidP="00000000" w:rsidRDefault="00000000" w:rsidRPr="00000000" w14:paraId="00000067">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ESQV (menores)</w:t>
            </w:r>
          </w:p>
        </w:tc>
        <w:tc>
          <w:tcPr>
            <w:vAlign w:val="center"/>
          </w:tcPr>
          <w:p w:rsidR="00000000" w:rsidDel="00000000" w:rsidP="00000000" w:rsidRDefault="00000000" w:rsidRPr="00000000" w14:paraId="00000068">
            <w:pPr>
              <w:widowControl w:val="0"/>
              <w:spacing w:line="312" w:lineRule="auto"/>
              <w:jc w:val="both"/>
              <w:rPr>
                <w:color w:val="000000"/>
                <w:sz w:val="18"/>
                <w:szCs w:val="18"/>
                <w:vertAlign w:val="baseline"/>
              </w:rPr>
            </w:pPr>
            <w:r w:rsidDel="00000000" w:rsidR="00000000" w:rsidRPr="00000000">
              <w:rPr>
                <w:color w:val="000000"/>
                <w:sz w:val="18"/>
                <w:szCs w:val="18"/>
                <w:vertAlign w:val="baseline"/>
                <w:rtl w:val="0"/>
              </w:rPr>
              <w:t xml:space="preserve">Materiais de ferragens abrangendo dobradiças, fechaduras, trancas, pregos, parafusos, suportes, ganchos e demais acessórios, complementos e afins (baseado na Tabela SINAPI-MG)</w:t>
            </w:r>
          </w:p>
        </w:tc>
        <w:tc>
          <w:tcPr>
            <w:vAlign w:val="top"/>
          </w:tcPr>
          <w:p w:rsidR="00000000" w:rsidDel="00000000" w:rsidP="00000000" w:rsidRDefault="00000000" w:rsidRPr="00000000" w14:paraId="00000069">
            <w:pPr>
              <w:widowControl w:val="0"/>
              <w:spacing w:line="312" w:lineRule="auto"/>
              <w:jc w:val="right"/>
              <w:rPr>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06A">
            <w:pPr>
              <w:widowControl w:val="0"/>
              <w:spacing w:line="312" w:lineRule="auto"/>
              <w:jc w:val="right"/>
              <w:rPr>
                <w:color w:val="000000"/>
                <w:sz w:val="18"/>
                <w:szCs w:val="18"/>
                <w:vertAlign w:val="baseline"/>
              </w:rPr>
            </w:pPr>
            <w:r w:rsidDel="00000000" w:rsidR="00000000" w:rsidRPr="00000000">
              <w:rPr>
                <w:sz w:val="18"/>
                <w:szCs w:val="18"/>
                <w:vertAlign w:val="baseline"/>
                <w:rtl w:val="0"/>
              </w:rPr>
              <w:t xml:space="preserve">50.000,00</w:t>
            </w:r>
            <w:r w:rsidDel="00000000" w:rsidR="00000000" w:rsidRPr="00000000">
              <w:rPr>
                <w:color w:val="000000"/>
                <w:sz w:val="18"/>
                <w:szCs w:val="18"/>
                <w:vertAlign w:val="baseline"/>
                <w:rtl w:val="0"/>
              </w:rPr>
              <w:t xml:space="preserve"> </w:t>
            </w:r>
          </w:p>
        </w:tc>
        <w:tc>
          <w:tcPr>
            <w:vAlign w:val="center"/>
          </w:tcPr>
          <w:p w:rsidR="00000000" w:rsidDel="00000000" w:rsidP="00000000" w:rsidRDefault="00000000" w:rsidRPr="00000000" w14:paraId="0000006B">
            <w:pPr>
              <w:widowControl w:val="0"/>
              <w:spacing w:line="312" w:lineRule="auto"/>
              <w:jc w:val="center"/>
              <w:rPr>
                <w:color w:val="000000"/>
                <w:sz w:val="18"/>
                <w:szCs w:val="1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C">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11</w:t>
            </w:r>
          </w:p>
        </w:tc>
        <w:tc>
          <w:tcPr>
            <w:vAlign w:val="center"/>
          </w:tcPr>
          <w:p w:rsidR="00000000" w:rsidDel="00000000" w:rsidP="00000000" w:rsidRDefault="00000000" w:rsidRPr="00000000" w14:paraId="0000006D">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01</w:t>
            </w:r>
          </w:p>
        </w:tc>
        <w:tc>
          <w:tcPr>
            <w:vAlign w:val="center"/>
          </w:tcPr>
          <w:p w:rsidR="00000000" w:rsidDel="00000000" w:rsidP="00000000" w:rsidRDefault="00000000" w:rsidRPr="00000000" w14:paraId="0000006E">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Unid</w:t>
            </w:r>
          </w:p>
        </w:tc>
        <w:tc>
          <w:tcPr>
            <w:vAlign w:val="center"/>
          </w:tcPr>
          <w:p w:rsidR="00000000" w:rsidDel="00000000" w:rsidP="00000000" w:rsidRDefault="00000000" w:rsidRPr="00000000" w14:paraId="0000006F">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CHOR</w:t>
            </w:r>
          </w:p>
        </w:tc>
        <w:tc>
          <w:tcPr>
            <w:vAlign w:val="center"/>
          </w:tcPr>
          <w:p w:rsidR="00000000" w:rsidDel="00000000" w:rsidP="00000000" w:rsidRDefault="00000000" w:rsidRPr="00000000" w14:paraId="00000070">
            <w:pPr>
              <w:widowControl w:val="0"/>
              <w:spacing w:line="312" w:lineRule="auto"/>
              <w:jc w:val="both"/>
              <w:rPr>
                <w:color w:val="000000"/>
                <w:sz w:val="18"/>
                <w:szCs w:val="18"/>
                <w:vertAlign w:val="baseline"/>
              </w:rPr>
            </w:pPr>
            <w:r w:rsidDel="00000000" w:rsidR="00000000" w:rsidRPr="00000000">
              <w:rPr>
                <w:color w:val="000000"/>
                <w:sz w:val="18"/>
                <w:szCs w:val="18"/>
                <w:vertAlign w:val="baseline"/>
                <w:rtl w:val="0"/>
              </w:rPr>
              <w:t xml:space="preserve">Ferramental em geral, mecânica, hidráulica, elétrica, equipamentos manuais e demais acessórios, complementos e afins (baseado na Tabela SINAPI-MG)</w:t>
            </w:r>
          </w:p>
        </w:tc>
        <w:tc>
          <w:tcPr>
            <w:vAlign w:val="top"/>
          </w:tcPr>
          <w:p w:rsidR="00000000" w:rsidDel="00000000" w:rsidP="00000000" w:rsidRDefault="00000000" w:rsidRPr="00000000" w14:paraId="00000071">
            <w:pPr>
              <w:widowControl w:val="0"/>
              <w:spacing w:line="312" w:lineRule="auto"/>
              <w:jc w:val="right"/>
              <w:rPr>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072">
            <w:pPr>
              <w:widowControl w:val="0"/>
              <w:spacing w:line="312" w:lineRule="auto"/>
              <w:jc w:val="right"/>
              <w:rPr>
                <w:color w:val="000000"/>
                <w:sz w:val="18"/>
                <w:szCs w:val="18"/>
                <w:vertAlign w:val="baseline"/>
              </w:rPr>
            </w:pPr>
            <w:r w:rsidDel="00000000" w:rsidR="00000000" w:rsidRPr="00000000">
              <w:rPr>
                <w:sz w:val="18"/>
                <w:szCs w:val="18"/>
                <w:vertAlign w:val="baseline"/>
                <w:rtl w:val="0"/>
              </w:rPr>
              <w:t xml:space="preserve">200.000,00</w:t>
            </w:r>
            <w:r w:rsidDel="00000000" w:rsidR="00000000" w:rsidRPr="00000000">
              <w:rPr>
                <w:color w:val="000000"/>
                <w:sz w:val="18"/>
                <w:szCs w:val="18"/>
                <w:vertAlign w:val="baseline"/>
                <w:rtl w:val="0"/>
              </w:rPr>
              <w:t xml:space="preserve"> </w:t>
            </w:r>
          </w:p>
        </w:tc>
        <w:tc>
          <w:tcPr>
            <w:vAlign w:val="center"/>
          </w:tcPr>
          <w:p w:rsidR="00000000" w:rsidDel="00000000" w:rsidP="00000000" w:rsidRDefault="00000000" w:rsidRPr="00000000" w14:paraId="00000073">
            <w:pPr>
              <w:widowControl w:val="0"/>
              <w:spacing w:line="312" w:lineRule="auto"/>
              <w:jc w:val="center"/>
              <w:rPr>
                <w:color w:val="000000"/>
                <w:sz w:val="18"/>
                <w:szCs w:val="1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4">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12</w:t>
            </w:r>
          </w:p>
        </w:tc>
        <w:tc>
          <w:tcPr>
            <w:vAlign w:val="center"/>
          </w:tcPr>
          <w:p w:rsidR="00000000" w:rsidDel="00000000" w:rsidP="00000000" w:rsidRDefault="00000000" w:rsidRPr="00000000" w14:paraId="00000075">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01</w:t>
            </w:r>
          </w:p>
        </w:tc>
        <w:tc>
          <w:tcPr>
            <w:vAlign w:val="center"/>
          </w:tcPr>
          <w:p w:rsidR="00000000" w:rsidDel="00000000" w:rsidP="00000000" w:rsidRDefault="00000000" w:rsidRPr="00000000" w14:paraId="00000076">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Unid</w:t>
            </w:r>
          </w:p>
        </w:tc>
        <w:tc>
          <w:tcPr>
            <w:vAlign w:val="center"/>
          </w:tcPr>
          <w:p w:rsidR="00000000" w:rsidDel="00000000" w:rsidP="00000000" w:rsidRDefault="00000000" w:rsidRPr="00000000" w14:paraId="00000077">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ESQV</w:t>
            </w:r>
          </w:p>
        </w:tc>
        <w:tc>
          <w:tcPr>
            <w:vAlign w:val="center"/>
          </w:tcPr>
          <w:p w:rsidR="00000000" w:rsidDel="00000000" w:rsidP="00000000" w:rsidRDefault="00000000" w:rsidRPr="00000000" w14:paraId="00000078">
            <w:pPr>
              <w:widowControl w:val="0"/>
              <w:spacing w:line="312" w:lineRule="auto"/>
              <w:jc w:val="both"/>
              <w:rPr>
                <w:color w:val="000000"/>
                <w:sz w:val="18"/>
                <w:szCs w:val="18"/>
                <w:vertAlign w:val="baseline"/>
              </w:rPr>
            </w:pPr>
            <w:r w:rsidDel="00000000" w:rsidR="00000000" w:rsidRPr="00000000">
              <w:rPr>
                <w:color w:val="000000"/>
                <w:sz w:val="18"/>
                <w:szCs w:val="18"/>
                <w:vertAlign w:val="baseline"/>
                <w:rtl w:val="0"/>
              </w:rPr>
              <w:t xml:space="preserve">Materiais de Vidraçaria abrangendo vidros para janelas, espelhos, puxadores, colas e demais acessórios, complementos e afins (baseados na Tabela SINAPI-MG)</w:t>
            </w:r>
          </w:p>
        </w:tc>
        <w:tc>
          <w:tcPr>
            <w:vAlign w:val="top"/>
          </w:tcPr>
          <w:p w:rsidR="00000000" w:rsidDel="00000000" w:rsidP="00000000" w:rsidRDefault="00000000" w:rsidRPr="00000000" w14:paraId="00000079">
            <w:pPr>
              <w:widowControl w:val="0"/>
              <w:spacing w:line="312" w:lineRule="auto"/>
              <w:jc w:val="right"/>
              <w:rPr>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07A">
            <w:pPr>
              <w:widowControl w:val="0"/>
              <w:spacing w:line="312" w:lineRule="auto"/>
              <w:jc w:val="right"/>
              <w:rPr>
                <w:color w:val="000000"/>
                <w:sz w:val="18"/>
                <w:szCs w:val="18"/>
                <w:vertAlign w:val="baseline"/>
              </w:rPr>
            </w:pPr>
            <w:r w:rsidDel="00000000" w:rsidR="00000000" w:rsidRPr="00000000">
              <w:rPr>
                <w:sz w:val="18"/>
                <w:szCs w:val="18"/>
                <w:vertAlign w:val="baseline"/>
                <w:rtl w:val="0"/>
              </w:rPr>
              <w:t xml:space="preserve">100.000,00</w:t>
            </w:r>
            <w:r w:rsidDel="00000000" w:rsidR="00000000" w:rsidRPr="00000000">
              <w:rPr>
                <w:color w:val="000000"/>
                <w:sz w:val="18"/>
                <w:szCs w:val="18"/>
                <w:vertAlign w:val="baseline"/>
                <w:rtl w:val="0"/>
              </w:rPr>
              <w:t xml:space="preserve"> </w:t>
            </w:r>
          </w:p>
        </w:tc>
        <w:tc>
          <w:tcPr>
            <w:vAlign w:val="center"/>
          </w:tcPr>
          <w:p w:rsidR="00000000" w:rsidDel="00000000" w:rsidP="00000000" w:rsidRDefault="00000000" w:rsidRPr="00000000" w14:paraId="0000007B">
            <w:pPr>
              <w:widowControl w:val="0"/>
              <w:spacing w:line="312" w:lineRule="auto"/>
              <w:jc w:val="center"/>
              <w:rPr>
                <w:color w:val="000000"/>
                <w:sz w:val="18"/>
                <w:szCs w:val="1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C">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13</w:t>
            </w:r>
          </w:p>
        </w:tc>
        <w:tc>
          <w:tcPr>
            <w:vAlign w:val="center"/>
          </w:tcPr>
          <w:p w:rsidR="00000000" w:rsidDel="00000000" w:rsidP="00000000" w:rsidRDefault="00000000" w:rsidRPr="00000000" w14:paraId="0000007D">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01</w:t>
            </w:r>
          </w:p>
        </w:tc>
        <w:tc>
          <w:tcPr>
            <w:vAlign w:val="center"/>
          </w:tcPr>
          <w:p w:rsidR="00000000" w:rsidDel="00000000" w:rsidP="00000000" w:rsidRDefault="00000000" w:rsidRPr="00000000" w14:paraId="0000007E">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Unid</w:t>
            </w:r>
          </w:p>
        </w:tc>
        <w:tc>
          <w:tcPr>
            <w:vAlign w:val="center"/>
          </w:tcPr>
          <w:p w:rsidR="00000000" w:rsidDel="00000000" w:rsidP="00000000" w:rsidRDefault="00000000" w:rsidRPr="00000000" w14:paraId="0000007F">
            <w:pPr>
              <w:widowControl w:val="0"/>
              <w:spacing w:line="312" w:lineRule="auto"/>
              <w:jc w:val="center"/>
              <w:rPr>
                <w:color w:val="000000"/>
                <w:sz w:val="18"/>
                <w:szCs w:val="18"/>
                <w:vertAlign w:val="baseline"/>
              </w:rPr>
            </w:pPr>
            <w:r w:rsidDel="00000000" w:rsidR="00000000" w:rsidRPr="00000000">
              <w:rPr>
                <w:color w:val="000000"/>
                <w:sz w:val="18"/>
                <w:szCs w:val="18"/>
                <w:vertAlign w:val="baseline"/>
                <w:rtl w:val="0"/>
              </w:rPr>
              <w:t xml:space="preserve">URBA</w:t>
            </w:r>
          </w:p>
        </w:tc>
        <w:tc>
          <w:tcPr>
            <w:vAlign w:val="center"/>
          </w:tcPr>
          <w:p w:rsidR="00000000" w:rsidDel="00000000" w:rsidP="00000000" w:rsidRDefault="00000000" w:rsidRPr="00000000" w14:paraId="00000080">
            <w:pPr>
              <w:widowControl w:val="0"/>
              <w:spacing w:line="312" w:lineRule="auto"/>
              <w:jc w:val="both"/>
              <w:rPr>
                <w:color w:val="000000"/>
                <w:sz w:val="18"/>
                <w:szCs w:val="18"/>
                <w:vertAlign w:val="baseline"/>
              </w:rPr>
            </w:pPr>
            <w:r w:rsidDel="00000000" w:rsidR="00000000" w:rsidRPr="00000000">
              <w:rPr>
                <w:color w:val="000000"/>
                <w:sz w:val="18"/>
                <w:szCs w:val="18"/>
                <w:vertAlign w:val="baseline"/>
                <w:rtl w:val="0"/>
              </w:rPr>
              <w:t xml:space="preserve">Materiais de Paisagismo, abrangendo grama, mudas, arbustos, árvores, palmeiras e rasteiras (baseados na Tabela SINAPI-MG)</w:t>
            </w:r>
          </w:p>
        </w:tc>
        <w:tc>
          <w:tcPr>
            <w:vAlign w:val="top"/>
          </w:tcPr>
          <w:p w:rsidR="00000000" w:rsidDel="00000000" w:rsidP="00000000" w:rsidRDefault="00000000" w:rsidRPr="00000000" w14:paraId="00000081">
            <w:pPr>
              <w:widowControl w:val="0"/>
              <w:spacing w:line="312" w:lineRule="auto"/>
              <w:jc w:val="right"/>
              <w:rPr>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082">
            <w:pPr>
              <w:widowControl w:val="0"/>
              <w:spacing w:line="312" w:lineRule="auto"/>
              <w:jc w:val="right"/>
              <w:rPr>
                <w:color w:val="000000"/>
                <w:sz w:val="18"/>
                <w:szCs w:val="18"/>
                <w:vertAlign w:val="baseline"/>
              </w:rPr>
            </w:pPr>
            <w:r w:rsidDel="00000000" w:rsidR="00000000" w:rsidRPr="00000000">
              <w:rPr>
                <w:sz w:val="18"/>
                <w:szCs w:val="18"/>
                <w:vertAlign w:val="baseline"/>
                <w:rtl w:val="0"/>
              </w:rPr>
              <w:t xml:space="preserve">100.000,00</w:t>
            </w:r>
            <w:r w:rsidDel="00000000" w:rsidR="00000000" w:rsidRPr="00000000">
              <w:rPr>
                <w:color w:val="000000"/>
                <w:sz w:val="18"/>
                <w:szCs w:val="18"/>
                <w:vertAlign w:val="baseline"/>
                <w:rtl w:val="0"/>
              </w:rPr>
              <w:t xml:space="preserve"> </w:t>
            </w:r>
          </w:p>
        </w:tc>
        <w:tc>
          <w:tcPr>
            <w:vAlign w:val="center"/>
          </w:tcPr>
          <w:p w:rsidR="00000000" w:rsidDel="00000000" w:rsidP="00000000" w:rsidRDefault="00000000" w:rsidRPr="00000000" w14:paraId="00000083">
            <w:pPr>
              <w:widowControl w:val="0"/>
              <w:spacing w:line="312" w:lineRule="auto"/>
              <w:jc w:val="center"/>
              <w:rPr>
                <w:color w:val="000000"/>
                <w:sz w:val="18"/>
                <w:szCs w:val="18"/>
                <w:vertAlign w:val="baseline"/>
              </w:rPr>
            </w:pPr>
            <w:r w:rsidDel="00000000" w:rsidR="00000000" w:rsidRPr="00000000">
              <w:rPr>
                <w:rtl w:val="0"/>
              </w:rPr>
            </w:r>
          </w:p>
        </w:tc>
      </w:tr>
    </w:tbl>
    <w:p w:rsidR="00000000" w:rsidDel="00000000" w:rsidP="00000000" w:rsidRDefault="00000000" w:rsidRPr="00000000" w14:paraId="00000084">
      <w:pPr>
        <w:spacing w:line="312" w:lineRule="auto"/>
        <w:jc w:val="both"/>
        <w:rPr>
          <w:b w:val="0"/>
          <w:u w:val="single"/>
          <w:vertAlign w:val="baseline"/>
        </w:rPr>
      </w:pPr>
      <w:r w:rsidDel="00000000" w:rsidR="00000000" w:rsidRPr="00000000">
        <w:rPr>
          <w:rtl w:val="0"/>
        </w:rPr>
      </w:r>
    </w:p>
    <w:p w:rsidR="00000000" w:rsidDel="00000000" w:rsidP="00000000" w:rsidRDefault="00000000" w:rsidRPr="00000000" w14:paraId="00000085">
      <w:pPr>
        <w:rPr>
          <w:color w:val="000000"/>
          <w:vertAlign w:val="baseline"/>
        </w:rPr>
      </w:pPr>
      <w:r w:rsidDel="00000000" w:rsidR="00000000" w:rsidRPr="00000000">
        <w:rPr>
          <w:b w:val="1"/>
          <w:color w:val="000000"/>
          <w:vertAlign w:val="baseline"/>
          <w:rtl w:val="0"/>
        </w:rPr>
        <w:t xml:space="preserve">2.1.</w:t>
      </w:r>
      <w:r w:rsidDel="00000000" w:rsidR="00000000" w:rsidRPr="00000000">
        <w:rPr>
          <w:color w:val="000000"/>
          <w:vertAlign w:val="baseline"/>
          <w:rtl w:val="0"/>
        </w:rPr>
        <w:t xml:space="preserve"> A listagem do cadastro de reserva referente ao presente registro de preços consta como anexo a esta Ata. </w:t>
      </w:r>
    </w:p>
    <w:p w:rsidR="00000000" w:rsidDel="00000000" w:rsidP="00000000" w:rsidRDefault="00000000" w:rsidRPr="00000000" w14:paraId="00000086">
      <w:pPr>
        <w:spacing w:line="312" w:lineRule="auto"/>
        <w:jc w:val="both"/>
        <w:rPr>
          <w:b w:val="0"/>
          <w:u w:val="single"/>
          <w:vertAlign w:val="baseline"/>
        </w:rPr>
      </w:pPr>
      <w:r w:rsidDel="00000000" w:rsidR="00000000" w:rsidRPr="00000000">
        <w:rPr>
          <w:rtl w:val="0"/>
        </w:rPr>
      </w:r>
    </w:p>
    <w:p w:rsidR="00000000" w:rsidDel="00000000" w:rsidP="00000000" w:rsidRDefault="00000000" w:rsidRPr="00000000" w14:paraId="00000087">
      <w:pPr>
        <w:spacing w:line="312" w:lineRule="auto"/>
        <w:jc w:val="both"/>
        <w:rPr>
          <w:b w:val="0"/>
          <w:u w:val="single"/>
          <w:vertAlign w:val="baseline"/>
        </w:rPr>
      </w:pPr>
      <w:r w:rsidDel="00000000" w:rsidR="00000000" w:rsidRPr="00000000">
        <w:rPr>
          <w:b w:val="1"/>
          <w:u w:val="single"/>
          <w:vertAlign w:val="baseline"/>
          <w:rtl w:val="0"/>
        </w:rPr>
        <w:t xml:space="preserve">CLÁUSULA TERCEIRA – DOS ÓRGÃOS PARTICIPANTES </w:t>
      </w:r>
      <w:r w:rsidDel="00000000" w:rsidR="00000000" w:rsidRPr="00000000">
        <w:rPr>
          <w:rtl w:val="0"/>
        </w:rPr>
      </w:r>
    </w:p>
    <w:p w:rsidR="00000000" w:rsidDel="00000000" w:rsidP="00000000" w:rsidRDefault="00000000" w:rsidRPr="00000000" w14:paraId="00000088">
      <w:pPr>
        <w:tabs>
          <w:tab w:val="left" w:leader="none" w:pos="8647"/>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089">
      <w:pPr>
        <w:tabs>
          <w:tab w:val="left" w:leader="none" w:pos="8647"/>
        </w:tabs>
        <w:spacing w:line="312" w:lineRule="auto"/>
        <w:jc w:val="both"/>
        <w:rPr>
          <w:b w:val="0"/>
          <w:vertAlign w:val="baseline"/>
        </w:rPr>
      </w:pPr>
      <w:r w:rsidDel="00000000" w:rsidR="00000000" w:rsidRPr="00000000">
        <w:rPr>
          <w:b w:val="1"/>
          <w:vertAlign w:val="baseline"/>
          <w:rtl w:val="0"/>
        </w:rPr>
        <w:t xml:space="preserve">3.1. </w:t>
      </w:r>
      <w:r w:rsidDel="00000000" w:rsidR="00000000" w:rsidRPr="00000000">
        <w:rPr>
          <w:vertAlign w:val="baseline"/>
          <w:rtl w:val="0"/>
        </w:rPr>
        <w:t xml:space="preserve">São órgãos participantes e usuários do Registro de Preços:</w:t>
      </w:r>
      <w:r w:rsidDel="00000000" w:rsidR="00000000" w:rsidRPr="00000000">
        <w:rPr>
          <w:rtl w:val="0"/>
        </w:rPr>
      </w:r>
    </w:p>
    <w:p w:rsidR="00000000" w:rsidDel="00000000" w:rsidP="00000000" w:rsidRDefault="00000000" w:rsidRPr="00000000" w14:paraId="0000008A">
      <w:pPr>
        <w:widowControl w:val="0"/>
        <w:spacing w:line="312" w:lineRule="auto"/>
        <w:jc w:val="both"/>
        <w:rPr>
          <w:vertAlign w:val="baseline"/>
        </w:rPr>
      </w:pPr>
      <w:r w:rsidDel="00000000" w:rsidR="00000000" w:rsidRPr="00000000">
        <w:rPr>
          <w:rtl w:val="0"/>
        </w:rPr>
      </w:r>
    </w:p>
    <w:p w:rsidR="00000000" w:rsidDel="00000000" w:rsidP="00000000" w:rsidRDefault="00000000" w:rsidRPr="00000000" w14:paraId="0000008B">
      <w:pPr>
        <w:widowControl w:val="0"/>
        <w:spacing w:line="312" w:lineRule="auto"/>
        <w:jc w:val="both"/>
        <w:rPr>
          <w:vertAlign w:val="baseline"/>
        </w:rPr>
      </w:pPr>
      <w:r w:rsidDel="00000000" w:rsidR="00000000" w:rsidRPr="00000000">
        <w:rPr>
          <w:vertAlign w:val="baseline"/>
          <w:rtl w:val="0"/>
        </w:rPr>
        <w:t xml:space="preserve">Secretaria Municipal de Obras e Serviços Urbanos; </w:t>
      </w:r>
    </w:p>
    <w:p w:rsidR="00000000" w:rsidDel="00000000" w:rsidP="00000000" w:rsidRDefault="00000000" w:rsidRPr="00000000" w14:paraId="0000008C">
      <w:pPr>
        <w:widowControl w:val="0"/>
        <w:spacing w:line="312" w:lineRule="auto"/>
        <w:jc w:val="both"/>
        <w:rPr>
          <w:vertAlign w:val="baseline"/>
        </w:rPr>
      </w:pPr>
      <w:r w:rsidDel="00000000" w:rsidR="00000000" w:rsidRPr="00000000">
        <w:rPr>
          <w:vertAlign w:val="baseline"/>
          <w:rtl w:val="0"/>
        </w:rPr>
        <w:t xml:space="preserve">Secretaria Municipal de Administração (Policia Militar/COMDEC); </w:t>
      </w:r>
    </w:p>
    <w:p w:rsidR="00000000" w:rsidDel="00000000" w:rsidP="00000000" w:rsidRDefault="00000000" w:rsidRPr="00000000" w14:paraId="0000008D">
      <w:pPr>
        <w:widowControl w:val="0"/>
        <w:spacing w:line="312" w:lineRule="auto"/>
        <w:jc w:val="both"/>
        <w:rPr>
          <w:vertAlign w:val="baseline"/>
        </w:rPr>
      </w:pPr>
      <w:r w:rsidDel="00000000" w:rsidR="00000000" w:rsidRPr="00000000">
        <w:rPr>
          <w:vertAlign w:val="baseline"/>
          <w:rtl w:val="0"/>
        </w:rPr>
        <w:t xml:space="preserve">Secretaria Municipal de Saúde; </w:t>
      </w:r>
    </w:p>
    <w:p w:rsidR="00000000" w:rsidDel="00000000" w:rsidP="00000000" w:rsidRDefault="00000000" w:rsidRPr="00000000" w14:paraId="0000008E">
      <w:pPr>
        <w:widowControl w:val="0"/>
        <w:spacing w:line="312" w:lineRule="auto"/>
        <w:jc w:val="both"/>
        <w:rPr>
          <w:vertAlign w:val="baseline"/>
        </w:rPr>
      </w:pPr>
      <w:r w:rsidDel="00000000" w:rsidR="00000000" w:rsidRPr="00000000">
        <w:rPr>
          <w:vertAlign w:val="baseline"/>
          <w:rtl w:val="0"/>
        </w:rPr>
        <w:t xml:space="preserve">Secretaria Municipal de Assistência Social/CRAS; </w:t>
      </w:r>
    </w:p>
    <w:p w:rsidR="00000000" w:rsidDel="00000000" w:rsidP="00000000" w:rsidRDefault="00000000" w:rsidRPr="00000000" w14:paraId="0000008F">
      <w:pPr>
        <w:widowControl w:val="0"/>
        <w:spacing w:line="312" w:lineRule="auto"/>
        <w:jc w:val="both"/>
        <w:rPr>
          <w:vertAlign w:val="baseline"/>
        </w:rPr>
      </w:pPr>
      <w:r w:rsidDel="00000000" w:rsidR="00000000" w:rsidRPr="00000000">
        <w:rPr>
          <w:vertAlign w:val="baseline"/>
          <w:rtl w:val="0"/>
        </w:rPr>
        <w:t xml:space="preserve">Secretaria Municipal de Educação, Secretaria Municipal de Turismo;</w:t>
      </w:r>
    </w:p>
    <w:p w:rsidR="00000000" w:rsidDel="00000000" w:rsidP="00000000" w:rsidRDefault="00000000" w:rsidRPr="00000000" w14:paraId="00000090">
      <w:pPr>
        <w:widowControl w:val="0"/>
        <w:spacing w:line="312" w:lineRule="auto"/>
        <w:jc w:val="both"/>
        <w:rPr>
          <w:vertAlign w:val="baseline"/>
        </w:rPr>
      </w:pPr>
      <w:r w:rsidDel="00000000" w:rsidR="00000000" w:rsidRPr="00000000">
        <w:rPr>
          <w:vertAlign w:val="baseline"/>
          <w:rtl w:val="0"/>
        </w:rPr>
        <w:t xml:space="preserve">Secretaria Municipal de Meio Ambiente;</w:t>
      </w:r>
    </w:p>
    <w:p w:rsidR="00000000" w:rsidDel="00000000" w:rsidP="00000000" w:rsidRDefault="00000000" w:rsidRPr="00000000" w14:paraId="00000091">
      <w:pPr>
        <w:widowControl w:val="0"/>
        <w:spacing w:line="312" w:lineRule="auto"/>
        <w:jc w:val="both"/>
        <w:rPr>
          <w:vertAlign w:val="baseline"/>
        </w:rPr>
      </w:pPr>
      <w:r w:rsidDel="00000000" w:rsidR="00000000" w:rsidRPr="00000000">
        <w:rPr>
          <w:vertAlign w:val="baseline"/>
          <w:rtl w:val="0"/>
        </w:rPr>
        <w:t xml:space="preserve">Secretaria Municipal de Esportes e </w:t>
      </w:r>
    </w:p>
    <w:p w:rsidR="00000000" w:rsidDel="00000000" w:rsidP="00000000" w:rsidRDefault="00000000" w:rsidRPr="00000000" w14:paraId="00000092">
      <w:pPr>
        <w:widowControl w:val="0"/>
        <w:spacing w:line="312" w:lineRule="auto"/>
        <w:jc w:val="both"/>
        <w:rPr>
          <w:vertAlign w:val="baseline"/>
        </w:rPr>
      </w:pPr>
      <w:r w:rsidDel="00000000" w:rsidR="00000000" w:rsidRPr="00000000">
        <w:rPr>
          <w:vertAlign w:val="baseline"/>
          <w:rtl w:val="0"/>
        </w:rPr>
        <w:t xml:space="preserve">Secretaria Municipal de Cultura.</w:t>
      </w:r>
    </w:p>
    <w:p w:rsidR="00000000" w:rsidDel="00000000" w:rsidP="00000000" w:rsidRDefault="00000000" w:rsidRPr="00000000" w14:paraId="00000093">
      <w:pPr>
        <w:tabs>
          <w:tab w:val="left" w:leader="none" w:pos="8647"/>
        </w:tabs>
        <w:spacing w:line="312" w:lineRule="auto"/>
        <w:jc w:val="both"/>
        <w:rPr>
          <w:b w:val="0"/>
          <w:u w:val="single"/>
          <w:vertAlign w:val="baseline"/>
        </w:rPr>
      </w:pPr>
      <w:r w:rsidDel="00000000" w:rsidR="00000000" w:rsidRPr="00000000">
        <w:rPr>
          <w:rtl w:val="0"/>
        </w:rPr>
      </w:r>
    </w:p>
    <w:p w:rsidR="00000000" w:rsidDel="00000000" w:rsidP="00000000" w:rsidRDefault="00000000" w:rsidRPr="00000000" w14:paraId="00000094">
      <w:pPr>
        <w:spacing w:line="312" w:lineRule="auto"/>
        <w:jc w:val="both"/>
        <w:rPr>
          <w:b w:val="0"/>
          <w:u w:val="single"/>
          <w:vertAlign w:val="baseline"/>
        </w:rPr>
      </w:pPr>
      <w:r w:rsidDel="00000000" w:rsidR="00000000" w:rsidRPr="00000000">
        <w:rPr>
          <w:b w:val="1"/>
          <w:u w:val="single"/>
          <w:vertAlign w:val="baseline"/>
          <w:rtl w:val="0"/>
        </w:rPr>
        <w:t xml:space="preserve">CLÁUSULA QUARTA – DA ADESÃO A ATA DE REGISTRO DE PREÇOS</w:t>
      </w:r>
      <w:r w:rsidDel="00000000" w:rsidR="00000000" w:rsidRPr="00000000">
        <w:rPr>
          <w:rtl w:val="0"/>
        </w:rPr>
      </w:r>
    </w:p>
    <w:p w:rsidR="00000000" w:rsidDel="00000000" w:rsidP="00000000" w:rsidRDefault="00000000" w:rsidRPr="00000000" w14:paraId="00000095">
      <w:pPr>
        <w:tabs>
          <w:tab w:val="left" w:leader="none" w:pos="0"/>
          <w:tab w:val="left" w:leader="none" w:pos="8647"/>
        </w:tabs>
        <w:spacing w:line="312" w:lineRule="auto"/>
        <w:jc w:val="both"/>
        <w:rPr>
          <w:vertAlign w:val="baseline"/>
        </w:rPr>
      </w:pPr>
      <w:r w:rsidDel="00000000" w:rsidR="00000000" w:rsidRPr="00000000">
        <w:rPr>
          <w:rtl w:val="0"/>
        </w:rPr>
      </w:r>
    </w:p>
    <w:p w:rsidR="00000000" w:rsidDel="00000000" w:rsidP="00000000" w:rsidRDefault="00000000" w:rsidRPr="00000000" w14:paraId="00000096">
      <w:pPr>
        <w:tabs>
          <w:tab w:val="left" w:leader="none" w:pos="0"/>
          <w:tab w:val="left" w:leader="none" w:pos="8647"/>
        </w:tabs>
        <w:spacing w:line="312" w:lineRule="auto"/>
        <w:jc w:val="both"/>
        <w:rPr>
          <w:vertAlign w:val="baseline"/>
        </w:rPr>
      </w:pPr>
      <w:r w:rsidDel="00000000" w:rsidR="00000000" w:rsidRPr="00000000">
        <w:rPr>
          <w:b w:val="1"/>
          <w:vertAlign w:val="baseline"/>
          <w:rtl w:val="0"/>
        </w:rPr>
        <w:t xml:space="preserve">3.2.</w:t>
      </w:r>
      <w:r w:rsidDel="00000000" w:rsidR="00000000" w:rsidRPr="00000000">
        <w:rPr>
          <w:vertAlign w:val="baseline"/>
          <w:rtl w:val="0"/>
        </w:rPr>
        <w:t xml:space="preserve"> Durante sua vigência, a Ata de Registro de Preços poderá ser utilizada por qualquer órgão ou entidade da Administração que não tenha participado do certame, os denominados “caronas”, mediante prévia consulta ao Município, desde que devidamente comprovada à vantagem, e ainda de acordo com as regulamentações do Decreto nº 098/2023.</w:t>
      </w:r>
    </w:p>
    <w:p w:rsidR="00000000" w:rsidDel="00000000" w:rsidP="00000000" w:rsidRDefault="00000000" w:rsidRPr="00000000" w14:paraId="00000097">
      <w:pPr>
        <w:tabs>
          <w:tab w:val="left" w:leader="none" w:pos="8647"/>
          <w:tab w:val="left" w:leader="none" w:pos="10632"/>
        </w:tabs>
        <w:spacing w:line="312" w:lineRule="auto"/>
        <w:jc w:val="both"/>
        <w:rPr>
          <w:vertAlign w:val="baseline"/>
        </w:rPr>
      </w:pPr>
      <w:r w:rsidDel="00000000" w:rsidR="00000000" w:rsidRPr="00000000">
        <w:rPr>
          <w:rtl w:val="0"/>
        </w:rPr>
      </w:r>
    </w:p>
    <w:p w:rsidR="00000000" w:rsidDel="00000000" w:rsidP="00000000" w:rsidRDefault="00000000" w:rsidRPr="00000000" w14:paraId="00000098">
      <w:pPr>
        <w:tabs>
          <w:tab w:val="left" w:leader="none" w:pos="8647"/>
        </w:tabs>
        <w:spacing w:line="312" w:lineRule="auto"/>
        <w:jc w:val="both"/>
        <w:rPr>
          <w:vertAlign w:val="baseline"/>
        </w:rPr>
      </w:pPr>
      <w:r w:rsidDel="00000000" w:rsidR="00000000" w:rsidRPr="00000000">
        <w:rPr>
          <w:b w:val="1"/>
          <w:vertAlign w:val="baseline"/>
          <w:rtl w:val="0"/>
        </w:rPr>
        <w:t xml:space="preserve">3.2.</w:t>
      </w:r>
      <w:r w:rsidDel="00000000" w:rsidR="00000000" w:rsidRPr="00000000">
        <w:rPr>
          <w:vertAlign w:val="baseline"/>
          <w:rtl w:val="0"/>
        </w:rPr>
        <w:t xml:space="preserve"> </w:t>
      </w:r>
      <w:r w:rsidDel="00000000" w:rsidR="00000000" w:rsidRPr="00000000">
        <w:rPr>
          <w:color w:val="000000"/>
          <w:vertAlign w:val="baseline"/>
          <w:rtl w:val="0"/>
        </w:rPr>
        <w:t xml:space="preserve">A adesão à Ata de Registro de Preços deverá ser precedida de manifestação formal de interesse junto ao órgão ou à entidade gerenciadora do registro de preços que, no caso de deferimento, indicará os quantitativos disponíveis, respectivos percentuais de descontos a serem praticados e os detentores. </w:t>
      </w:r>
      <w:r w:rsidDel="00000000" w:rsidR="00000000" w:rsidRPr="00000000">
        <w:rPr>
          <w:rtl w:val="0"/>
        </w:rPr>
      </w:r>
    </w:p>
    <w:p w:rsidR="00000000" w:rsidDel="00000000" w:rsidP="00000000" w:rsidRDefault="00000000" w:rsidRPr="00000000" w14:paraId="00000099">
      <w:pPr>
        <w:tabs>
          <w:tab w:val="left" w:leader="none" w:pos="8647"/>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09A">
      <w:pPr>
        <w:tabs>
          <w:tab w:val="left" w:leader="none" w:pos="8647"/>
        </w:tabs>
        <w:spacing w:line="312" w:lineRule="auto"/>
        <w:jc w:val="both"/>
        <w:rPr>
          <w:vertAlign w:val="baseline"/>
        </w:rPr>
      </w:pPr>
      <w:r w:rsidDel="00000000" w:rsidR="00000000" w:rsidRPr="00000000">
        <w:rPr>
          <w:b w:val="1"/>
          <w:vertAlign w:val="baseline"/>
          <w:rtl w:val="0"/>
        </w:rPr>
        <w:t xml:space="preserve">3.3.</w:t>
      </w:r>
      <w:r w:rsidDel="00000000" w:rsidR="00000000" w:rsidRPr="00000000">
        <w:rPr>
          <w:vertAlign w:val="baseline"/>
          <w:rtl w:val="0"/>
        </w:rPr>
        <w:t xml:space="preserve"> Caberá aos fornecedores beneficiários da Ata de Registro de Preços, observadas as condições nela estabelecidas, optarem pela aceitação ou não da prestação dos serviços/fornecimento, independentemente dos quantitativos registrados em Ata, desde que este fornecimento não prejudique as obrigações anteriormente assumidas.</w:t>
      </w:r>
    </w:p>
    <w:p w:rsidR="00000000" w:rsidDel="00000000" w:rsidP="00000000" w:rsidRDefault="00000000" w:rsidRPr="00000000" w14:paraId="0000009B">
      <w:pPr>
        <w:tabs>
          <w:tab w:val="left" w:leader="none" w:pos="8647"/>
        </w:tabs>
        <w:spacing w:line="312" w:lineRule="auto"/>
        <w:jc w:val="both"/>
        <w:rPr>
          <w:vertAlign w:val="baseline"/>
        </w:rPr>
      </w:pPr>
      <w:r w:rsidDel="00000000" w:rsidR="00000000" w:rsidRPr="00000000">
        <w:rPr>
          <w:rtl w:val="0"/>
        </w:rPr>
      </w:r>
    </w:p>
    <w:p w:rsidR="00000000" w:rsidDel="00000000" w:rsidP="00000000" w:rsidRDefault="00000000" w:rsidRPr="00000000" w14:paraId="0000009C">
      <w:pPr>
        <w:tabs>
          <w:tab w:val="left" w:leader="none" w:pos="8647"/>
        </w:tabs>
        <w:spacing w:line="312" w:lineRule="auto"/>
        <w:jc w:val="both"/>
        <w:rPr>
          <w:vertAlign w:val="baseline"/>
        </w:rPr>
      </w:pPr>
      <w:r w:rsidDel="00000000" w:rsidR="00000000" w:rsidRPr="00000000">
        <w:rPr>
          <w:b w:val="1"/>
          <w:vertAlign w:val="baseline"/>
          <w:rtl w:val="0"/>
        </w:rPr>
        <w:t xml:space="preserve">3.4.</w:t>
      </w:r>
      <w:r w:rsidDel="00000000" w:rsidR="00000000" w:rsidRPr="00000000">
        <w:rPr>
          <w:vertAlign w:val="baseline"/>
          <w:rtl w:val="0"/>
        </w:rPr>
        <w:t xml:space="preserve"> </w:t>
      </w:r>
      <w:r w:rsidDel="00000000" w:rsidR="00000000" w:rsidRPr="00000000">
        <w:rPr>
          <w:color w:val="000000"/>
          <w:vertAlign w:val="baseline"/>
          <w:rtl w:val="0"/>
        </w:rPr>
        <w:t xml:space="preserve">As aquisições ou as contratações adicionais não poderão exceder, por órgão ou entidade não participante, a 50% (cinquenta por cento) dos quantitativos dos itens do instrumento convocatório registrados na Ata de Registro de Preços. </w:t>
      </w:r>
      <w:r w:rsidDel="00000000" w:rsidR="00000000" w:rsidRPr="00000000">
        <w:rPr>
          <w:rtl w:val="0"/>
        </w:rPr>
      </w:r>
    </w:p>
    <w:p w:rsidR="00000000" w:rsidDel="00000000" w:rsidP="00000000" w:rsidRDefault="00000000" w:rsidRPr="00000000" w14:paraId="0000009D">
      <w:pPr>
        <w:tabs>
          <w:tab w:val="left" w:leader="none" w:pos="8647"/>
        </w:tabs>
        <w:spacing w:line="312" w:lineRule="auto"/>
        <w:jc w:val="both"/>
        <w:rPr>
          <w:vertAlign w:val="baseline"/>
        </w:rPr>
      </w:pPr>
      <w:r w:rsidDel="00000000" w:rsidR="00000000" w:rsidRPr="00000000">
        <w:rPr>
          <w:rtl w:val="0"/>
        </w:rPr>
      </w:r>
    </w:p>
    <w:p w:rsidR="00000000" w:rsidDel="00000000" w:rsidP="00000000" w:rsidRDefault="00000000" w:rsidRPr="00000000" w14:paraId="0000009E">
      <w:pPr>
        <w:tabs>
          <w:tab w:val="left" w:leader="none" w:pos="8647"/>
        </w:tabs>
        <w:spacing w:line="312" w:lineRule="auto"/>
        <w:jc w:val="both"/>
        <w:rPr>
          <w:color w:val="000000"/>
          <w:vertAlign w:val="baseline"/>
        </w:rPr>
      </w:pPr>
      <w:r w:rsidDel="00000000" w:rsidR="00000000" w:rsidRPr="00000000">
        <w:rPr>
          <w:b w:val="1"/>
          <w:color w:val="000000"/>
          <w:vertAlign w:val="baseline"/>
          <w:rtl w:val="0"/>
        </w:rPr>
        <w:t xml:space="preserve">3.5</w:t>
      </w:r>
      <w:r w:rsidDel="00000000" w:rsidR="00000000" w:rsidRPr="00000000">
        <w:rPr>
          <w:color w:val="000000"/>
          <w:vertAlign w:val="baseline"/>
          <w:rtl w:val="0"/>
        </w:rPr>
        <w:t xml:space="preserve">. As aquisições a que se refere o item anterior não poderão exceder, na totalidade, ao dobro do quantitativo de cada item registrado na Ata de Registro de Preços, independentemente do número de órgãos ou entidades não participantes que aderirem. </w:t>
      </w:r>
    </w:p>
    <w:p w:rsidR="00000000" w:rsidDel="00000000" w:rsidP="00000000" w:rsidRDefault="00000000" w:rsidRPr="00000000" w14:paraId="0000009F">
      <w:pPr>
        <w:tabs>
          <w:tab w:val="left" w:leader="none" w:pos="8647"/>
        </w:tabs>
        <w:spacing w:line="312" w:lineRule="auto"/>
        <w:jc w:val="both"/>
        <w:rPr>
          <w:vertAlign w:val="baseline"/>
        </w:rPr>
      </w:pPr>
      <w:r w:rsidDel="00000000" w:rsidR="00000000" w:rsidRPr="00000000">
        <w:rPr>
          <w:rtl w:val="0"/>
        </w:rPr>
      </w:r>
    </w:p>
    <w:p w:rsidR="00000000" w:rsidDel="00000000" w:rsidP="00000000" w:rsidRDefault="00000000" w:rsidRPr="00000000" w14:paraId="000000A0">
      <w:pPr>
        <w:spacing w:line="312" w:lineRule="auto"/>
        <w:jc w:val="both"/>
        <w:rPr>
          <w:b w:val="0"/>
          <w:u w:val="single"/>
          <w:vertAlign w:val="baseline"/>
        </w:rPr>
      </w:pPr>
      <w:r w:rsidDel="00000000" w:rsidR="00000000" w:rsidRPr="00000000">
        <w:rPr>
          <w:b w:val="1"/>
          <w:u w:val="single"/>
          <w:vertAlign w:val="baseline"/>
          <w:rtl w:val="0"/>
        </w:rPr>
        <w:t xml:space="preserve">CLÁUSUAL QUARTA – DA VEDAÇÃO AO ACRÉSCIMOS DE QUANTITATIVOS</w:t>
      </w:r>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426"/>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426"/>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426"/>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426"/>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426"/>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312"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4.1.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É vedado efetuar acréscimos nos quantitativos fixados na ata de registro de preços.</w:t>
      </w:r>
    </w:p>
    <w:p w:rsidR="00000000" w:rsidDel="00000000" w:rsidP="00000000" w:rsidRDefault="00000000" w:rsidRPr="00000000" w14:paraId="000000A8">
      <w:pPr>
        <w:tabs>
          <w:tab w:val="left" w:leader="none" w:pos="1390"/>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0A9">
      <w:pPr>
        <w:tabs>
          <w:tab w:val="left" w:leader="none" w:pos="1390"/>
        </w:tabs>
        <w:spacing w:line="312" w:lineRule="auto"/>
        <w:jc w:val="both"/>
        <w:rPr>
          <w:b w:val="0"/>
          <w:u w:val="single"/>
          <w:vertAlign w:val="baseline"/>
        </w:rPr>
      </w:pPr>
      <w:r w:rsidDel="00000000" w:rsidR="00000000" w:rsidRPr="00000000">
        <w:rPr>
          <w:b w:val="1"/>
          <w:u w:val="single"/>
          <w:vertAlign w:val="baseline"/>
          <w:rtl w:val="0"/>
        </w:rPr>
        <w:t xml:space="preserve">CLÁUSULA QUINTA - DA VALIDADE, FORMALIZAÇÃO DA ATA DE REGISTRO DE PREÇOS E CADASTRO RESERVA</w:t>
      </w:r>
      <w:r w:rsidDel="00000000" w:rsidR="00000000" w:rsidRPr="00000000">
        <w:rPr>
          <w:rtl w:val="0"/>
        </w:rPr>
      </w:r>
    </w:p>
    <w:p w:rsidR="00000000" w:rsidDel="00000000" w:rsidP="00000000" w:rsidRDefault="00000000" w:rsidRPr="00000000" w14:paraId="000000AA">
      <w:pPr>
        <w:tabs>
          <w:tab w:val="left" w:leader="none" w:pos="1390"/>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0AB">
      <w:pPr>
        <w:tabs>
          <w:tab w:val="left" w:leader="none" w:pos="1390"/>
        </w:tabs>
        <w:spacing w:line="312" w:lineRule="auto"/>
        <w:jc w:val="both"/>
        <w:rPr>
          <w:color w:val="000000"/>
          <w:vertAlign w:val="baseline"/>
        </w:rPr>
      </w:pPr>
      <w:r w:rsidDel="00000000" w:rsidR="00000000" w:rsidRPr="00000000">
        <w:rPr>
          <w:b w:val="1"/>
          <w:vertAlign w:val="baseline"/>
          <w:rtl w:val="0"/>
        </w:rPr>
        <w:t xml:space="preserve">5.1. </w:t>
      </w:r>
      <w:r w:rsidDel="00000000" w:rsidR="00000000" w:rsidRPr="00000000">
        <w:rPr>
          <w:color w:val="000000"/>
          <w:vertAlign w:val="baseline"/>
          <w:rtl w:val="0"/>
        </w:rPr>
        <w:t xml:space="preserve">A validade da Ata de Registro de Preços será de </w:t>
      </w:r>
      <w:r w:rsidDel="00000000" w:rsidR="00000000" w:rsidRPr="00000000">
        <w:rPr>
          <w:b w:val="1"/>
          <w:color w:val="000000"/>
          <w:u w:val="single"/>
          <w:vertAlign w:val="baseline"/>
          <w:rtl w:val="0"/>
        </w:rPr>
        <w:t xml:space="preserve">1 (um) ano</w:t>
      </w:r>
      <w:r w:rsidDel="00000000" w:rsidR="00000000" w:rsidRPr="00000000">
        <w:rPr>
          <w:color w:val="000000"/>
          <w:vertAlign w:val="baseline"/>
          <w:rtl w:val="0"/>
        </w:rPr>
        <w:t xml:space="preserve">, contado a partir do primeiro dia útil subsequente à data da publicação, podendo ser prorrogada por igual período, mediante a anuência do fornecedor, desde que comprovado o preço vantajoso. </w:t>
      </w:r>
    </w:p>
    <w:p w:rsidR="00000000" w:rsidDel="00000000" w:rsidP="00000000" w:rsidRDefault="00000000" w:rsidRPr="00000000" w14:paraId="000000AC">
      <w:pPr>
        <w:tabs>
          <w:tab w:val="left" w:leader="none" w:pos="1390"/>
        </w:tabs>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0AD">
      <w:pPr>
        <w:tabs>
          <w:tab w:val="left" w:leader="none" w:pos="1390"/>
        </w:tabs>
        <w:spacing w:line="312" w:lineRule="auto"/>
        <w:jc w:val="both"/>
        <w:rPr>
          <w:color w:val="000000"/>
          <w:vertAlign w:val="baseline"/>
        </w:rPr>
      </w:pPr>
      <w:r w:rsidDel="00000000" w:rsidR="00000000" w:rsidRPr="00000000">
        <w:rPr>
          <w:b w:val="1"/>
          <w:color w:val="000000"/>
          <w:vertAlign w:val="baseline"/>
          <w:rtl w:val="0"/>
        </w:rPr>
        <w:t xml:space="preserve">5.1.1. </w:t>
      </w:r>
      <w:r w:rsidDel="00000000" w:rsidR="00000000" w:rsidRPr="00000000">
        <w:rPr>
          <w:color w:val="000000"/>
          <w:vertAlign w:val="baseline"/>
          <w:rtl w:val="0"/>
        </w:rPr>
        <w:t xml:space="preserve">O(s) contrato(s) decorrente da ata de registro de preços terá sua vigência estabelecida no próprio instrumento contratual ou instrumentos equivalentes e observará no momento da contratação e a cada exercício financeiro a disponibilidade de créditos orçamentários, bem como a previsão no plano plurianual, quando ultrapassar 1 (um) exercício financeiro. </w:t>
      </w:r>
    </w:p>
    <w:p w:rsidR="00000000" w:rsidDel="00000000" w:rsidP="00000000" w:rsidRDefault="00000000" w:rsidRPr="00000000" w14:paraId="000000AE">
      <w:pPr>
        <w:tabs>
          <w:tab w:val="left" w:leader="none" w:pos="1390"/>
        </w:tabs>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AF">
      <w:pPr>
        <w:tabs>
          <w:tab w:val="left" w:leader="none" w:pos="1390"/>
        </w:tabs>
        <w:spacing w:line="312" w:lineRule="auto"/>
        <w:jc w:val="both"/>
        <w:rPr>
          <w:color w:val="000000"/>
          <w:vertAlign w:val="baseline"/>
        </w:rPr>
      </w:pPr>
      <w:r w:rsidDel="00000000" w:rsidR="00000000" w:rsidRPr="00000000">
        <w:rPr>
          <w:b w:val="1"/>
          <w:color w:val="000000"/>
          <w:vertAlign w:val="baseline"/>
          <w:rtl w:val="0"/>
        </w:rPr>
        <w:t xml:space="preserve">5.1.2. </w:t>
      </w:r>
      <w:r w:rsidDel="00000000" w:rsidR="00000000" w:rsidRPr="00000000">
        <w:rPr>
          <w:color w:val="000000"/>
          <w:vertAlign w:val="baseline"/>
          <w:rtl w:val="0"/>
        </w:rPr>
        <w:t xml:space="preserve">Na formalização do contrato ou do instrumento substituto deverá haver a indicação da disponibilidade dos créditos orçamentários respectivos. </w:t>
      </w:r>
    </w:p>
    <w:p w:rsidR="00000000" w:rsidDel="00000000" w:rsidP="00000000" w:rsidRDefault="00000000" w:rsidRPr="00000000" w14:paraId="000000B0">
      <w:pPr>
        <w:numPr>
          <w:ilvl w:val="0"/>
          <w:numId w:val="3"/>
        </w:numPr>
        <w:spacing w:line="312" w:lineRule="auto"/>
        <w:ind w:left="0" w:firstLine="0"/>
        <w:rPr>
          <w:color w:val="000000"/>
          <w:vertAlign w:val="baseline"/>
        </w:rPr>
      </w:pPr>
      <w:r w:rsidDel="00000000" w:rsidR="00000000" w:rsidRPr="00000000">
        <w:rPr>
          <w:rtl w:val="0"/>
        </w:rPr>
      </w:r>
    </w:p>
    <w:p w:rsidR="00000000" w:rsidDel="00000000" w:rsidP="00000000" w:rsidRDefault="00000000" w:rsidRPr="00000000" w14:paraId="000000B1">
      <w:pPr>
        <w:spacing w:line="312" w:lineRule="auto"/>
        <w:jc w:val="both"/>
        <w:rPr>
          <w:color w:val="000000"/>
          <w:vertAlign w:val="baseline"/>
        </w:rPr>
      </w:pPr>
      <w:r w:rsidDel="00000000" w:rsidR="00000000" w:rsidRPr="00000000">
        <w:rPr>
          <w:b w:val="1"/>
          <w:color w:val="000000"/>
          <w:vertAlign w:val="baseline"/>
          <w:rtl w:val="0"/>
        </w:rPr>
        <w:t xml:space="preserve">5.2. </w:t>
      </w:r>
      <w:r w:rsidDel="00000000" w:rsidR="00000000" w:rsidRPr="00000000">
        <w:rPr>
          <w:color w:val="000000"/>
          <w:vertAlign w:val="baseline"/>
          <w:rtl w:val="0"/>
        </w:rPr>
        <w:t xml:space="preserve">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p>
    <w:p w:rsidR="00000000" w:rsidDel="00000000" w:rsidP="00000000" w:rsidRDefault="00000000" w:rsidRPr="00000000" w14:paraId="000000B2">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B3">
      <w:pPr>
        <w:spacing w:line="312" w:lineRule="auto"/>
        <w:jc w:val="both"/>
        <w:rPr>
          <w:color w:val="000000"/>
          <w:vertAlign w:val="baseline"/>
        </w:rPr>
      </w:pPr>
      <w:r w:rsidDel="00000000" w:rsidR="00000000" w:rsidRPr="00000000">
        <w:rPr>
          <w:b w:val="1"/>
          <w:color w:val="000000"/>
          <w:vertAlign w:val="baseline"/>
          <w:rtl w:val="0"/>
        </w:rPr>
        <w:t xml:space="preserve">5.2.1. </w:t>
      </w:r>
      <w:r w:rsidDel="00000000" w:rsidR="00000000" w:rsidRPr="00000000">
        <w:rPr>
          <w:color w:val="000000"/>
          <w:vertAlign w:val="baseline"/>
          <w:rtl w:val="0"/>
        </w:rPr>
        <w:t xml:space="preserve">O instrumento contratual ou instrumento equivalente de que trata o item 5.2 deverá ser assinado no prazo de validade da ata de registro de preços. </w:t>
      </w:r>
    </w:p>
    <w:p w:rsidR="00000000" w:rsidDel="00000000" w:rsidP="00000000" w:rsidRDefault="00000000" w:rsidRPr="00000000" w14:paraId="000000B4">
      <w:pPr>
        <w:spacing w:line="312" w:lineRule="auto"/>
        <w:rPr>
          <w:color w:val="000000"/>
          <w:vertAlign w:val="baseline"/>
        </w:rPr>
      </w:pPr>
      <w:r w:rsidDel="00000000" w:rsidR="00000000" w:rsidRPr="00000000">
        <w:rPr>
          <w:rtl w:val="0"/>
        </w:rPr>
      </w:r>
    </w:p>
    <w:p w:rsidR="00000000" w:rsidDel="00000000" w:rsidP="00000000" w:rsidRDefault="00000000" w:rsidRPr="00000000" w14:paraId="000000B5">
      <w:pPr>
        <w:spacing w:line="312" w:lineRule="auto"/>
        <w:jc w:val="both"/>
        <w:rPr>
          <w:color w:val="000000"/>
          <w:vertAlign w:val="baseline"/>
        </w:rPr>
      </w:pPr>
      <w:r w:rsidDel="00000000" w:rsidR="00000000" w:rsidRPr="00000000">
        <w:rPr>
          <w:b w:val="1"/>
          <w:color w:val="000000"/>
          <w:vertAlign w:val="baseline"/>
          <w:rtl w:val="0"/>
        </w:rPr>
        <w:t xml:space="preserve">5.3. </w:t>
      </w:r>
      <w:r w:rsidDel="00000000" w:rsidR="00000000" w:rsidRPr="00000000">
        <w:rPr>
          <w:color w:val="000000"/>
          <w:vertAlign w:val="baseline"/>
          <w:rtl w:val="0"/>
        </w:rPr>
        <w:t xml:space="preserve">Os contratos ou instrumento equivalentes decorrentes do sistema de registro de preços poderão ser alterados, observado o art. 124 da Lei nº 14.133, de 2021. </w:t>
      </w:r>
    </w:p>
    <w:p w:rsidR="00000000" w:rsidDel="00000000" w:rsidP="00000000" w:rsidRDefault="00000000" w:rsidRPr="00000000" w14:paraId="000000B6">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B7">
      <w:pPr>
        <w:spacing w:line="312" w:lineRule="auto"/>
        <w:jc w:val="both"/>
        <w:rPr>
          <w:color w:val="000000"/>
          <w:vertAlign w:val="baseline"/>
        </w:rPr>
      </w:pPr>
      <w:r w:rsidDel="00000000" w:rsidR="00000000" w:rsidRPr="00000000">
        <w:rPr>
          <w:b w:val="1"/>
          <w:color w:val="000000"/>
          <w:vertAlign w:val="baseline"/>
          <w:rtl w:val="0"/>
        </w:rPr>
        <w:t xml:space="preserve">5.4. </w:t>
      </w:r>
      <w:r w:rsidDel="00000000" w:rsidR="00000000" w:rsidRPr="00000000">
        <w:rPr>
          <w:color w:val="000000"/>
          <w:vertAlign w:val="baseline"/>
          <w:rtl w:val="0"/>
        </w:rPr>
        <w:t xml:space="preserve">Após a homologação da licitação, deverão ser observadas as seguintes condições para formalização da ata de registro de preços: </w:t>
      </w:r>
    </w:p>
    <w:p w:rsidR="00000000" w:rsidDel="00000000" w:rsidP="00000000" w:rsidRDefault="00000000" w:rsidRPr="00000000" w14:paraId="000000B8">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B9">
      <w:pPr>
        <w:spacing w:line="312" w:lineRule="auto"/>
        <w:jc w:val="both"/>
        <w:rPr>
          <w:color w:val="000000"/>
          <w:vertAlign w:val="baseline"/>
        </w:rPr>
      </w:pPr>
      <w:r w:rsidDel="00000000" w:rsidR="00000000" w:rsidRPr="00000000">
        <w:rPr>
          <w:b w:val="1"/>
          <w:color w:val="000000"/>
          <w:vertAlign w:val="baseline"/>
          <w:rtl w:val="0"/>
        </w:rPr>
        <w:t xml:space="preserve">5.4.1. </w:t>
      </w:r>
      <w:r w:rsidDel="00000000" w:rsidR="00000000" w:rsidRPr="00000000">
        <w:rPr>
          <w:color w:val="000000"/>
          <w:vertAlign w:val="baseline"/>
          <w:rtl w:val="0"/>
        </w:rPr>
        <w:t xml:space="preserve">Serão registrados na ata os percentuais de descontos ofertados e os valores estimado do adjudicatário, devendo ser observada a possibilidade de o licitante oferecer ou não proposta em quantitativo inferior ao máximo previsto no edital e se obrigar nos limites dela; </w:t>
      </w:r>
    </w:p>
    <w:p w:rsidR="00000000" w:rsidDel="00000000" w:rsidP="00000000" w:rsidRDefault="00000000" w:rsidRPr="00000000" w14:paraId="000000BA">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BB">
      <w:pPr>
        <w:spacing w:line="312" w:lineRule="auto"/>
        <w:jc w:val="both"/>
        <w:rPr>
          <w:color w:val="000000"/>
          <w:vertAlign w:val="baseline"/>
        </w:rPr>
      </w:pPr>
      <w:r w:rsidDel="00000000" w:rsidR="00000000" w:rsidRPr="00000000">
        <w:rPr>
          <w:b w:val="1"/>
          <w:color w:val="000000"/>
          <w:vertAlign w:val="baseline"/>
          <w:rtl w:val="0"/>
        </w:rPr>
        <w:t xml:space="preserve">5.4.2. </w:t>
      </w:r>
      <w:r w:rsidDel="00000000" w:rsidR="00000000" w:rsidRPr="00000000">
        <w:rPr>
          <w:color w:val="000000"/>
          <w:vertAlign w:val="baseline"/>
          <w:rtl w:val="0"/>
        </w:rPr>
        <w:t xml:space="preserve">Será incluído na ata, na forma de anexo, o registro dos licitantes ou dos fornecedores que: </w:t>
      </w:r>
    </w:p>
    <w:p w:rsidR="00000000" w:rsidDel="00000000" w:rsidP="00000000" w:rsidRDefault="00000000" w:rsidRPr="00000000" w14:paraId="000000BC">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BD">
      <w:pPr>
        <w:spacing w:line="312" w:lineRule="auto"/>
        <w:jc w:val="both"/>
        <w:rPr>
          <w:color w:val="000000"/>
          <w:vertAlign w:val="baseline"/>
        </w:rPr>
      </w:pPr>
      <w:r w:rsidDel="00000000" w:rsidR="00000000" w:rsidRPr="00000000">
        <w:rPr>
          <w:b w:val="1"/>
          <w:color w:val="000000"/>
          <w:vertAlign w:val="baseline"/>
          <w:rtl w:val="0"/>
        </w:rPr>
        <w:t xml:space="preserve">5.4.2.1. </w:t>
      </w:r>
      <w:r w:rsidDel="00000000" w:rsidR="00000000" w:rsidRPr="00000000">
        <w:rPr>
          <w:color w:val="000000"/>
          <w:vertAlign w:val="baseline"/>
          <w:rtl w:val="0"/>
        </w:rPr>
        <w:t xml:space="preserve">Aceitarem cotar os bens, as obras ou os serviços com percentuais iguais aos do adjudicatário, observada a classificação da licitação; e </w:t>
      </w:r>
    </w:p>
    <w:p w:rsidR="00000000" w:rsidDel="00000000" w:rsidP="00000000" w:rsidRDefault="00000000" w:rsidRPr="00000000" w14:paraId="000000BE">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BF">
      <w:pPr>
        <w:spacing w:line="312" w:lineRule="auto"/>
        <w:jc w:val="both"/>
        <w:rPr>
          <w:color w:val="000000"/>
          <w:vertAlign w:val="baseline"/>
        </w:rPr>
      </w:pPr>
      <w:r w:rsidDel="00000000" w:rsidR="00000000" w:rsidRPr="00000000">
        <w:rPr>
          <w:b w:val="1"/>
          <w:color w:val="000000"/>
          <w:vertAlign w:val="baseline"/>
          <w:rtl w:val="0"/>
        </w:rPr>
        <w:t xml:space="preserve">5.4.2.2. </w:t>
      </w:r>
      <w:r w:rsidDel="00000000" w:rsidR="00000000" w:rsidRPr="00000000">
        <w:rPr>
          <w:color w:val="000000"/>
          <w:vertAlign w:val="baseline"/>
          <w:rtl w:val="0"/>
        </w:rPr>
        <w:t xml:space="preserve">Mantiverem sua proposta original. </w:t>
      </w:r>
    </w:p>
    <w:p w:rsidR="00000000" w:rsidDel="00000000" w:rsidP="00000000" w:rsidRDefault="00000000" w:rsidRPr="00000000" w14:paraId="000000C0">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C1">
      <w:pPr>
        <w:spacing w:line="312" w:lineRule="auto"/>
        <w:jc w:val="both"/>
        <w:rPr>
          <w:color w:val="000000"/>
          <w:vertAlign w:val="baseline"/>
        </w:rPr>
      </w:pPr>
      <w:r w:rsidDel="00000000" w:rsidR="00000000" w:rsidRPr="00000000">
        <w:rPr>
          <w:b w:val="1"/>
          <w:color w:val="000000"/>
          <w:vertAlign w:val="baseline"/>
          <w:rtl w:val="0"/>
        </w:rPr>
        <w:t xml:space="preserve">5.4.3. </w:t>
      </w:r>
      <w:r w:rsidDel="00000000" w:rsidR="00000000" w:rsidRPr="00000000">
        <w:rPr>
          <w:color w:val="000000"/>
          <w:vertAlign w:val="baseline"/>
          <w:rtl w:val="0"/>
        </w:rPr>
        <w:t xml:space="preserve">Será respeitada, nas contratações, a ordem de classificação dos licitantes ou dos fornecedores registrados na ata. </w:t>
      </w:r>
    </w:p>
    <w:p w:rsidR="00000000" w:rsidDel="00000000" w:rsidP="00000000" w:rsidRDefault="00000000" w:rsidRPr="00000000" w14:paraId="000000C2">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0C3">
      <w:pPr>
        <w:spacing w:line="312" w:lineRule="auto"/>
        <w:jc w:val="both"/>
        <w:rPr>
          <w:color w:val="000000"/>
          <w:vertAlign w:val="baseline"/>
        </w:rPr>
      </w:pPr>
      <w:r w:rsidDel="00000000" w:rsidR="00000000" w:rsidRPr="00000000">
        <w:rPr>
          <w:b w:val="1"/>
          <w:color w:val="000000"/>
          <w:vertAlign w:val="baseline"/>
          <w:rtl w:val="0"/>
        </w:rPr>
        <w:t xml:space="preserve">5.5. </w:t>
      </w:r>
      <w:r w:rsidDel="00000000" w:rsidR="00000000" w:rsidRPr="00000000">
        <w:rPr>
          <w:color w:val="000000"/>
          <w:vertAlign w:val="baseline"/>
          <w:rtl w:val="0"/>
        </w:rPr>
        <w:t xml:space="preserve">O registro a que se refere o item 5.4.2 tem por objetivo a formação de cadastro de reserva para o caso de impossibilidade de atendimento pelo signatário da ata. </w:t>
      </w:r>
    </w:p>
    <w:p w:rsidR="00000000" w:rsidDel="00000000" w:rsidP="00000000" w:rsidRDefault="00000000" w:rsidRPr="00000000" w14:paraId="000000C4">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C5">
      <w:pPr>
        <w:spacing w:line="312" w:lineRule="auto"/>
        <w:jc w:val="both"/>
        <w:rPr>
          <w:color w:val="000000"/>
          <w:vertAlign w:val="baseline"/>
        </w:rPr>
      </w:pPr>
      <w:r w:rsidDel="00000000" w:rsidR="00000000" w:rsidRPr="00000000">
        <w:rPr>
          <w:b w:val="1"/>
          <w:color w:val="000000"/>
          <w:vertAlign w:val="baseline"/>
          <w:rtl w:val="0"/>
        </w:rPr>
        <w:t xml:space="preserve">5.6. </w:t>
      </w:r>
      <w:r w:rsidDel="00000000" w:rsidR="00000000" w:rsidRPr="00000000">
        <w:rPr>
          <w:color w:val="000000"/>
          <w:vertAlign w:val="baseline"/>
          <w:rtl w:val="0"/>
        </w:rPr>
        <w:t xml:space="preserve">Para fins da ordem de classificação, os licitantes ou fornecedores que aceitarem reduzir suas propostas para os percentuais de descontos do adjudicatário antecederão aqueles que mantiverem sua proposta original. </w:t>
      </w:r>
    </w:p>
    <w:p w:rsidR="00000000" w:rsidDel="00000000" w:rsidP="00000000" w:rsidRDefault="00000000" w:rsidRPr="00000000" w14:paraId="000000C6">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C7">
      <w:pPr>
        <w:spacing w:line="312" w:lineRule="auto"/>
        <w:jc w:val="both"/>
        <w:rPr>
          <w:color w:val="000000"/>
          <w:vertAlign w:val="baseline"/>
        </w:rPr>
      </w:pPr>
      <w:r w:rsidDel="00000000" w:rsidR="00000000" w:rsidRPr="00000000">
        <w:rPr>
          <w:b w:val="1"/>
          <w:color w:val="000000"/>
          <w:vertAlign w:val="baseline"/>
          <w:rtl w:val="0"/>
        </w:rPr>
        <w:t xml:space="preserve">5.7. </w:t>
      </w:r>
      <w:r w:rsidDel="00000000" w:rsidR="00000000" w:rsidRPr="00000000">
        <w:rPr>
          <w:color w:val="000000"/>
          <w:vertAlign w:val="baseline"/>
          <w:rtl w:val="0"/>
        </w:rPr>
        <w:t xml:space="preserve">A habilitação dos licitantes que comporão o cadastro de reserva a que se refere o item 5.4.2.2 somente será efetuada quando houver necessidade de contratação dos licitantes remanescentes, nas seguintes hipóteses: </w:t>
      </w:r>
    </w:p>
    <w:p w:rsidR="00000000" w:rsidDel="00000000" w:rsidP="00000000" w:rsidRDefault="00000000" w:rsidRPr="00000000" w14:paraId="000000C8">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C9">
      <w:pPr>
        <w:spacing w:line="312" w:lineRule="auto"/>
        <w:jc w:val="both"/>
        <w:rPr>
          <w:color w:val="000000"/>
          <w:vertAlign w:val="baseline"/>
        </w:rPr>
      </w:pPr>
      <w:r w:rsidDel="00000000" w:rsidR="00000000" w:rsidRPr="00000000">
        <w:rPr>
          <w:b w:val="1"/>
          <w:color w:val="000000"/>
          <w:vertAlign w:val="baseline"/>
          <w:rtl w:val="0"/>
        </w:rPr>
        <w:t xml:space="preserve">5.7.1. </w:t>
      </w:r>
      <w:r w:rsidDel="00000000" w:rsidR="00000000" w:rsidRPr="00000000">
        <w:rPr>
          <w:color w:val="000000"/>
          <w:vertAlign w:val="baseline"/>
          <w:rtl w:val="0"/>
        </w:rPr>
        <w:t xml:space="preserve">Quando o licitante vencedor não assinar a ata de registro de preços, no prazo e nas condições estabelecidos no edital; e </w:t>
      </w:r>
    </w:p>
    <w:p w:rsidR="00000000" w:rsidDel="00000000" w:rsidP="00000000" w:rsidRDefault="00000000" w:rsidRPr="00000000" w14:paraId="000000CA">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CB">
      <w:pPr>
        <w:spacing w:line="312" w:lineRule="auto"/>
        <w:jc w:val="both"/>
        <w:rPr>
          <w:color w:val="000000"/>
          <w:vertAlign w:val="baseline"/>
        </w:rPr>
      </w:pPr>
      <w:r w:rsidDel="00000000" w:rsidR="00000000" w:rsidRPr="00000000">
        <w:rPr>
          <w:b w:val="1"/>
          <w:color w:val="000000"/>
          <w:vertAlign w:val="baseline"/>
          <w:rtl w:val="0"/>
        </w:rPr>
        <w:t xml:space="preserve">5.7.2. </w:t>
      </w:r>
      <w:r w:rsidDel="00000000" w:rsidR="00000000" w:rsidRPr="00000000">
        <w:rPr>
          <w:color w:val="000000"/>
          <w:vertAlign w:val="baseline"/>
          <w:rtl w:val="0"/>
        </w:rPr>
        <w:t xml:space="preserve">Quando houver o cancelamento do registro do licitante ou do registro de preços. </w:t>
      </w:r>
    </w:p>
    <w:p w:rsidR="00000000" w:rsidDel="00000000" w:rsidP="00000000" w:rsidRDefault="00000000" w:rsidRPr="00000000" w14:paraId="000000CC">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CD">
      <w:pPr>
        <w:spacing w:line="312" w:lineRule="auto"/>
        <w:jc w:val="both"/>
        <w:rPr>
          <w:color w:val="000000"/>
          <w:vertAlign w:val="baseline"/>
        </w:rPr>
      </w:pPr>
      <w:r w:rsidDel="00000000" w:rsidR="00000000" w:rsidRPr="00000000">
        <w:rPr>
          <w:b w:val="1"/>
          <w:color w:val="000000"/>
          <w:vertAlign w:val="baseline"/>
          <w:rtl w:val="0"/>
        </w:rPr>
        <w:t xml:space="preserve">5.8. </w:t>
      </w:r>
      <w:r w:rsidDel="00000000" w:rsidR="00000000" w:rsidRPr="00000000">
        <w:rPr>
          <w:color w:val="000000"/>
          <w:vertAlign w:val="baseline"/>
          <w:rtl w:val="0"/>
        </w:rPr>
        <w:t xml:space="preserve">O percentual de desconto registrado com indicação dos licitantes e fornecedores será divulgado e ficará disponibilizado durante a vigência da ata de registro de preços. </w:t>
      </w:r>
    </w:p>
    <w:p w:rsidR="00000000" w:rsidDel="00000000" w:rsidP="00000000" w:rsidRDefault="00000000" w:rsidRPr="00000000" w14:paraId="000000CE">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CF">
      <w:pPr>
        <w:spacing w:line="312" w:lineRule="auto"/>
        <w:jc w:val="both"/>
        <w:rPr>
          <w:color w:val="000000"/>
          <w:vertAlign w:val="baseline"/>
        </w:rPr>
      </w:pPr>
      <w:r w:rsidDel="00000000" w:rsidR="00000000" w:rsidRPr="00000000">
        <w:rPr>
          <w:b w:val="1"/>
          <w:color w:val="000000"/>
          <w:vertAlign w:val="baseline"/>
          <w:rtl w:val="0"/>
        </w:rPr>
        <w:t xml:space="preserve">5.9. </w:t>
      </w:r>
      <w:r w:rsidDel="00000000" w:rsidR="00000000" w:rsidRPr="00000000">
        <w:rPr>
          <w:color w:val="000000"/>
          <w:vertAlign w:val="baseline"/>
          <w:rtl w:val="0"/>
        </w:rPr>
        <w:t xml:space="preserve">Após a homologação da licitação, o licitante mais bem classificado, será convocado para assinar a ata de registro de preços, no prazo e nas condições estabelecidos no edital, sob pena de decair o direito, sem prejuízo das sanções previstas na Lei nº 14.133, de 2021. </w:t>
      </w:r>
    </w:p>
    <w:p w:rsidR="00000000" w:rsidDel="00000000" w:rsidP="00000000" w:rsidRDefault="00000000" w:rsidRPr="00000000" w14:paraId="000000D0">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D1">
      <w:pPr>
        <w:spacing w:line="312" w:lineRule="auto"/>
        <w:jc w:val="both"/>
        <w:rPr>
          <w:color w:val="000000"/>
          <w:vertAlign w:val="baseline"/>
        </w:rPr>
      </w:pPr>
      <w:r w:rsidDel="00000000" w:rsidR="00000000" w:rsidRPr="00000000">
        <w:rPr>
          <w:b w:val="1"/>
          <w:color w:val="000000"/>
          <w:vertAlign w:val="baseline"/>
          <w:rtl w:val="0"/>
        </w:rPr>
        <w:t xml:space="preserve">5.9.1. </w:t>
      </w:r>
      <w:r w:rsidDel="00000000" w:rsidR="00000000" w:rsidRPr="00000000">
        <w:rPr>
          <w:color w:val="000000"/>
          <w:vertAlign w:val="baseline"/>
          <w:rtl w:val="0"/>
        </w:rPr>
        <w:t xml:space="preserve">O prazo de convocação poderá ser prorrogado 1 (uma) vez, por igual período, mediante solicitação do licitante ou fornecedor convocado, desde que apresentada dentro do prazo, devidamente justificada, e que a justificativa seja aceita pela Administração. </w:t>
      </w:r>
    </w:p>
    <w:p w:rsidR="00000000" w:rsidDel="00000000" w:rsidP="00000000" w:rsidRDefault="00000000" w:rsidRPr="00000000" w14:paraId="000000D2">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D3">
      <w:pPr>
        <w:spacing w:line="312" w:lineRule="auto"/>
        <w:jc w:val="both"/>
        <w:rPr>
          <w:color w:val="000000"/>
          <w:vertAlign w:val="baseline"/>
        </w:rPr>
      </w:pPr>
      <w:r w:rsidDel="00000000" w:rsidR="00000000" w:rsidRPr="00000000">
        <w:rPr>
          <w:b w:val="1"/>
          <w:color w:val="000000"/>
          <w:vertAlign w:val="baseline"/>
          <w:rtl w:val="0"/>
        </w:rPr>
        <w:t xml:space="preserve">5.10. </w:t>
      </w:r>
      <w:r w:rsidDel="00000000" w:rsidR="00000000" w:rsidRPr="00000000">
        <w:rPr>
          <w:color w:val="000000"/>
          <w:vertAlign w:val="baseline"/>
          <w:rtl w:val="0"/>
        </w:rPr>
        <w:t xml:space="preserve">Quando o convocado não assinar a ata de registro de preços no prazo e nas condições estabelecidos no edital, observando o item 5.7 e subitens, fica facultado à Administração convocar os licitantes remanescentes do cadastro de reserva, na ordem de classificação, para fazê-lo em igual prazo e nas condições propostas pelo primeiro classificado. </w:t>
      </w:r>
    </w:p>
    <w:p w:rsidR="00000000" w:rsidDel="00000000" w:rsidP="00000000" w:rsidRDefault="00000000" w:rsidRPr="00000000" w14:paraId="000000D4">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D5">
      <w:pPr>
        <w:spacing w:line="312" w:lineRule="auto"/>
        <w:jc w:val="both"/>
        <w:rPr>
          <w:color w:val="000000"/>
          <w:vertAlign w:val="baseline"/>
        </w:rPr>
      </w:pPr>
      <w:r w:rsidDel="00000000" w:rsidR="00000000" w:rsidRPr="00000000">
        <w:rPr>
          <w:b w:val="1"/>
          <w:color w:val="000000"/>
          <w:vertAlign w:val="baseline"/>
          <w:rtl w:val="0"/>
        </w:rPr>
        <w:t xml:space="preserve">5.11. </w:t>
      </w:r>
      <w:r w:rsidDel="00000000" w:rsidR="00000000" w:rsidRPr="00000000">
        <w:rPr>
          <w:color w:val="000000"/>
          <w:vertAlign w:val="baseline"/>
          <w:rtl w:val="0"/>
        </w:rPr>
        <w:t xml:space="preserve">Na hipótese de nenhum dos licitantes que trata o item 5.4.2.1, aceitar a contratação nos termos do item anterior, a Administração, observados o valor estimado e sua eventual atualização nos termos do edital, poderá: </w:t>
      </w:r>
    </w:p>
    <w:p w:rsidR="00000000" w:rsidDel="00000000" w:rsidP="00000000" w:rsidRDefault="00000000" w:rsidRPr="00000000" w14:paraId="000000D6">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D7">
      <w:pPr>
        <w:spacing w:line="312" w:lineRule="auto"/>
        <w:jc w:val="both"/>
        <w:rPr>
          <w:color w:val="000000"/>
          <w:vertAlign w:val="baseline"/>
        </w:rPr>
      </w:pPr>
      <w:r w:rsidDel="00000000" w:rsidR="00000000" w:rsidRPr="00000000">
        <w:rPr>
          <w:b w:val="1"/>
          <w:color w:val="000000"/>
          <w:vertAlign w:val="baseline"/>
          <w:rtl w:val="0"/>
        </w:rPr>
        <w:t xml:space="preserve">5.11.1. </w:t>
      </w:r>
      <w:r w:rsidDel="00000000" w:rsidR="00000000" w:rsidRPr="00000000">
        <w:rPr>
          <w:color w:val="000000"/>
          <w:vertAlign w:val="baseline"/>
          <w:rtl w:val="0"/>
        </w:rPr>
        <w:t xml:space="preserve">Convocar para negociação os demais licitantes ou fornecedores remanescentes cujos os descontos foram registrados sem redução, observada a ordem de classificação, com vistas à obtenção de maio desconto, mesmo que acima do desconto do adjudicatário; ou </w:t>
      </w:r>
    </w:p>
    <w:p w:rsidR="00000000" w:rsidDel="00000000" w:rsidP="00000000" w:rsidRDefault="00000000" w:rsidRPr="00000000" w14:paraId="000000D8">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D9">
      <w:pPr>
        <w:spacing w:line="312" w:lineRule="auto"/>
        <w:jc w:val="both"/>
        <w:rPr>
          <w:color w:val="000000"/>
          <w:vertAlign w:val="baseline"/>
        </w:rPr>
      </w:pPr>
      <w:r w:rsidDel="00000000" w:rsidR="00000000" w:rsidRPr="00000000">
        <w:rPr>
          <w:b w:val="1"/>
          <w:color w:val="000000"/>
          <w:vertAlign w:val="baseline"/>
          <w:rtl w:val="0"/>
        </w:rPr>
        <w:t xml:space="preserve">5.11.2. </w:t>
      </w:r>
      <w:r w:rsidDel="00000000" w:rsidR="00000000" w:rsidRPr="00000000">
        <w:rPr>
          <w:color w:val="000000"/>
          <w:vertAlign w:val="baseline"/>
          <w:rtl w:val="0"/>
        </w:rPr>
        <w:t xml:space="preserve">Adjudicar e firmar o contrato nas condições ofertadas pelos licitantes ou fornecedores remanescentes, atendida a ordem classificatória, quando frustrada a negociação de melhor condição. </w:t>
      </w:r>
    </w:p>
    <w:p w:rsidR="00000000" w:rsidDel="00000000" w:rsidP="00000000" w:rsidRDefault="00000000" w:rsidRPr="00000000" w14:paraId="000000DA">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DB">
      <w:pPr>
        <w:spacing w:line="312" w:lineRule="auto"/>
        <w:jc w:val="both"/>
        <w:rPr>
          <w:color w:val="000000"/>
          <w:vertAlign w:val="baseline"/>
        </w:rPr>
      </w:pPr>
      <w:r w:rsidDel="00000000" w:rsidR="00000000" w:rsidRPr="00000000">
        <w:rPr>
          <w:b w:val="1"/>
          <w:color w:val="000000"/>
          <w:vertAlign w:val="baseline"/>
          <w:rtl w:val="0"/>
        </w:rPr>
        <w:t xml:space="preserve">5.12. </w:t>
      </w:r>
      <w:r w:rsidDel="00000000" w:rsidR="00000000" w:rsidRPr="00000000">
        <w:rPr>
          <w:color w:val="000000"/>
          <w:vertAlign w:val="baseline"/>
          <w:rtl w:val="0"/>
        </w:rPr>
        <w:t xml:space="preserve">A existência de percentuais de descontos registrados implicará compromisso de fornecimento nas condições estabelecidas, mas não obrigará a Administração a contratar, facultada a realização de licitação específica para a aquisição pretendida, desde que devidamente justificada. </w:t>
      </w:r>
    </w:p>
    <w:p w:rsidR="00000000" w:rsidDel="00000000" w:rsidP="00000000" w:rsidRDefault="00000000" w:rsidRPr="00000000" w14:paraId="000000DC">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DD">
      <w:pPr>
        <w:spacing w:line="312" w:lineRule="auto"/>
        <w:jc w:val="both"/>
        <w:rPr>
          <w:rFonts w:ascii="Calibri" w:cs="Calibri" w:eastAsia="Calibri" w:hAnsi="Calibri"/>
          <w:color w:val="000000"/>
          <w:sz w:val="23"/>
          <w:szCs w:val="23"/>
          <w:vertAlign w:val="baseline"/>
        </w:rPr>
      </w:pPr>
      <w:r w:rsidDel="00000000" w:rsidR="00000000" w:rsidRPr="00000000">
        <w:rPr>
          <w:b w:val="1"/>
          <w:u w:val="single"/>
          <w:vertAlign w:val="baseline"/>
          <w:rtl w:val="0"/>
        </w:rPr>
        <w:t xml:space="preserve">CLÁUSUAL SEXTA – DA ALTERAÇÃO DOS PREÇOS REGISTRADOS</w:t>
      </w:r>
      <w:r w:rsidDel="00000000" w:rsidR="00000000" w:rsidRPr="00000000">
        <w:rPr>
          <w:rtl w:val="0"/>
        </w:rPr>
      </w:r>
    </w:p>
    <w:p w:rsidR="00000000" w:rsidDel="00000000" w:rsidP="00000000" w:rsidRDefault="00000000" w:rsidRPr="00000000" w14:paraId="000000DE">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0DF">
      <w:pPr>
        <w:spacing w:line="312" w:lineRule="auto"/>
        <w:jc w:val="both"/>
        <w:rPr>
          <w:color w:val="000000"/>
          <w:vertAlign w:val="baseline"/>
        </w:rPr>
      </w:pPr>
      <w:r w:rsidDel="00000000" w:rsidR="00000000" w:rsidRPr="00000000">
        <w:rPr>
          <w:b w:val="1"/>
          <w:color w:val="000000"/>
          <w:vertAlign w:val="baseline"/>
          <w:rtl w:val="0"/>
        </w:rPr>
        <w:t xml:space="preserve">6.1. </w:t>
      </w:r>
      <w:r w:rsidDel="00000000" w:rsidR="00000000" w:rsidRPr="00000000">
        <w:rPr>
          <w:color w:val="000000"/>
          <w:vertAlign w:val="baseline"/>
          <w:rtl w:val="0"/>
        </w:rPr>
        <w:t xml:space="preserve">Os preços registrados poderão ser alterados ou atualizados em decorrência de eventual redução dos preços praticados no mercado ou de fato que eleve o custo dos produtos registrados, nas seguintes situações: </w:t>
      </w:r>
    </w:p>
    <w:p w:rsidR="00000000" w:rsidDel="00000000" w:rsidP="00000000" w:rsidRDefault="00000000" w:rsidRPr="00000000" w14:paraId="000000E0">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E1">
      <w:pPr>
        <w:spacing w:line="312" w:lineRule="auto"/>
        <w:jc w:val="both"/>
        <w:rPr>
          <w:color w:val="000000"/>
          <w:vertAlign w:val="baseline"/>
        </w:rPr>
      </w:pPr>
      <w:r w:rsidDel="00000000" w:rsidR="00000000" w:rsidRPr="00000000">
        <w:rPr>
          <w:b w:val="1"/>
          <w:color w:val="000000"/>
          <w:vertAlign w:val="baseline"/>
          <w:rtl w:val="0"/>
        </w:rPr>
        <w:t xml:space="preserve">6.1.1. </w:t>
      </w:r>
      <w:r w:rsidDel="00000000" w:rsidR="00000000" w:rsidRPr="00000000">
        <w:rPr>
          <w:color w:val="000000"/>
          <w:vertAlign w:val="baseline"/>
          <w:rtl w:val="0"/>
        </w:rPr>
        <w:t xml:space="preserve">Em caso de força maior, caso fortuito ou fato do príncipe ou em decorrência de fatos imprevisíveis ou previsíveis de consequências incalculáveis, que inviabilizem a execução da ata tal como pactuada, nos termos da art. 124, II, d da Lei nº 14.133, de 2021; </w:t>
      </w:r>
    </w:p>
    <w:p w:rsidR="00000000" w:rsidDel="00000000" w:rsidP="00000000" w:rsidRDefault="00000000" w:rsidRPr="00000000" w14:paraId="000000E2">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E3">
      <w:pPr>
        <w:spacing w:line="312" w:lineRule="auto"/>
        <w:jc w:val="both"/>
        <w:rPr>
          <w:color w:val="000000"/>
          <w:vertAlign w:val="baseline"/>
        </w:rPr>
      </w:pPr>
      <w:r w:rsidDel="00000000" w:rsidR="00000000" w:rsidRPr="00000000">
        <w:rPr>
          <w:b w:val="1"/>
          <w:color w:val="000000"/>
          <w:vertAlign w:val="baseline"/>
          <w:rtl w:val="0"/>
        </w:rPr>
        <w:t xml:space="preserve">6.1.2. </w:t>
      </w:r>
      <w:r w:rsidDel="00000000" w:rsidR="00000000" w:rsidRPr="00000000">
        <w:rPr>
          <w:color w:val="000000"/>
          <w:vertAlign w:val="baseline"/>
          <w:rtl w:val="0"/>
        </w:rPr>
        <w:t xml:space="preserve">Em caso de criação, alteração ou extinção de quaisquer tributos ou encargos legais ou a superveniência de disposições legais, com comprovada repercussão sobre os percentuais registrados.</w:t>
      </w:r>
    </w:p>
    <w:p w:rsidR="00000000" w:rsidDel="00000000" w:rsidP="00000000" w:rsidRDefault="00000000" w:rsidRPr="00000000" w14:paraId="000000E4">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E5">
      <w:pPr>
        <w:spacing w:line="312" w:lineRule="auto"/>
        <w:jc w:val="both"/>
        <w:rPr>
          <w:color w:val="000000"/>
          <w:vertAlign w:val="baseline"/>
        </w:rPr>
      </w:pPr>
      <w:r w:rsidDel="00000000" w:rsidR="00000000" w:rsidRPr="00000000">
        <w:rPr>
          <w:b w:val="1"/>
          <w:u w:val="single"/>
          <w:vertAlign w:val="baseline"/>
          <w:rtl w:val="0"/>
        </w:rPr>
        <w:t xml:space="preserve">CLÁUSUAL SÉTIMA – DA NEGOCIAÇÃO DOS PERCENTUAIS REGISTRADOS</w:t>
      </w:r>
      <w:r w:rsidDel="00000000" w:rsidR="00000000" w:rsidRPr="00000000">
        <w:rPr>
          <w:rtl w:val="0"/>
        </w:rPr>
      </w:r>
    </w:p>
    <w:p w:rsidR="00000000" w:rsidDel="00000000" w:rsidP="00000000" w:rsidRDefault="00000000" w:rsidRPr="00000000" w14:paraId="000000E6">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E7">
      <w:pPr>
        <w:spacing w:line="312" w:lineRule="auto"/>
        <w:jc w:val="both"/>
        <w:rPr>
          <w:color w:val="000000"/>
          <w:vertAlign w:val="baseline"/>
        </w:rPr>
      </w:pPr>
      <w:r w:rsidDel="00000000" w:rsidR="00000000" w:rsidRPr="00000000">
        <w:rPr>
          <w:b w:val="1"/>
          <w:color w:val="000000"/>
          <w:vertAlign w:val="baseline"/>
          <w:rtl w:val="0"/>
        </w:rPr>
        <w:t xml:space="preserve">7.1. </w:t>
      </w:r>
      <w:r w:rsidDel="00000000" w:rsidR="00000000" w:rsidRPr="00000000">
        <w:rPr>
          <w:color w:val="000000"/>
          <w:vertAlign w:val="baseline"/>
          <w:rtl w:val="0"/>
        </w:rPr>
        <w:t xml:space="preserve">Na hipótese de o percentual de desconto registrado tornar-se superior ao preço praticado no mercado por motivo superveniente, o órgão ou entidade gerenciadora convocará o fornecedor para negociar a redução do preço registrado. </w:t>
      </w:r>
    </w:p>
    <w:p w:rsidR="00000000" w:rsidDel="00000000" w:rsidP="00000000" w:rsidRDefault="00000000" w:rsidRPr="00000000" w14:paraId="000000E8">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E9">
      <w:pPr>
        <w:spacing w:line="312" w:lineRule="auto"/>
        <w:jc w:val="both"/>
        <w:rPr>
          <w:color w:val="000000"/>
          <w:vertAlign w:val="baseline"/>
        </w:rPr>
      </w:pPr>
      <w:r w:rsidDel="00000000" w:rsidR="00000000" w:rsidRPr="00000000">
        <w:rPr>
          <w:b w:val="1"/>
          <w:color w:val="000000"/>
          <w:vertAlign w:val="baseline"/>
          <w:rtl w:val="0"/>
        </w:rPr>
        <w:t xml:space="preserve">7.1.1. </w:t>
      </w:r>
      <w:r w:rsidDel="00000000" w:rsidR="00000000" w:rsidRPr="00000000">
        <w:rPr>
          <w:color w:val="000000"/>
          <w:vertAlign w:val="baseline"/>
          <w:rtl w:val="0"/>
        </w:rPr>
        <w:t xml:space="preserve">Caso não aceite aumentar o desconto praticados pelo mercado, o fornecedor será liberado do compromisso assumido quanto ao item registrado, sem aplicação de penalidades administrativas. </w:t>
      </w:r>
    </w:p>
    <w:p w:rsidR="00000000" w:rsidDel="00000000" w:rsidP="00000000" w:rsidRDefault="00000000" w:rsidRPr="00000000" w14:paraId="000000EA">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EB">
      <w:pPr>
        <w:spacing w:line="312" w:lineRule="auto"/>
        <w:jc w:val="both"/>
        <w:rPr>
          <w:color w:val="000000"/>
          <w:vertAlign w:val="baseline"/>
        </w:rPr>
      </w:pPr>
      <w:r w:rsidDel="00000000" w:rsidR="00000000" w:rsidRPr="00000000">
        <w:rPr>
          <w:b w:val="1"/>
          <w:color w:val="000000"/>
          <w:vertAlign w:val="baseline"/>
          <w:rtl w:val="0"/>
        </w:rPr>
        <w:t xml:space="preserve">7.1.2. </w:t>
      </w:r>
      <w:r w:rsidDel="00000000" w:rsidR="00000000" w:rsidRPr="00000000">
        <w:rPr>
          <w:color w:val="000000"/>
          <w:vertAlign w:val="baseline"/>
          <w:rtl w:val="0"/>
        </w:rPr>
        <w:t xml:space="preserve">Na hipótese prevista no item anterior, o gerenciador convocará os fornecedores do cadastro de reserva, na ordem de classificação, para verificar se aceitam aumentar seus descontos aos valores de mercado e não convocará os licitantes ou fornecedores que tiveram seu registro cancelado. </w:t>
      </w:r>
    </w:p>
    <w:p w:rsidR="00000000" w:rsidDel="00000000" w:rsidP="00000000" w:rsidRDefault="00000000" w:rsidRPr="00000000" w14:paraId="000000EC">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ED">
      <w:pPr>
        <w:spacing w:line="312" w:lineRule="auto"/>
        <w:jc w:val="both"/>
        <w:rPr>
          <w:color w:val="000000"/>
          <w:vertAlign w:val="baseline"/>
        </w:rPr>
      </w:pPr>
      <w:r w:rsidDel="00000000" w:rsidR="00000000" w:rsidRPr="00000000">
        <w:rPr>
          <w:b w:val="1"/>
          <w:color w:val="000000"/>
          <w:vertAlign w:val="baseline"/>
          <w:rtl w:val="0"/>
        </w:rPr>
        <w:t xml:space="preserve">7.1.3. </w:t>
      </w:r>
      <w:r w:rsidDel="00000000" w:rsidR="00000000" w:rsidRPr="00000000">
        <w:rPr>
          <w:color w:val="000000"/>
          <w:vertAlign w:val="baseline"/>
          <w:rtl w:val="0"/>
        </w:rPr>
        <w:t xml:space="preserve">Se não obtiver êxito nas negociações, o órgão ou entidade gerenciadora procederá ao cancelamento da ata de registro de preços, adotando as medidas cabíveis para obtenção de contratação mais vantajosa. </w:t>
      </w:r>
    </w:p>
    <w:p w:rsidR="00000000" w:rsidDel="00000000" w:rsidP="00000000" w:rsidRDefault="00000000" w:rsidRPr="00000000" w14:paraId="000000EE">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EF">
      <w:pPr>
        <w:spacing w:line="312" w:lineRule="auto"/>
        <w:jc w:val="both"/>
        <w:rPr>
          <w:color w:val="000000"/>
          <w:vertAlign w:val="baseline"/>
        </w:rPr>
      </w:pPr>
      <w:r w:rsidDel="00000000" w:rsidR="00000000" w:rsidRPr="00000000">
        <w:rPr>
          <w:b w:val="1"/>
          <w:color w:val="000000"/>
          <w:vertAlign w:val="baseline"/>
          <w:rtl w:val="0"/>
        </w:rPr>
        <w:t xml:space="preserve">7.1.4. </w:t>
      </w:r>
      <w:r w:rsidDel="00000000" w:rsidR="00000000" w:rsidRPr="00000000">
        <w:rPr>
          <w:color w:val="000000"/>
          <w:vertAlign w:val="baseline"/>
          <w:rtl w:val="0"/>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rsidR="00000000" w:rsidDel="00000000" w:rsidP="00000000" w:rsidRDefault="00000000" w:rsidRPr="00000000" w14:paraId="000000F0">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F1">
      <w:pPr>
        <w:spacing w:line="312" w:lineRule="auto"/>
        <w:jc w:val="both"/>
        <w:rPr>
          <w:color w:val="000000"/>
          <w:vertAlign w:val="baseline"/>
        </w:rPr>
      </w:pPr>
      <w:r w:rsidDel="00000000" w:rsidR="00000000" w:rsidRPr="00000000">
        <w:rPr>
          <w:b w:val="1"/>
          <w:color w:val="000000"/>
          <w:vertAlign w:val="baseline"/>
          <w:rtl w:val="0"/>
        </w:rPr>
        <w:t xml:space="preserve">7.2. </w:t>
      </w:r>
      <w:r w:rsidDel="00000000" w:rsidR="00000000" w:rsidRPr="00000000">
        <w:rPr>
          <w:color w:val="000000"/>
          <w:vertAlign w:val="baseline"/>
          <w:rtl w:val="0"/>
        </w:rPr>
        <w:t xml:space="preserve">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rsidR="00000000" w:rsidDel="00000000" w:rsidP="00000000" w:rsidRDefault="00000000" w:rsidRPr="00000000" w14:paraId="000000F2">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F3">
      <w:pPr>
        <w:spacing w:line="312" w:lineRule="auto"/>
        <w:jc w:val="both"/>
        <w:rPr>
          <w:color w:val="000000"/>
          <w:vertAlign w:val="baseline"/>
        </w:rPr>
      </w:pPr>
      <w:r w:rsidDel="00000000" w:rsidR="00000000" w:rsidRPr="00000000">
        <w:rPr>
          <w:b w:val="1"/>
          <w:color w:val="000000"/>
          <w:vertAlign w:val="baseline"/>
          <w:rtl w:val="0"/>
        </w:rPr>
        <w:t xml:space="preserve">7.2.1. </w:t>
      </w:r>
      <w:r w:rsidDel="00000000" w:rsidR="00000000" w:rsidRPr="00000000">
        <w:rPr>
          <w:color w:val="000000"/>
          <w:vertAlign w:val="baseline"/>
          <w:rtl w:val="0"/>
        </w:rPr>
        <w:t xml:space="preserve">Neste caso, o fornecedor encaminhará, juntamente com o pedido de alteração, a documentação comprobatória ou a planilha de custos que demonstre a inviabilidade de praticar o desconto registrado em relação às condições inicialmente pactuadas. </w:t>
      </w:r>
    </w:p>
    <w:p w:rsidR="00000000" w:rsidDel="00000000" w:rsidP="00000000" w:rsidRDefault="00000000" w:rsidRPr="00000000" w14:paraId="000000F4">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F5">
      <w:pPr>
        <w:spacing w:line="312" w:lineRule="auto"/>
        <w:jc w:val="both"/>
        <w:rPr>
          <w:color w:val="000000"/>
          <w:vertAlign w:val="baseline"/>
        </w:rPr>
      </w:pPr>
      <w:r w:rsidDel="00000000" w:rsidR="00000000" w:rsidRPr="00000000">
        <w:rPr>
          <w:b w:val="1"/>
          <w:color w:val="000000"/>
          <w:vertAlign w:val="baseline"/>
          <w:rtl w:val="0"/>
        </w:rPr>
        <w:t xml:space="preserve">7.2.2. </w:t>
      </w:r>
      <w:r w:rsidDel="00000000" w:rsidR="00000000" w:rsidRPr="00000000">
        <w:rPr>
          <w:color w:val="000000"/>
          <w:vertAlign w:val="baseline"/>
          <w:rtl w:val="0"/>
        </w:rPr>
        <w:t xml:space="preserve">Não hipótese de não comprovação da existência de fato superveniente que inviabilize o desconto registrado, o pedido será indeferido pelo órgão ou entidade gerenciadora e o fornecedor deverá cumprir as obrigações estabelecidas na ata, sob pena de cancelamento do seu registro, nos termos do item10.1, sem prejuízo das sanções previstas na Lei nº 14.133, de 2021, e na legislação aplicável. </w:t>
      </w:r>
    </w:p>
    <w:p w:rsidR="00000000" w:rsidDel="00000000" w:rsidP="00000000" w:rsidRDefault="00000000" w:rsidRPr="00000000" w14:paraId="000000F6">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0F7">
      <w:pPr>
        <w:spacing w:line="312" w:lineRule="auto"/>
        <w:jc w:val="both"/>
        <w:rPr>
          <w:color w:val="000000"/>
          <w:vertAlign w:val="baseline"/>
        </w:rPr>
      </w:pPr>
      <w:r w:rsidDel="00000000" w:rsidR="00000000" w:rsidRPr="00000000">
        <w:rPr>
          <w:b w:val="1"/>
          <w:color w:val="000000"/>
          <w:vertAlign w:val="baseline"/>
          <w:rtl w:val="0"/>
        </w:rPr>
        <w:t xml:space="preserve">7.2.3. </w:t>
      </w:r>
      <w:r w:rsidDel="00000000" w:rsidR="00000000" w:rsidRPr="00000000">
        <w:rPr>
          <w:color w:val="000000"/>
          <w:vertAlign w:val="baseline"/>
          <w:rtl w:val="0"/>
        </w:rPr>
        <w:t xml:space="preserve">Na hipótese de cancelamento do registro do fornecedor, nos termos do item anterior, o gerenciador convocará os fornecedores do cadastro de reserva, na ordem de classificação, para verificar se aceitam manter seus descontos ofertados/registrados, observado o disposto no item 5.7. </w:t>
      </w:r>
    </w:p>
    <w:p w:rsidR="00000000" w:rsidDel="00000000" w:rsidP="00000000" w:rsidRDefault="00000000" w:rsidRPr="00000000" w14:paraId="000000F8">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F9">
      <w:pPr>
        <w:spacing w:line="312" w:lineRule="auto"/>
        <w:jc w:val="both"/>
        <w:rPr>
          <w:color w:val="000000"/>
          <w:vertAlign w:val="baseline"/>
        </w:rPr>
      </w:pPr>
      <w:r w:rsidDel="00000000" w:rsidR="00000000" w:rsidRPr="00000000">
        <w:rPr>
          <w:b w:val="1"/>
          <w:color w:val="000000"/>
          <w:vertAlign w:val="baseline"/>
          <w:rtl w:val="0"/>
        </w:rPr>
        <w:t xml:space="preserve">7.2.4. </w:t>
      </w:r>
      <w:r w:rsidDel="00000000" w:rsidR="00000000" w:rsidRPr="00000000">
        <w:rPr>
          <w:color w:val="000000"/>
          <w:vertAlign w:val="baseline"/>
          <w:rtl w:val="0"/>
        </w:rPr>
        <w:t xml:space="preserve">Se não obtiver êxito nas negociações, o órgão ou entidade gerenciadora procederá ao cancelamento da ata de registro de preços, nos termos do item 9.4, e adotará as medidas cabíveis para a obtenção da contratação mais vantajosa. </w:t>
      </w:r>
    </w:p>
    <w:p w:rsidR="00000000" w:rsidDel="00000000" w:rsidP="00000000" w:rsidRDefault="00000000" w:rsidRPr="00000000" w14:paraId="000000FA">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FB">
      <w:pPr>
        <w:spacing w:line="312" w:lineRule="auto"/>
        <w:jc w:val="both"/>
        <w:rPr>
          <w:color w:val="000000"/>
          <w:vertAlign w:val="baseline"/>
        </w:rPr>
      </w:pPr>
      <w:r w:rsidDel="00000000" w:rsidR="00000000" w:rsidRPr="00000000">
        <w:rPr>
          <w:b w:val="1"/>
          <w:color w:val="000000"/>
          <w:vertAlign w:val="baseline"/>
          <w:rtl w:val="0"/>
        </w:rPr>
        <w:t xml:space="preserve">7.2.5. </w:t>
      </w:r>
      <w:r w:rsidDel="00000000" w:rsidR="00000000" w:rsidRPr="00000000">
        <w:rPr>
          <w:color w:val="000000"/>
          <w:vertAlign w:val="baseline"/>
          <w:rtl w:val="0"/>
        </w:rPr>
        <w:t xml:space="preserve">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p>
    <w:p w:rsidR="00000000" w:rsidDel="00000000" w:rsidP="00000000" w:rsidRDefault="00000000" w:rsidRPr="00000000" w14:paraId="000000FC">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FD">
      <w:pPr>
        <w:spacing w:line="312" w:lineRule="auto"/>
        <w:jc w:val="both"/>
        <w:rPr>
          <w:color w:val="000000"/>
          <w:vertAlign w:val="baseline"/>
        </w:rPr>
      </w:pPr>
      <w:r w:rsidDel="00000000" w:rsidR="00000000" w:rsidRPr="00000000">
        <w:rPr>
          <w:b w:val="1"/>
          <w:color w:val="000000"/>
          <w:vertAlign w:val="baseline"/>
          <w:rtl w:val="0"/>
        </w:rPr>
        <w:t xml:space="preserve">7.2.6. </w:t>
      </w:r>
      <w:r w:rsidDel="00000000" w:rsidR="00000000" w:rsidRPr="00000000">
        <w:rPr>
          <w:color w:val="000000"/>
          <w:vertAlign w:val="baseline"/>
          <w:rtl w:val="0"/>
        </w:rPr>
        <w:t xml:space="preserve">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 </w:t>
      </w:r>
    </w:p>
    <w:p w:rsidR="00000000" w:rsidDel="00000000" w:rsidP="00000000" w:rsidRDefault="00000000" w:rsidRPr="00000000" w14:paraId="000000FE">
      <w:pPr>
        <w:spacing w:line="312" w:lineRule="auto"/>
        <w:jc w:val="both"/>
        <w:rPr>
          <w:b w:val="0"/>
          <w:sz w:val="23"/>
          <w:szCs w:val="23"/>
          <w:vertAlign w:val="baseline"/>
        </w:rPr>
      </w:pPr>
      <w:r w:rsidDel="00000000" w:rsidR="00000000" w:rsidRPr="00000000">
        <w:rPr>
          <w:rtl w:val="0"/>
        </w:rPr>
      </w:r>
    </w:p>
    <w:p w:rsidR="00000000" w:rsidDel="00000000" w:rsidP="00000000" w:rsidRDefault="00000000" w:rsidRPr="00000000" w14:paraId="000000FF">
      <w:pPr>
        <w:spacing w:line="312" w:lineRule="auto"/>
        <w:jc w:val="both"/>
        <w:rPr>
          <w:color w:val="000000"/>
          <w:u w:val="single"/>
          <w:vertAlign w:val="baseline"/>
        </w:rPr>
      </w:pPr>
      <w:r w:rsidDel="00000000" w:rsidR="00000000" w:rsidRPr="00000000">
        <w:rPr>
          <w:b w:val="1"/>
          <w:u w:val="single"/>
          <w:vertAlign w:val="baseline"/>
          <w:rtl w:val="0"/>
        </w:rPr>
        <w:t xml:space="preserve">CLÁUSULA OITAVA - REMANEJAMENTO DAS QUANTIDADES REGISTRADAS NA ATA DE REGISTRO DE PREÇOS</w:t>
      </w:r>
      <w:r w:rsidDel="00000000" w:rsidR="00000000" w:rsidRPr="00000000">
        <w:rPr>
          <w:rtl w:val="0"/>
        </w:rPr>
      </w:r>
    </w:p>
    <w:p w:rsidR="00000000" w:rsidDel="00000000" w:rsidP="00000000" w:rsidRDefault="00000000" w:rsidRPr="00000000" w14:paraId="00000100">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101">
      <w:pPr>
        <w:spacing w:line="312" w:lineRule="auto"/>
        <w:jc w:val="both"/>
        <w:rPr>
          <w:color w:val="000000"/>
          <w:vertAlign w:val="baseline"/>
        </w:rPr>
      </w:pPr>
      <w:r w:rsidDel="00000000" w:rsidR="00000000" w:rsidRPr="00000000">
        <w:rPr>
          <w:b w:val="1"/>
          <w:color w:val="000000"/>
          <w:vertAlign w:val="baseline"/>
          <w:rtl w:val="0"/>
        </w:rPr>
        <w:t xml:space="preserve">8.1. </w:t>
      </w:r>
      <w:r w:rsidDel="00000000" w:rsidR="00000000" w:rsidRPr="00000000">
        <w:rPr>
          <w:color w:val="000000"/>
          <w:vertAlign w:val="baseline"/>
          <w:rtl w:val="0"/>
        </w:rPr>
        <w:t xml:space="preserve">As quantidades previstas para os itens com percentuais de descontos registrados na ata de registro de preços poderão ser remanejadas pelo órgão ou entidade gerenciadora entre os órgãos ou as entidades participantes e não participantes do registro de preços. </w:t>
      </w:r>
    </w:p>
    <w:p w:rsidR="00000000" w:rsidDel="00000000" w:rsidP="00000000" w:rsidRDefault="00000000" w:rsidRPr="00000000" w14:paraId="00000102">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03">
      <w:pPr>
        <w:spacing w:line="312" w:lineRule="auto"/>
        <w:jc w:val="both"/>
        <w:rPr>
          <w:b w:val="0"/>
          <w:color w:val="000000"/>
          <w:vertAlign w:val="baseline"/>
        </w:rPr>
      </w:pPr>
      <w:r w:rsidDel="00000000" w:rsidR="00000000" w:rsidRPr="00000000">
        <w:rPr>
          <w:b w:val="1"/>
          <w:color w:val="000000"/>
          <w:vertAlign w:val="baseline"/>
          <w:rtl w:val="0"/>
        </w:rPr>
        <w:t xml:space="preserve">8.2. O remanejamento somente poderá ser feito: </w:t>
      </w:r>
      <w:r w:rsidDel="00000000" w:rsidR="00000000" w:rsidRPr="00000000">
        <w:rPr>
          <w:rtl w:val="0"/>
        </w:rPr>
      </w:r>
    </w:p>
    <w:p w:rsidR="00000000" w:rsidDel="00000000" w:rsidP="00000000" w:rsidRDefault="00000000" w:rsidRPr="00000000" w14:paraId="00000104">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105">
      <w:pPr>
        <w:spacing w:line="312" w:lineRule="auto"/>
        <w:jc w:val="both"/>
        <w:rPr>
          <w:color w:val="000000"/>
          <w:vertAlign w:val="baseline"/>
        </w:rPr>
      </w:pPr>
      <w:r w:rsidDel="00000000" w:rsidR="00000000" w:rsidRPr="00000000">
        <w:rPr>
          <w:b w:val="1"/>
          <w:color w:val="000000"/>
          <w:vertAlign w:val="baseline"/>
          <w:rtl w:val="0"/>
        </w:rPr>
        <w:t xml:space="preserve">8.2.1. </w:t>
      </w:r>
      <w:r w:rsidDel="00000000" w:rsidR="00000000" w:rsidRPr="00000000">
        <w:rPr>
          <w:color w:val="000000"/>
          <w:vertAlign w:val="baseline"/>
          <w:rtl w:val="0"/>
        </w:rPr>
        <w:t xml:space="preserve">De órgão ou entidade participante para órgão ou entidade participante; ou </w:t>
      </w:r>
    </w:p>
    <w:p w:rsidR="00000000" w:rsidDel="00000000" w:rsidP="00000000" w:rsidRDefault="00000000" w:rsidRPr="00000000" w14:paraId="00000106">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07">
      <w:pPr>
        <w:spacing w:line="312" w:lineRule="auto"/>
        <w:jc w:val="both"/>
        <w:rPr>
          <w:color w:val="000000"/>
          <w:vertAlign w:val="baseline"/>
        </w:rPr>
      </w:pPr>
      <w:r w:rsidDel="00000000" w:rsidR="00000000" w:rsidRPr="00000000">
        <w:rPr>
          <w:b w:val="1"/>
          <w:color w:val="000000"/>
          <w:vertAlign w:val="baseline"/>
          <w:rtl w:val="0"/>
        </w:rPr>
        <w:t xml:space="preserve">8.2.2.</w:t>
      </w:r>
      <w:r w:rsidDel="00000000" w:rsidR="00000000" w:rsidRPr="00000000">
        <w:rPr>
          <w:color w:val="000000"/>
          <w:vertAlign w:val="baseline"/>
          <w:rtl w:val="0"/>
        </w:rPr>
        <w:t xml:space="preserve"> De órgão ou entidade participante para órgão ou entidade não participante. </w:t>
      </w:r>
    </w:p>
    <w:p w:rsidR="00000000" w:rsidDel="00000000" w:rsidP="00000000" w:rsidRDefault="00000000" w:rsidRPr="00000000" w14:paraId="00000108">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09">
      <w:pPr>
        <w:spacing w:line="312" w:lineRule="auto"/>
        <w:jc w:val="both"/>
        <w:rPr>
          <w:color w:val="000000"/>
          <w:vertAlign w:val="baseline"/>
        </w:rPr>
      </w:pPr>
      <w:r w:rsidDel="00000000" w:rsidR="00000000" w:rsidRPr="00000000">
        <w:rPr>
          <w:b w:val="1"/>
          <w:color w:val="000000"/>
          <w:vertAlign w:val="baseline"/>
          <w:rtl w:val="0"/>
        </w:rPr>
        <w:t xml:space="preserve">8.3. </w:t>
      </w:r>
      <w:r w:rsidDel="00000000" w:rsidR="00000000" w:rsidRPr="00000000">
        <w:rPr>
          <w:color w:val="000000"/>
          <w:vertAlign w:val="baseline"/>
          <w:rtl w:val="0"/>
        </w:rPr>
        <w:t xml:space="preserve">O órgão ou entidade gerenciadora que tiver estimado as quantidades que pretende contratar será considerado participante para efeito do remanejamento. </w:t>
      </w:r>
    </w:p>
    <w:p w:rsidR="00000000" w:rsidDel="00000000" w:rsidP="00000000" w:rsidRDefault="00000000" w:rsidRPr="00000000" w14:paraId="0000010A">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0B">
      <w:pPr>
        <w:spacing w:line="312" w:lineRule="auto"/>
        <w:jc w:val="both"/>
        <w:rPr>
          <w:color w:val="000000"/>
          <w:vertAlign w:val="baseline"/>
        </w:rPr>
      </w:pPr>
      <w:r w:rsidDel="00000000" w:rsidR="00000000" w:rsidRPr="00000000">
        <w:rPr>
          <w:b w:val="1"/>
          <w:color w:val="000000"/>
          <w:vertAlign w:val="baseline"/>
          <w:rtl w:val="0"/>
        </w:rPr>
        <w:t xml:space="preserve">8.4. </w:t>
      </w:r>
      <w:r w:rsidDel="00000000" w:rsidR="00000000" w:rsidRPr="00000000">
        <w:rPr>
          <w:color w:val="000000"/>
          <w:vertAlign w:val="baseline"/>
          <w:rtl w:val="0"/>
        </w:rPr>
        <w:t xml:space="preserve">Na hipótese de remanejamento de órgão ou entidade participante para órgão ou entidade não participante, serão observados os limites previstos na Lei nº 14.133/2021 e demais normas regulamentares vigentes. </w:t>
      </w:r>
    </w:p>
    <w:p w:rsidR="00000000" w:rsidDel="00000000" w:rsidP="00000000" w:rsidRDefault="00000000" w:rsidRPr="00000000" w14:paraId="0000010C">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0D">
      <w:pPr>
        <w:spacing w:line="312" w:lineRule="auto"/>
        <w:jc w:val="both"/>
        <w:rPr>
          <w:color w:val="000000"/>
          <w:vertAlign w:val="baseline"/>
        </w:rPr>
      </w:pPr>
      <w:r w:rsidDel="00000000" w:rsidR="00000000" w:rsidRPr="00000000">
        <w:rPr>
          <w:b w:val="1"/>
          <w:color w:val="000000"/>
          <w:vertAlign w:val="baseline"/>
          <w:rtl w:val="0"/>
        </w:rPr>
        <w:t xml:space="preserve">8.5. </w:t>
      </w:r>
      <w:r w:rsidDel="00000000" w:rsidR="00000000" w:rsidRPr="00000000">
        <w:rPr>
          <w:color w:val="000000"/>
          <w:vertAlign w:val="baseline"/>
          <w:rtl w:val="0"/>
        </w:rPr>
        <w:t xml:space="preserve">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 </w:t>
      </w:r>
    </w:p>
    <w:p w:rsidR="00000000" w:rsidDel="00000000" w:rsidP="00000000" w:rsidRDefault="00000000" w:rsidRPr="00000000" w14:paraId="0000010E">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0F">
      <w:pPr>
        <w:spacing w:line="312" w:lineRule="auto"/>
        <w:jc w:val="both"/>
        <w:rPr>
          <w:color w:val="000000"/>
          <w:vertAlign w:val="baseline"/>
        </w:rPr>
      </w:pPr>
      <w:r w:rsidDel="00000000" w:rsidR="00000000" w:rsidRPr="00000000">
        <w:rPr>
          <w:b w:val="1"/>
          <w:color w:val="000000"/>
          <w:vertAlign w:val="baseline"/>
          <w:rtl w:val="0"/>
        </w:rPr>
        <w:t xml:space="preserve">8.6. </w:t>
      </w:r>
      <w:r w:rsidDel="00000000" w:rsidR="00000000" w:rsidRPr="00000000">
        <w:rPr>
          <w:color w:val="000000"/>
          <w:vertAlign w:val="baseline"/>
          <w:rtl w:val="0"/>
        </w:rPr>
        <w:t xml:space="preserve">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 </w:t>
      </w:r>
    </w:p>
    <w:p w:rsidR="00000000" w:rsidDel="00000000" w:rsidP="00000000" w:rsidRDefault="00000000" w:rsidRPr="00000000" w14:paraId="00000110">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111">
      <w:pPr>
        <w:spacing w:line="312" w:lineRule="auto"/>
        <w:jc w:val="both"/>
        <w:rPr>
          <w:color w:val="000000"/>
          <w:u w:val="single"/>
          <w:vertAlign w:val="baseline"/>
        </w:rPr>
      </w:pPr>
      <w:r w:rsidDel="00000000" w:rsidR="00000000" w:rsidRPr="00000000">
        <w:rPr>
          <w:b w:val="1"/>
          <w:color w:val="000000"/>
          <w:u w:val="single"/>
          <w:vertAlign w:val="baseline"/>
          <w:rtl w:val="0"/>
        </w:rPr>
        <w:t xml:space="preserve">CLÁUSULA NONA - DO CANCELAMENTO DO REGISTRO DO LICITANTE VENCEDOR E DOS PREÇOS REGISTRADOS</w:t>
      </w:r>
      <w:r w:rsidDel="00000000" w:rsidR="00000000" w:rsidRPr="00000000">
        <w:rPr>
          <w:rtl w:val="0"/>
        </w:rPr>
      </w:r>
    </w:p>
    <w:p w:rsidR="00000000" w:rsidDel="00000000" w:rsidP="00000000" w:rsidRDefault="00000000" w:rsidRPr="00000000" w14:paraId="00000112">
      <w:pPr>
        <w:spacing w:line="312" w:lineRule="auto"/>
        <w:jc w:val="both"/>
        <w:rPr>
          <w:color w:val="000000"/>
          <w:u w:val="single"/>
          <w:vertAlign w:val="baseline"/>
        </w:rPr>
      </w:pPr>
      <w:r w:rsidDel="00000000" w:rsidR="00000000" w:rsidRPr="00000000">
        <w:rPr>
          <w:rtl w:val="0"/>
        </w:rPr>
      </w:r>
    </w:p>
    <w:p w:rsidR="00000000" w:rsidDel="00000000" w:rsidP="00000000" w:rsidRDefault="00000000" w:rsidRPr="00000000" w14:paraId="00000113">
      <w:pPr>
        <w:spacing w:line="312" w:lineRule="auto"/>
        <w:jc w:val="both"/>
        <w:rPr>
          <w:color w:val="000000"/>
          <w:vertAlign w:val="baseline"/>
        </w:rPr>
      </w:pPr>
      <w:r w:rsidDel="00000000" w:rsidR="00000000" w:rsidRPr="00000000">
        <w:rPr>
          <w:b w:val="1"/>
          <w:color w:val="000000"/>
          <w:vertAlign w:val="baseline"/>
          <w:rtl w:val="0"/>
        </w:rPr>
        <w:t xml:space="preserve">9.1. </w:t>
      </w:r>
      <w:r w:rsidDel="00000000" w:rsidR="00000000" w:rsidRPr="00000000">
        <w:rPr>
          <w:color w:val="000000"/>
          <w:vertAlign w:val="baseline"/>
          <w:rtl w:val="0"/>
        </w:rPr>
        <w:t xml:space="preserve">O registro do fornecedor será cancelado pelo gerenciador, quando o fornecedor: </w:t>
      </w:r>
    </w:p>
    <w:p w:rsidR="00000000" w:rsidDel="00000000" w:rsidP="00000000" w:rsidRDefault="00000000" w:rsidRPr="00000000" w14:paraId="00000114">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115">
      <w:pPr>
        <w:spacing w:line="312" w:lineRule="auto"/>
        <w:jc w:val="both"/>
        <w:rPr>
          <w:color w:val="000000"/>
          <w:u w:val="single"/>
          <w:vertAlign w:val="baseline"/>
        </w:rPr>
      </w:pPr>
      <w:r w:rsidDel="00000000" w:rsidR="00000000" w:rsidRPr="00000000">
        <w:rPr>
          <w:b w:val="1"/>
          <w:color w:val="000000"/>
          <w:vertAlign w:val="baseline"/>
          <w:rtl w:val="0"/>
        </w:rPr>
        <w:t xml:space="preserve">9.1.1. </w:t>
      </w:r>
      <w:r w:rsidDel="00000000" w:rsidR="00000000" w:rsidRPr="00000000">
        <w:rPr>
          <w:color w:val="000000"/>
          <w:vertAlign w:val="baseline"/>
          <w:rtl w:val="0"/>
        </w:rPr>
        <w:t xml:space="preserve">Descumprir as condições da ata de registro de preços, sem motivo justificado; </w:t>
      </w:r>
      <w:r w:rsidDel="00000000" w:rsidR="00000000" w:rsidRPr="00000000">
        <w:rPr>
          <w:rtl w:val="0"/>
        </w:rPr>
      </w:r>
    </w:p>
    <w:p w:rsidR="00000000" w:rsidDel="00000000" w:rsidP="00000000" w:rsidRDefault="00000000" w:rsidRPr="00000000" w14:paraId="00000116">
      <w:pPr>
        <w:spacing w:line="312" w:lineRule="auto"/>
        <w:jc w:val="both"/>
        <w:rPr>
          <w:color w:val="000000"/>
          <w:u w:val="single"/>
          <w:vertAlign w:val="baseline"/>
        </w:rPr>
      </w:pPr>
      <w:r w:rsidDel="00000000" w:rsidR="00000000" w:rsidRPr="00000000">
        <w:rPr>
          <w:rtl w:val="0"/>
        </w:rPr>
      </w:r>
    </w:p>
    <w:p w:rsidR="00000000" w:rsidDel="00000000" w:rsidP="00000000" w:rsidRDefault="00000000" w:rsidRPr="00000000" w14:paraId="00000117">
      <w:pPr>
        <w:spacing w:line="312" w:lineRule="auto"/>
        <w:jc w:val="both"/>
        <w:rPr>
          <w:color w:val="000000"/>
          <w:vertAlign w:val="baseline"/>
        </w:rPr>
      </w:pPr>
      <w:r w:rsidDel="00000000" w:rsidR="00000000" w:rsidRPr="00000000">
        <w:rPr>
          <w:b w:val="1"/>
          <w:color w:val="000000"/>
          <w:vertAlign w:val="baseline"/>
          <w:rtl w:val="0"/>
        </w:rPr>
        <w:t xml:space="preserve">9.1.2. </w:t>
      </w:r>
      <w:r w:rsidDel="00000000" w:rsidR="00000000" w:rsidRPr="00000000">
        <w:rPr>
          <w:color w:val="000000"/>
          <w:vertAlign w:val="baseline"/>
          <w:rtl w:val="0"/>
        </w:rPr>
        <w:t xml:space="preserve">Não retirar a nota de empenho, ou instrumento equivalente, no prazo estabelecido pela Administração sem justificativa razoável; </w:t>
      </w:r>
    </w:p>
    <w:p w:rsidR="00000000" w:rsidDel="00000000" w:rsidP="00000000" w:rsidRDefault="00000000" w:rsidRPr="00000000" w14:paraId="00000118">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19">
      <w:pPr>
        <w:spacing w:line="312" w:lineRule="auto"/>
        <w:jc w:val="both"/>
        <w:rPr>
          <w:color w:val="000000"/>
          <w:vertAlign w:val="baseline"/>
        </w:rPr>
      </w:pPr>
      <w:r w:rsidDel="00000000" w:rsidR="00000000" w:rsidRPr="00000000">
        <w:rPr>
          <w:b w:val="1"/>
          <w:color w:val="000000"/>
          <w:vertAlign w:val="baseline"/>
          <w:rtl w:val="0"/>
        </w:rPr>
        <w:t xml:space="preserve">9.1.3. </w:t>
      </w:r>
      <w:r w:rsidDel="00000000" w:rsidR="00000000" w:rsidRPr="00000000">
        <w:rPr>
          <w:color w:val="000000"/>
          <w:vertAlign w:val="baseline"/>
          <w:rtl w:val="0"/>
        </w:rPr>
        <w:t xml:space="preserve">Não aceitar manter seu percentual de desconto registrado, na hipótese prevista no Decreto Municipal nº 098/2023; ou </w:t>
      </w:r>
    </w:p>
    <w:p w:rsidR="00000000" w:rsidDel="00000000" w:rsidP="00000000" w:rsidRDefault="00000000" w:rsidRPr="00000000" w14:paraId="0000011A">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11B">
      <w:pPr>
        <w:spacing w:line="312" w:lineRule="auto"/>
        <w:jc w:val="both"/>
        <w:rPr>
          <w:color w:val="000000"/>
          <w:vertAlign w:val="baseline"/>
        </w:rPr>
      </w:pPr>
      <w:r w:rsidDel="00000000" w:rsidR="00000000" w:rsidRPr="00000000">
        <w:rPr>
          <w:b w:val="1"/>
          <w:color w:val="000000"/>
          <w:vertAlign w:val="baseline"/>
          <w:rtl w:val="0"/>
        </w:rPr>
        <w:t xml:space="preserve">9.1.4. </w:t>
      </w:r>
      <w:r w:rsidDel="00000000" w:rsidR="00000000" w:rsidRPr="00000000">
        <w:rPr>
          <w:color w:val="000000"/>
          <w:vertAlign w:val="baseline"/>
          <w:rtl w:val="0"/>
        </w:rPr>
        <w:t xml:space="preserve">Sofrer sanção prevista no art. 156, III ou IV da Lei nº 14.133, de 2021. </w:t>
      </w:r>
    </w:p>
    <w:p w:rsidR="00000000" w:rsidDel="00000000" w:rsidP="00000000" w:rsidRDefault="00000000" w:rsidRPr="00000000" w14:paraId="0000011C">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1D">
      <w:pPr>
        <w:spacing w:line="312" w:lineRule="auto"/>
        <w:jc w:val="both"/>
        <w:rPr>
          <w:color w:val="000000"/>
          <w:vertAlign w:val="baseline"/>
        </w:rPr>
      </w:pPr>
      <w:r w:rsidDel="00000000" w:rsidR="00000000" w:rsidRPr="00000000">
        <w:rPr>
          <w:b w:val="1"/>
          <w:color w:val="000000"/>
          <w:vertAlign w:val="baseline"/>
          <w:rtl w:val="0"/>
        </w:rPr>
        <w:t xml:space="preserve">9.1.4.1. </w:t>
      </w:r>
      <w:r w:rsidDel="00000000" w:rsidR="00000000" w:rsidRPr="00000000">
        <w:rPr>
          <w:color w:val="000000"/>
          <w:vertAlign w:val="baseline"/>
          <w:rtl w:val="0"/>
        </w:rPr>
        <w:t xml:space="preserve">Na hipótese de aplicação de sanção prevista no art. 156, III ou IV da Lei nº 14.133, de 2021, caso a penalidade aplicada ao fornecedor não ultrapasse o prazo de vigência da ata de registro de preços, o órgão ou a entidade gerenciadora poderá, mediante decisão fundamentada, decidir pela manutenção do registro de preços, vedadas contratações derivadas da ata enquanto perdurarem os efeitos da sanção. </w:t>
      </w:r>
    </w:p>
    <w:p w:rsidR="00000000" w:rsidDel="00000000" w:rsidP="00000000" w:rsidRDefault="00000000" w:rsidRPr="00000000" w14:paraId="0000011E">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1F">
      <w:pPr>
        <w:spacing w:line="312" w:lineRule="auto"/>
        <w:jc w:val="both"/>
        <w:rPr>
          <w:color w:val="000000"/>
          <w:vertAlign w:val="baseline"/>
        </w:rPr>
      </w:pPr>
      <w:r w:rsidDel="00000000" w:rsidR="00000000" w:rsidRPr="00000000">
        <w:rPr>
          <w:b w:val="1"/>
          <w:color w:val="000000"/>
          <w:vertAlign w:val="baseline"/>
          <w:rtl w:val="0"/>
        </w:rPr>
        <w:t xml:space="preserve">9.2. </w:t>
      </w:r>
      <w:r w:rsidDel="00000000" w:rsidR="00000000" w:rsidRPr="00000000">
        <w:rPr>
          <w:color w:val="000000"/>
          <w:vertAlign w:val="baseline"/>
          <w:rtl w:val="0"/>
        </w:rPr>
        <w:t xml:space="preserve">O cancelamento de registros nas hipóteses previstas no item 9.1 será formalizado por despacho do órgão ou da entidade gerenciadora, garantidos os princípios do contraditório e da ampla defesa. </w:t>
      </w:r>
    </w:p>
    <w:p w:rsidR="00000000" w:rsidDel="00000000" w:rsidP="00000000" w:rsidRDefault="00000000" w:rsidRPr="00000000" w14:paraId="00000120">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21">
      <w:pPr>
        <w:spacing w:line="312" w:lineRule="auto"/>
        <w:jc w:val="both"/>
        <w:rPr>
          <w:color w:val="000000"/>
          <w:vertAlign w:val="baseline"/>
        </w:rPr>
      </w:pPr>
      <w:r w:rsidDel="00000000" w:rsidR="00000000" w:rsidRPr="00000000">
        <w:rPr>
          <w:b w:val="1"/>
          <w:color w:val="000000"/>
          <w:vertAlign w:val="baseline"/>
          <w:rtl w:val="0"/>
        </w:rPr>
        <w:t xml:space="preserve">9.3. </w:t>
      </w:r>
      <w:r w:rsidDel="00000000" w:rsidR="00000000" w:rsidRPr="00000000">
        <w:rPr>
          <w:color w:val="000000"/>
          <w:vertAlign w:val="baseline"/>
          <w:rtl w:val="0"/>
        </w:rPr>
        <w:t xml:space="preserve">Na hipótese de cancelamento do registro do fornecedor, o órgão ou a entidade gerenciadora poderá convocar os licitantes que compõem o cadastro de reserva, observada a ordem de classificação. </w:t>
      </w:r>
    </w:p>
    <w:p w:rsidR="00000000" w:rsidDel="00000000" w:rsidP="00000000" w:rsidRDefault="00000000" w:rsidRPr="00000000" w14:paraId="00000122">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23">
      <w:pPr>
        <w:spacing w:line="312" w:lineRule="auto"/>
        <w:jc w:val="both"/>
        <w:rPr>
          <w:color w:val="000000"/>
          <w:vertAlign w:val="baseline"/>
        </w:rPr>
      </w:pPr>
      <w:r w:rsidDel="00000000" w:rsidR="00000000" w:rsidRPr="00000000">
        <w:rPr>
          <w:b w:val="1"/>
          <w:color w:val="000000"/>
          <w:vertAlign w:val="baseline"/>
          <w:rtl w:val="0"/>
        </w:rPr>
        <w:t xml:space="preserve">9.4. </w:t>
      </w:r>
      <w:r w:rsidDel="00000000" w:rsidR="00000000" w:rsidRPr="00000000">
        <w:rPr>
          <w:color w:val="000000"/>
          <w:vertAlign w:val="baseline"/>
          <w:rtl w:val="0"/>
        </w:rPr>
        <w:t xml:space="preserve">O cancelamento dos percentuais de desconto registrados poderá ser realizado pelo gerenciador, em determinada ata de registro de preços, total ou parcialmente, nas seguintes hipóteses, desde que devidamente comprovadas e justificadas: </w:t>
      </w:r>
    </w:p>
    <w:p w:rsidR="00000000" w:rsidDel="00000000" w:rsidP="00000000" w:rsidRDefault="00000000" w:rsidRPr="00000000" w14:paraId="00000124">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25">
      <w:pPr>
        <w:spacing w:line="312" w:lineRule="auto"/>
        <w:jc w:val="both"/>
        <w:rPr>
          <w:color w:val="000000"/>
          <w:vertAlign w:val="baseline"/>
        </w:rPr>
      </w:pPr>
      <w:r w:rsidDel="00000000" w:rsidR="00000000" w:rsidRPr="00000000">
        <w:rPr>
          <w:b w:val="1"/>
          <w:color w:val="000000"/>
          <w:vertAlign w:val="baseline"/>
          <w:rtl w:val="0"/>
        </w:rPr>
        <w:t xml:space="preserve">9.4.1. </w:t>
      </w:r>
      <w:r w:rsidDel="00000000" w:rsidR="00000000" w:rsidRPr="00000000">
        <w:rPr>
          <w:color w:val="000000"/>
          <w:vertAlign w:val="baseline"/>
          <w:rtl w:val="0"/>
        </w:rPr>
        <w:t xml:space="preserve">Por razão de interesse público; </w:t>
      </w:r>
    </w:p>
    <w:p w:rsidR="00000000" w:rsidDel="00000000" w:rsidP="00000000" w:rsidRDefault="00000000" w:rsidRPr="00000000" w14:paraId="00000126">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27">
      <w:pPr>
        <w:spacing w:line="312" w:lineRule="auto"/>
        <w:jc w:val="both"/>
        <w:rPr>
          <w:color w:val="000000"/>
          <w:vertAlign w:val="baseline"/>
        </w:rPr>
      </w:pPr>
      <w:r w:rsidDel="00000000" w:rsidR="00000000" w:rsidRPr="00000000">
        <w:rPr>
          <w:b w:val="1"/>
          <w:color w:val="000000"/>
          <w:vertAlign w:val="baseline"/>
          <w:rtl w:val="0"/>
        </w:rPr>
        <w:t xml:space="preserve">9.4.2. </w:t>
      </w:r>
      <w:r w:rsidDel="00000000" w:rsidR="00000000" w:rsidRPr="00000000">
        <w:rPr>
          <w:color w:val="000000"/>
          <w:vertAlign w:val="baseline"/>
          <w:rtl w:val="0"/>
        </w:rPr>
        <w:t xml:space="preserve">A pedido do fornecedor, decorrente de caso fortuito ou força maior; ou </w:t>
      </w:r>
    </w:p>
    <w:p w:rsidR="00000000" w:rsidDel="00000000" w:rsidP="00000000" w:rsidRDefault="00000000" w:rsidRPr="00000000" w14:paraId="00000128">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29">
      <w:pPr>
        <w:spacing w:line="312" w:lineRule="auto"/>
        <w:jc w:val="both"/>
        <w:rPr>
          <w:color w:val="000000"/>
          <w:vertAlign w:val="baseline"/>
        </w:rPr>
      </w:pPr>
      <w:r w:rsidDel="00000000" w:rsidR="00000000" w:rsidRPr="00000000">
        <w:rPr>
          <w:b w:val="1"/>
          <w:color w:val="000000"/>
          <w:vertAlign w:val="baseline"/>
          <w:rtl w:val="0"/>
        </w:rPr>
        <w:t xml:space="preserve">9.4.3. </w:t>
      </w:r>
      <w:r w:rsidDel="00000000" w:rsidR="00000000" w:rsidRPr="00000000">
        <w:rPr>
          <w:color w:val="000000"/>
          <w:vertAlign w:val="baseline"/>
          <w:rtl w:val="0"/>
        </w:rPr>
        <w:t xml:space="preserve">Se não houver êxito nas negociações, nas hipóteses em que o preço de mercado se tornar superior ou inferior ao preço registrado, nos termos Decreto Municipal nº 098/2023. </w:t>
      </w:r>
    </w:p>
    <w:p w:rsidR="00000000" w:rsidDel="00000000" w:rsidP="00000000" w:rsidRDefault="00000000" w:rsidRPr="00000000" w14:paraId="0000012A">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2B">
      <w:pPr>
        <w:spacing w:line="312" w:lineRule="auto"/>
        <w:jc w:val="both"/>
        <w:rPr>
          <w:b w:val="0"/>
          <w:color w:val="000000"/>
          <w:u w:val="single"/>
          <w:vertAlign w:val="baseline"/>
        </w:rPr>
      </w:pPr>
      <w:r w:rsidDel="00000000" w:rsidR="00000000" w:rsidRPr="00000000">
        <w:rPr>
          <w:b w:val="1"/>
          <w:color w:val="000000"/>
          <w:u w:val="single"/>
          <w:vertAlign w:val="baseline"/>
          <w:rtl w:val="0"/>
        </w:rPr>
        <w:t xml:space="preserve">CLÁUSULA DÉCIMA – DAS SANÇÕES</w:t>
      </w:r>
      <w:r w:rsidDel="00000000" w:rsidR="00000000" w:rsidRPr="00000000">
        <w:rPr>
          <w:rtl w:val="0"/>
        </w:rPr>
      </w:r>
    </w:p>
    <w:p w:rsidR="00000000" w:rsidDel="00000000" w:rsidP="00000000" w:rsidRDefault="00000000" w:rsidRPr="00000000" w14:paraId="0000012C">
      <w:pPr>
        <w:spacing w:line="312" w:lineRule="auto"/>
        <w:jc w:val="both"/>
        <w:rPr>
          <w:b w:val="0"/>
          <w:color w:val="000000"/>
          <w:u w:val="single"/>
          <w:vertAlign w:val="baseline"/>
        </w:rPr>
      </w:pPr>
      <w:r w:rsidDel="00000000" w:rsidR="00000000" w:rsidRPr="00000000">
        <w:rPr>
          <w:rtl w:val="0"/>
        </w:rPr>
      </w:r>
    </w:p>
    <w:p w:rsidR="00000000" w:rsidDel="00000000" w:rsidP="00000000" w:rsidRDefault="00000000" w:rsidRPr="00000000" w14:paraId="0000012D">
      <w:pPr>
        <w:spacing w:line="312" w:lineRule="auto"/>
        <w:jc w:val="both"/>
        <w:rPr>
          <w:color w:val="000000"/>
          <w:vertAlign w:val="baseline"/>
        </w:rPr>
      </w:pPr>
      <w:r w:rsidDel="00000000" w:rsidR="00000000" w:rsidRPr="00000000">
        <w:rPr>
          <w:b w:val="1"/>
          <w:color w:val="000000"/>
          <w:vertAlign w:val="baseline"/>
          <w:rtl w:val="0"/>
        </w:rPr>
        <w:t xml:space="preserve">10.1. </w:t>
      </w:r>
      <w:r w:rsidDel="00000000" w:rsidR="00000000" w:rsidRPr="00000000">
        <w:rPr>
          <w:color w:val="000000"/>
          <w:vertAlign w:val="baseline"/>
          <w:rtl w:val="0"/>
        </w:rPr>
        <w:t xml:space="preserve">O descumprimento da Ata de Registro de Preços ensejará aplicação das penalidades estabelecidas no edital e seus anexos. </w:t>
      </w:r>
    </w:p>
    <w:p w:rsidR="00000000" w:rsidDel="00000000" w:rsidP="00000000" w:rsidRDefault="00000000" w:rsidRPr="00000000" w14:paraId="0000012E">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2F">
      <w:pPr>
        <w:spacing w:line="312" w:lineRule="auto"/>
        <w:jc w:val="both"/>
        <w:rPr>
          <w:b w:val="0"/>
          <w:color w:val="000000"/>
          <w:u w:val="single"/>
          <w:vertAlign w:val="baseline"/>
        </w:rPr>
      </w:pPr>
      <w:r w:rsidDel="00000000" w:rsidR="00000000" w:rsidRPr="00000000">
        <w:rPr>
          <w:b w:val="1"/>
          <w:color w:val="000000"/>
          <w:vertAlign w:val="baseline"/>
          <w:rtl w:val="0"/>
        </w:rPr>
        <w:t xml:space="preserve">10.1.1. </w:t>
      </w:r>
      <w:r w:rsidDel="00000000" w:rsidR="00000000" w:rsidRPr="00000000">
        <w:rPr>
          <w:color w:val="000000"/>
          <w:vertAlign w:val="baseline"/>
          <w:rtl w:val="0"/>
        </w:rPr>
        <w:t xml:space="preserve">As sanções também se aplicam aos integrantes do cadastro de reserva no registro de preços que, convocados, não honrarem o compromisso assumido injustificadamente após terem assinado a ata. </w:t>
      </w:r>
      <w:r w:rsidDel="00000000" w:rsidR="00000000" w:rsidRPr="00000000">
        <w:rPr>
          <w:rtl w:val="0"/>
        </w:rPr>
      </w:r>
    </w:p>
    <w:p w:rsidR="00000000" w:rsidDel="00000000" w:rsidP="00000000" w:rsidRDefault="00000000" w:rsidRPr="00000000" w14:paraId="00000130">
      <w:pPr>
        <w:spacing w:line="312" w:lineRule="auto"/>
        <w:jc w:val="both"/>
        <w:rPr>
          <w:b w:val="0"/>
          <w:color w:val="000000"/>
          <w:u w:val="single"/>
          <w:vertAlign w:val="baseline"/>
        </w:rPr>
      </w:pPr>
      <w:r w:rsidDel="00000000" w:rsidR="00000000" w:rsidRPr="00000000">
        <w:rPr>
          <w:rtl w:val="0"/>
        </w:rPr>
      </w:r>
    </w:p>
    <w:p w:rsidR="00000000" w:rsidDel="00000000" w:rsidP="00000000" w:rsidRDefault="00000000" w:rsidRPr="00000000" w14:paraId="00000131">
      <w:pPr>
        <w:spacing w:line="312" w:lineRule="auto"/>
        <w:jc w:val="both"/>
        <w:rPr>
          <w:b w:val="0"/>
          <w:color w:val="000000"/>
          <w:u w:val="single"/>
          <w:vertAlign w:val="baseline"/>
        </w:rPr>
      </w:pPr>
      <w:r w:rsidDel="00000000" w:rsidR="00000000" w:rsidRPr="00000000">
        <w:rPr>
          <w:b w:val="1"/>
          <w:color w:val="000000"/>
          <w:vertAlign w:val="baseline"/>
          <w:rtl w:val="0"/>
        </w:rPr>
        <w:t xml:space="preserve">10.2. </w:t>
      </w:r>
      <w:r w:rsidDel="00000000" w:rsidR="00000000" w:rsidRPr="00000000">
        <w:rPr>
          <w:color w:val="000000"/>
          <w:vertAlign w:val="baseline"/>
          <w:rtl w:val="0"/>
        </w:rPr>
        <w:t xml:space="preserve">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w:t>
      </w:r>
      <w:r w:rsidDel="00000000" w:rsidR="00000000" w:rsidRPr="00000000">
        <w:rPr>
          <w:rtl w:val="0"/>
        </w:rPr>
      </w:r>
    </w:p>
    <w:p w:rsidR="00000000" w:rsidDel="00000000" w:rsidP="00000000" w:rsidRDefault="00000000" w:rsidRPr="00000000" w14:paraId="00000132">
      <w:pPr>
        <w:spacing w:line="312" w:lineRule="auto"/>
        <w:jc w:val="both"/>
        <w:rPr>
          <w:b w:val="0"/>
          <w:color w:val="000000"/>
          <w:u w:val="single"/>
          <w:vertAlign w:val="baseline"/>
        </w:rPr>
      </w:pPr>
      <w:r w:rsidDel="00000000" w:rsidR="00000000" w:rsidRPr="00000000">
        <w:rPr>
          <w:rtl w:val="0"/>
        </w:rPr>
      </w:r>
    </w:p>
    <w:p w:rsidR="00000000" w:rsidDel="00000000" w:rsidP="00000000" w:rsidRDefault="00000000" w:rsidRPr="00000000" w14:paraId="00000133">
      <w:pPr>
        <w:spacing w:line="312" w:lineRule="auto"/>
        <w:jc w:val="both"/>
        <w:rPr>
          <w:b w:val="0"/>
          <w:color w:val="000000"/>
          <w:u w:val="single"/>
          <w:vertAlign w:val="baseline"/>
        </w:rPr>
      </w:pPr>
      <w:r w:rsidDel="00000000" w:rsidR="00000000" w:rsidRPr="00000000">
        <w:rPr>
          <w:b w:val="1"/>
          <w:color w:val="000000"/>
          <w:vertAlign w:val="baseline"/>
          <w:rtl w:val="0"/>
        </w:rPr>
        <w:t xml:space="preserve">10.3. </w:t>
      </w:r>
      <w:r w:rsidDel="00000000" w:rsidR="00000000" w:rsidRPr="00000000">
        <w:rPr>
          <w:color w:val="000000"/>
          <w:vertAlign w:val="baseline"/>
          <w:rtl w:val="0"/>
        </w:rPr>
        <w:t xml:space="preserve">O órgão ou entidade participante deverá comunicar ao órgão gerenciador qualquer das ocorrências previstas nos itens 9 e 10, dada a necessidade de instauração de procedimento para cancelamento do registro do fornecedor. </w:t>
      </w:r>
      <w:r w:rsidDel="00000000" w:rsidR="00000000" w:rsidRPr="00000000">
        <w:rPr>
          <w:rtl w:val="0"/>
        </w:rPr>
      </w:r>
    </w:p>
    <w:p w:rsidR="00000000" w:rsidDel="00000000" w:rsidP="00000000" w:rsidRDefault="00000000" w:rsidRPr="00000000" w14:paraId="00000134">
      <w:pPr>
        <w:spacing w:line="312" w:lineRule="auto"/>
        <w:jc w:val="both"/>
        <w:rPr>
          <w:b w:val="0"/>
          <w:color w:val="000000"/>
          <w:u w:val="single"/>
          <w:vertAlign w:val="baseline"/>
        </w:rPr>
      </w:pPr>
      <w:r w:rsidDel="00000000" w:rsidR="00000000" w:rsidRPr="00000000">
        <w:rPr>
          <w:rtl w:val="0"/>
        </w:rPr>
      </w:r>
    </w:p>
    <w:p w:rsidR="00000000" w:rsidDel="00000000" w:rsidP="00000000" w:rsidRDefault="00000000" w:rsidRPr="00000000" w14:paraId="00000135">
      <w:pPr>
        <w:rPr>
          <w:color w:val="000000"/>
          <w:u w:val="single"/>
          <w:vertAlign w:val="baseline"/>
        </w:rPr>
      </w:pPr>
      <w:r w:rsidDel="00000000" w:rsidR="00000000" w:rsidRPr="00000000">
        <w:rPr>
          <w:b w:val="1"/>
          <w:color w:val="000000"/>
          <w:u w:val="single"/>
          <w:vertAlign w:val="baseline"/>
          <w:rtl w:val="0"/>
        </w:rPr>
        <w:t xml:space="preserve">CLÁUSULA DÉCIMA PRIMEIRA - CONDIÇÕES GERAIS </w:t>
      </w:r>
      <w:r w:rsidDel="00000000" w:rsidR="00000000" w:rsidRPr="00000000">
        <w:rPr>
          <w:rtl w:val="0"/>
        </w:rPr>
      </w:r>
    </w:p>
    <w:p w:rsidR="00000000" w:rsidDel="00000000" w:rsidP="00000000" w:rsidRDefault="00000000" w:rsidRPr="00000000" w14:paraId="00000136">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137">
      <w:pPr>
        <w:spacing w:line="312" w:lineRule="auto"/>
        <w:jc w:val="both"/>
        <w:rPr>
          <w:b w:val="0"/>
          <w:color w:val="000000"/>
          <w:u w:val="single"/>
          <w:vertAlign w:val="baseline"/>
        </w:rPr>
      </w:pPr>
      <w:r w:rsidDel="00000000" w:rsidR="00000000" w:rsidRPr="00000000">
        <w:rPr>
          <w:b w:val="1"/>
          <w:color w:val="000000"/>
          <w:vertAlign w:val="baseline"/>
          <w:rtl w:val="0"/>
        </w:rPr>
        <w:t xml:space="preserve">11.1. </w:t>
      </w:r>
      <w:r w:rsidDel="00000000" w:rsidR="00000000" w:rsidRPr="00000000">
        <w:rPr>
          <w:color w:val="000000"/>
          <w:vertAlign w:val="baseline"/>
          <w:rtl w:val="0"/>
        </w:rPr>
        <w:t xml:space="preserve">As demais condições gerais da prestação dos serviços/fornecimento dos produtos/materiais, encontram-se definidas no Edital e seus anexos, que são parte integrante da presente Ata de Registro de Preços, independentemente de transcrição. </w:t>
      </w:r>
      <w:r w:rsidDel="00000000" w:rsidR="00000000" w:rsidRPr="00000000">
        <w:rPr>
          <w:rtl w:val="0"/>
        </w:rPr>
      </w:r>
    </w:p>
    <w:p w:rsidR="00000000" w:rsidDel="00000000" w:rsidP="00000000" w:rsidRDefault="00000000" w:rsidRPr="00000000" w14:paraId="00000138">
      <w:pPr>
        <w:spacing w:line="312" w:lineRule="auto"/>
        <w:jc w:val="both"/>
        <w:rPr>
          <w:b w:val="0"/>
          <w:color w:val="000000"/>
          <w:u w:val="single"/>
          <w:vertAlign w:val="baseline"/>
        </w:rPr>
      </w:pPr>
      <w:r w:rsidDel="00000000" w:rsidR="00000000" w:rsidRPr="00000000">
        <w:rPr>
          <w:color w:val="000000"/>
          <w:vertAlign w:val="baseline"/>
          <w:rtl w:val="0"/>
        </w:rPr>
        <w:t xml:space="preserve">Para firmeza e validade do pactuado, a presente Ata foi lavrada em 02 (duas) vias de igual teor, que, depois de lida e achada em ordem, vai assinada pelas partes e encaminhada cópia aos demais órgãos participantes.</w:t>
      </w:r>
      <w:r w:rsidDel="00000000" w:rsidR="00000000" w:rsidRPr="00000000">
        <w:rPr>
          <w:rtl w:val="0"/>
        </w:rPr>
      </w:r>
    </w:p>
    <w:p w:rsidR="00000000" w:rsidDel="00000000" w:rsidP="00000000" w:rsidRDefault="00000000" w:rsidRPr="00000000" w14:paraId="00000139">
      <w:pPr>
        <w:spacing w:line="312" w:lineRule="auto"/>
        <w:jc w:val="both"/>
        <w:rPr>
          <w:color w:val="000000"/>
          <w:u w:val="single"/>
          <w:vertAlign w:val="baseline"/>
        </w:rPr>
      </w:pPr>
      <w:r w:rsidDel="00000000" w:rsidR="00000000" w:rsidRPr="00000000">
        <w:rPr>
          <w:rtl w:val="0"/>
        </w:rPr>
      </w:r>
    </w:p>
    <w:p w:rsidR="00000000" w:rsidDel="00000000" w:rsidP="00000000" w:rsidRDefault="00000000" w:rsidRPr="00000000" w14:paraId="0000013A">
      <w:pPr>
        <w:tabs>
          <w:tab w:val="left" w:leader="none" w:pos="-567"/>
        </w:tabs>
        <w:spacing w:line="312" w:lineRule="auto"/>
        <w:jc w:val="right"/>
        <w:rPr>
          <w:vertAlign w:val="baseline"/>
        </w:rPr>
      </w:pPr>
      <w:r w:rsidDel="00000000" w:rsidR="00000000" w:rsidRPr="00000000">
        <w:rPr>
          <w:rtl w:val="0"/>
        </w:rPr>
      </w:r>
    </w:p>
    <w:p w:rsidR="00000000" w:rsidDel="00000000" w:rsidP="00000000" w:rsidRDefault="00000000" w:rsidRPr="00000000" w14:paraId="0000013B">
      <w:pPr>
        <w:tabs>
          <w:tab w:val="left" w:leader="none" w:pos="-567"/>
        </w:tabs>
        <w:spacing w:line="312" w:lineRule="auto"/>
        <w:jc w:val="right"/>
        <w:rPr>
          <w:vertAlign w:val="baseline"/>
        </w:rPr>
      </w:pPr>
      <w:r w:rsidDel="00000000" w:rsidR="00000000" w:rsidRPr="00000000">
        <w:rPr>
          <w:vertAlign w:val="baseline"/>
          <w:rtl w:val="0"/>
        </w:rPr>
        <w:t xml:space="preserve">São José do Mantimento, MG, ___ de _____________ de 2024.</w:t>
      </w:r>
    </w:p>
    <w:p w:rsidR="00000000" w:rsidDel="00000000" w:rsidP="00000000" w:rsidRDefault="00000000" w:rsidRPr="00000000" w14:paraId="0000013C">
      <w:pPr>
        <w:tabs>
          <w:tab w:val="left" w:leader="none" w:pos="-567"/>
        </w:tabs>
        <w:spacing w:line="312" w:lineRule="auto"/>
        <w:jc w:val="both"/>
        <w:rPr>
          <w:vertAlign w:val="baseline"/>
        </w:rPr>
      </w:pPr>
      <w:r w:rsidDel="00000000" w:rsidR="00000000" w:rsidRPr="00000000">
        <w:rPr>
          <w:rtl w:val="0"/>
        </w:rPr>
      </w:r>
    </w:p>
    <w:p w:rsidR="00000000" w:rsidDel="00000000" w:rsidP="00000000" w:rsidRDefault="00000000" w:rsidRPr="00000000" w14:paraId="0000013D">
      <w:pPr>
        <w:tabs>
          <w:tab w:val="left" w:leader="none" w:pos="-567"/>
        </w:tabs>
        <w:spacing w:line="312" w:lineRule="auto"/>
        <w:jc w:val="both"/>
        <w:rPr>
          <w:vertAlign w:val="baseline"/>
        </w:rPr>
      </w:pPr>
      <w:r w:rsidDel="00000000" w:rsidR="00000000" w:rsidRPr="00000000">
        <w:rPr>
          <w:rtl w:val="0"/>
        </w:rPr>
      </w:r>
    </w:p>
    <w:p w:rsidR="00000000" w:rsidDel="00000000" w:rsidP="00000000" w:rsidRDefault="00000000" w:rsidRPr="00000000" w14:paraId="0000013E">
      <w:pPr>
        <w:tabs>
          <w:tab w:val="left" w:leader="none" w:pos="-567"/>
        </w:tabs>
        <w:jc w:val="center"/>
        <w:rPr>
          <w:vertAlign w:val="baseline"/>
        </w:rPr>
      </w:pPr>
      <w:r w:rsidDel="00000000" w:rsidR="00000000" w:rsidRPr="00000000">
        <w:rPr>
          <w:vertAlign w:val="baseline"/>
          <w:rtl w:val="0"/>
        </w:rPr>
        <w:t xml:space="preserve">MISAEL HUEBRA KLEM</w:t>
      </w:r>
    </w:p>
    <w:p w:rsidR="00000000" w:rsidDel="00000000" w:rsidP="00000000" w:rsidRDefault="00000000" w:rsidRPr="00000000" w14:paraId="0000013F">
      <w:pPr>
        <w:tabs>
          <w:tab w:val="left" w:leader="none" w:pos="-567"/>
        </w:tabs>
        <w:jc w:val="center"/>
        <w:rPr>
          <w:vertAlign w:val="baseline"/>
        </w:rPr>
      </w:pPr>
      <w:r w:rsidDel="00000000" w:rsidR="00000000" w:rsidRPr="00000000">
        <w:rPr>
          <w:vertAlign w:val="baseline"/>
          <w:rtl w:val="0"/>
        </w:rPr>
        <w:t xml:space="preserve">Prefeito Municipal</w:t>
      </w:r>
    </w:p>
    <w:p w:rsidR="00000000" w:rsidDel="00000000" w:rsidP="00000000" w:rsidRDefault="00000000" w:rsidRPr="00000000" w14:paraId="00000140">
      <w:pPr>
        <w:tabs>
          <w:tab w:val="left" w:leader="none" w:pos="-567"/>
        </w:tabs>
        <w:jc w:val="center"/>
        <w:rPr>
          <w:b w:val="0"/>
          <w:vertAlign w:val="baseline"/>
        </w:rPr>
      </w:pPr>
      <w:r w:rsidDel="00000000" w:rsidR="00000000" w:rsidRPr="00000000">
        <w:rPr>
          <w:vertAlign w:val="baseline"/>
          <w:rtl w:val="0"/>
        </w:rPr>
        <w:t xml:space="preserve">Órgão Gerenciador</w:t>
      </w:r>
      <w:r w:rsidDel="00000000" w:rsidR="00000000" w:rsidRPr="00000000">
        <w:rPr>
          <w:rtl w:val="0"/>
        </w:rPr>
      </w:r>
    </w:p>
    <w:p w:rsidR="00000000" w:rsidDel="00000000" w:rsidP="00000000" w:rsidRDefault="00000000" w:rsidRPr="00000000" w14:paraId="00000141">
      <w:pPr>
        <w:tabs>
          <w:tab w:val="left" w:leader="none" w:pos="-567"/>
        </w:tabs>
        <w:rPr>
          <w:b w:val="0"/>
          <w:vertAlign w:val="baseline"/>
        </w:rPr>
      </w:pPr>
      <w:r w:rsidDel="00000000" w:rsidR="00000000" w:rsidRPr="00000000">
        <w:rPr>
          <w:rtl w:val="0"/>
        </w:rPr>
      </w:r>
    </w:p>
    <w:p w:rsidR="00000000" w:rsidDel="00000000" w:rsidP="00000000" w:rsidRDefault="00000000" w:rsidRPr="00000000" w14:paraId="00000142">
      <w:pPr>
        <w:tabs>
          <w:tab w:val="left" w:leader="none" w:pos="-567"/>
        </w:tabs>
        <w:rPr>
          <w:b w:val="0"/>
          <w:vertAlign w:val="baseline"/>
        </w:rPr>
      </w:pPr>
      <w:r w:rsidDel="00000000" w:rsidR="00000000" w:rsidRPr="00000000">
        <w:rPr>
          <w:rtl w:val="0"/>
        </w:rPr>
      </w:r>
    </w:p>
    <w:p w:rsidR="00000000" w:rsidDel="00000000" w:rsidP="00000000" w:rsidRDefault="00000000" w:rsidRPr="00000000" w14:paraId="00000143">
      <w:pPr>
        <w:tabs>
          <w:tab w:val="left" w:leader="none" w:pos="-567"/>
        </w:tabs>
        <w:jc w:val="center"/>
        <w:rPr>
          <w:vertAlign w:val="baseline"/>
        </w:rPr>
      </w:pPr>
      <w:r w:rsidDel="00000000" w:rsidR="00000000" w:rsidRPr="00000000">
        <w:rPr>
          <w:vertAlign w:val="baseline"/>
          <w:rtl w:val="0"/>
        </w:rPr>
        <w:t xml:space="preserve">Nome do Rep. Legal da Empresa Vencedora</w:t>
      </w:r>
    </w:p>
    <w:p w:rsidR="00000000" w:rsidDel="00000000" w:rsidP="00000000" w:rsidRDefault="00000000" w:rsidRPr="00000000" w14:paraId="00000144">
      <w:pPr>
        <w:tabs>
          <w:tab w:val="left" w:leader="none" w:pos="-567"/>
        </w:tabs>
        <w:jc w:val="center"/>
        <w:rPr>
          <w:vertAlign w:val="baseline"/>
        </w:rPr>
      </w:pPr>
      <w:r w:rsidDel="00000000" w:rsidR="00000000" w:rsidRPr="00000000">
        <w:rPr>
          <w:vertAlign w:val="baseline"/>
          <w:rtl w:val="0"/>
        </w:rPr>
        <w:t xml:space="preserve">Compromissário Fornecedor</w:t>
      </w:r>
    </w:p>
    <w:p w:rsidR="00000000" w:rsidDel="00000000" w:rsidP="00000000" w:rsidRDefault="00000000" w:rsidRPr="00000000" w14:paraId="00000145">
      <w:pPr>
        <w:tabs>
          <w:tab w:val="left" w:leader="none" w:pos="-567"/>
        </w:tabs>
        <w:jc w:val="center"/>
        <w:rPr>
          <w:vertAlign w:val="baseline"/>
        </w:rPr>
      </w:pPr>
      <w:r w:rsidDel="00000000" w:rsidR="00000000" w:rsidRPr="00000000">
        <w:rPr>
          <w:vertAlign w:val="baseline"/>
          <w:rtl w:val="0"/>
        </w:rPr>
        <w:t xml:space="preserve">Empresa/CNPJ</w:t>
      </w:r>
    </w:p>
    <w:p w:rsidR="00000000" w:rsidDel="00000000" w:rsidP="00000000" w:rsidRDefault="00000000" w:rsidRPr="00000000" w14:paraId="00000146">
      <w:pPr>
        <w:tabs>
          <w:tab w:val="left" w:leader="none" w:pos="-567"/>
        </w:tabs>
        <w:spacing w:line="312" w:lineRule="auto"/>
        <w:jc w:val="both"/>
        <w:rPr>
          <w:vertAlign w:val="baseline"/>
        </w:rPr>
      </w:pPr>
      <w:r w:rsidDel="00000000" w:rsidR="00000000" w:rsidRPr="00000000">
        <w:rPr>
          <w:rtl w:val="0"/>
        </w:rPr>
      </w:r>
    </w:p>
    <w:p w:rsidR="00000000" w:rsidDel="00000000" w:rsidP="00000000" w:rsidRDefault="00000000" w:rsidRPr="00000000" w14:paraId="00000147">
      <w:pPr>
        <w:tabs>
          <w:tab w:val="left" w:leader="none" w:pos="-567"/>
        </w:tabs>
        <w:spacing w:line="312" w:lineRule="auto"/>
        <w:jc w:val="both"/>
        <w:rPr>
          <w:vertAlign w:val="baseline"/>
        </w:rPr>
      </w:pPr>
      <w:r w:rsidDel="00000000" w:rsidR="00000000" w:rsidRPr="00000000">
        <w:rPr>
          <w:vertAlign w:val="baseline"/>
          <w:rtl w:val="0"/>
        </w:rPr>
        <w:t xml:space="preserve">Testemunhas:</w:t>
      </w:r>
    </w:p>
    <w:p w:rsidR="00000000" w:rsidDel="00000000" w:rsidP="00000000" w:rsidRDefault="00000000" w:rsidRPr="00000000" w14:paraId="00000148">
      <w:pPr>
        <w:tabs>
          <w:tab w:val="left" w:leader="none" w:pos="-567"/>
        </w:tabs>
        <w:spacing w:line="312" w:lineRule="auto"/>
        <w:jc w:val="both"/>
        <w:rPr>
          <w:vertAlign w:val="baseline"/>
        </w:rPr>
      </w:pPr>
      <w:r w:rsidDel="00000000" w:rsidR="00000000" w:rsidRPr="00000000">
        <w:rPr>
          <w:rtl w:val="0"/>
        </w:rPr>
      </w:r>
    </w:p>
    <w:p w:rsidR="00000000" w:rsidDel="00000000" w:rsidP="00000000" w:rsidRDefault="00000000" w:rsidRPr="00000000" w14:paraId="00000149">
      <w:pPr>
        <w:numPr>
          <w:ilvl w:val="0"/>
          <w:numId w:val="1"/>
        </w:numPr>
        <w:tabs>
          <w:tab w:val="left" w:leader="none" w:pos="-567"/>
          <w:tab w:val="left" w:leader="none" w:pos="284"/>
        </w:tabs>
        <w:spacing w:line="312" w:lineRule="auto"/>
        <w:ind w:left="0" w:firstLine="0"/>
        <w:jc w:val="both"/>
        <w:rPr>
          <w:vertAlign w:val="baseline"/>
        </w:rPr>
      </w:pPr>
      <w:r w:rsidDel="00000000" w:rsidR="00000000" w:rsidRPr="00000000">
        <w:rPr>
          <w:vertAlign w:val="baseline"/>
          <w:rtl w:val="0"/>
        </w:rPr>
        <w:t xml:space="preserve">Ass: _____________________________________ 2) Ass: ________________________________________</w:t>
      </w:r>
    </w:p>
    <w:p w:rsidR="00000000" w:rsidDel="00000000" w:rsidP="00000000" w:rsidRDefault="00000000" w:rsidRPr="00000000" w14:paraId="0000014A">
      <w:pPr>
        <w:tabs>
          <w:tab w:val="left" w:leader="none" w:pos="-567"/>
          <w:tab w:val="left" w:leader="none" w:pos="284"/>
        </w:tabs>
        <w:spacing w:line="312" w:lineRule="auto"/>
        <w:jc w:val="both"/>
        <w:rPr>
          <w:vertAlign w:val="baseline"/>
        </w:rPr>
      </w:pPr>
      <w:r w:rsidDel="00000000" w:rsidR="00000000" w:rsidRPr="00000000">
        <w:rPr>
          <w:vertAlign w:val="baseline"/>
          <w:rtl w:val="0"/>
        </w:rPr>
        <w:t xml:space="preserve">Nome:</w:t>
        <w:tab/>
        <w:tab/>
        <w:t xml:space="preserve">                      Nome: </w:t>
        <w:tab/>
      </w:r>
    </w:p>
    <w:p w:rsidR="00000000" w:rsidDel="00000000" w:rsidP="00000000" w:rsidRDefault="00000000" w:rsidRPr="00000000" w14:paraId="0000014B">
      <w:pPr>
        <w:tabs>
          <w:tab w:val="left" w:leader="none" w:pos="-567"/>
          <w:tab w:val="left" w:leader="none" w:pos="284"/>
        </w:tabs>
        <w:spacing w:line="312" w:lineRule="auto"/>
        <w:jc w:val="both"/>
        <w:rPr>
          <w:vertAlign w:val="baseline"/>
        </w:rPr>
      </w:pPr>
      <w:r w:rsidDel="00000000" w:rsidR="00000000" w:rsidRPr="00000000">
        <w:rPr>
          <w:vertAlign w:val="baseline"/>
          <w:rtl w:val="0"/>
        </w:rPr>
        <w:t xml:space="preserve">CPF:</w:t>
        <w:tab/>
        <w:tab/>
        <w:t xml:space="preserve">                      CPF:</w:t>
      </w:r>
    </w:p>
    <w:p w:rsidR="00000000" w:rsidDel="00000000" w:rsidP="00000000" w:rsidRDefault="00000000" w:rsidRPr="00000000" w14:paraId="0000014C">
      <w:pPr>
        <w:tabs>
          <w:tab w:val="left" w:leader="none" w:pos="-567"/>
        </w:tabs>
        <w:spacing w:line="312" w:lineRule="auto"/>
        <w:jc w:val="both"/>
        <w:rPr>
          <w:vertAlign w:val="baseline"/>
        </w:rPr>
      </w:pPr>
      <w:r w:rsidDel="00000000" w:rsidR="00000000" w:rsidRPr="00000000">
        <w:rPr>
          <w:rtl w:val="0"/>
        </w:rPr>
      </w:r>
    </w:p>
    <w:p w:rsidR="00000000" w:rsidDel="00000000" w:rsidP="00000000" w:rsidRDefault="00000000" w:rsidRPr="00000000" w14:paraId="0000014D">
      <w:pPr>
        <w:spacing w:line="312" w:lineRule="auto"/>
        <w:rPr>
          <w:vertAlign w:val="baseline"/>
        </w:rPr>
      </w:pPr>
      <w:r w:rsidDel="00000000" w:rsidR="00000000" w:rsidRPr="00000000">
        <w:rPr>
          <w:rtl w:val="0"/>
        </w:rPr>
      </w:r>
    </w:p>
    <w:sectPr>
      <w:headerReference r:id="rId7" w:type="default"/>
      <w:footerReference r:id="rId8" w:type="default"/>
      <w:pgSz w:h="16840" w:w="11907" w:orient="portrait"/>
      <w:pgMar w:bottom="1702" w:top="1864" w:left="1418" w:right="851" w:header="567"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F">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1400" w:right="-851" w:firstLine="0"/>
      <w:jc w:val="center"/>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leftMargin">
            <wp:posOffset>-2365374</wp:posOffset>
          </wp:positionH>
          <wp:positionV relativeFrom="topMargin">
            <wp:posOffset>-1040129</wp:posOffset>
          </wp:positionV>
          <wp:extent cx="9653270" cy="115570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9653270" cy="1155700"/>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207" w:hanging="360"/>
      </w:pPr>
      <w:rPr>
        <w:vertAlign w:val="baseline"/>
      </w:rPr>
    </w:lvl>
    <w:lvl w:ilvl="1">
      <w:start w:val="1"/>
      <w:numFmt w:val="lowerLetter"/>
      <w:lvlText w:val="%2."/>
      <w:lvlJc w:val="left"/>
      <w:pPr>
        <w:ind w:left="513" w:hanging="360"/>
      </w:pPr>
      <w:rPr>
        <w:vertAlign w:val="baseline"/>
      </w:rPr>
    </w:lvl>
    <w:lvl w:ilvl="2">
      <w:start w:val="1"/>
      <w:numFmt w:val="lowerRoman"/>
      <w:lvlText w:val="%3."/>
      <w:lvlJc w:val="right"/>
      <w:pPr>
        <w:ind w:left="1233" w:hanging="180"/>
      </w:pPr>
      <w:rPr>
        <w:vertAlign w:val="baseline"/>
      </w:rPr>
    </w:lvl>
    <w:lvl w:ilvl="3">
      <w:start w:val="1"/>
      <w:numFmt w:val="decimal"/>
      <w:lvlText w:val="%4."/>
      <w:lvlJc w:val="left"/>
      <w:pPr>
        <w:ind w:left="1953" w:hanging="360"/>
      </w:pPr>
      <w:rPr>
        <w:vertAlign w:val="baseline"/>
      </w:rPr>
    </w:lvl>
    <w:lvl w:ilvl="4">
      <w:start w:val="1"/>
      <w:numFmt w:val="lowerLetter"/>
      <w:lvlText w:val="%5."/>
      <w:lvlJc w:val="left"/>
      <w:pPr>
        <w:ind w:left="2673" w:hanging="360"/>
      </w:pPr>
      <w:rPr>
        <w:vertAlign w:val="baseline"/>
      </w:rPr>
    </w:lvl>
    <w:lvl w:ilvl="5">
      <w:start w:val="1"/>
      <w:numFmt w:val="lowerRoman"/>
      <w:lvlText w:val="%6."/>
      <w:lvlJc w:val="right"/>
      <w:pPr>
        <w:ind w:left="3393" w:hanging="180"/>
      </w:pPr>
      <w:rPr>
        <w:vertAlign w:val="baseline"/>
      </w:rPr>
    </w:lvl>
    <w:lvl w:ilvl="6">
      <w:start w:val="1"/>
      <w:numFmt w:val="decimal"/>
      <w:lvlText w:val="%7."/>
      <w:lvlJc w:val="left"/>
      <w:pPr>
        <w:ind w:left="4113" w:hanging="360"/>
      </w:pPr>
      <w:rPr>
        <w:vertAlign w:val="baseline"/>
      </w:rPr>
    </w:lvl>
    <w:lvl w:ilvl="7">
      <w:start w:val="1"/>
      <w:numFmt w:val="lowerLetter"/>
      <w:lvlText w:val="%8."/>
      <w:lvlJc w:val="left"/>
      <w:pPr>
        <w:ind w:left="4833" w:hanging="360"/>
      </w:pPr>
      <w:rPr>
        <w:vertAlign w:val="baseline"/>
      </w:rPr>
    </w:lvl>
    <w:lvl w:ilvl="8">
      <w:start w:val="1"/>
      <w:numFmt w:val="lowerRoman"/>
      <w:lvlText w:val="%9."/>
      <w:lvlJc w:val="right"/>
      <w:pPr>
        <w:ind w:left="5553" w:hanging="180"/>
      </w:pPr>
      <w:rPr>
        <w:vertAlign w:val="baseline"/>
      </w:rPr>
    </w:lvl>
  </w:abstractNum>
  <w:abstractNum w:abstractNumId="2">
    <w:lvl w:ilvl="0">
      <w:start w:val="20"/>
      <w:numFmt w:val="decimal"/>
      <w:lvlText w:val="%1."/>
      <w:lvlJc w:val="left"/>
      <w:pPr>
        <w:ind w:left="525" w:hanging="525"/>
      </w:pPr>
      <w:rPr>
        <w:vertAlign w:val="baseline"/>
      </w:rPr>
    </w:lvl>
    <w:lvl w:ilvl="1">
      <w:start w:val="4"/>
      <w:numFmt w:val="decimal"/>
      <w:lvlText w:val="%1.%2."/>
      <w:lvlJc w:val="left"/>
      <w:pPr>
        <w:ind w:left="862" w:hanging="720"/>
      </w:pPr>
      <w:rPr>
        <w:b w:val="1"/>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2160" w:hanging="2160"/>
      </w:pPr>
      <w:rPr>
        <w:vertAlign w:val="baseline"/>
      </w:rPr>
    </w:lvl>
  </w:abstractNum>
  <w:abstractNum w:abstractNumId="3">
    <w:lvl w:ilvl="0">
      <w:start w:val="1"/>
      <w:numFmt w:val="lowerLetter"/>
      <w:lvlText w:val=""/>
      <w:lvlJc w:val="left"/>
      <w:pPr>
        <w:ind w:left="0" w:firstLine="0"/>
      </w:pPr>
      <w:rPr>
        <w:vertAlign w:val="baseline"/>
      </w:rPr>
    </w:lvl>
    <w:lvl w:ilvl="1">
      <w:start w:val="1"/>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widowControl w:val="0"/>
      <w:ind w:left="128"/>
      <w:jc w:val="both"/>
    </w:pPr>
    <w:rPr>
      <w:rFonts w:ascii="Arial" w:cs="Arial" w:eastAsia="Arial" w:hAnsi="Arial"/>
      <w:b w:val="1"/>
      <w:sz w:val="22"/>
      <w:szCs w:val="22"/>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pt-BR" w:val="pt-BR"/>
    </w:rPr>
  </w:style>
  <w:style w:type="paragraph" w:styleId="Título1">
    <w:name w:val="Título 1"/>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0"/>
    </w:pPr>
    <w:rPr>
      <w:rFonts w:ascii="Arial" w:hAnsi="Arial"/>
      <w:b w:val="1"/>
      <w:bCs w:val="1"/>
      <w:w w:val="100"/>
      <w:kern w:val="32"/>
      <w:position w:val="-1"/>
      <w:sz w:val="32"/>
      <w:szCs w:val="32"/>
      <w:effect w:val="none"/>
      <w:vertAlign w:val="baseline"/>
      <w:cs w:val="0"/>
      <w:em w:val="none"/>
      <w:lang w:bidi="ar-SA" w:eastAsia="und" w:val="und"/>
    </w:rPr>
  </w:style>
  <w:style w:type="paragraph" w:styleId="Título2">
    <w:name w:val="Título 2"/>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1"/>
    </w:pPr>
    <w:rPr>
      <w:rFonts w:ascii="Cambria" w:hAnsi="Cambria"/>
      <w:b w:val="1"/>
      <w:bCs w:val="1"/>
      <w:i w:val="1"/>
      <w:iCs w:val="1"/>
      <w:w w:val="100"/>
      <w:position w:val="-1"/>
      <w:sz w:val="28"/>
      <w:szCs w:val="28"/>
      <w:effect w:val="none"/>
      <w:vertAlign w:val="baseline"/>
      <w:cs w:val="0"/>
      <w:em w:val="none"/>
      <w:lang w:bidi="ar-SA" w:eastAsia="und" w:val="und"/>
    </w:rPr>
  </w:style>
  <w:style w:type="paragraph" w:styleId="Título3">
    <w:name w:val="Título 3"/>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2"/>
    </w:pPr>
    <w:rPr>
      <w:rFonts w:ascii="Arial" w:hAnsi="Arial"/>
      <w:b w:val="1"/>
      <w:bCs w:val="1"/>
      <w:w w:val="100"/>
      <w:position w:val="-1"/>
      <w:sz w:val="26"/>
      <w:szCs w:val="26"/>
      <w:effect w:val="none"/>
      <w:vertAlign w:val="baseline"/>
      <w:cs w:val="0"/>
      <w:em w:val="none"/>
      <w:lang w:bidi="ar-SA" w:eastAsia="und" w:val="und"/>
    </w:rPr>
  </w:style>
  <w:style w:type="paragraph" w:styleId="Título4">
    <w:name w:val="Título 4"/>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3"/>
    </w:pPr>
    <w:rPr>
      <w:b w:val="1"/>
      <w:bCs w:val="1"/>
      <w:w w:val="100"/>
      <w:position w:val="-1"/>
      <w:sz w:val="36"/>
      <w:effect w:val="none"/>
      <w:vertAlign w:val="baseline"/>
      <w:cs w:val="0"/>
      <w:em w:val="none"/>
      <w:lang w:bidi="ar-SA" w:eastAsia="und" w:val="und"/>
    </w:rPr>
  </w:style>
  <w:style w:type="paragraph" w:styleId="Título5">
    <w:name w:val="Título 5"/>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4"/>
    </w:pPr>
    <w:rPr>
      <w:rFonts w:ascii="Calibri" w:hAnsi="Calibri"/>
      <w:b w:val="1"/>
      <w:bCs w:val="1"/>
      <w:i w:val="1"/>
      <w:iCs w:val="1"/>
      <w:w w:val="100"/>
      <w:position w:val="-1"/>
      <w:sz w:val="26"/>
      <w:szCs w:val="26"/>
      <w:effect w:val="none"/>
      <w:vertAlign w:val="baseline"/>
      <w:cs w:val="0"/>
      <w:em w:val="none"/>
      <w:lang w:bidi="ar-SA" w:eastAsia="und" w:val="und"/>
    </w:rPr>
  </w:style>
  <w:style w:type="paragraph" w:styleId="Título6">
    <w:name w:val="Título 6"/>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5"/>
    </w:pPr>
    <w:rPr>
      <w:rFonts w:ascii="Calibri" w:hAnsi="Calibri"/>
      <w:b w:val="1"/>
      <w:bCs w:val="1"/>
      <w:w w:val="100"/>
      <w:position w:val="-1"/>
      <w:sz w:val="22"/>
      <w:szCs w:val="22"/>
      <w:effect w:val="none"/>
      <w:vertAlign w:val="baseline"/>
      <w:cs w:val="0"/>
      <w:em w:val="none"/>
      <w:lang w:bidi="ar-SA" w:eastAsia="und" w:val="und"/>
    </w:rPr>
  </w:style>
  <w:style w:type="paragraph" w:styleId="Título7">
    <w:name w:val="Título 7"/>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6"/>
    </w:pPr>
    <w:rPr>
      <w:rFonts w:ascii="Calibri" w:hAnsi="Calibri"/>
      <w:w w:val="100"/>
      <w:position w:val="-1"/>
      <w:sz w:val="24"/>
      <w:szCs w:val="24"/>
      <w:effect w:val="none"/>
      <w:vertAlign w:val="baseline"/>
      <w:cs w:val="0"/>
      <w:em w:val="none"/>
      <w:lang w:bidi="ar-SA" w:eastAsia="und" w:val="und"/>
    </w:rPr>
  </w:style>
  <w:style w:type="paragraph" w:styleId="Título9">
    <w:name w:val="Título 9"/>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8"/>
    </w:pPr>
    <w:rPr>
      <w:rFonts w:ascii="Arial" w:hAnsi="Arial"/>
      <w:w w:val="100"/>
      <w:position w:val="-1"/>
      <w:sz w:val="22"/>
      <w:szCs w:val="22"/>
      <w:effect w:val="none"/>
      <w:vertAlign w:val="baseline"/>
      <w:cs w:val="0"/>
      <w:em w:val="none"/>
      <w:lang w:bidi="ar-SA" w:eastAsia="und" w:val="und"/>
    </w:rPr>
  </w:style>
  <w:style w:type="character" w:styleId="Fonteparág.padrão">
    <w:name w:val="Fonte parág. padrão"/>
    <w:next w:val="Fonteparág.padrão"/>
    <w:autoRedefine w:val="0"/>
    <w:hidden w:val="0"/>
    <w:qFormat w:val="0"/>
    <w:rPr>
      <w:w w:val="100"/>
      <w:position w:val="-1"/>
      <w:effect w:val="none"/>
      <w:vertAlign w:val="baseline"/>
      <w:cs w:val="0"/>
      <w:em w:val="none"/>
      <w:lang/>
    </w:rPr>
  </w:style>
  <w:style w:type="table" w:styleId="Tabelanormal">
    <w:name w:val="Tabela normal"/>
    <w:next w:val="Tabela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emlista">
    <w:name w:val="Sem lista"/>
    <w:next w:val="Semlista"/>
    <w:autoRedefine w:val="0"/>
    <w:hidden w:val="0"/>
    <w:qFormat w:val="0"/>
    <w:pPr>
      <w:suppressAutoHyphens w:val="1"/>
      <w:spacing w:line="1" w:lineRule="atLeast"/>
      <w:ind w:leftChars="-1" w:rightChars="0" w:firstLineChars="-1"/>
      <w:textDirection w:val="btLr"/>
      <w:textAlignment w:val="top"/>
      <w:outlineLvl w:val="0"/>
    </w:pPr>
  </w:style>
  <w:style w:type="character" w:styleId="Título2Char">
    <w:name w:val="Título 2 Char"/>
    <w:next w:val="Título2Char"/>
    <w:autoRedefine w:val="0"/>
    <w:hidden w:val="0"/>
    <w:qFormat w:val="0"/>
    <w:rPr>
      <w:rFonts w:ascii="Cambria" w:cs="Times New Roman" w:eastAsia="Times New Roman" w:hAnsi="Cambria"/>
      <w:b w:val="1"/>
      <w:bCs w:val="1"/>
      <w:i w:val="1"/>
      <w:iCs w:val="1"/>
      <w:w w:val="100"/>
      <w:position w:val="-1"/>
      <w:sz w:val="28"/>
      <w:szCs w:val="28"/>
      <w:effect w:val="none"/>
      <w:vertAlign w:val="baseline"/>
      <w:cs w:val="0"/>
      <w:em w:val="none"/>
      <w:lang/>
    </w:rPr>
  </w:style>
  <w:style w:type="character" w:styleId="Título5Char">
    <w:name w:val="Título 5 Char"/>
    <w:next w:val="Título5Char"/>
    <w:autoRedefine w:val="0"/>
    <w:hidden w:val="0"/>
    <w:qFormat w:val="0"/>
    <w:rPr>
      <w:rFonts w:ascii="Calibri" w:cs="Times New Roman" w:eastAsia="Times New Roman" w:hAnsi="Calibri"/>
      <w:b w:val="1"/>
      <w:bCs w:val="1"/>
      <w:i w:val="1"/>
      <w:iCs w:val="1"/>
      <w:w w:val="100"/>
      <w:position w:val="-1"/>
      <w:sz w:val="26"/>
      <w:szCs w:val="26"/>
      <w:effect w:val="none"/>
      <w:vertAlign w:val="baseline"/>
      <w:cs w:val="0"/>
      <w:em w:val="none"/>
      <w:lang/>
    </w:rPr>
  </w:style>
  <w:style w:type="character" w:styleId="Título6Char">
    <w:name w:val="Título 6 Char"/>
    <w:next w:val="Título6Char"/>
    <w:autoRedefine w:val="0"/>
    <w:hidden w:val="0"/>
    <w:qFormat w:val="0"/>
    <w:rPr>
      <w:rFonts w:ascii="Calibri" w:cs="Times New Roman" w:eastAsia="Times New Roman" w:hAnsi="Calibri"/>
      <w:b w:val="1"/>
      <w:bCs w:val="1"/>
      <w:w w:val="100"/>
      <w:position w:val="-1"/>
      <w:sz w:val="22"/>
      <w:szCs w:val="22"/>
      <w:effect w:val="none"/>
      <w:vertAlign w:val="baseline"/>
      <w:cs w:val="0"/>
      <w:em w:val="none"/>
      <w:lang/>
    </w:rPr>
  </w:style>
  <w:style w:type="character" w:styleId="Título7Char">
    <w:name w:val="Título 7 Char"/>
    <w:next w:val="Título7Char"/>
    <w:autoRedefine w:val="0"/>
    <w:hidden w:val="0"/>
    <w:qFormat w:val="0"/>
    <w:rPr>
      <w:rFonts w:ascii="Calibri" w:cs="Times New Roman" w:eastAsia="Times New Roman" w:hAnsi="Calibri"/>
      <w:w w:val="100"/>
      <w:position w:val="-1"/>
      <w:sz w:val="24"/>
      <w:szCs w:val="24"/>
      <w:effect w:val="none"/>
      <w:vertAlign w:val="baseline"/>
      <w:cs w:val="0"/>
      <w:em w:val="none"/>
      <w:lang/>
    </w:rPr>
  </w:style>
  <w:style w:type="character" w:styleId="Título9Char">
    <w:name w:val="Título 9 Char"/>
    <w:next w:val="Título9Char"/>
    <w:autoRedefine w:val="0"/>
    <w:hidden w:val="0"/>
    <w:qFormat w:val="0"/>
    <w:rPr>
      <w:rFonts w:ascii="Arial" w:cs="Arial" w:hAnsi="Arial"/>
      <w:w w:val="100"/>
      <w:position w:val="-1"/>
      <w:sz w:val="22"/>
      <w:szCs w:val="22"/>
      <w:effect w:val="none"/>
      <w:vertAlign w:val="baseline"/>
      <w:cs w:val="0"/>
      <w:em w:val="none"/>
      <w:lang/>
    </w:rPr>
  </w:style>
  <w:style w:type="paragraph" w:styleId="Cabeçalho,CharChar">
    <w:name w:val="Cabeçalho, Char Char"/>
    <w:basedOn w:val="Normal"/>
    <w:next w:val="Cabeçalho,CharChar"/>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pt-BR" w:val="pt-BR"/>
    </w:rPr>
  </w:style>
  <w:style w:type="character" w:styleId="CabeçalhoChar,CharCharChar">
    <w:name w:val="Cabeçalho Char, Char Char Char"/>
    <w:next w:val="CabeçalhoChar,CharCharChar"/>
    <w:autoRedefine w:val="0"/>
    <w:hidden w:val="0"/>
    <w:qFormat w:val="0"/>
    <w:rPr>
      <w:w w:val="100"/>
      <w:position w:val="-1"/>
      <w:effect w:val="none"/>
      <w:vertAlign w:val="baseline"/>
      <w:cs w:val="0"/>
      <w:em w:val="none"/>
      <w:lang/>
    </w:rPr>
  </w:style>
  <w:style w:type="paragraph" w:styleId="Rodapé">
    <w:name w:val="Rodapé"/>
    <w:basedOn w:val="Normal"/>
    <w:next w:val="Rodapé"/>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pt-BR" w:val="pt-BR"/>
    </w:rPr>
  </w:style>
  <w:style w:type="character" w:styleId="RodapéChar">
    <w:name w:val="Rodapé Char"/>
    <w:basedOn w:val="Fonteparág.padrão"/>
    <w:next w:val="RodapéChar"/>
    <w:autoRedefine w:val="0"/>
    <w:hidden w:val="0"/>
    <w:qFormat w:val="0"/>
    <w:rPr>
      <w:w w:val="100"/>
      <w:position w:val="-1"/>
      <w:effect w:val="none"/>
      <w:vertAlign w:val="baseline"/>
      <w:cs w:val="0"/>
      <w:em w:val="none"/>
      <w:lang/>
    </w:rPr>
  </w:style>
  <w:style w:type="paragraph" w:styleId="Textodebalão">
    <w:name w:val="Texto de balão"/>
    <w:basedOn w:val="Normal"/>
    <w:next w:val="Textodebalão"/>
    <w:autoRedefine w:val="0"/>
    <w:hidden w:val="0"/>
    <w:qFormat w:val="0"/>
    <w:pPr>
      <w:suppressAutoHyphens w:val="1"/>
      <w:spacing w:line="1" w:lineRule="atLeast"/>
      <w:ind w:leftChars="-1" w:rightChars="0" w:firstLineChars="-1"/>
      <w:textDirection w:val="btLr"/>
      <w:textAlignment w:val="top"/>
      <w:outlineLvl w:val="0"/>
    </w:pPr>
    <w:rPr>
      <w:rFonts w:ascii="Tahoma" w:hAnsi="Tahoma"/>
      <w:w w:val="100"/>
      <w:position w:val="-1"/>
      <w:sz w:val="16"/>
      <w:szCs w:val="16"/>
      <w:effect w:val="none"/>
      <w:vertAlign w:val="baseline"/>
      <w:cs w:val="0"/>
      <w:em w:val="none"/>
      <w:lang w:bidi="ar-SA" w:eastAsia="und" w:val="und"/>
    </w:rPr>
  </w:style>
  <w:style w:type="paragraph" w:styleId="Corpodetexto">
    <w:name w:val="Corpo de texto"/>
    <w:basedOn w:val="Normal"/>
    <w:next w:val="Corpodetexto"/>
    <w:autoRedefine w:val="0"/>
    <w:hidden w:val="0"/>
    <w:qFormat w:val="0"/>
    <w:pPr>
      <w:suppressAutoHyphens w:val="1"/>
      <w:spacing w:line="360" w:lineRule="auto"/>
      <w:ind w:leftChars="-1" w:rightChars="0" w:firstLineChars="-1"/>
      <w:jc w:val="both"/>
      <w:textDirection w:val="btLr"/>
      <w:textAlignment w:val="top"/>
      <w:outlineLvl w:val="0"/>
    </w:pPr>
    <w:rPr>
      <w:rFonts w:ascii="Arial" w:hAnsi="Arial"/>
      <w:w w:val="100"/>
      <w:position w:val="-1"/>
      <w:effect w:val="none"/>
      <w:vertAlign w:val="baseline"/>
      <w:cs w:val="0"/>
      <w:em w:val="none"/>
      <w:lang w:bidi="ar-SA" w:eastAsia="und" w:val="und"/>
    </w:rPr>
  </w:style>
  <w:style w:type="paragraph" w:styleId="Corpodetexto2">
    <w:name w:val="Corpo de texto 2"/>
    <w:basedOn w:val="Normal"/>
    <w:next w:val="Corpodetexto2"/>
    <w:autoRedefine w:val="0"/>
    <w:hidden w:val="0"/>
    <w:qFormat w:val="0"/>
    <w:pPr>
      <w:suppressAutoHyphens w:val="1"/>
      <w:spacing w:line="1" w:lineRule="atLeast"/>
      <w:ind w:leftChars="-1" w:rightChars="0" w:firstLineChars="-1"/>
      <w:jc w:val="both"/>
      <w:textDirection w:val="btLr"/>
      <w:textAlignment w:val="top"/>
      <w:outlineLvl w:val="0"/>
    </w:pPr>
    <w:rPr>
      <w:b w:val="1"/>
      <w:color w:val="ff0000"/>
      <w:w w:val="100"/>
      <w:position w:val="-1"/>
      <w:sz w:val="24"/>
      <w:effect w:val="none"/>
      <w:vertAlign w:val="baseline"/>
      <w:cs w:val="0"/>
      <w:em w:val="none"/>
      <w:lang w:bidi="ar-SA" w:eastAsia="und" w:val="und"/>
    </w:rPr>
  </w:style>
  <w:style w:type="paragraph" w:styleId="Recuodecorpodetexto3">
    <w:name w:val="Recuo de corpo de texto 3"/>
    <w:basedOn w:val="Normal"/>
    <w:next w:val="Recuodecorpodetexto3"/>
    <w:autoRedefine w:val="0"/>
    <w:hidden w:val="0"/>
    <w:qFormat w:val="0"/>
    <w:pPr>
      <w:suppressAutoHyphens w:val="1"/>
      <w:spacing w:line="1" w:lineRule="atLeast"/>
      <w:ind w:left="708" w:leftChars="-1" w:rightChars="0" w:firstLineChars="-1"/>
      <w:jc w:val="both"/>
      <w:textDirection w:val="btLr"/>
      <w:textAlignment w:val="top"/>
      <w:outlineLvl w:val="0"/>
    </w:pPr>
    <w:rPr>
      <w:b w:val="1"/>
      <w:color w:val="ff0000"/>
      <w:w w:val="100"/>
      <w:position w:val="-1"/>
      <w:sz w:val="24"/>
      <w:effect w:val="none"/>
      <w:vertAlign w:val="baseline"/>
      <w:cs w:val="0"/>
      <w:em w:val="none"/>
      <w:lang w:bidi="ar-SA" w:eastAsia="pt-BR" w:val="pt-BR"/>
    </w:rPr>
  </w:style>
  <w:style w:type="paragraph" w:styleId="Recuodecorpodetexto">
    <w:name w:val="Recuo de corpo de texto"/>
    <w:basedOn w:val="Normal"/>
    <w:next w:val="Recuodecorpodetexto"/>
    <w:autoRedefine w:val="0"/>
    <w:hidden w:val="0"/>
    <w:qFormat w:val="0"/>
    <w:pPr>
      <w:suppressAutoHyphens w:val="0"/>
      <w:spacing w:line="360" w:lineRule="auto"/>
      <w:ind w:left="709" w:leftChars="-1" w:rightChars="0" w:firstLineChars="-1"/>
      <w:textDirection w:val="btLr"/>
      <w:textAlignment w:val="top"/>
      <w:outlineLvl w:val="0"/>
    </w:pPr>
    <w:rPr>
      <w:rFonts w:ascii="Arial" w:hAnsi="Arial"/>
      <w:w w:val="100"/>
      <w:position w:val="-1"/>
      <w:effect w:val="none"/>
      <w:vertAlign w:val="baseline"/>
      <w:cs w:val="0"/>
      <w:em w:val="none"/>
      <w:lang w:bidi="ar-SA" w:eastAsia="und" w:val="und"/>
    </w:rPr>
  </w:style>
  <w:style w:type="paragraph" w:styleId="Subtítulo">
    <w:name w:val="Subtítulo"/>
    <w:basedOn w:val="Normal"/>
    <w:next w:val="Subtítulo"/>
    <w:autoRedefine w:val="0"/>
    <w:hidden w:val="0"/>
    <w:qFormat w:val="0"/>
    <w:pPr>
      <w:suppressAutoHyphens w:val="1"/>
      <w:spacing w:line="360" w:lineRule="auto"/>
      <w:ind w:leftChars="-1" w:rightChars="0" w:firstLineChars="-1"/>
      <w:textDirection w:val="btLr"/>
      <w:textAlignment w:val="top"/>
      <w:outlineLvl w:val="0"/>
    </w:pPr>
    <w:rPr>
      <w:b w:val="1"/>
      <w:w w:val="100"/>
      <w:position w:val="-1"/>
      <w:sz w:val="24"/>
      <w:effect w:val="none"/>
      <w:vertAlign w:val="baseline"/>
      <w:cs w:val="0"/>
      <w:em w:val="none"/>
      <w:lang w:bidi="ar-SA" w:eastAsia="und" w:val="und"/>
    </w:rPr>
  </w:style>
  <w:style w:type="character" w:styleId="SubtítuloChar">
    <w:name w:val="Subtítulo Char"/>
    <w:next w:val="SubtítuloChar"/>
    <w:autoRedefine w:val="0"/>
    <w:hidden w:val="0"/>
    <w:qFormat w:val="0"/>
    <w:rPr>
      <w:b w:val="1"/>
      <w:w w:val="100"/>
      <w:position w:val="-1"/>
      <w:sz w:val="24"/>
      <w:effect w:val="none"/>
      <w:vertAlign w:val="baseline"/>
      <w:cs w:val="0"/>
      <w:em w:val="none"/>
      <w:lang/>
    </w:rPr>
  </w:style>
  <w:style w:type="paragraph" w:styleId="Textoembloco">
    <w:name w:val="Texto em bloco"/>
    <w:basedOn w:val="Normal"/>
    <w:next w:val="Textoembloco"/>
    <w:autoRedefine w:val="0"/>
    <w:hidden w:val="0"/>
    <w:qFormat w:val="0"/>
    <w:pPr>
      <w:suppressAutoHyphens w:val="1"/>
      <w:spacing w:line="1" w:lineRule="atLeast"/>
      <w:ind w:left="851" w:right="474" w:leftChars="-1" w:rightChars="0" w:firstLine="1701" w:firstLineChars="-1"/>
      <w:jc w:val="both"/>
      <w:textDirection w:val="btLr"/>
      <w:textAlignment w:val="top"/>
      <w:outlineLvl w:val="0"/>
    </w:pPr>
    <w:rPr>
      <w:w w:val="100"/>
      <w:position w:val="-1"/>
      <w:sz w:val="26"/>
      <w:effect w:val="none"/>
      <w:vertAlign w:val="baseline"/>
      <w:cs w:val="0"/>
      <w:em w:val="none"/>
      <w:lang w:bidi="ar-SA" w:eastAsia="pt-BR" w:val="pt-BR"/>
    </w:rPr>
  </w:style>
  <w:style w:type="paragraph" w:styleId="Título">
    <w:name w:val="Título"/>
    <w:basedOn w:val="Normal"/>
    <w:next w:val="Título"/>
    <w:autoRedefine w:val="0"/>
    <w:hidden w:val="0"/>
    <w:qFormat w:val="0"/>
    <w:pPr>
      <w:suppressAutoHyphens w:val="1"/>
      <w:spacing w:before="120" w:line="1" w:lineRule="atLeast"/>
      <w:ind w:leftChars="-1" w:rightChars="0" w:firstLineChars="-1"/>
      <w:jc w:val="center"/>
      <w:textDirection w:val="btLr"/>
      <w:textAlignment w:val="top"/>
      <w:outlineLvl w:val="0"/>
    </w:pPr>
    <w:rPr>
      <w:rFonts w:ascii="Arial" w:hAnsi="Arial"/>
      <w:b w:val="1"/>
      <w:smallCaps w:val="1"/>
      <w:w w:val="100"/>
      <w:position w:val="-1"/>
      <w:sz w:val="24"/>
      <w:effect w:val="none"/>
      <w:vertAlign w:val="baseline"/>
      <w:cs w:val="0"/>
      <w:em w:val="none"/>
      <w:lang w:bidi="ar-SA" w:eastAsia="und" w:val="und"/>
    </w:rPr>
  </w:style>
  <w:style w:type="character" w:styleId="TítuloChar">
    <w:name w:val="Título Char"/>
    <w:next w:val="TítuloChar"/>
    <w:autoRedefine w:val="0"/>
    <w:hidden w:val="0"/>
    <w:qFormat w:val="0"/>
    <w:rPr>
      <w:rFonts w:ascii="Arial" w:hAnsi="Arial"/>
      <w:b w:val="1"/>
      <w:smallCaps w:val="1"/>
      <w:w w:val="100"/>
      <w:position w:val="-1"/>
      <w:sz w:val="24"/>
      <w:effect w:val="none"/>
      <w:vertAlign w:val="baseline"/>
      <w:cs w:val="0"/>
      <w:em w:val="none"/>
      <w:lang/>
    </w:rPr>
  </w:style>
  <w:style w:type="paragraph" w:styleId="Recuodecorpodetexto2">
    <w:name w:val="Recuo de corpo de texto 2"/>
    <w:basedOn w:val="Normal"/>
    <w:next w:val="Recuodecorpodetexto2"/>
    <w:autoRedefine w:val="0"/>
    <w:hidden w:val="0"/>
    <w:qFormat w:val="0"/>
    <w:pPr>
      <w:suppressAutoHyphens w:val="1"/>
      <w:spacing w:after="120" w:line="480" w:lineRule="auto"/>
      <w:ind w:left="283" w:leftChars="-1" w:rightChars="0" w:firstLineChars="-1"/>
      <w:textDirection w:val="btLr"/>
      <w:textAlignment w:val="top"/>
      <w:outlineLvl w:val="0"/>
    </w:pPr>
    <w:rPr>
      <w:w w:val="100"/>
      <w:position w:val="-1"/>
      <w:effect w:val="none"/>
      <w:vertAlign w:val="baseline"/>
      <w:cs w:val="0"/>
      <w:em w:val="none"/>
      <w:lang w:bidi="ar-SA" w:eastAsia="pt-BR" w:val="pt-BR"/>
    </w:rPr>
  </w:style>
  <w:style w:type="character" w:styleId="Recuodecorpodetexto2Char">
    <w:name w:val="Recuo de corpo de texto 2 Char"/>
    <w:basedOn w:val="Fonteparág.padrão"/>
    <w:next w:val="Recuodecorpodetexto2Char"/>
    <w:autoRedefine w:val="0"/>
    <w:hidden w:val="0"/>
    <w:qFormat w:val="0"/>
    <w:rPr>
      <w:w w:val="100"/>
      <w:position w:val="-1"/>
      <w:effect w:val="none"/>
      <w:vertAlign w:val="baseline"/>
      <w:cs w:val="0"/>
      <w:em w:val="none"/>
      <w:lang/>
    </w:rPr>
  </w:style>
  <w:style w:type="paragraph" w:styleId="Blockquote">
    <w:name w:val="Blockquote"/>
    <w:basedOn w:val="Normal"/>
    <w:next w:val="Blockquote"/>
    <w:autoRedefine w:val="0"/>
    <w:hidden w:val="0"/>
    <w:qFormat w:val="0"/>
    <w:pPr>
      <w:suppressAutoHyphens w:val="1"/>
      <w:spacing w:after="100" w:before="100" w:line="1" w:lineRule="atLeast"/>
      <w:ind w:left="360" w:right="360" w:leftChars="-1" w:rightChars="0" w:firstLineChars="-1"/>
      <w:textDirection w:val="btLr"/>
      <w:textAlignment w:val="top"/>
      <w:outlineLvl w:val="0"/>
    </w:pPr>
    <w:rPr>
      <w:snapToGrid w:val="0"/>
      <w:w w:val="100"/>
      <w:position w:val="-1"/>
      <w:sz w:val="24"/>
      <w:effect w:val="none"/>
      <w:vertAlign w:val="baseline"/>
      <w:cs w:val="0"/>
      <w:em w:val="none"/>
      <w:lang w:bidi="ar-SA" w:eastAsia="pt-BR" w:val="pt-BR"/>
    </w:rPr>
  </w:style>
  <w:style w:type="paragraph" w:styleId="Corpodetexto3">
    <w:name w:val="Corpo de texto 3"/>
    <w:basedOn w:val="Normal"/>
    <w:next w:val="Corpodetexto3"/>
    <w:autoRedefine w:val="0"/>
    <w:hidden w:val="0"/>
    <w:qFormat w:val="0"/>
    <w:pPr>
      <w:suppressAutoHyphens w:val="1"/>
      <w:spacing w:after="120" w:line="1" w:lineRule="atLeast"/>
      <w:ind w:leftChars="-1" w:rightChars="0" w:firstLineChars="-1"/>
      <w:textDirection w:val="btLr"/>
      <w:textAlignment w:val="top"/>
      <w:outlineLvl w:val="0"/>
    </w:pPr>
    <w:rPr>
      <w:w w:val="100"/>
      <w:position w:val="-1"/>
      <w:sz w:val="16"/>
      <w:szCs w:val="16"/>
      <w:effect w:val="none"/>
      <w:vertAlign w:val="baseline"/>
      <w:cs w:val="0"/>
      <w:em w:val="none"/>
      <w:lang w:bidi="ar-SA" w:eastAsia="und" w:val="und"/>
    </w:rPr>
  </w:style>
  <w:style w:type="character" w:styleId="Corpodetexto3Char">
    <w:name w:val="Corpo de texto 3 Char"/>
    <w:next w:val="Corpodetexto3Char"/>
    <w:autoRedefine w:val="0"/>
    <w:hidden w:val="0"/>
    <w:qFormat w:val="0"/>
    <w:rPr>
      <w:w w:val="100"/>
      <w:position w:val="-1"/>
      <w:sz w:val="16"/>
      <w:szCs w:val="16"/>
      <w:effect w:val="none"/>
      <w:vertAlign w:val="baseline"/>
      <w:cs w:val="0"/>
      <w:em w:val="none"/>
      <w:lang/>
    </w:rPr>
  </w:style>
  <w:style w:type="table" w:styleId="Tabelacomgrade">
    <w:name w:val="Tabela com grade"/>
    <w:basedOn w:val="Tabelanormal"/>
    <w:next w:val="Tabelacomgrade"/>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elacomgrade"/>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character" w:styleId="Hyperlink">
    <w:name w:val="Hyperlink"/>
    <w:next w:val="Hyperlink"/>
    <w:autoRedefine w:val="0"/>
    <w:hidden w:val="0"/>
    <w:qFormat w:val="1"/>
    <w:rPr>
      <w:color w:val="0000ff"/>
      <w:w w:val="100"/>
      <w:position w:val="-1"/>
      <w:u w:val="single"/>
      <w:effect w:val="none"/>
      <w:vertAlign w:val="baseline"/>
      <w:cs w:val="0"/>
      <w:em w:val="none"/>
      <w:lang/>
    </w:rPr>
  </w:style>
  <w:style w:type="character" w:styleId="HiperlinkVisitado">
    <w:name w:val="HiperlinkVisitado"/>
    <w:next w:val="HiperlinkVisitado"/>
    <w:autoRedefine w:val="0"/>
    <w:hidden w:val="0"/>
    <w:qFormat w:val="1"/>
    <w:rPr>
      <w:color w:val="800080"/>
      <w:w w:val="100"/>
      <w:position w:val="-1"/>
      <w:u w:val="single"/>
      <w:effect w:val="none"/>
      <w:vertAlign w:val="baseline"/>
      <w:cs w:val="0"/>
      <w:em w:val="none"/>
      <w:lang/>
    </w:rPr>
  </w:style>
  <w:style w:type="numbering" w:styleId="Semlista1">
    <w:name w:val="Sem lista1"/>
    <w:next w:val="Semlista"/>
    <w:autoRedefine w:val="0"/>
    <w:hidden w:val="0"/>
    <w:qFormat w:val="0"/>
    <w:pPr>
      <w:suppressAutoHyphens w:val="1"/>
      <w:spacing w:line="1" w:lineRule="atLeast"/>
      <w:ind w:leftChars="-1" w:rightChars="0" w:firstLineChars="-1"/>
      <w:textDirection w:val="btLr"/>
      <w:textAlignment w:val="top"/>
      <w:outlineLvl w:val="0"/>
    </w:pPr>
  </w:style>
  <w:style w:type="paragraph" w:styleId="ListParagraph">
    <w:name w:val="List Paragraph"/>
    <w:basedOn w:val="Normal"/>
    <w:next w:val="ListParagraph"/>
    <w:autoRedefine w:val="0"/>
    <w:hidden w:val="0"/>
    <w:qFormat w:val="0"/>
    <w:pPr>
      <w:suppressAutoHyphens w:val="1"/>
      <w:spacing w:after="200" w:line="276" w:lineRule="auto"/>
      <w:ind w:left="720" w:leftChars="-1" w:rightChars="0" w:firstLineChars="-1"/>
      <w:textDirection w:val="btLr"/>
      <w:textAlignment w:val="top"/>
      <w:outlineLvl w:val="0"/>
    </w:pPr>
    <w:rPr>
      <w:rFonts w:ascii="Calibri" w:hAnsi="Calibri"/>
      <w:w w:val="100"/>
      <w:position w:val="-1"/>
      <w:sz w:val="22"/>
      <w:szCs w:val="22"/>
      <w:effect w:val="none"/>
      <w:vertAlign w:val="baseline"/>
      <w:cs w:val="0"/>
      <w:em w:val="none"/>
      <w:lang w:bidi="ar-SA" w:eastAsia="en-US" w:val="pt-BR"/>
    </w:rPr>
  </w:style>
  <w:style w:type="character" w:styleId="CorpodetextoChar">
    <w:name w:val="Corpo de texto Char"/>
    <w:next w:val="CorpodetextoChar"/>
    <w:autoRedefine w:val="0"/>
    <w:hidden w:val="0"/>
    <w:qFormat w:val="0"/>
    <w:rPr>
      <w:rFonts w:ascii="Arial" w:hAnsi="Arial"/>
      <w:w w:val="100"/>
      <w:position w:val="-1"/>
      <w:effect w:val="none"/>
      <w:vertAlign w:val="baseline"/>
      <w:cs w:val="0"/>
      <w:em w:val="none"/>
      <w:lang/>
    </w:rPr>
  </w:style>
  <w:style w:type="paragraph" w:styleId="Heading2">
    <w:name w:val="Heading 2"/>
    <w:basedOn w:val="Normal"/>
    <w:next w:val="Heading2"/>
    <w:autoRedefine w:val="0"/>
    <w:hidden w:val="0"/>
    <w:qFormat w:val="0"/>
    <w:pPr>
      <w:widowControl w:val="0"/>
      <w:suppressAutoHyphens w:val="1"/>
      <w:autoSpaceDE w:val="0"/>
      <w:autoSpaceDN w:val="0"/>
      <w:spacing w:line="1" w:lineRule="atLeast"/>
      <w:ind w:left="128" w:leftChars="-1" w:rightChars="0" w:firstLineChars="-1"/>
      <w:jc w:val="both"/>
      <w:textDirection w:val="btLr"/>
      <w:textAlignment w:val="top"/>
      <w:outlineLvl w:val="2"/>
    </w:pPr>
    <w:rPr>
      <w:rFonts w:ascii="Arial" w:cs="Arial" w:eastAsia="Arial" w:hAnsi="Arial"/>
      <w:b w:val="1"/>
      <w:bCs w:val="1"/>
      <w:w w:val="100"/>
      <w:position w:val="-1"/>
      <w:sz w:val="22"/>
      <w:szCs w:val="22"/>
      <w:effect w:val="none"/>
      <w:vertAlign w:val="baseline"/>
      <w:cs w:val="0"/>
      <w:em w:val="none"/>
      <w:lang w:bidi="ar-SA" w:eastAsia="en-US" w:val="en-US"/>
    </w:rPr>
  </w:style>
  <w:style w:type="paragraph" w:styleId="ParágrafodaLista">
    <w:name w:val="Parágrafo da Lista"/>
    <w:basedOn w:val="Normal"/>
    <w:next w:val="ParágrafodaLista"/>
    <w:autoRedefine w:val="0"/>
    <w:hidden w:val="0"/>
    <w:qFormat w:val="0"/>
    <w:pPr>
      <w:widowControl w:val="0"/>
      <w:suppressAutoHyphens w:val="1"/>
      <w:autoSpaceDE w:val="0"/>
      <w:autoSpaceDN w:val="0"/>
      <w:spacing w:line="1" w:lineRule="atLeast"/>
      <w:ind w:left="128" w:leftChars="-1" w:rightChars="0" w:firstLineChars="-1"/>
      <w:jc w:val="both"/>
      <w:textDirection w:val="btLr"/>
      <w:textAlignment w:val="top"/>
      <w:outlineLvl w:val="0"/>
    </w:pPr>
    <w:rPr>
      <w:rFonts w:ascii="Arial" w:cs="Arial" w:eastAsia="Arial" w:hAnsi="Arial"/>
      <w:w w:val="100"/>
      <w:position w:val="-1"/>
      <w:sz w:val="22"/>
      <w:szCs w:val="22"/>
      <w:effect w:val="none"/>
      <w:vertAlign w:val="baseline"/>
      <w:cs w:val="0"/>
      <w:em w:val="none"/>
      <w:lang w:bidi="ar-SA" w:eastAsia="en-US" w:val="en-US"/>
    </w:rPr>
  </w:style>
  <w:style w:type="character" w:styleId="TextodebalãoChar">
    <w:name w:val="Texto de balão Char"/>
    <w:next w:val="TextodebalãoChar"/>
    <w:autoRedefine w:val="0"/>
    <w:hidden w:val="0"/>
    <w:qFormat w:val="0"/>
    <w:rPr>
      <w:rFonts w:ascii="Tahoma" w:cs="Tahoma" w:hAnsi="Tahoma"/>
      <w:w w:val="100"/>
      <w:position w:val="-1"/>
      <w:sz w:val="16"/>
      <w:szCs w:val="16"/>
      <w:effect w:val="none"/>
      <w:vertAlign w:val="baseline"/>
      <w:cs w:val="0"/>
      <w:em w:val="none"/>
      <w:lang/>
    </w:rPr>
  </w:style>
  <w:style w:type="paragraph" w:styleId="SemEspaçamento">
    <w:name w:val="Sem Espaçamento"/>
    <w:next w:val="SemEspaçamento"/>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pt-BR" w:val="pt-BR"/>
    </w:rPr>
  </w:style>
  <w:style w:type="character" w:styleId="Título4Char">
    <w:name w:val="Título 4 Char"/>
    <w:next w:val="Título4Char"/>
    <w:autoRedefine w:val="0"/>
    <w:hidden w:val="0"/>
    <w:qFormat w:val="0"/>
    <w:rPr>
      <w:b w:val="1"/>
      <w:bCs w:val="1"/>
      <w:w w:val="100"/>
      <w:position w:val="-1"/>
      <w:sz w:val="36"/>
      <w:effect w:val="none"/>
      <w:vertAlign w:val="baseline"/>
      <w:cs w:val="0"/>
      <w:em w:val="none"/>
      <w:lang/>
    </w:rPr>
  </w:style>
  <w:style w:type="numbering" w:styleId="Semlista11">
    <w:name w:val="Sem lista11"/>
    <w:next w:val="Semlista"/>
    <w:autoRedefine w:val="0"/>
    <w:hidden w:val="0"/>
    <w:qFormat w:val="1"/>
    <w:pPr>
      <w:suppressAutoHyphens w:val="1"/>
      <w:spacing w:line="1" w:lineRule="atLeast"/>
      <w:ind w:leftChars="-1" w:rightChars="0" w:firstLineChars="-1"/>
      <w:textDirection w:val="btLr"/>
      <w:textAlignment w:val="top"/>
      <w:outlineLvl w:val="0"/>
    </w:pPr>
  </w:style>
  <w:style w:type="character" w:styleId="Título1Char">
    <w:name w:val="Título 1 Char"/>
    <w:next w:val="Título1Char"/>
    <w:autoRedefine w:val="0"/>
    <w:hidden w:val="0"/>
    <w:qFormat w:val="0"/>
    <w:rPr>
      <w:rFonts w:ascii="Arial" w:cs="Arial" w:hAnsi="Arial"/>
      <w:b w:val="1"/>
      <w:bCs w:val="1"/>
      <w:w w:val="100"/>
      <w:kern w:val="32"/>
      <w:position w:val="-1"/>
      <w:sz w:val="32"/>
      <w:szCs w:val="32"/>
      <w:effect w:val="none"/>
      <w:vertAlign w:val="baseline"/>
      <w:cs w:val="0"/>
      <w:em w:val="none"/>
      <w:lang/>
    </w:rPr>
  </w:style>
  <w:style w:type="character" w:styleId="Título3Char">
    <w:name w:val="Título 3 Char"/>
    <w:next w:val="Título3Char"/>
    <w:autoRedefine w:val="0"/>
    <w:hidden w:val="0"/>
    <w:qFormat w:val="0"/>
    <w:rPr>
      <w:rFonts w:ascii="Arial" w:cs="Arial" w:hAnsi="Arial"/>
      <w:b w:val="1"/>
      <w:bCs w:val="1"/>
      <w:w w:val="100"/>
      <w:position w:val="-1"/>
      <w:sz w:val="26"/>
      <w:szCs w:val="26"/>
      <w:effect w:val="none"/>
      <w:vertAlign w:val="baseline"/>
      <w:cs w:val="0"/>
      <w:em w:val="none"/>
      <w:lang/>
    </w:rPr>
  </w:style>
  <w:style w:type="table" w:styleId="Tabelacomgrade1">
    <w:name w:val="Tabela com grade1"/>
    <w:basedOn w:val="Tabelanormal"/>
    <w:next w:val="Tabelacomgrade"/>
    <w:autoRedefine w:val="0"/>
    <w:hidden w:val="0"/>
    <w:qFormat w:val="0"/>
    <w:pPr>
      <w:suppressAutoHyphens w:val="1"/>
      <w:spacing w:line="1" w:lineRule="atLeast"/>
      <w:ind w:leftChars="-1" w:rightChars="0" w:firstLineChars="-1"/>
      <w:textDirection w:val="btLr"/>
      <w:textAlignment w:val="top"/>
      <w:outlineLvl w:val="0"/>
    </w:pPr>
    <w:rPr>
      <w:rFonts w:ascii="Calibri" w:eastAsia="Calibri" w:hAnsi="Calibri"/>
      <w:w w:val="100"/>
      <w:position w:val="-1"/>
      <w:effect w:val="none"/>
      <w:vertAlign w:val="baseline"/>
      <w:cs w:val="0"/>
      <w:em w:val="none"/>
      <w:lang/>
    </w:rPr>
    <w:tblPr>
      <w:tblStyle w:val="Tabelacomgrade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semFormatação">
    <w:name w:val="Texto sem Formatação"/>
    <w:basedOn w:val="Normal"/>
    <w:next w:val="TextosemFormatação"/>
    <w:autoRedefine w:val="0"/>
    <w:hidden w:val="0"/>
    <w:qFormat w:val="0"/>
    <w:pPr>
      <w:suppressAutoHyphens w:val="1"/>
      <w:spacing w:line="1" w:lineRule="atLeast"/>
      <w:ind w:leftChars="-1" w:rightChars="0" w:firstLineChars="-1"/>
      <w:textDirection w:val="btLr"/>
      <w:textAlignment w:val="top"/>
      <w:outlineLvl w:val="0"/>
    </w:pPr>
    <w:rPr>
      <w:rFonts w:ascii="Courier New" w:hAnsi="Courier New"/>
      <w:w w:val="100"/>
      <w:position w:val="-1"/>
      <w:effect w:val="none"/>
      <w:vertAlign w:val="baseline"/>
      <w:cs w:val="0"/>
      <w:em w:val="none"/>
      <w:lang w:bidi="ar-SA" w:eastAsia="und" w:val="und"/>
    </w:rPr>
  </w:style>
  <w:style w:type="character" w:styleId="TextosemFormataçãoChar">
    <w:name w:val="Texto sem Formatação Char"/>
    <w:next w:val="TextosemFormataçãoChar"/>
    <w:autoRedefine w:val="0"/>
    <w:hidden w:val="0"/>
    <w:qFormat w:val="0"/>
    <w:rPr>
      <w:rFonts w:ascii="Courier New" w:hAnsi="Courier New"/>
      <w:w w:val="100"/>
      <w:position w:val="-1"/>
      <w:effect w:val="none"/>
      <w:vertAlign w:val="baseline"/>
      <w:cs w:val="0"/>
      <w:em w:val="none"/>
      <w:lang w:eastAsia="und" w:val="und"/>
    </w:rPr>
  </w:style>
  <w:style w:type="character" w:styleId="Corpodetexto2Char">
    <w:name w:val="Corpo de texto 2 Char"/>
    <w:next w:val="Corpodetexto2Char"/>
    <w:autoRedefine w:val="0"/>
    <w:hidden w:val="0"/>
    <w:qFormat w:val="0"/>
    <w:rPr>
      <w:b w:val="1"/>
      <w:color w:val="ff0000"/>
      <w:w w:val="100"/>
      <w:position w:val="-1"/>
      <w:sz w:val="24"/>
      <w:effect w:val="none"/>
      <w:vertAlign w:val="baseline"/>
      <w:cs w:val="0"/>
      <w:em w:val="none"/>
      <w:lang/>
    </w:rPr>
  </w:style>
  <w:style w:type="character" w:styleId="RecuodecorpodetextoChar">
    <w:name w:val="Recuo de corpo de texto Char"/>
    <w:next w:val="RecuodecorpodetextoChar"/>
    <w:autoRedefine w:val="0"/>
    <w:hidden w:val="0"/>
    <w:qFormat w:val="0"/>
    <w:rPr>
      <w:rFonts w:ascii="Arial" w:hAnsi="Arial"/>
      <w:w w:val="100"/>
      <w:position w:val="-1"/>
      <w:effect w:val="none"/>
      <w:vertAlign w:val="baseline"/>
      <w:cs w:val="0"/>
      <w:em w:val="none"/>
      <w:lang/>
    </w:rPr>
  </w:style>
  <w:style w:type="numbering" w:styleId="Semlista2">
    <w:name w:val="Sem lista2"/>
    <w:next w:val="Semlista"/>
    <w:autoRedefine w:val="0"/>
    <w:hidden w:val="0"/>
    <w:qFormat w:val="1"/>
    <w:pPr>
      <w:suppressAutoHyphens w:val="1"/>
      <w:spacing w:line="1" w:lineRule="atLeast"/>
      <w:ind w:leftChars="-1" w:rightChars="0" w:firstLineChars="-1"/>
      <w:textDirection w:val="btLr"/>
      <w:textAlignment w:val="top"/>
      <w:outlineLvl w:val="0"/>
    </w:pPr>
  </w:style>
  <w:style w:type="character" w:styleId="markedcontent">
    <w:name w:val="markedcontent"/>
    <w:basedOn w:val="Fonteparág.padrão"/>
    <w:next w:val="markedcontent"/>
    <w:autoRedefine w:val="0"/>
    <w:hidden w:val="0"/>
    <w:qFormat w:val="0"/>
    <w:rPr>
      <w:w w:val="100"/>
      <w:position w:val="-1"/>
      <w:effect w:val="none"/>
      <w:vertAlign w:val="baseline"/>
      <w:cs w:val="0"/>
      <w:em w:val="none"/>
      <w:lang/>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color w:val="000000"/>
      <w:w w:val="100"/>
      <w:position w:val="-1"/>
      <w:sz w:val="24"/>
      <w:szCs w:val="24"/>
      <w:effect w:val="none"/>
      <w:vertAlign w:val="baseline"/>
      <w:cs w:val="0"/>
      <w:em w:val="none"/>
      <w:lang w:bidi="ar-SA" w:eastAsia="pt-BR" w:val="pt-BR"/>
    </w:rPr>
  </w:style>
  <w:style w:type="paragraph" w:styleId="TableParagraph">
    <w:name w:val="Table Paragraph"/>
    <w:basedOn w:val="Normal"/>
    <w:next w:val="TableParagraph"/>
    <w:autoRedefine w:val="0"/>
    <w:hidden w:val="0"/>
    <w:qFormat w:val="0"/>
    <w:pPr>
      <w:widowControl w:val="0"/>
      <w:suppressAutoHyphens w:val="1"/>
      <w:autoSpaceDE w:val="0"/>
      <w:autoSpaceDN w:val="0"/>
      <w:spacing w:line="1" w:lineRule="atLeast"/>
      <w:ind w:leftChars="-1" w:rightChars="0" w:firstLineChars="-1"/>
      <w:textDirection w:val="btLr"/>
      <w:textAlignment w:val="top"/>
      <w:outlineLvl w:val="0"/>
    </w:pPr>
    <w:rPr>
      <w:rFonts w:ascii="Verdana" w:cs="Verdana" w:eastAsia="Verdana" w:hAnsi="Verdana"/>
      <w:w w:val="100"/>
      <w:position w:val="-1"/>
      <w:sz w:val="22"/>
      <w:szCs w:val="22"/>
      <w:effect w:val="none"/>
      <w:vertAlign w:val="baseline"/>
      <w:cs w:val="0"/>
      <w:em w:val="none"/>
      <w:lang w:bidi="ar-SA" w:eastAsia="en-US" w:val="pt-BR"/>
    </w:rPr>
  </w:style>
  <w:style w:type="paragraph" w:styleId="Normal2">
    <w:name w:val="Normal2"/>
    <w:next w:val="Normal2"/>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paragraph" w:styleId="Nivel01">
    <w:name w:val="Nivel 01"/>
    <w:basedOn w:val="Título1"/>
    <w:next w:val="Normal"/>
    <w:autoRedefine w:val="0"/>
    <w:hidden w:val="0"/>
    <w:qFormat w:val="0"/>
    <w:pPr>
      <w:keepNext w:val="1"/>
      <w:keepLines w:val="1"/>
      <w:numPr>
        <w:ilvl w:val="0"/>
        <w:numId w:val="14"/>
      </w:numPr>
      <w:tabs>
        <w:tab w:val="num" w:leader="none" w:pos="360"/>
        <w:tab w:val="left" w:leader="none" w:pos="567"/>
      </w:tabs>
      <w:suppressAutoHyphens w:val="1"/>
      <w:spacing w:after="120" w:before="120" w:line="276" w:lineRule="auto"/>
      <w:ind w:left="0" w:leftChars="-1" w:rightChars="0" w:firstLine="0" w:firstLineChars="-1"/>
      <w:jc w:val="both"/>
      <w:textDirection w:val="btLr"/>
      <w:textAlignment w:val="top"/>
      <w:outlineLvl w:val="0"/>
    </w:pPr>
    <w:rPr>
      <w:rFonts w:ascii="Arial" w:cs="Arial" w:eastAsia="Times New Roman" w:hAnsi="Arial"/>
      <w:b w:val="1"/>
      <w:bCs w:val="1"/>
      <w:w w:val="100"/>
      <w:kern w:val="0"/>
      <w:position w:val="-1"/>
      <w:sz w:val="20"/>
      <w:szCs w:val="20"/>
      <w:effect w:val="none"/>
      <w:vertAlign w:val="baseline"/>
      <w:cs w:val="0"/>
      <w:em w:val="none"/>
      <w:lang w:bidi="ar-SA" w:eastAsia="en-US" w:val="pt-BR"/>
    </w:rPr>
  </w:style>
  <w:style w:type="paragraph" w:styleId="Nivel2">
    <w:name w:val="Nivel 2"/>
    <w:basedOn w:val="Normal"/>
    <w:next w:val="Nivel2"/>
    <w:autoRedefine w:val="0"/>
    <w:hidden w:val="0"/>
    <w:qFormat w:val="0"/>
    <w:pPr>
      <w:numPr>
        <w:ilvl w:val="1"/>
        <w:numId w:val="14"/>
      </w:numPr>
      <w:suppressAutoHyphens w:val="1"/>
      <w:autoSpaceDE w:val="0"/>
      <w:autoSpaceDN w:val="0"/>
      <w:adjustRightInd w:val="0"/>
      <w:spacing w:after="120" w:before="120" w:line="276" w:lineRule="auto"/>
      <w:ind w:left="0" w:leftChars="-1" w:rightChars="0" w:firstLine="0" w:firstLineChars="-1"/>
      <w:jc w:val="both"/>
      <w:textDirection w:val="btLr"/>
      <w:textAlignment w:val="top"/>
      <w:outlineLvl w:val="0"/>
    </w:pPr>
    <w:rPr>
      <w:rFonts w:ascii="Arial" w:cs="Arial" w:hAnsi="Arial"/>
      <w:w w:val="100"/>
      <w:position w:val="-1"/>
      <w:effect w:val="none"/>
      <w:vertAlign w:val="baseline"/>
      <w:cs w:val="0"/>
      <w:em w:val="none"/>
      <w:lang w:bidi="ar-SA" w:eastAsia="pt-BR" w:val="pt-BR"/>
    </w:rPr>
  </w:style>
  <w:style w:type="character" w:styleId="Nivel2Char">
    <w:name w:val="Nivel 2 Char"/>
    <w:next w:val="Nivel2Char"/>
    <w:autoRedefine w:val="0"/>
    <w:hidden w:val="0"/>
    <w:qFormat w:val="0"/>
    <w:rPr>
      <w:rFonts w:ascii="Arial" w:cs="Arial" w:hAnsi="Arial"/>
      <w:w w:val="100"/>
      <w:position w:val="-1"/>
      <w:effect w:val="none"/>
      <w:vertAlign w:val="baseline"/>
      <w:cs w:val="0"/>
      <w:em w:val="none"/>
      <w:lang/>
    </w:rPr>
  </w:style>
  <w:style w:type="paragraph" w:styleId="Nível3-R">
    <w:name w:val="Nível 3-R"/>
    <w:basedOn w:val="Normal"/>
    <w:next w:val="Nível3-R"/>
    <w:autoRedefine w:val="0"/>
    <w:hidden w:val="0"/>
    <w:qFormat w:val="0"/>
    <w:pPr>
      <w:numPr>
        <w:ilvl w:val="2"/>
        <w:numId w:val="14"/>
      </w:numPr>
      <w:tabs>
        <w:tab w:val="num" w:leader="none" w:pos="360"/>
      </w:tabs>
      <w:suppressAutoHyphens w:val="1"/>
      <w:spacing w:after="120" w:before="120" w:line="276" w:lineRule="auto"/>
      <w:ind w:left="284" w:leftChars="-1" w:rightChars="0" w:firstLine="0" w:firstLineChars="-1"/>
      <w:jc w:val="both"/>
      <w:textDirection w:val="btLr"/>
      <w:textAlignment w:val="top"/>
      <w:outlineLvl w:val="0"/>
    </w:pPr>
    <w:rPr>
      <w:rFonts w:ascii="Arial" w:cs="Arial" w:eastAsia="Times New Roman" w:hAnsi="Arial"/>
      <w:i w:val="1"/>
      <w:iCs w:val="1"/>
      <w:color w:val="ff0000"/>
      <w:w w:val="100"/>
      <w:position w:val="-1"/>
      <w:effect w:val="none"/>
      <w:vertAlign w:val="baseline"/>
      <w:cs w:val="0"/>
      <w:em w:val="none"/>
      <w:lang w:bidi="ar-SA" w:eastAsia="pt-BR" w:val="pt-BR"/>
    </w:rPr>
  </w:style>
  <w:style w:type="paragraph" w:styleId="Nível4">
    <w:name w:val="Nível 4"/>
    <w:basedOn w:val="Normal"/>
    <w:next w:val="Nível4"/>
    <w:autoRedefine w:val="0"/>
    <w:hidden w:val="0"/>
    <w:qFormat w:val="0"/>
    <w:pPr>
      <w:numPr>
        <w:ilvl w:val="3"/>
        <w:numId w:val="14"/>
      </w:numPr>
      <w:suppressAutoHyphens w:val="1"/>
      <w:spacing w:after="120" w:before="120" w:line="276" w:lineRule="auto"/>
      <w:ind w:left="567" w:leftChars="-1" w:rightChars="0" w:firstLine="0" w:firstLineChars="-1"/>
      <w:jc w:val="both"/>
      <w:textDirection w:val="btLr"/>
      <w:textAlignment w:val="top"/>
      <w:outlineLvl w:val="0"/>
    </w:pPr>
    <w:rPr>
      <w:rFonts w:ascii="Arial" w:cs="Arial" w:hAnsi="Arial"/>
      <w:w w:val="100"/>
      <w:position w:val="-1"/>
      <w:effect w:val="none"/>
      <w:vertAlign w:val="baseline"/>
      <w:cs w:val="0"/>
      <w:em w:val="none"/>
      <w:lang w:bidi="ar-SA" w:eastAsia="pt-BR" w:val="pt-B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Vv0r/C9NewtoiqcDt2FNeVYfdQ==">CgMxLjAyCGguZ2pkZ3hzOAByITFndFJLZFNvc19aUDVZclV3ZVFaNlBDdTZPNkdPYzUzRw==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2023-06-27T20:43:00Z</dcterms:created>
  <dc:creator>Leonardo Berbert Sperber</dc:creator>
</cp:coreProperties>
</file>