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ANEXO I</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ESTUDO TÉCNICO PRELIMINAR</w:t>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Lei nº 14.133/2021</w:t>
      </w:r>
      <w:r w:rsidDel="00000000" w:rsidR="00000000" w:rsidRPr="00000000">
        <w:rPr>
          <w:rtl w:val="0"/>
        </w:rPr>
      </w:r>
    </w:p>
    <w:p w:rsidR="00000000" w:rsidDel="00000000" w:rsidP="00000000" w:rsidRDefault="00000000" w:rsidRPr="00000000" w14:paraId="00000005">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 – INTRODUÇÃO</w:t>
      </w:r>
      <w:r w:rsidDel="00000000" w:rsidR="00000000" w:rsidRPr="00000000">
        <w:rPr>
          <w:rtl w:val="0"/>
        </w:rPr>
      </w:r>
    </w:p>
    <w:p w:rsidR="00000000" w:rsidDel="00000000" w:rsidP="00000000" w:rsidRDefault="00000000" w:rsidRPr="00000000" w14:paraId="00000007">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1.1. O presente Estudo Técnico Preliminar – ETP constitui a etapa inicial do planejamento da contratação pública, elaborado em observância ao disposto na Lei nº 14.133/2021, especialmente quanto à necessidade de adequada caracterização do interesse público envolvido, identificação da demanda administrativa e avaliação das possíveis soluções disponíveis no mercado.</w:t>
      </w:r>
    </w:p>
    <w:p w:rsidR="00000000" w:rsidDel="00000000" w:rsidP="00000000" w:rsidRDefault="00000000" w:rsidRPr="00000000" w14:paraId="00000008">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1.2. Este documento tem por finalidade demonstrar, de forma fundamentada, a necessidade da contratação, definir seus requisitos essenciais, avaliar as alternativas existentes e indicar a solução mais adequada, sob os aspectos técnico, operacional, econômico e ambiental, assegurando a observância dos princípios da legalidade, impessoalidade, eficiência, economicidade, planejamento, transparência e do interesse público.</w:t>
      </w:r>
    </w:p>
    <w:p w:rsidR="00000000" w:rsidDel="00000000" w:rsidP="00000000" w:rsidRDefault="00000000" w:rsidRPr="00000000" w14:paraId="00000009">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1.3. O ETP visa elaborar em conformidade com as boas práticas de governança e planejamento das contratações públicas, bem como com as orientações emanadas pelos órgãos de controle, em especial o Tribunal de Contas da União e o Tribunal de Contas do Estado de Minas Gerais, visando mitigar riscos, prevenir falhas na contratação e assegurar a seleção da proposta mais vantajosa para a Administração.</w:t>
      </w:r>
    </w:p>
    <w:p w:rsidR="00000000" w:rsidDel="00000000" w:rsidP="00000000" w:rsidRDefault="00000000" w:rsidRPr="00000000" w14:paraId="0000000A">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 A elaboração deste estudo observa, ainda, a necessidade de justificativa técnica adequada, a análise de viabilidade da contratação e a demonstração de que a solução pretendida é compatível com as demandas institucionais, evitando-se contratações desnecessárias, inadequadas ou que possam comprometer a eficiência administrativa.</w:t>
      </w:r>
    </w:p>
    <w:p w:rsidR="00000000" w:rsidDel="00000000" w:rsidP="00000000" w:rsidRDefault="00000000" w:rsidRPr="00000000" w14:paraId="000000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2 - OBJETO</w:t>
      </w:r>
      <w:r w:rsidDel="00000000" w:rsidR="00000000" w:rsidRPr="00000000">
        <w:rPr>
          <w:rtl w:val="0"/>
        </w:rPr>
      </w:r>
    </w:p>
    <w:p w:rsidR="00000000" w:rsidDel="00000000" w:rsidP="00000000" w:rsidRDefault="00000000" w:rsidRPr="00000000" w14:paraId="0000000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 O presente Estudo Técnico Preliminar tem por objeto a análise da viabilidade técnica, operacional e econômica para a contratação de empresa especializada na prestação de serviços continuados, sob demanda, na área de vidraçaria, compreendendo, de forma integrada e indissociável, o fornecimento de materiais, fabricação sob medida, carga, transporte, descarga, instalação, reinstalação, manutenção preventiva e corretiva, reparo, retirada, substituição e destinação final ambientalmente adequada de vidros, espelhos e demais elementos vítreos, bem como de todos os componentes, acessórios e insumos correlatos, incluindo ferragens, perfis, esquadrias, materiais de fixação e vedação, necessários à perfeita execução dos serviços.</w:t>
      </w:r>
    </w:p>
    <w:p w:rsidR="00000000" w:rsidDel="00000000" w:rsidP="00000000" w:rsidRDefault="00000000" w:rsidRPr="00000000" w14:paraId="0000000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 A contratação pretendida destina-se ao atendimento das demandas das diversas Secretarias Municipais do Município de São José do Mantimento/MG, devendo os serviços ser executados de forma parcelada, conforme a necessidade da Administração, mediante ordens de serviço, assegurando-se a continuidade, eficiência e adequação das condições de uso, segurança e conservação das edificações públicas.</w:t>
      </w:r>
    </w:p>
    <w:p w:rsidR="00000000" w:rsidDel="00000000" w:rsidP="00000000" w:rsidRDefault="00000000" w:rsidRPr="00000000" w14:paraId="0000000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 Incluem-se no objeto todos os serviços complementares indispensáveis à sua plena execução, tais como medições técnicas </w:t>
      </w:r>
      <w:r w:rsidDel="00000000" w:rsidR="00000000" w:rsidRPr="00000000">
        <w:rPr>
          <w:rFonts w:ascii="Times New Roman" w:cs="Times New Roman" w:eastAsia="Times New Roman" w:hAnsi="Times New Roman"/>
          <w:i w:val="1"/>
          <w:iCs w:val="1"/>
          <w:sz w:val="20"/>
          <w:szCs w:val="20"/>
          <w:rtl w:val="0"/>
        </w:rPr>
        <w:t xml:space="preserve">in loco</w:t>
      </w:r>
      <w:r w:rsidDel="00000000" w:rsidR="00000000" w:rsidRPr="00000000">
        <w:rPr>
          <w:rFonts w:ascii="Times New Roman" w:cs="Times New Roman" w:eastAsia="Times New Roman" w:hAnsi="Times New Roman"/>
          <w:sz w:val="20"/>
          <w:szCs w:val="20"/>
          <w:rtl w:val="0"/>
        </w:rPr>
        <w:t xml:space="preserve">, elaboração de especificações, adequações necessárias às estruturas existentes, disponibilização de mão de obra qualificada, fornecimento de equipamentos, ferramentas e dispositivos de segurança, bem como o cumprimento das normas técnicas vigentes, especialmente aquelas expedidas pela ABNT, e das normas de segurança do trabalho e ambientais aplicáveis.</w:t>
      </w:r>
    </w:p>
    <w:p w:rsidR="00000000" w:rsidDel="00000000" w:rsidP="00000000" w:rsidRDefault="00000000" w:rsidRPr="00000000" w14:paraId="000000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 A solução a ser contratada deverá observar critérios de qualidade, durabilidade, eficiência e sustentabilidade, garantindo o adequado desempenho dos materiais e serviços ao longo de sua vida útil, em consonância com os princípios da economicidade e da vantajosidade para a Administração Pública.</w:t>
      </w:r>
    </w:p>
    <w:p w:rsidR="00000000" w:rsidDel="00000000" w:rsidP="00000000" w:rsidRDefault="00000000" w:rsidRPr="00000000" w14:paraId="00000010">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3 – DESCRIÇÃO DA NECESSIDADE</w:t>
      </w:r>
      <w:r w:rsidDel="00000000" w:rsidR="00000000" w:rsidRPr="00000000">
        <w:rPr>
          <w:rtl w:val="0"/>
        </w:rPr>
      </w:r>
    </w:p>
    <w:p w:rsidR="00000000" w:rsidDel="00000000" w:rsidP="00000000" w:rsidRDefault="00000000" w:rsidRPr="00000000" w14:paraId="0000001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A Administração Pública Municipal de São José do Mantimento/MG, no exercício de suas competências constitucionais e legais, identifica a necessidade de contratação de empresa especializada na prestação de serviços de vidraçaria, considerando a demanda contínua de manutenção, reparo, substituição, instalação e adequação de elementos vítreos em imóveis públicos vinculados às diversas Secretarias Municipais.</w:t>
      </w:r>
    </w:p>
    <w:p w:rsidR="00000000" w:rsidDel="00000000" w:rsidP="00000000" w:rsidRDefault="00000000" w:rsidRPr="00000000" w14:paraId="000000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necessidade decorre da utilização permanente das edificações públicas municipais, as quais estão sujeitas a desgaste natural, variações climáticas, impactos acidentais, atos de vandalismo e demais eventos que podem comprometer a integridade física, a segurança dos usuários, a funcionalidade dos ambientes e a preservação do patrimônio público, exigindo intervenções técnicas especializadas, tempestivas e de execução qualificada.</w:t>
      </w:r>
    </w:p>
    <w:p w:rsidR="00000000" w:rsidDel="00000000" w:rsidP="00000000" w:rsidRDefault="00000000" w:rsidRPr="00000000" w14:paraId="000000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Sob o ponto de vista técnico-operacional, verifica-se que a Administração não dispõe, de forma estruturada e permanente, de todos os recursos humanos, materiais, equipamentos e insumos necessários à execução direta e contínua dos serviços de vidraçaria em suas múltiplas tipologias e complexidades, o que inviabiliza a execução eficiente por meios próprios, sem prejuízo à continuidade dos serviços públicos.</w:t>
      </w:r>
    </w:p>
    <w:p w:rsidR="00000000" w:rsidDel="00000000" w:rsidP="00000000" w:rsidRDefault="00000000" w:rsidRPr="00000000" w14:paraId="000000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A ausência de contratação planejada e contínua pode resultar em fragmentação das demandas, elevação de custos operacionais, perda de escala, maior tempo de resposta às ocorrências, além de potencial comprometimento da segurança patrimonial e dos usuários dos serviços públicos, especialmente em situações emergenciais.</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Do ponto de vista da governança das contratações públicas, a presente necessidade observa as diretrizes da Lei nº 14.133/2021, especialmente quanto aos princípios do planejamento, eficiência, segregação de funções, economicidade e gestão de riscos, bem como as orientações consolidadas do Tribunal de Contas da União e do Tribunal de Contas do Estado de Minas Gerais, que recomendam a adequada caracterização da demanda, a demonstração da vantajosidade da solução escolhida e a mitigação de contratações emergenciais recorrentes.</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 Nesse contexto, a contratação sob demanda e de natureza continuada se apresenta como solução tecnicamente adequada e juridicamente compatível, por permitir resposta célere às ocorrências, padronização dos serviços, previsibilidade orçamentária e maior controle da execução contratual, contribuindo para a eficiência administrativa e a preservação do interesse público.</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 Assim, a presente contratação se mostra necessária e devidamente justificada sob os aspectos técnico, operacional, econômico e institucional, sendo a alternativa mais adequada para assegurar a manutenção das condições de segurança, funcionalidade e conservação das edificações públicas municipais.</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4 - PREVISÃO NO PLANO DE CONTRATAÇÕES ANUAL</w:t>
      </w:r>
      <w:r w:rsidDel="00000000" w:rsidR="00000000" w:rsidRPr="00000000">
        <w:rPr>
          <w:rtl w:val="0"/>
        </w:rPr>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presente contratação encontra-se devidamente prevista no Plano de Contratações Anual (PCA) do Município de São José do Mantimento/MG, em conformidade com o disposto no </w:t>
      </w:r>
      <w:hyperlink r:id="rId7">
        <w:r w:rsidDel="00000000" w:rsidR="00000000" w:rsidRPr="00000000">
          <w:rPr>
            <w:rFonts w:ascii="Times New Roman" w:cs="Times New Roman" w:eastAsia="Times New Roman" w:hAnsi="Times New Roman"/>
            <w:color w:val="1155cc"/>
            <w:sz w:val="20"/>
            <w:szCs w:val="20"/>
            <w:u w:val="single"/>
            <w:rtl w:val="0"/>
          </w:rPr>
          <w:t xml:space="preserve">art. 12, inciso VII, da Lei nº 14.133/2021</w:t>
        </w:r>
      </w:hyperlink>
      <w:r w:rsidDel="00000000" w:rsidR="00000000" w:rsidRPr="00000000">
        <w:rPr>
          <w:rFonts w:ascii="Times New Roman" w:cs="Times New Roman" w:eastAsia="Times New Roman" w:hAnsi="Times New Roman"/>
          <w:sz w:val="20"/>
          <w:szCs w:val="20"/>
          <w:rtl w:val="0"/>
        </w:rPr>
        <w:t xml:space="preserve">, evidenciando o atendimento ao dever de planejamento das contratações públicas.</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inclusão da demanda no PCA demonstra a compatibilidade da contratação com o planejamento institucional da Administração Pública Municipal, refletindo a priorização das necessidades administrativas previamente identificadas e formalmente estruturadas, em consonância com os princípios da eficiência, planejamento, transparência e economicidade.</w:t>
      </w:r>
    </w:p>
    <w:p w:rsidR="00000000" w:rsidDel="00000000" w:rsidP="00000000" w:rsidRDefault="00000000" w:rsidRPr="00000000" w14:paraId="000000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 alinhamento ao PCA contribui para a governança das contratações públicas, permitindo maior previsibilidade orçamentária, melhor alocação de recursos e mitigação de riscos de contratações emergenciais ou não planejadas, conforme orientações consolidadas do Tribunal de Contas da União e do Tribunal de Contas do Estado de Minas Gerais.</w:t>
      </w:r>
    </w:p>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Dessa forma, resta demonstrado que a presente contratação está devidamente inserida no planejamento anual da Administração, assegurando aderência às diretrizes de governança pública e ao dever de planejamento estabelecido na legislação vigente.</w:t>
      </w:r>
    </w:p>
    <w:p w:rsidR="00000000" w:rsidDel="00000000" w:rsidP="00000000" w:rsidRDefault="00000000" w:rsidRPr="00000000" w14:paraId="0000001D">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5 - REQUISITOS DA CONTRATAÇÃO</w:t>
      </w:r>
      <w:r w:rsidDel="00000000" w:rsidR="00000000" w:rsidRPr="00000000">
        <w:rPr>
          <w:rtl w:val="0"/>
        </w:rPr>
      </w:r>
    </w:p>
    <w:p w:rsidR="00000000" w:rsidDel="00000000" w:rsidP="00000000" w:rsidRDefault="00000000" w:rsidRPr="00000000" w14:paraId="000000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 A contratação deverá dar-se por meio de licitação, na </w:t>
      </w:r>
      <w:r w:rsidDel="00000000" w:rsidR="00000000" w:rsidRPr="00000000">
        <w:rPr>
          <w:rFonts w:ascii="Times New Roman" w:cs="Times New Roman" w:eastAsia="Times New Roman" w:hAnsi="Times New Roman"/>
          <w:b w:val="1"/>
          <w:bCs w:val="1"/>
          <w:sz w:val="20"/>
          <w:szCs w:val="20"/>
          <w:u w:val="single"/>
          <w:rtl w:val="0"/>
        </w:rPr>
        <w:t xml:space="preserve">modalidade Pregão, para registro de preços, na forma eletrônica, com critério de julgamento de menor preço</w:t>
      </w:r>
      <w:r w:rsidDel="00000000" w:rsidR="00000000" w:rsidRPr="00000000">
        <w:rPr>
          <w:rFonts w:ascii="Times New Roman" w:cs="Times New Roman" w:eastAsia="Times New Roman" w:hAnsi="Times New Roman"/>
          <w:sz w:val="20"/>
          <w:szCs w:val="20"/>
          <w:rtl w:val="0"/>
        </w:rPr>
        <w:t xml:space="preserve">, sob o regime de execução indireta, com fornecimento parcelado e sob demanda, aplicando em todos os seus termos a Lei Federal nº 14.133, de 01 de abril de 2021, dentre outras normas regulamentares vigentes.</w:t>
      </w:r>
    </w:p>
    <w:p w:rsidR="00000000" w:rsidDel="00000000" w:rsidP="00000000" w:rsidRDefault="00000000" w:rsidRPr="00000000" w14:paraId="0000001F">
      <w:pPr>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 Deverá ser exigido no Edital, para fins de habilitação, que as empresa interessadas demonstrem capacidade de o licitante exercer direitos e assumir obrigações, mediante comprovação dos </w:t>
      </w:r>
      <w:r w:rsidDel="00000000" w:rsidR="00000000" w:rsidRPr="00000000">
        <w:rPr>
          <w:rFonts w:ascii="Times New Roman" w:cs="Times New Roman" w:eastAsia="Times New Roman" w:hAnsi="Times New Roman"/>
          <w:b w:val="1"/>
          <w:bCs w:val="1"/>
          <w:sz w:val="20"/>
          <w:szCs w:val="20"/>
          <w:u w:val="single"/>
          <w:rtl w:val="0"/>
        </w:rPr>
        <w:t xml:space="preserve">documentos de habilitação jurídica, regularidade fiscal, social e trabalhista, dentre outros</w:t>
      </w:r>
      <w:r w:rsidDel="00000000" w:rsidR="00000000" w:rsidRPr="00000000">
        <w:rPr>
          <w:rFonts w:ascii="Times New Roman" w:cs="Times New Roman" w:eastAsia="Times New Roman" w:hAnsi="Times New Roman"/>
          <w:sz w:val="20"/>
          <w:szCs w:val="20"/>
          <w:rtl w:val="0"/>
        </w:rPr>
        <w:t xml:space="preserve">, se necessário, conforme disposto na lei de licitações e contratos.</w:t>
      </w:r>
    </w:p>
    <w:p w:rsidR="00000000" w:rsidDel="00000000" w:rsidP="00000000" w:rsidRDefault="00000000" w:rsidRPr="00000000" w14:paraId="0000002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 Deverá ser exigido no edital, para fins de habilitação, no mínimo os seguintes documentos:</w:t>
      </w:r>
    </w:p>
    <w:p w:rsidR="00000000" w:rsidDel="00000000" w:rsidP="00000000" w:rsidRDefault="00000000" w:rsidRPr="00000000" w14:paraId="00000021">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5.3.1. Habilitação Jurídica:</w:t>
      </w:r>
    </w:p>
    <w:p w:rsidR="00000000" w:rsidDel="00000000" w:rsidP="00000000" w:rsidRDefault="00000000" w:rsidRPr="00000000" w14:paraId="00000022">
      <w:pPr>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cédula de identidade e CPF do(s) sócio(s) ou de seus administradores, conforme o caso;</w:t>
      </w:r>
    </w:p>
    <w:p w:rsidR="00000000" w:rsidDel="00000000" w:rsidP="00000000" w:rsidRDefault="00000000" w:rsidRPr="00000000" w14:paraId="00000023">
      <w:pPr>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comercial, no caso de empresa individual ou Inscrição de Microempreendedor Individual, conforme o caso;</w:t>
      </w:r>
    </w:p>
    <w:p w:rsidR="00000000" w:rsidDel="00000000" w:rsidP="00000000" w:rsidRDefault="00000000" w:rsidRPr="00000000" w14:paraId="00000024">
      <w:pPr>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25">
      <w:pPr>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26">
      <w:pPr>
        <w:numPr>
          <w:ilvl w:val="0"/>
          <w:numId w:val="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27">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5.3.2. Habilitação fiscal, social e trabalhista</w:t>
      </w:r>
    </w:p>
    <w:p w:rsidR="00000000" w:rsidDel="00000000" w:rsidP="00000000" w:rsidRDefault="00000000" w:rsidRPr="00000000" w14:paraId="00000028">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do Cadastro Nacional de Pessoa Jurídica (CNPJ);</w:t>
      </w:r>
    </w:p>
    <w:p w:rsidR="00000000" w:rsidDel="00000000" w:rsidP="00000000" w:rsidRDefault="00000000" w:rsidRPr="00000000" w14:paraId="00000029">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2A">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B">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para com a Fazenda Pública Estadual, </w:t>
      </w:r>
      <w:r w:rsidDel="00000000" w:rsidR="00000000" w:rsidRPr="00000000">
        <w:rPr>
          <w:rFonts w:ascii="Times New Roman" w:cs="Times New Roman" w:eastAsia="Times New Roman" w:hAnsi="Times New Roman"/>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2C">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com a Fazenda Pública Municipal do domicílio ou sede da licitante, dentro do prazo de validade;</w:t>
      </w:r>
    </w:p>
    <w:p w:rsidR="00000000" w:rsidDel="00000000" w:rsidP="00000000" w:rsidRDefault="00000000" w:rsidRPr="00000000" w14:paraId="0000002D">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relativo ao FGTS (Fundo de Garantia por tempo de Serviço), dentro do prazo de validade;</w:t>
      </w:r>
    </w:p>
    <w:p w:rsidR="00000000" w:rsidDel="00000000" w:rsidP="00000000" w:rsidRDefault="00000000" w:rsidRPr="00000000" w14:paraId="0000002E">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 apresentação de certidão negativa ou positiva com efeito de negativa, nos termos do </w:t>
      </w:r>
      <w:hyperlink r:id="rId8">
        <w:r w:rsidDel="00000000" w:rsidR="00000000" w:rsidRPr="00000000">
          <w:rPr>
            <w:rFonts w:ascii="Times New Roman" w:cs="Times New Roman" w:eastAsia="Times New Roman" w:hAnsi="Times New Roman"/>
            <w:color w:val="1155cc"/>
            <w:sz w:val="20"/>
            <w:szCs w:val="20"/>
            <w:u w:val="single"/>
            <w:rtl w:val="0"/>
          </w:rPr>
          <w:t xml:space="preserve">Título VII-A da Consolidação das Leis do Trabalho, aprovada pelo Decreto-Lei 5.452, de 1º de maio de 1943</w:t>
        </w:r>
      </w:hyperlink>
      <w:r w:rsidDel="00000000" w:rsidR="00000000" w:rsidRPr="00000000">
        <w:rPr>
          <w:rFonts w:ascii="Times New Roman" w:cs="Times New Roman" w:eastAsia="Times New Roman" w:hAnsi="Times New Roman"/>
          <w:sz w:val="20"/>
          <w:szCs w:val="20"/>
          <w:rtl w:val="0"/>
        </w:rPr>
        <w:t xml:space="preserve">, dentro do prazo de validade;</w:t>
      </w:r>
    </w:p>
    <w:p w:rsidR="00000000" w:rsidDel="00000000" w:rsidP="00000000" w:rsidRDefault="00000000" w:rsidRPr="00000000" w14:paraId="0000002F">
      <w:pPr>
        <w:numPr>
          <w:ilvl w:val="0"/>
          <w:numId w:val="7"/>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Declaração de cumprimento do disposto no </w:t>
      </w:r>
      <w:hyperlink r:id="rId9">
        <w:r w:rsidDel="00000000" w:rsidR="00000000" w:rsidRPr="00000000">
          <w:rPr>
            <w:rFonts w:ascii="Times New Roman" w:cs="Times New Roman" w:eastAsia="Times New Roman" w:hAnsi="Times New Roman"/>
            <w:color w:val="1155cc"/>
            <w:sz w:val="20"/>
            <w:szCs w:val="20"/>
            <w:u w:val="single"/>
            <w:rtl w:val="0"/>
          </w:rPr>
          <w:t xml:space="preserve">inciso XXXIII do art. 7º da Constituição Federal e outras constantes da Lei nº 14.133/2021 e alterações.</w:t>
        </w:r>
      </w:hyperlink>
      <w:r w:rsidDel="00000000" w:rsidR="00000000" w:rsidRPr="00000000">
        <w:rPr>
          <w:rtl w:val="0"/>
        </w:rPr>
      </w:r>
    </w:p>
    <w:p w:rsidR="00000000" w:rsidDel="00000000" w:rsidP="00000000" w:rsidRDefault="00000000" w:rsidRPr="00000000" w14:paraId="00000030">
      <w:pPr>
        <w:tabs>
          <w:tab w:val="left" w:leader="none" w:pos="9072"/>
          <w:tab w:val="right" w:leader="none" w:pos="9498"/>
        </w:tabs>
        <w:spacing w:after="200" w:before="20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5.3.3. Habilitação Econômico-Financeira</w:t>
      </w:r>
    </w:p>
    <w:p w:rsidR="00000000" w:rsidDel="00000000" w:rsidP="00000000" w:rsidRDefault="00000000" w:rsidRPr="00000000" w14:paraId="00000031">
      <w:pPr>
        <w:numPr>
          <w:ilvl w:val="0"/>
          <w:numId w:val="6"/>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32">
      <w:pPr>
        <w:numPr>
          <w:ilvl w:val="0"/>
          <w:numId w:val="6"/>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33">
      <w:pPr>
        <w:numPr>
          <w:ilvl w:val="0"/>
          <w:numId w:val="6"/>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000000" w:rsidDel="00000000" w:rsidP="00000000" w:rsidRDefault="00000000" w:rsidRPr="00000000" w14:paraId="00000034">
      <w:pPr>
        <w:pStyle w:val="Heading2"/>
        <w:keepNext w:val="0"/>
        <w:keepLines w:val="0"/>
        <w:spacing w:after="0" w:before="0" w:line="276" w:lineRule="auto"/>
        <w:ind w:right="60"/>
        <w:jc w:val="center"/>
        <w:rPr>
          <w:rFonts w:ascii="Times New Roman" w:cs="Times New Roman" w:eastAsia="Times New Roman" w:hAnsi="Times New Roman"/>
          <w:b w:val="0"/>
          <w:bCs w:val="0"/>
          <w:sz w:val="18"/>
          <w:szCs w:val="18"/>
        </w:rPr>
      </w:pPr>
      <w:bookmarkStart w:colFirst="0" w:colLast="0" w:name="_heading=h.1031lz68qqa6" w:id="0"/>
      <w:bookmarkEnd w:id="0"/>
      <w:r w:rsidDel="00000000" w:rsidR="00000000" w:rsidRPr="00000000">
        <w:rPr>
          <w:rFonts w:ascii="Times New Roman" w:cs="Times New Roman" w:eastAsia="Times New Roman" w:hAnsi="Times New Roman"/>
          <w:b w:val="0"/>
          <w:bCs w:val="0"/>
          <w:sz w:val="18"/>
          <w:szCs w:val="18"/>
          <w:rtl w:val="0"/>
        </w:rPr>
        <w:t xml:space="preserve">Ativo Circulante + Realizável a Longo Prazo</w:t>
      </w:r>
    </w:p>
    <w:p w:rsidR="00000000" w:rsidDel="00000000" w:rsidP="00000000" w:rsidRDefault="00000000" w:rsidRPr="00000000" w14:paraId="00000035">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LG =-------------------------------------------------------------------------------------- ;</w:t>
      </w:r>
    </w:p>
    <w:p w:rsidR="00000000" w:rsidDel="00000000" w:rsidP="00000000" w:rsidRDefault="00000000" w:rsidRPr="00000000" w14:paraId="00000036">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37">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8">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Total</w:t>
      </w:r>
    </w:p>
    <w:p w:rsidR="00000000" w:rsidDel="00000000" w:rsidP="00000000" w:rsidRDefault="00000000" w:rsidRPr="00000000" w14:paraId="00000039">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SG =-------------------------------------------------------------------------------------- ;</w:t>
      </w:r>
    </w:p>
    <w:p w:rsidR="00000000" w:rsidDel="00000000" w:rsidP="00000000" w:rsidRDefault="00000000" w:rsidRPr="00000000" w14:paraId="0000003A">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3B">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C">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Circulante</w:t>
      </w:r>
    </w:p>
    <w:p w:rsidR="00000000" w:rsidDel="00000000" w:rsidP="00000000" w:rsidRDefault="00000000" w:rsidRPr="00000000" w14:paraId="0000003D">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LC =----------------------------------------------- ;</w:t>
      </w:r>
    </w:p>
    <w:p w:rsidR="00000000" w:rsidDel="00000000" w:rsidP="00000000" w:rsidRDefault="00000000" w:rsidRPr="00000000" w14:paraId="0000003E">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w:t>
      </w:r>
    </w:p>
    <w:p w:rsidR="00000000" w:rsidDel="00000000" w:rsidP="00000000" w:rsidRDefault="00000000" w:rsidRPr="00000000" w14:paraId="0000003F">
      <w:pPr>
        <w:numPr>
          <w:ilvl w:val="0"/>
          <w:numId w:val="6"/>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em participar do certame, deverão comprovar no Balanço, que possui capital social ou </w:t>
      </w:r>
      <w:r w:rsidDel="00000000" w:rsidR="00000000" w:rsidRPr="00000000">
        <w:rPr>
          <w:rFonts w:ascii="Times New Roman" w:cs="Times New Roman" w:eastAsia="Times New Roman" w:hAnsi="Times New Roman"/>
          <w:sz w:val="20"/>
          <w:szCs w:val="20"/>
          <w:highlight w:val="white"/>
          <w:rtl w:val="0"/>
        </w:rPr>
        <w:t xml:space="preserve">patrimônio líquido, igual ou superior a 05% (CINCO por cento) do valor estimado da contratação, devendo a comprovação ser feita relativamente à data da apresentação da proposta, na forma da lei, admitida a atualização para esta data através de índices oficiais, nos termos do </w:t>
      </w:r>
      <w:hyperlink r:id="rId10">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69, §4º da Lei nº 14.133/2021</w:t>
        </w:r>
      </w:hyperlink>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p w:rsidR="00000000" w:rsidDel="00000000" w:rsidP="00000000" w:rsidRDefault="00000000" w:rsidRPr="00000000" w14:paraId="00000040">
      <w:pPr>
        <w:numPr>
          <w:ilvl w:val="0"/>
          <w:numId w:val="6"/>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no item acima limitar-se-ão ao último exercício no caso de a pessoa jurídica ter sido constituída há menos de 2 (dois) anos.</w:t>
      </w:r>
    </w:p>
    <w:p w:rsidR="00000000" w:rsidDel="00000000" w:rsidP="00000000" w:rsidRDefault="00000000" w:rsidRPr="00000000" w14:paraId="00000041">
      <w:pPr>
        <w:numPr>
          <w:ilvl w:val="0"/>
          <w:numId w:val="6"/>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As empresas com menos de um exercício financeiro devem cumprir a exigência deste item mediante apresentação de Balanço de Abertura ou do último Balanço Patrimonial levantado, conforme o caso, devidamente registrado na forma da lei.</w:t>
      </w:r>
    </w:p>
    <w:p w:rsidR="00000000" w:rsidDel="00000000" w:rsidP="00000000" w:rsidRDefault="00000000" w:rsidRPr="00000000" w14:paraId="00000042">
      <w:pPr>
        <w:numPr>
          <w:ilvl w:val="0"/>
          <w:numId w:val="6"/>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(a, b, c e d) deverão estar devidamente assinados pelo representante legal da empresa e por profissional de contabilidade habilitado, com registro ativo no Conselho Regional de Contabilidade – CRC;</w:t>
      </w:r>
    </w:p>
    <w:p w:rsidR="00000000" w:rsidDel="00000000" w:rsidP="00000000" w:rsidRDefault="00000000" w:rsidRPr="00000000" w14:paraId="00000043">
      <w:pPr>
        <w:numPr>
          <w:ilvl w:val="0"/>
          <w:numId w:val="6"/>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Quando encerrados há mais de 03 (três) meses da data de apresentação da proposta, os valores poderão ser atualizados por índices oficiais, devendo ser apresentado o respectivo memorial de cálculo; </w:t>
      </w:r>
    </w:p>
    <w:p w:rsidR="00000000" w:rsidDel="00000000" w:rsidP="00000000" w:rsidRDefault="00000000" w:rsidRPr="00000000" w14:paraId="00000044">
      <w:pPr>
        <w:numPr>
          <w:ilvl w:val="0"/>
          <w:numId w:val="6"/>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expedida pelo distribuidor da sede do fornecedor - Lei nº 14.133, de 2021, art. 69, caput, inciso II.</w:t>
      </w:r>
    </w:p>
    <w:p w:rsidR="00000000" w:rsidDel="00000000" w:rsidP="00000000" w:rsidRDefault="00000000" w:rsidRPr="00000000" w14:paraId="00000045">
      <w:pPr>
        <w:spacing w:after="180" w:before="180" w:line="360" w:lineRule="auto"/>
        <w:ind w:right="60"/>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5.3.3.1. As demonstrações contábeis deverão ser apresentadas conforme o tipo societário do licitante:</w:t>
      </w:r>
    </w:p>
    <w:p w:rsidR="00000000" w:rsidDel="00000000" w:rsidP="00000000" w:rsidRDefault="00000000" w:rsidRPr="00000000" w14:paraId="00000046">
      <w:pPr>
        <w:numPr>
          <w:ilvl w:val="0"/>
          <w:numId w:val="8"/>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Sociedades por ações (Lei nº 6.404/76): publicadas em Diário Oficial ou jornal de grande circulação, ou registradas na Junta Comercial; </w:t>
      </w:r>
    </w:p>
    <w:p w:rsidR="00000000" w:rsidDel="00000000" w:rsidP="00000000" w:rsidRDefault="00000000" w:rsidRPr="00000000" w14:paraId="00000047">
      <w:pPr>
        <w:numPr>
          <w:ilvl w:val="0"/>
          <w:numId w:val="8"/>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Empresas que utilizam SPED: deverão apresentar o balanço acompanhado do Termo de Abertura e Encerramento, Recibo de Entrega do Livro Digital e demais documentos exigidos pela legislação; </w:t>
      </w:r>
    </w:p>
    <w:p w:rsidR="00000000" w:rsidDel="00000000" w:rsidP="00000000" w:rsidRDefault="00000000" w:rsidRPr="00000000" w14:paraId="00000048">
      <w:pPr>
        <w:numPr>
          <w:ilvl w:val="0"/>
          <w:numId w:val="8"/>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Demais sociedades: cópia do Livro Diário, com Termos de Abertura e Encerramento devidamente registrados, ou balanço registrado na Junta Comercial;</w:t>
      </w:r>
    </w:p>
    <w:p w:rsidR="00000000" w:rsidDel="00000000" w:rsidP="00000000" w:rsidRDefault="00000000" w:rsidRPr="00000000" w14:paraId="00000049">
      <w:pPr>
        <w:numPr>
          <w:ilvl w:val="0"/>
          <w:numId w:val="8"/>
        </w:numPr>
        <w:spacing w:after="180" w:before="180" w:line="360" w:lineRule="auto"/>
        <w:ind w:left="720" w:right="6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bCs w:val="1"/>
          <w:sz w:val="20"/>
          <w:szCs w:val="20"/>
          <w:rtl w:val="0"/>
        </w:rPr>
        <w:t xml:space="preserve">As demonstrações contábeis deverão estar obrigatoriamente registradas na Junta Comercial competente, ou, quando aplicável, no Sistema Público de Escrituração Digital (SPED), observadas as exigências da legislação vigente, com comprovação de autenticação eletrônica e recibo de entrega.</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4A">
      <w:pPr>
        <w:spacing w:after="20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5.3.4. Habilitação/Qualificação Técnica:</w:t>
      </w:r>
    </w:p>
    <w:p w:rsidR="00000000" w:rsidDel="00000000" w:rsidP="00000000" w:rsidRDefault="00000000" w:rsidRPr="00000000" w14:paraId="0000004B">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5.3.4.1. </w:t>
      </w:r>
      <w:r w:rsidDel="00000000" w:rsidR="00000000" w:rsidRPr="00000000">
        <w:rPr>
          <w:rFonts w:ascii="Times New Roman" w:cs="Times New Roman" w:eastAsia="Times New Roman" w:hAnsi="Times New Roman"/>
          <w:sz w:val="20"/>
          <w:szCs w:val="20"/>
          <w:rtl w:val="0"/>
        </w:rPr>
        <w:t xml:space="preserve">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w:t>
      </w:r>
      <w:hyperlink r:id="rId11">
        <w:r w:rsidDel="00000000" w:rsidR="00000000" w:rsidRPr="00000000">
          <w:rPr>
            <w:rFonts w:ascii="Times New Roman" w:cs="Times New Roman" w:eastAsia="Times New Roman" w:hAnsi="Times New Roman"/>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4D">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4E">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4F">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50">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51">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52">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53">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54">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5.3.4.5. O objeto social descrito no ato constitutivo referente à habilitação deverá possuir ramo de atividade compatível ao objeto licitado.</w:t>
      </w:r>
    </w:p>
    <w:p w:rsidR="00000000" w:rsidDel="00000000" w:rsidP="00000000" w:rsidRDefault="00000000" w:rsidRPr="00000000" w14:paraId="00000055">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5.3.4.6.</w:t>
      </w:r>
      <w:r w:rsidDel="00000000" w:rsidR="00000000" w:rsidRPr="00000000">
        <w:rPr>
          <w:rFonts w:ascii="Times New Roman" w:cs="Times New Roman" w:eastAsia="Times New Roman" w:hAnsi="Times New Roman"/>
          <w:sz w:val="20"/>
          <w:szCs w:val="20"/>
          <w:rtl w:val="0"/>
        </w:rPr>
        <w:t xml:space="preserve">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r w:rsidDel="00000000" w:rsidR="00000000" w:rsidRPr="00000000">
        <w:rPr>
          <w:rtl w:val="0"/>
        </w:rPr>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6 – DOS LOCAIS E CONDIÇÕES PARA A ENTREGA DOS PRODUTOS E/OU EXECUÇÃO DOS SERVIÇOS</w:t>
      </w:r>
      <w:r w:rsidDel="00000000" w:rsidR="00000000" w:rsidRPr="00000000">
        <w:rPr>
          <w:rtl w:val="0"/>
        </w:rPr>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 Os serviços objeto deste instrumento poderão ser executados em qualquer imóvel, prédio público, obras ou unidade administrativa vinculada ao Município de São José do Mantimento/MG, abrangendo a sede administrativa, bem como todas as Secretarias Municipais e suas respectivas unidades descentralizadas, inclusive aquelas localizadas na zona urbana e zona rural, sem limitação geográfica.</w:t>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 A execução dos serviços deverá ocorrer, conforme demanda da Administração, em regime de atendimento sob solicitação, mediante emissão de Ordem de Serviço, podendo envolver atendimentos simultâneos ou sucessivos em diferentes localidades, a critério exclusivo da Administração Pública.</w:t>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 O prazo máximo para início da execução dos serviços será de </w:t>
      </w:r>
      <w:r w:rsidDel="00000000" w:rsidR="00000000" w:rsidRPr="00000000">
        <w:rPr>
          <w:rFonts w:ascii="Times New Roman" w:cs="Times New Roman" w:eastAsia="Times New Roman" w:hAnsi="Times New Roman"/>
          <w:b w:val="1"/>
          <w:bCs w:val="1"/>
          <w:sz w:val="20"/>
          <w:szCs w:val="20"/>
          <w:rtl w:val="0"/>
        </w:rPr>
        <w:t xml:space="preserve">até 48 (quarenta e oito) horas úteis</w:t>
      </w:r>
      <w:r w:rsidDel="00000000" w:rsidR="00000000" w:rsidRPr="00000000">
        <w:rPr>
          <w:rFonts w:ascii="Times New Roman" w:cs="Times New Roman" w:eastAsia="Times New Roman" w:hAnsi="Times New Roman"/>
          <w:sz w:val="20"/>
          <w:szCs w:val="20"/>
          <w:rtl w:val="0"/>
        </w:rPr>
        <w:t xml:space="preserve"> contadas do recebimento da Ordem de Serviço, podendo ser reduzido em situações emergenciais devidamente caracterizadas pela Administração, sem qualquer ônus adicional ao Município.</w:t>
      </w:r>
    </w:p>
    <w:p w:rsidR="00000000" w:rsidDel="00000000" w:rsidP="00000000" w:rsidRDefault="00000000" w:rsidRPr="00000000" w14:paraId="0000005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 Em casos de urgência ou risco iminente à segurança de pessoas, servidores ou patrimônio público, a Contratada deverá iniciar o atendimento </w:t>
      </w:r>
      <w:r w:rsidDel="00000000" w:rsidR="00000000" w:rsidRPr="00000000">
        <w:rPr>
          <w:rFonts w:ascii="Times New Roman" w:cs="Times New Roman" w:eastAsia="Times New Roman" w:hAnsi="Times New Roman"/>
          <w:b w:val="1"/>
          <w:bCs w:val="1"/>
          <w:sz w:val="20"/>
          <w:szCs w:val="20"/>
          <w:rtl w:val="0"/>
        </w:rPr>
        <w:t xml:space="preserve">de forma imediata</w:t>
      </w:r>
      <w:r w:rsidDel="00000000" w:rsidR="00000000" w:rsidRPr="00000000">
        <w:rPr>
          <w:rFonts w:ascii="Times New Roman" w:cs="Times New Roman" w:eastAsia="Times New Roman" w:hAnsi="Times New Roman"/>
          <w:sz w:val="20"/>
          <w:szCs w:val="20"/>
          <w:rtl w:val="0"/>
        </w:rPr>
        <w:t xml:space="preserve">, priorizando a solução provisória ou definitiva do problema, conforme a natureza técnica da ocorrência.</w:t>
      </w:r>
    </w:p>
    <w:p w:rsidR="00000000" w:rsidDel="00000000" w:rsidP="00000000" w:rsidRDefault="00000000" w:rsidRPr="00000000" w14:paraId="000000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 Todas as despesas relacionadas à execução dos serviços, incluindo, mas não se limitando a deslocamentos, transporte de materiais, equipamentos, ferramentas, mão de obra, encargos operacionais, logísticos, administrativos, combustível, pedágios, hospedagem, alimentação ou quaisquer outros custos correlatos, serão de </w:t>
      </w:r>
      <w:r w:rsidDel="00000000" w:rsidR="00000000" w:rsidRPr="00000000">
        <w:rPr>
          <w:rFonts w:ascii="Times New Roman" w:cs="Times New Roman" w:eastAsia="Times New Roman" w:hAnsi="Times New Roman"/>
          <w:b w:val="1"/>
          <w:bCs w:val="1"/>
          <w:sz w:val="20"/>
          <w:szCs w:val="20"/>
          <w:rtl w:val="0"/>
        </w:rPr>
        <w:t xml:space="preserve">inteira e exclusiva responsabilidade da Contratada</w:t>
      </w:r>
      <w:r w:rsidDel="00000000" w:rsidR="00000000" w:rsidRPr="00000000">
        <w:rPr>
          <w:rFonts w:ascii="Times New Roman" w:cs="Times New Roman" w:eastAsia="Times New Roman" w:hAnsi="Times New Roman"/>
          <w:sz w:val="20"/>
          <w:szCs w:val="20"/>
          <w:rtl w:val="0"/>
        </w:rPr>
        <w:t xml:space="preserve">, não cabendo ao Município qualquer tipo de ônus adicional.</w:t>
      </w:r>
    </w:p>
    <w:p w:rsidR="00000000" w:rsidDel="00000000" w:rsidP="00000000" w:rsidRDefault="00000000" w:rsidRPr="00000000" w14:paraId="0000005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 A Contratada deverá considerar, na formação de seus preços, todas as condições locais de execução, incluindo deslocamentos para áreas urbanas e rurais, não sendo admitida qualquer forma de reequilíbrio econômico-financeiro ou cobrança adicional decorrente de distância, acesso ou logística, salvo hipóteses legais expressamente previstas na legislação vigente.</w:t>
      </w:r>
    </w:p>
    <w:p w:rsidR="00000000" w:rsidDel="00000000" w:rsidP="00000000" w:rsidRDefault="00000000" w:rsidRPr="00000000" w14:paraId="000000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 A execução dos serviços deverá ocorrer em conformidade com as normas técnicas aplicáveis, boas práticas de engenharia e segurança do trabalho, garantindo-se a integridade dos usuários, servidores e do patrimônio público, bem como a qualidade e durabilidade das intervenções realizadas.</w:t>
      </w:r>
    </w:p>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 A Contratada deverá disponibilizar equipe técnica e operacional suficiente para atendimento simultâneo das demandas, de modo a assegurar a continuidade dos serviços públicos e a eficiência na resolução das ocorrências.</w:t>
      </w:r>
    </w:p>
    <w:p w:rsidR="00000000" w:rsidDel="00000000" w:rsidP="00000000" w:rsidRDefault="00000000" w:rsidRPr="00000000" w14:paraId="0000005F">
      <w:pPr>
        <w:spacing w:after="200" w:line="312"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u w:val="single"/>
          <w:rtl w:val="0"/>
        </w:rPr>
        <w:t xml:space="preserve">7 – ESTIMATIVA DAS QUANTIDADES</w:t>
      </w:r>
      <w:r w:rsidDel="00000000" w:rsidR="00000000" w:rsidRPr="00000000">
        <w:rPr>
          <w:rtl w:val="0"/>
        </w:rPr>
      </w:r>
    </w:p>
    <w:p w:rsidR="00000000" w:rsidDel="00000000" w:rsidP="00000000" w:rsidRDefault="00000000" w:rsidRPr="00000000" w14:paraId="00000060">
      <w:pPr>
        <w:spacing w:after="20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7.1. Os quantitativos estimados são os seguintes:</w:t>
      </w:r>
      <w:r w:rsidDel="00000000" w:rsidR="00000000" w:rsidRPr="00000000">
        <w:rPr>
          <w:rtl w:val="0"/>
        </w:rPr>
      </w:r>
    </w:p>
    <w:tbl>
      <w:tblPr>
        <w:tblStyle w:val="Table1"/>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1575"/>
        <w:gridCol w:w="4800"/>
        <w:gridCol w:w="1365"/>
        <w:gridCol w:w="690"/>
        <w:tblGridChange w:id="0">
          <w:tblGrid>
            <w:gridCol w:w="630"/>
            <w:gridCol w:w="1575"/>
            <w:gridCol w:w="4800"/>
            <w:gridCol w:w="1365"/>
            <w:gridCol w:w="690"/>
          </w:tblGrid>
        </w:tblGridChange>
      </w:tblGrid>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6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ITEM</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6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DESCRIÇÃO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6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DETALHAMENTO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6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UN.</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3f3f3" w:val="clear"/>
            <w:tcMar>
              <w:top w:w="40.0" w:type="dxa"/>
              <w:left w:w="40.0" w:type="dxa"/>
              <w:bottom w:w="40.0" w:type="dxa"/>
              <w:right w:w="40.0" w:type="dxa"/>
            </w:tcMar>
            <w:vAlign w:val="center"/>
          </w:tcPr>
          <w:p w:rsidR="00000000" w:rsidDel="00000000" w:rsidP="00000000" w:rsidRDefault="00000000" w:rsidRPr="00000000" w14:paraId="0000006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QTD.</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BORRACHA DE VEDAÇÃO (PVC/EPDM) PARA ESQUADRIAS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guarnição flexível em polímero (PVC ou EPDM de alta densidade), com propriedades de memória elástica e resistência a raios UV. Destinada à vedação, amortecimento de impactos e absorção de vibrações entre o vidro e o perfil de alumínio. Deve possuir design compatível com o canal da esquadria/baguete para garantir estanqueidade total contra ar e água. A instalação deve ser contínua, sem frestas nos cantos, assegurando o isolamento acústico e a fixação rígida do painel de vidro.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DE PERFIS DE ALUMÍNIO PARA JANELA DE CORRER (KIT 6MM)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kit completo de perfis para janela de correr de 02 ou 04 folhas, dimensionado para vidro temperado de 6 mm. Composto por: trilho superior, trilho inferior, batedores laterais, capas de acabamento e perfis de transpasse (mão de amigo). Material em alumínio extrudado (Linha 25 ou similar), com acabamento anodizado ou pintura eletrostática. O item inclui todos os acessórios internos de fixação (cunhas, parafusos inox) e guarnições básicas. Não inclui os vidros e roldanas (cotados em itens específicos).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FECHADURA E CONTRAFECHADURA (REFERÊNCIA 1520)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2">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conjunto de fechadura e contrafechadura (referência padrão 1520) para porta ou janela de correr em vidro temperado (8 mm a 10 mm). A fechadura deve possuir cilindro em latão com chaves, miolo de alta segurança e mecanismo de travamento por lingueta em aço. A contrafechadura deve ser compatível para fixação em vidro (vidro/vidro) ou adaptada para alvenaria. Acabamento em polímero de alta resistência ou metal com capas em alumínio anodizado ou inox. Inclui cortiças de proteção e parafusos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CONJUNTO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CONJUNTO FECHADURA E CONTRAFECHADURA DE CORRER (REFERÊNCIA 3530)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7">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conjunto de fechadura e contrafechadura (referência 3530) para portas ou janelas de correr em vidro temperado (8 mm a 10 mm). Mecanismo de travamento por trinco tipo gancho com acionamento por cilindro e chave. Ferragem em metal (Zamak ou Latão) com capas de acabamento em alumínio anodizado ou inox. Projetada para instalação vidro/vidro ou vidro/alvenaria. O item contempla cortiças internas de proteção para evitar contato direto do metal com o vidro e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CONJUNTO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A">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B">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CORRIMÃO EM AÇO INOX POLIDO/ESCOVADO (Ø 38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C">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corrimão cilíndrico em tubos de Aço Inox AISI 304, com diâmetro externo de 38 mm e espessura mínima de parede de 1,2 mm. O acabamento deve ser polido ou escovado (conforme padrão existente). Inclui suportes de fixação em aço inox, curvas, canoplas de acabamento para esconder a furação e fechamentos de extremidades (tampas). A instalação deve ser realizada com buchas e parafusos em aço inox, garantindo fixação rígida e suporte de carga conforme normas de segurança. As emendas, se houver, devem possuir solda tipo TIG com acabamento imperceptível ao toque.</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DOBRADIÇA PARA JANELA DE ALUMÍNIO (REFORÇADA)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dobradiça para janela de abrir (giro), fabricada em alumínio extrudado ou aço inox. O mecanismo deve possuir pino central em aço inox (não oxidante) e anéis de nylon/polímero para garantir o movimento silencioso e reduzir o atrito. Capacidade de carga compatível com a linha da esquadria (Linha 25 ou 30). Acabamento compatível com a cor do perfil (anodizado ou pintura). Inclui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90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5">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DOBRADIÇA PARA PORTA DE VIDRO TEMPERADO (ALÇA/PRESSÃO)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6">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dobradiça para porta de giro em vidro temperado (6 mm a 10 mm). Fabricada em metal (Zamak, Latão ou Aço Inox) com acabamento cromado, polido ou pintura eletrostática. Modelo com fixação por pressão ou furação, incluindo cortiças ou juntas de PVC flexível para proteção do vidro. O mecanismo deve permitir abertura de até 180° (conforme o modelo) e possuir mola interna de retorno ou sistema de parada. Inclui buchas e parafusos de fixação em aço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9">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A">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ESPELHO DE CRISTAL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B">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espelho de cristal incolor, espessura de 4 mm. Fabricado pelo processo float com camada de prata de alta pureza e dupla camada de pintura protetora. Deve garantir reflexão perfeita, sem distorções ópticas ou manchas. Inclui lapidação de bordas e fixação segura por meio de botões de pressão (tipo fenda) ou fita dupla face de alta aderência combinada com silicone neutro especial para espelhos (que não corrói a prata).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E">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F">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FECHADURA DE PISO OU CENTRO PARA VIDRO TEMPERADO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0">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fechadura para porta de vidro temperado (8 mm a 10 mm). Pode ser aplicada na base da folha (travamento no piso) ou na parte central. Mecanismo em metal latonado ou aço inox, com cilindro monobloco e chaves inclusas. O travamento deve ser efetuado por pino ou lingueta reforçada. Inclui contrafechadura de embutir no piso (copinho) ou para fixação em alvenaria/vidro, cortiças de proteção interna e acabamento externo em alumínio ou inox.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4">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FECHADURA ELÉTRICA PARA PORTA DE VIDRO (RECORTE PADRÃO)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5">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fechadura elétrica de sobrepor para porta de vidro temperado (8 mm ou 10 mm), 01 folha com batente em alvenaria ou 02 folhas (especificar modelo conforme demanda). Fabricada em metal com acabamento em inox ou pintura epóxi. Funcionamento em 12V (compatível com interfones e sistemas de controle de acesso). Deve possuir cilindro externo para abertura por chave e maçaneta interna tipo "bola". Inclui furação/recorte no vidro (se necessário), fiação básica até o ponto de espera e ajustes de curso para garantir o travamento seguro.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9">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MANUTENÇÃO (RETIRADA E RECOLOCAÇÃO)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A">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Serviço especializado de desmontagem, transporte interno e reinstalação de vidros ou espelhos já existentes. O item compreende: a retirada cuidadosa das peças, remoção de resíduos de silicone ou vedações antigas, transporte seguro dentro da unidade e nova fixação no local de destino. Está incluso no fornecimento os novos insumos de vedação (silicone neutro/acético) e calços necessários. Não inclui a substituição de vidros quebrados (cotados em itens específicos).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HORA TRABALHADA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D">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E">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MOLA HIDRÁULICA DE PISO/AÉREA (180º)</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F">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mola hidráulica reforçada com sistema de abertura de 180º (bilateral). O mecanismo deve possuir válvulas independentes para controle de velocidade de fechamento e de amortecimento (backcheck). Corpo em metal fundido com tratamento anticorrosivo e caixa de proteção em aço inox (para modelos de piso) ou acabamento de alta resistência (para modelos aéreos). Capacidade de carga para portas de até 120 kg. Deve permitir parada em 90º e retorno suave sem batidas.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3">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PELÍCULA JATEADA BRANCA (PRIVACIDADE)</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4">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aplicação de película adesiva de poliéster com acabamento jateado branco opaco. Destinada à privacidade e à decoração de vidros internos. O material deve garantir a passagem de luminosidade (difusora), mas impedir a visibilidade através do vidro. Aplicação com adesivo de alta aderência, livre de bolhas, rugas ou rebarbas. Inclui limpeza técnica preparatória do vidro e recorte personalizado (se necessário, para faixas ou logotipos).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r>
      <w:tr>
        <w:trPr>
          <w:cantSplit w:val="0"/>
          <w:trHeight w:val="27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7">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8">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PELÍCULA PERSONALIZADA PARA PORTAS E JANELAS (LOGOTIPIA/SINALIZAÇÃO)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9">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película adesiva vinílica de alta performance, recortada eletronicamente ou impressa em alta resolução, destinada à sinalização visual ou personalização de vidros. O material deve ser resistente à limpeza constante, raios UV e não apresentar desbotamento precoce. Inclui o serviço de preparação do layout (conforme diretrizes da Administração), recorte, limpeza prévia da superfície e aplicação sem bolhas, rugas ou rebarbas. A película deve garantir perfeita aderência e acabamento estético impecável, servindo também como sinalização de segurança para evitar colisões em áreas envidraçadas.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C">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D">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PERFIL “U” ALUMÍNIO PRETO (FOSCO)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E">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de perfil estrutural em formato de "U", fabricado em alumínio extrudado. Acabamento superficial em pintura eletrostática a pó na cor preto fosco, garantindo resistência a riscos e intempéries. Dimensões internas compatíveis para encaixe de vidros de 6 mm, 8 mm ou 10 mm (conforme demanda). Utilizado para fixação de vidros fixos, guias de deslizamento ou arremates perimetrais. O item deve estar isento de manchas, riscos ou falhas na pintura.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2">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PERFIL BAGUETE DE ALUMÍNIO PARA DIVISÓRIAS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3">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perfil baguete em alumínio extrudado, com liga resistente à corrosão e acabamento anodizado ou pintura eletrostática. Projetado especificamente para a fixação de vidros em sistemas de divisórias, garantindo encaixe preciso por pressão ou engate rápido. O item inclui o ajuste de meia-esquadria nos cantos, vedação interna para evitar vibrações e acabamento final que oculte fixadores e parafusos. Deve assegurar a estabilidade do vidro e o isolamento acústico básico do conjunto.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PINO PARA VOLANTE (SUPERIOR/INFERIOR)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pino metálico de alta resistência para eixo de rotação de portas de vidro temperado. Fabricado em aço trefilado com tratamento anticorrosivo (zincagem ou inox). O modelo inferior deve ser compatível com o encaixe das principais marcas de molas de piso do mercado (padrão cônico ou quadrado) e o modelo superior deve garantir rotação suave sem folgas laterais. Inclui parafusos de fixação e ajuste.</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PORTA DE ALUMÍNIO DE ABRIR (GIRO) - VENEZIANA/PALHETADA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porta de abrir (giro) em alumínio anodizado ou com pintura eletrostática. Estrutura em perfis da Linha 25 ou superior. Preenchimento em palhetas de alumínio (veneziana) para ventilação ou fechada. Inclui: batentes (aduelas), guarnições, dobradiças em alumínio, fechadura completa com cilindro e maçaneta. A instalação deve contemplar a fixação com contra-marco ou parafusos e buchas, com vedação em silicone neutro.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19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1">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PUXADOR DUPLO TUBULAR EM AÇO INOX (30 CM)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2">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par de puxadores (interno/externo) de formato tubular (tipo "H"), confeccionado em aço inoxidável AISI 304. Comprimento total de 300 mm (30 cm). Design ergonômico com acabamento polido ou escovado. Compatível com vidros de 6 mm a 10 mm de espessura. Inclui kit de fixação completo com arruelas de proteção em PVC/borracha para evitar contato direto metal-vidro e parafuso de união em aço inox. Acabamento sem arestas cortantes ou falhas de polimento.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PAR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JANELA DE CORRER (VIDRO 6MM)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7">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ou fixa para janelas de vidro temperado de 6mm. Corpo em metal de alta resistência ou nylon de engenharia, com rolamento blindado em aço inoxidável ou material anticorrosivo. Deve proporcionar deslizamento suave, silencioso e sem atritos sobre o trilho. O componente deve suportar a carga do vidro sem deformações, possuir regulagem de altura (quando excêntrica) e ser isento de rebarbas. Inclui todos os componentes de fixação e proteção para contato direto com o vidro.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A">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B">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PORTA DE CORRER (VIDRO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C">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reforçada, específica para portas de vidro temperado de 10 mm. Corpo em latão forjado ou metal de alta densidade, com rolamento blindado duplo ou reforçado em aço inoxidável. Roda em nylon de engenharia de alta resistência (ex: poliacetal) para garantir durabilidade e rodagem silenciosa. Deve possuir sistema de regulagem de prumo por eixo excêntrico e suportar carga mínima de 60 kg por peça. Acompanha guarnições em PVC ou cortiça para proteção do vidro e parafusos de fixação. Isenta de deformações e projetada para uso intenso.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ROLDANA PARA PORTA DE CORRER (VIDRO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roldana excêntrica de alta performance para portas de vidro temperado de 8 mm. Corpo em metal (latão ou zamac) com roldana em nylon de engenharia de alta densidade e rolamento blindado em aço inoxidável ou cromo. Deve possuir sistema de regulagem de altura por eixo excêntrico, permitindo o prumo perfeito da porta. Capacidade de carga mínima de 50 kg por roldana. Inclui arruelas de proteção para o vidro, parafusos e componentes de fixação. Deve-se garantir deslizamento suave, silencioso e resistência ao uso contínuo.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5">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TRINCO METÁLICO MANUAL (FERROLHO)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6">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trinco metálico de acionamento manual (tipo ferrolho ou tramela). Fabricado em material resistente (alumínio, latão ou aço inox) com acabamento anticorrosivo. Indicado para uso interno ou externo em portas e janelas. O mecanismo deve apresentar deslizamento suave da haste, sem rebarbas, arestas cortantes ou defeitos de fundição. Inclui contrafechadura (fêmea) para fixação em batente ou alvenaria e parafusos de instalação.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PEÇA</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300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9">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A">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TUBO DE ALUMÍNIO QUADRADO (5X5 CM) - CROMADO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B">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tubo estrutural de seção quadrada (5x5 cm), fabricado em alumínio extrudado de alta resistência. Acabamento superficial cromado ou polido de alto brilho, com tratamento anticorrosivo para evitar oxidação e perda de brilho. Paredes com espessura mínima de 1,5 mm para garantir estabilidade estrutural. O material deve ser entregue sem riscos, amassados ou manchas de fabricação.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E">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F">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TUBO DE ALUMÍNIO RETANGULAR (5X10 CM) - PRETO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0">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perfil estrutural tubular de seção retangular (50 mm x 100 mm), em alumínio extrudado. Acabamento superficial em pintura eletrostática a pó ou anodização na cor preto fosco. Alta estabilidade mecânica com espessura de parede dimensionada para suporte estrutural de painéis de vidro. Resistente a intempéries, raios UV e corrosão. O material deve apresentar uniformidade de cor, sem riscos, deformações ou falhas de acabamento.</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4">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VEDAÇÃO TÉCNICA COM SILICONE (APLICAÇÃO)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5">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aplicação de selante de silicone (neutro ou acético, conforme a superfície) em juntas de dilatação, encontros de vidros ou vedação perimetral de esquadrias. O serviço inclui a limpeza e desengorduramento das superfícies, aplicação de fita crepe para delimitação (acabamento limpo), injeção do selante e acabamento/frisagem manual. O material deve ser elástico, resistente a raios UV e apresentar alta aderência em substratos não porosos.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8">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9">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A">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4 mm. O vidro deve ser isento de bolhas, ondulações ou distorções ópticas. Inclui o corte nas dimensões exatas do vão, acabamento das bordas (lapidação simples ou corte filetado) e fixação com massa para vidro, baguete de alumínio ou silicone, conforme o caixilho existente. Não recomendado para áreas de segurança (portas e box).</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D">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E">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F">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6 mm. Material com superfícies planas e paralelas, sem distorções ópticas. Inclui corte sob medida e acabamento de bordas (lapidação reta ou polimento). A instalação deve ser realizada em caixilhos de alumínio, madeira ou ferro, com utilização de guarnições de borracha ou silicone neutro. Indicado para vãos fixos, prateleiras e tampos de balcões internos.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29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3">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COMUM INCOLOR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4">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incolor (float), espessura de 8 mm. Deve apresentar transparência total e ausência de bolhas ou distorções. O item inclui o corte sob medida e a lapidação de bordas (reta ou redonda) para garantir a segurança no manuseio. Indicado para tampos de mesa, prateleiras de almoxarifado, balcões de atendimento e visores fixos internos. A instalação deve ser feita com suportes adequados ao peso do material ou em caixilhos com vedação apropriada.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7">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8">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FUMÊ TEMPERADO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9">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cor fumê (cinza). Espessura nominal de 6 mm. Processo de têmpera térmica conforme NBR 14698, garantindo resistência mecânica e fragmentação segura em caso de quebra. Material isento de bolhas, trincas ou distorções ópticas. Bordas com acabamento lapidado ou polido. Inclui medição no local, recortes necessários para ferragens e instalação com alinhamento e fixação técnica.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187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C">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D">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(3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E">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de 3 mm. Material com massa homogênea, isento de bolhas, riscos, manchas ou distorções ópticas. Destinado à reposição em esquadrias de pequeno porte ou quadros. A instalação inclui o corte sob medida, ajuste no batente e vedação com massa para vidraceiro ou silicone, conforme o padrão existente na esquadria.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400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2">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(4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3">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de 4 mm. Massa homogênea, sem distorções ópticas, bolhas ou riscos. O item inclui o serviço completo de medição, corte sob medida, transporte seguro e montagem. Estão inclusos todos os materiais necessários para a fixação e acabamento, como massa para vidraceiro, selante de silicone neutro/acético e borrachas de vedação (guarnições), garantindo a estanqueidade e firmeza da peça.</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150</w:t>
            </w:r>
            <w:r w:rsidDel="00000000" w:rsidR="00000000" w:rsidRPr="00000000">
              <w:rPr>
                <w:rtl w:val="0"/>
              </w:rPr>
            </w:r>
          </w:p>
        </w:tc>
      </w:tr>
      <w:tr>
        <w:trPr>
          <w:cantSplit w:val="0"/>
          <w:trHeight w:val="21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6">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7">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LISO INCOLOR (6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8">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comum (float), incolor, com espessura nominal de 6 mm. Material de massa homogênea, isento de bolhas, riscos, ondas ou quaisquer defeitos de fabricação. Destinado à reposição de vidros em esquadrias de médio porte ou superfícies de apoio. A instalação deve garantir o perfeito alinhamento vertical/horizontal e vedação técnica adequada. Inclui o corte, lapidação simples de bordas e materiais de fixação (silicone ou guarnições).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250</w:t>
            </w:r>
            <w:r w:rsidDel="00000000" w:rsidR="00000000" w:rsidRPr="00000000">
              <w:rPr>
                <w:rtl w:val="0"/>
              </w:rPr>
            </w:r>
          </w:p>
        </w:tc>
      </w:tr>
      <w:tr>
        <w:trPr>
          <w:cantSplit w:val="0"/>
          <w:trHeight w:val="255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B">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C">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FUMÊ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D">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tonalidade cinza (fumê). Espessura nominal de 10 mm. Processo de têmpera térmica conforme NBR 14698, garantindo alta resistência mecânica e térmica. Material isento de manchas, bolhas, riscos ou distorções ópticas. Bordas com acabamento lapidado ou polido de alta qualidade. Inclui medição técnica, furações/recortes para ferragens e instalação com prumo e alinhamento perfeitos. Fornecimento de todos os acessórios de fixação e vedação necessários para garantir estabilidade estrutural.</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23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1">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FUMÊ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2">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colorido na massa na tonalidade cinza (fumê). Espessura nominal de 8 mm. Processo de têmpera térmica conforme NBR 14698, garantindo segurança e fragmentação adequada em caso de quebra. Material isento de manchas, bolhas, riscos ou imperfeições superficiais. Bordas lapidadas ou polidas conforme a aplicação. Inclui medição técnica, furações, recortes, acessórios de fixação e vedação completa. A instalação deve garantir alinhamento, prumo e vedação adequados.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r>
      <w:tr>
        <w:trPr>
          <w:cantSplit w:val="0"/>
          <w:trHeight w:val="14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5">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INCOLOR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7">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incolor, espessura de 10 mm. Alta resistência mecânica e térmica conforme NBR 14698. Bordas lapidadas e polidas. Inclui medição técnica, furações para ferragens, calços de assentamento, vedação e instalação com prumo e alinhamento perfeitos.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r>
      <w:tr>
        <w:trPr>
          <w:cantSplit w:val="0"/>
          <w:trHeight w:val="120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A">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B">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INCOLOR (8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C">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plano temperado, incolor, espessura de 8 mm. Processo de têmpera térmica conforme normas da ABNT. Bordas lapidadas e polidas. Indicado para janelas, portas e divisórias de médio porte. Inclui vedação e acessórios de montagem.</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D">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r>
      <w:tr>
        <w:trPr>
          <w:cantSplit w:val="0"/>
          <w:trHeight w:val="14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F">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38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0">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VIDRO TEMPERADO VERDE (10 MM)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1">
            <w:pPr>
              <w:widowControl w:val="0"/>
              <w:spacing w:line="276"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Fornecimento e instalação de vidro temperado plano, colorido na massa (verde), espessura de 10 mm. Processado conforme NBR 14698. Bordas lapidadas e polidas. Alta resistência para fachadas e guarda-corpos. Inclui calços de assentamento e vedação com silicone neutro ou guarnições.</w:t>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METRO QUADRADO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r>
    </w:tbl>
    <w:p w:rsidR="00000000" w:rsidDel="00000000" w:rsidP="00000000" w:rsidRDefault="00000000" w:rsidRPr="00000000" w14:paraId="00000124">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7.2. A descrição do objeto constante na tabela acima trata-se de referências mínimas e não tem o intuito de direcionamento às marcas ou modelos específicos, mesmo quando mencionadas na descrição, visam apenas esclarecer aos licitantes os produtos pretendidos pela Administração, como padrão de similaridade.</w:t>
      </w:r>
    </w:p>
    <w:p w:rsidR="00000000" w:rsidDel="00000000" w:rsidP="00000000" w:rsidRDefault="00000000" w:rsidRPr="00000000" w14:paraId="00000125">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8 – LEVANTAMENTO DE MERCADO</w:t>
      </w:r>
    </w:p>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8.1. O levantamento de mercado consiste na análise das soluções disponíveis no setor de vidraçaria, com o objetivo de identificar a alternativa mais adequada sob os aspectos técnico, operacional, econômico e de viabilidade de execução, em observância ao disposto na Lei nº 14.133/2021 e às diretrizes de planejamento e governança estabelecidas pelo Tribunal de Contas da União e pelo Tribunal de Contas do Estado de Minas Gerais.</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8.2. No mercado atual, verificam-se, em síntese, três principais alternativas para atendimento da demanda pública relacionada aos serviços de vidraçaria:</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 Execução direta pela Administração Pública:</w:t>
      </w:r>
    </w:p>
    <w:p w:rsidR="00000000" w:rsidDel="00000000" w:rsidP="00000000" w:rsidRDefault="00000000" w:rsidRPr="00000000" w14:paraId="00000129">
      <w:pPr>
        <w:numPr>
          <w:ilvl w:val="0"/>
          <w:numId w:val="3"/>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Consiste na realização dos serviços por equipe própria do Município, com utilização de servidores, materiais e equipamentos próprios. Tal modelo, entretanto, mostra-se tecnicamente inviável no presente caso, considerando a ausência de estrutura permanente especializada, mão de obra qualificada em quantidade suficiente e disponibilidade de equipamentos específicos, além da dificuldade de gestão de estoque e reposição de insumos variados.</w:t>
      </w:r>
    </w:p>
    <w:p w:rsidR="00000000" w:rsidDel="00000000" w:rsidP="00000000" w:rsidRDefault="00000000" w:rsidRPr="00000000" w14:paraId="0000012A">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 Contratações pontuais e fragmentadas (por demanda isolada):</w:t>
      </w:r>
    </w:p>
    <w:p w:rsidR="00000000" w:rsidDel="00000000" w:rsidP="00000000" w:rsidRDefault="00000000" w:rsidRPr="00000000" w14:paraId="0000012B">
      <w:pPr>
        <w:numPr>
          <w:ilvl w:val="0"/>
          <w:numId w:val="1"/>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Consiste na realização de contratações esporádicas para cada necessidade específica. Embora possível, tal modelo apresenta elevada desvantagem operacional e econômica, com perda de escala, aumento de custos administrativos, maior tempo de resposta às demandas e risco de descontinuidade do atendimento, além de contrariar diretrizes de eficiência e planejamento recomendadas pelos órgãos de controle.</w:t>
      </w:r>
    </w:p>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 Contratação de empresa especializada sob regime de demanda continuada:</w:t>
      </w:r>
    </w:p>
    <w:p w:rsidR="00000000" w:rsidDel="00000000" w:rsidP="00000000" w:rsidRDefault="00000000" w:rsidRPr="00000000" w14:paraId="0000012D">
      <w:pPr>
        <w:numPr>
          <w:ilvl w:val="0"/>
          <w:numId w:val="2"/>
        </w:numP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Consiste na contratação de empresa especializada para prestação contínua de serviços de vidraçaria, com fornecimento integral de materiais, mão de obra, equipamentos e execução sob solicitação. Trata-se da solução que melhor atende ao interesse público, por permitir padronização dos serviços, redução de custos operacionais indiretos, maior agilidade no atendimento das demandas e melhor controle da execução contratual.</w:t>
      </w:r>
    </w:p>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Após análise comparativa das alternativas, conclui-se que a contratação de empresa especializada sob regime de demanda continuada é a solução mais adequada, por apresentar maior eficiência operacional, melhor custo-benefício global, maior capacidade de resposta às demandas administrativas e conformidade com os princípios da economicidade, eficiência e planejamento.</w:t>
      </w:r>
    </w:p>
    <w:p w:rsidR="00000000" w:rsidDel="00000000" w:rsidP="00000000" w:rsidRDefault="00000000" w:rsidRPr="00000000" w14:paraId="0000012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Do ponto de vista técnico e de governança, a opção escolhida está alinhada às boas práticas de contratação pública, conforme orientações do Tribunal de Contas da União e do Tribunal de Contas do Estado de Minas Gerais, especialmente quanto à necessidade de evitar fracionamento indevido de despesas, reduzir contratações emergenciais recorrentes e assegurar a seleção da proposta mais vantajosa para a Administração.</w:t>
      </w:r>
    </w:p>
    <w:p w:rsidR="00000000" w:rsidDel="00000000" w:rsidP="00000000" w:rsidRDefault="00000000" w:rsidRPr="00000000" w14:paraId="0000013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Assim, o levantamento de mercado evidencia que a solução de contratação continuada sob demanda representa a alternativa tecnicamente mais viável, economicamente mais eficiente e administrativamente mais segura para atendimento das necessidades do Município de São José do Mantimento/MG.</w:t>
      </w:r>
    </w:p>
    <w:p w:rsidR="00000000" w:rsidDel="00000000" w:rsidP="00000000" w:rsidRDefault="00000000" w:rsidRPr="00000000" w14:paraId="00000131">
      <w:pPr>
        <w:spacing w:after="180" w:before="180" w:line="360" w:lineRule="auto"/>
        <w:jc w:val="both"/>
        <w:rPr>
          <w:rFonts w:ascii="Times New Roman" w:cs="Times New Roman" w:eastAsia="Times New Roman" w:hAnsi="Times New Roman"/>
          <w:sz w:val="20"/>
          <w:szCs w:val="20"/>
          <w:highlight w:val="white"/>
          <w:u w:val="single"/>
        </w:rPr>
      </w:pPr>
      <w:r w:rsidDel="00000000" w:rsidR="00000000" w:rsidRPr="00000000">
        <w:rPr>
          <w:rFonts w:ascii="Times New Roman" w:cs="Times New Roman" w:eastAsia="Times New Roman" w:hAnsi="Times New Roman"/>
          <w:b w:val="1"/>
          <w:bCs w:val="1"/>
          <w:sz w:val="20"/>
          <w:szCs w:val="20"/>
          <w:highlight w:val="white"/>
          <w:u w:val="single"/>
          <w:rtl w:val="0"/>
        </w:rPr>
        <w:t xml:space="preserve">9 – ESTIMATIVA DO PREÇO DO REGISTRO DE PREÇOS/CONTRATAÇÃO</w:t>
      </w:r>
      <w:r w:rsidDel="00000000" w:rsidR="00000000" w:rsidRPr="00000000">
        <w:rPr>
          <w:rtl w:val="0"/>
        </w:rPr>
      </w:r>
    </w:p>
    <w:p w:rsidR="00000000" w:rsidDel="00000000" w:rsidP="00000000" w:rsidRDefault="00000000" w:rsidRPr="00000000" w14:paraId="0000013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9.1. A estimativa de preços para a presente contratação foi elaborada com base em pesquisa de mercado realizada junto à empresas do ramo, plataforma BNC (Bolsa Nacional de Compras), observadas as diretrizes estabelecidas no </w:t>
      </w:r>
      <w:hyperlink r:id="rId12">
        <w:r w:rsidDel="00000000" w:rsidR="00000000" w:rsidRPr="00000000">
          <w:rPr>
            <w:rFonts w:ascii="Times New Roman" w:cs="Times New Roman" w:eastAsia="Times New Roman" w:hAnsi="Times New Roman"/>
            <w:color w:val="1155cc"/>
            <w:sz w:val="20"/>
            <w:szCs w:val="20"/>
            <w:highlight w:val="white"/>
            <w:u w:val="single"/>
            <w:rtl w:val="0"/>
          </w:rPr>
          <w:t xml:space="preserve">art. 23 da Lei nº 14.133/2021</w:t>
        </w:r>
      </w:hyperlink>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133">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9.2. Para a formação do preço estimado, foram considerados os valores praticados no mercado regional, compatíveis com o objeto da contratação, levando-se em conta a qualidade dos serviços, a logística de entrega e demais exigências aplicáveis.</w:t>
      </w:r>
    </w:p>
    <w:p w:rsidR="00000000" w:rsidDel="00000000" w:rsidP="00000000" w:rsidRDefault="00000000" w:rsidRPr="00000000" w14:paraId="00000134">
      <w:pPr>
        <w:spacing w:after="180" w:before="180" w:line="36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9.3. O valor total estimado para a contratação é de </w:t>
      </w:r>
      <w:r w:rsidDel="00000000" w:rsidR="00000000" w:rsidRPr="00000000">
        <w:rPr>
          <w:rFonts w:ascii="Times New Roman" w:cs="Times New Roman" w:eastAsia="Times New Roman" w:hAnsi="Times New Roman"/>
          <w:b w:val="1"/>
          <w:bCs w:val="1"/>
          <w:sz w:val="20"/>
          <w:szCs w:val="20"/>
          <w:highlight w:val="white"/>
          <w:rtl w:val="0"/>
        </w:rPr>
        <w:t xml:space="preserve">R$ 856.247,40 (oitocentos e cinquenta e seis mil, duzentos e quarenta e sete reais e quarenta centavos).</w:t>
      </w:r>
    </w:p>
    <w:p w:rsidR="00000000" w:rsidDel="00000000" w:rsidP="00000000" w:rsidRDefault="00000000" w:rsidRPr="00000000" w14:paraId="00000135">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9.4. Ressalta-se que os valores obtidos refletem a média dos orçamentos coletados, sendo considerados adequados e compatíveis com os preços praticados no mercado, atendendo aos princípios da economicidade, razoabilidade e vantajosidade para a Administração Pública.</w:t>
      </w:r>
    </w:p>
    <w:p w:rsidR="00000000" w:rsidDel="00000000" w:rsidP="00000000" w:rsidRDefault="00000000" w:rsidRPr="00000000" w14:paraId="00000136">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9.5. Destaca-se, ainda, que os quantitativos previstos possuem caráter estimativo, não implicando obrigatoriedade de contratação integral por parte da Administração, em razão da adoção do Sistema de Registro de Preços, nos termos do </w:t>
      </w:r>
      <w:hyperlink r:id="rId13">
        <w:r w:rsidDel="00000000" w:rsidR="00000000" w:rsidRPr="00000000">
          <w:rPr>
            <w:rFonts w:ascii="Times New Roman" w:cs="Times New Roman" w:eastAsia="Times New Roman" w:hAnsi="Times New Roman"/>
            <w:color w:val="1155cc"/>
            <w:sz w:val="20"/>
            <w:szCs w:val="20"/>
            <w:highlight w:val="white"/>
            <w:u w:val="single"/>
            <w:rtl w:val="0"/>
          </w:rPr>
          <w:t xml:space="preserve">art. 82 da Lei nº 14.133/2021</w:t>
        </w:r>
      </w:hyperlink>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137">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10 - DESCRIÇÃO DA SOLUÇÃO COMO UM TODO</w:t>
      </w:r>
      <w:r w:rsidDel="00000000" w:rsidR="00000000" w:rsidRPr="00000000">
        <w:rPr>
          <w:rtl w:val="0"/>
        </w:rPr>
      </w:r>
    </w:p>
    <w:p w:rsidR="00000000" w:rsidDel="00000000" w:rsidP="00000000" w:rsidRDefault="00000000" w:rsidRPr="00000000" w14:paraId="000001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10.1. A solução pretendida consiste na contratação de empresa especializada para prestação de serviços continuados e sob demanda na área de vidraçaria, com fornecimento integral de materiais, mão de obra, equipamentos, insumos e execução técnica especializada, visando atender de forma centralizada, padronizada e eficiente às demandas do Município de São José do Mantimento/MG.</w:t>
      </w:r>
    </w:p>
    <w:p w:rsidR="00000000" w:rsidDel="00000000" w:rsidP="00000000" w:rsidRDefault="00000000" w:rsidRPr="00000000" w14:paraId="000001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10.2. A solução compreende um modelo integrado de atendimento, no qual a Contratada será responsável por todas as etapas necessárias à plena execução do objeto, incluindo, mas não se limitando a: levantamento técnico in loco, medições, fabricação sob medida, fornecimento, transporte, instalação, manutenção preventiva e corretiva, reparos, substituições e destinação final ambientalmente adequada de vidros e componentes correlatos.</w:t>
      </w:r>
    </w:p>
    <w:p w:rsidR="00000000" w:rsidDel="00000000" w:rsidP="00000000" w:rsidRDefault="00000000" w:rsidRPr="00000000" w14:paraId="000001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10.3. A execução dos serviços ocorrerá sob regime de demanda, mediante emissão de Ordem de Serviço pela Administração, permitindo atendimento contínuo, flexível e escalonado, conforme a necessidade das diversas Secretarias Municipais, sem comprometimento da regularidade dos serviços públicos.</w:t>
      </w:r>
    </w:p>
    <w:p w:rsidR="00000000" w:rsidDel="00000000" w:rsidP="00000000" w:rsidRDefault="00000000" w:rsidRPr="00000000" w14:paraId="0000013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10.4. A solução adotada contempla atendimento em toda a extensão territorial do Município, incluindo área urbana e zona rural, assegurando cobertura integral das unidades administrativas, educacionais, de saúde, assistência social, obras, cultura, esporte, meio ambiente, agricultura, turismo, fazenda e administração geral.</w:t>
      </w:r>
    </w:p>
    <w:p w:rsidR="00000000" w:rsidDel="00000000" w:rsidP="00000000" w:rsidRDefault="00000000" w:rsidRPr="00000000" w14:paraId="0000013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10.5. A Contratada deverá disponibilizar estrutura operacional compatível com a complexidade do objeto, incluindo equipe técnica qualificada, ferramentas adequadas, equipamentos de segurança, logística de transporte e capacidade de resposta compatível com prazos definidos pela Administração, garantindo eficiência e continuidade dos serviços.</w:t>
      </w:r>
    </w:p>
    <w:p w:rsidR="00000000" w:rsidDel="00000000" w:rsidP="00000000" w:rsidRDefault="00000000" w:rsidRPr="00000000" w14:paraId="0000013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10.6. A solução deverá observar integralmente as normas técnicas aplicáveis, especialmente as normas da ABNT, bem como legislações de segurança do trabalho e meio ambiente, assegurando qualidade, durabilidade, segurança e adequação técnica das intervenções realizadas.</w:t>
      </w:r>
    </w:p>
    <w:p w:rsidR="00000000" w:rsidDel="00000000" w:rsidP="00000000" w:rsidRDefault="00000000" w:rsidRPr="00000000" w14:paraId="0000013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10.7. O modelo de contratação proposto elimina a necessidade de execução direta pelo Município e reduz a fragmentação de contratações, contribuindo para maior eficiência administrativa, previsibilidade orçamentária e mitigação de riscos operacionais, em consonância com os princípios da Lei nº 14.133/2021 e com as diretrizes de governança do Tribunal de Contas da União e do Tribunal de Contas do Estado de Minas Gerais.</w:t>
      </w:r>
    </w:p>
    <w:p w:rsidR="00000000" w:rsidDel="00000000" w:rsidP="00000000" w:rsidRDefault="00000000" w:rsidRPr="00000000" w14:paraId="0000013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10.8. Dessa forma, a solução como um todo configura-se como a alternativa mais adequada sob os aspectos técnico, operacional e econômico, garantindo a continuidade dos serviços públicos, a preservação do patrimônio público e a eficiência na gestão das demandas municipais.</w:t>
      </w:r>
    </w:p>
    <w:p w:rsidR="00000000" w:rsidDel="00000000" w:rsidP="00000000" w:rsidRDefault="00000000" w:rsidRPr="00000000" w14:paraId="000001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11 – JUSTIFICATIVA PARA PARCELAMENTO</w:t>
      </w:r>
      <w:r w:rsidDel="00000000" w:rsidR="00000000" w:rsidRPr="00000000">
        <w:rPr>
          <w:rtl w:val="0"/>
        </w:rPr>
      </w:r>
    </w:p>
    <w:p w:rsidR="00000000" w:rsidDel="00000000" w:rsidP="00000000" w:rsidRDefault="00000000" w:rsidRPr="00000000" w14:paraId="000001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 A análise quanto ao parcelamento do objeto foi realizada em observância ao disposto na Lei nº 14.133/2021, especialmente quanto à necessidade de avaliação da divisibilidade técnica e econômica da contratação, visando ampliar a competitividade, assegurar a seleção da proposta mais vantajosa e garantir a eficiência da execução contratual.</w:t>
      </w:r>
    </w:p>
    <w:p w:rsidR="00000000" w:rsidDel="00000000" w:rsidP="00000000" w:rsidRDefault="00000000" w:rsidRPr="00000000" w14:paraId="0000014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11.2. No presente caso, o objeto será licitado </w:t>
      </w:r>
      <w:r w:rsidDel="00000000" w:rsidR="00000000" w:rsidRPr="00000000">
        <w:rPr>
          <w:rFonts w:ascii="Times New Roman" w:cs="Times New Roman" w:eastAsia="Times New Roman" w:hAnsi="Times New Roman"/>
          <w:b w:val="1"/>
          <w:bCs w:val="1"/>
          <w:sz w:val="20"/>
          <w:szCs w:val="20"/>
          <w:rtl w:val="0"/>
        </w:rPr>
        <w:t xml:space="preserve">por itens</w:t>
      </w:r>
      <w:r w:rsidDel="00000000" w:rsidR="00000000" w:rsidRPr="00000000">
        <w:rPr>
          <w:rFonts w:ascii="Times New Roman" w:cs="Times New Roman" w:eastAsia="Times New Roman" w:hAnsi="Times New Roman"/>
          <w:sz w:val="20"/>
          <w:szCs w:val="20"/>
          <w:rtl w:val="0"/>
        </w:rPr>
        <w:t xml:space="preserve">, considerando a possibilidade de segregação técnica das atividades de vidraçaria, de modo a permitir maior competitividade entre fornecedores e melhor adequação às diferentes necessidades da Administração Pública.</w:t>
      </w:r>
    </w:p>
    <w:p w:rsidR="00000000" w:rsidDel="00000000" w:rsidP="00000000" w:rsidRDefault="00000000" w:rsidRPr="00000000" w14:paraId="000001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 O parcelamento por itens mostra-se tecnicamente viável, uma vez que os serviços e materiais envolvidos podem ser executados e fornecidos de forma independente, sem prejuízo à funcionalidade, qualidade ou compatibilidade técnica das soluções, desde que observadas as especificações e padrões definidos pela Administração.</w:t>
      </w:r>
    </w:p>
    <w:p w:rsidR="00000000" w:rsidDel="00000000" w:rsidP="00000000" w:rsidRDefault="00000000" w:rsidRPr="00000000" w14:paraId="0000014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11.4. A adoção do critério de julgamento por itens contribui para a ampliação da competitividade, permitindo a participação de empresas com diferentes capacidades operacionais e especializações, o que tende a resultar em maior vantajosidade econômica para o Município.</w:t>
      </w:r>
    </w:p>
    <w:p w:rsidR="00000000" w:rsidDel="00000000" w:rsidP="00000000" w:rsidRDefault="00000000" w:rsidRPr="00000000" w14:paraId="0000014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11.5. Ressalta-se que a divisão por itens será estruturada de forma a preservar a integridade técnica de cada solução, evitando fracionamento indevido ou perda de eficiência na gestão contratual, em conformidade com os princípios da eficiência, economicidade e planejamento.</w:t>
      </w:r>
    </w:p>
    <w:p w:rsidR="00000000" w:rsidDel="00000000" w:rsidP="00000000" w:rsidRDefault="00000000" w:rsidRPr="00000000" w14:paraId="000001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 A medida está alinhada às boas práticas de governança recomendadas pelo Tribunal de Contas da União e pelo Tribunal de Contas do Estado de Minas Gerais, que orientam o parcelamento sempre que tecnicamente possível e economicamente vantajoso, com vistas à ampliação da competitividade e à obtenção da proposta mais vantajosa para a Administração.</w:t>
      </w:r>
    </w:p>
    <w:p w:rsidR="00000000" w:rsidDel="00000000" w:rsidP="00000000" w:rsidRDefault="00000000" w:rsidRPr="00000000" w14:paraId="000001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11.7. Dessa forma, conclui-se que o parcelamento do objeto em itens distintos é tecnicamente viável, juridicamente adequado e economicamente recomendável, contribuindo para a eficiência da contratação e para o melhor atendimento do interesse público.</w:t>
      </w:r>
    </w:p>
    <w:p w:rsidR="00000000" w:rsidDel="00000000" w:rsidP="00000000" w:rsidRDefault="00000000" w:rsidRPr="00000000" w14:paraId="00000148">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12 - DEMONSTRATIVO DOS RESULTADOS PRETENDIDOS</w:t>
      </w:r>
      <w:r w:rsidDel="00000000" w:rsidR="00000000" w:rsidRPr="00000000">
        <w:rPr>
          <w:rtl w:val="0"/>
        </w:rPr>
      </w:r>
    </w:p>
    <w:p w:rsidR="00000000" w:rsidDel="00000000" w:rsidP="00000000" w:rsidRDefault="00000000" w:rsidRPr="00000000" w14:paraId="000001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12.1. A presente contratação visa alcançar resultados concretos de interesse público, em conformidade com os princípios da eficiência, economicidade, planejamento e continuidade dos serviços públicos, nos termos da Lei nº 14.133/2021, bem como com as diretrizes de governança e controle estabelecidas pelo Tribunal de Contas da União e pelo Tribunal de Contas do Estado de Minas Gerais.</w:t>
      </w:r>
    </w:p>
    <w:p w:rsidR="00000000" w:rsidDel="00000000" w:rsidP="00000000" w:rsidRDefault="00000000" w:rsidRPr="00000000" w14:paraId="000001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12.2. Espera-se, com a contratação, assegurar a manutenção contínua, eficiente e tempestiva das condições de uso, segurança e conservação das edificações públicas municipais, por meio da execução qualificada dos serviços de vidraçaria em todas as unidades administrativas do Município.</w:t>
      </w:r>
    </w:p>
    <w:p w:rsidR="00000000" w:rsidDel="00000000" w:rsidP="00000000" w:rsidRDefault="00000000" w:rsidRPr="00000000" w14:paraId="000001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 Pretende-se reduzir o tempo de resposta às demandas de manutenção corretiva e emergencial, garantindo atendimento ágil às ocorrências que envolvam riscos à integridade física de usuários, servidores e do patrimônio público.</w:t>
      </w:r>
    </w:p>
    <w:p w:rsidR="00000000" w:rsidDel="00000000" w:rsidP="00000000" w:rsidRDefault="00000000" w:rsidRPr="00000000" w14:paraId="000001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12.4. Busca-se, ainda, a padronização técnica dos serviços e materiais utilizados, assegurando maior qualidade, durabilidade e compatibilidade das intervenções realizadas, bem como a redução de retrabalho e falhas executivas.</w:t>
      </w:r>
    </w:p>
    <w:p w:rsidR="00000000" w:rsidDel="00000000" w:rsidP="00000000" w:rsidRDefault="00000000" w:rsidRPr="00000000" w14:paraId="000001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12.5. A contratação também tem como objetivo promover maior eficiência na gestão administrativa, mediante centralização das demandas em um único modelo contratual estruturado, reduzindo a fragmentação de contratações, custos administrativos indiretos e riscos operacionais.</w:t>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12.6. Do ponto de vista econômico, espera-se a obtenção de maior vantajosidade na aplicação dos recursos públicos, por meio de ganhos de escala, melhor planejamento das aquisições e redução de contratações emergenciais com custos superiores.</w:t>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12.7. No aspecto da governança pública, a contratação contribui para o aprimoramento do controle interno, da fiscalização contratual e da rastreabilidade das intervenções realizadas, em consonância com as boas práticas recomendadas pelos órgãos de controle.</w:t>
      </w:r>
    </w:p>
    <w:p w:rsidR="00000000" w:rsidDel="00000000" w:rsidP="00000000" w:rsidRDefault="00000000" w:rsidRPr="00000000" w14:paraId="000001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12.8. Por fim, a contratação pretende assegurar a continuidade e a qualidade dos serviços públicos prestados à população, garantindo ambientes adequados, seguros e funcionalmente preservados em todas as unidades administrativas municipais.</w:t>
      </w:r>
    </w:p>
    <w:p w:rsidR="00000000" w:rsidDel="00000000" w:rsidP="00000000" w:rsidRDefault="00000000" w:rsidRPr="00000000" w14:paraId="00000151">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13 – PROVIDÊNCIAS PRÉVIAS AO CONTRATO</w:t>
      </w:r>
    </w:p>
    <w:p w:rsidR="00000000" w:rsidDel="00000000" w:rsidP="00000000" w:rsidRDefault="00000000" w:rsidRPr="00000000" w14:paraId="00000152">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 Considerando que o objeto da contratação refere-se à prestação de serviços e fornecimento de materiais usualmente disponíveis no mercado, não se verifica a necessidade de providências prévias complexas de adequação estrutural, tecnológica ou operacional por parte da Administração Pública, antes da formalização do contrato.</w:t>
      </w:r>
    </w:p>
    <w:p w:rsidR="00000000" w:rsidDel="00000000" w:rsidP="00000000" w:rsidRDefault="00000000" w:rsidRPr="00000000" w14:paraId="00000153">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 Todavia, em observância às disposições da Lei nº 14.133/2021 e às boas práticas de governança recomendadas pelo Tribunal de Contas da União e pelo Tribunal de Contas do Estado de Minas Gerais, deverão ser adotadas as seguintes providências mínimas pela Administração:</w:t>
      </w:r>
    </w:p>
    <w:p w:rsidR="00000000" w:rsidDel="00000000" w:rsidP="00000000" w:rsidRDefault="00000000" w:rsidRPr="00000000" w14:paraId="00000154">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Designação formal de gestor e fiscal(is) do contrato, com definição clara de atribuições, responsabilidades e competências, nos termos da legislação vigente;</w:t>
      </w:r>
    </w:p>
    <w:p w:rsidR="00000000" w:rsidDel="00000000" w:rsidP="00000000" w:rsidRDefault="00000000" w:rsidRPr="00000000" w14:paraId="00000155">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Capacitação/orientação dos servidores designados para a fiscalização e gestão contratual, com foco nos procedimentos de acompanhamento da execução, medição dos serviços, recebimento provisório e definitivo, bem como registro de ocorrências;</w:t>
      </w:r>
    </w:p>
    <w:p w:rsidR="00000000" w:rsidDel="00000000" w:rsidP="00000000" w:rsidRDefault="00000000" w:rsidRPr="00000000" w14:paraId="00000156">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Adequação dos fluxos internos de solicitação e autorização de serviços, com padronização da emissão de Ordens de Serviço pelas unidades demandantes;</w:t>
      </w:r>
    </w:p>
    <w:p w:rsidR="00000000" w:rsidDel="00000000" w:rsidP="00000000" w:rsidRDefault="00000000" w:rsidRPr="00000000" w14:paraId="00000157">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Organização dos mecanismos de controle e registro da execução contratual, visando assegurar rastreabilidade, transparência e eficiência na fiscalização;</w:t>
      </w:r>
    </w:p>
    <w:p w:rsidR="00000000" w:rsidDel="00000000" w:rsidP="00000000" w:rsidRDefault="00000000" w:rsidRPr="00000000" w14:paraId="00000158">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Verificação prévia das condições administrativas e orçamentárias para a adequada formalização e execução do contrato.</w:t>
      </w:r>
    </w:p>
    <w:p w:rsidR="00000000" w:rsidDel="00000000" w:rsidP="00000000" w:rsidRDefault="00000000" w:rsidRPr="00000000" w14:paraId="00000159">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13.3. Tais providências têm como finalidade assegurar a adequada gestão e fiscalização contratual, prevenindo falhas de execução, mitigando riscos operacionais e garantindo o atendimento eficiente das demandas das Secretarias Municipais.</w:t>
      </w:r>
    </w:p>
    <w:p w:rsidR="00000000" w:rsidDel="00000000" w:rsidP="00000000" w:rsidRDefault="00000000" w:rsidRPr="00000000" w14:paraId="0000015A">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13.4. Dessa forma, conclui-se que as medidas prévias exigidas limitam-se a atos administrativos de organização e governança da execução contratual, não havendo necessidade de intervenções estruturais ou investimentos adicionais relevantes por parte da Administração.</w:t>
      </w:r>
    </w:p>
    <w:p w:rsidR="00000000" w:rsidDel="00000000" w:rsidP="00000000" w:rsidRDefault="00000000" w:rsidRPr="00000000" w14:paraId="0000015B">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14 – CONTRATAÇÕES CORRELATAS/INTERDEPENDENTES</w:t>
      </w:r>
      <w:r w:rsidDel="00000000" w:rsidR="00000000" w:rsidRPr="00000000">
        <w:rPr>
          <w:rtl w:val="0"/>
        </w:rPr>
      </w:r>
    </w:p>
    <w:p w:rsidR="00000000" w:rsidDel="00000000" w:rsidP="00000000" w:rsidRDefault="00000000" w:rsidRPr="00000000" w14:paraId="0000015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14.1. Após a realização de levantamento técnico e análise das necessidades administrativas vinculadas ao objeto, não se identificou a necessidade de contratações correlatas ou interdependentes que sejam indispensáveis, condicionantes ou que possam impactar diretamente a viabilidade ou a execução da presente contratação.</w:t>
      </w:r>
    </w:p>
    <w:p w:rsidR="00000000" w:rsidDel="00000000" w:rsidP="00000000" w:rsidRDefault="00000000" w:rsidRPr="00000000" w14:paraId="000001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14.2. O objeto da contratação apresenta autonomia operacional e funcional, sendo possível sua execução de forma independente de outras contratações específicas, uma vez que os serviços de vidraçaria incluem, de forma integrada, todos os insumos, materiais, mão de obra, equipamentos e logística necessários à sua plena execução.</w:t>
      </w:r>
    </w:p>
    <w:p w:rsidR="00000000" w:rsidDel="00000000" w:rsidP="00000000" w:rsidRDefault="00000000" w:rsidRPr="00000000" w14:paraId="000001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14.3. Eventuais demandas pontuais de manutenção predial ou serviços de engenharia correlatos poderão ocorrer de forma independente, no âmbito de suas respectivas contratações específicas, não havendo, contudo, relação de dependência técnica ou obrigatoriedade de execução conjunta com o objeto ora analisado.</w:t>
      </w:r>
    </w:p>
    <w:p w:rsidR="00000000" w:rsidDel="00000000" w:rsidP="00000000" w:rsidRDefault="00000000" w:rsidRPr="00000000" w14:paraId="0000015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14.4. Dessa forma, não se verifica a existência de contratações prévias ou simultâneas cuja ausência comprometa a execução do objeto, tampouco necessidade de sincronização obrigatória com outros contratos administrativos, garantindo-se a autonomia da presente contratação.</w:t>
      </w:r>
    </w:p>
    <w:p w:rsidR="00000000" w:rsidDel="00000000" w:rsidP="00000000" w:rsidRDefault="00000000" w:rsidRPr="00000000" w14:paraId="000001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 A conclusão está alinhada às diretrizes de planejamento e segregação adequada do objeto, conforme orientações do Tribunal de Contas da União e do Tribunal de Contas do Estado de Minas Gerais, que recomendam a identificação prévia de eventuais interdependências com vistas à mitigação de riscos e à adequada estruturação das contratações públicas.</w:t>
      </w:r>
    </w:p>
    <w:p w:rsidR="00000000" w:rsidDel="00000000" w:rsidP="00000000" w:rsidRDefault="00000000" w:rsidRPr="00000000" w14:paraId="00000161">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15 – IMPACTOS AMBIENTAIS</w:t>
      </w:r>
      <w:r w:rsidDel="00000000" w:rsidR="00000000" w:rsidRPr="00000000">
        <w:rPr>
          <w:rtl w:val="0"/>
        </w:rPr>
      </w:r>
    </w:p>
    <w:p w:rsidR="00000000" w:rsidDel="00000000" w:rsidP="00000000" w:rsidRDefault="00000000" w:rsidRPr="00000000" w14:paraId="000001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15.1. A presente contratação, por envolver a prestação de serviços de vidraçaria com fornecimento, instalação, manutenção, substituição e descarte de materiais vítreos e correlatos, pode gerar impactos ambientais pontuais, especialmente relacionados à geração de resíduos sólidos, transporte de materiais e descarte de vidros quebrados ou inutilizados.</w:t>
      </w:r>
    </w:p>
    <w:p w:rsidR="00000000" w:rsidDel="00000000" w:rsidP="00000000" w:rsidRDefault="00000000" w:rsidRPr="00000000" w14:paraId="000001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15.2. Os principais impactos ambientais identificados referem-se à geração de resíduos de vidro, metais, perfis, esquadrias e materiais de fixação, os quais, se não corretamente manejados, podem causar riscos ambientais e de segurança, incluindo perfurocortantes e descarte inadequado no meio ambiente.</w:t>
      </w:r>
    </w:p>
    <w:p w:rsidR="00000000" w:rsidDel="00000000" w:rsidP="00000000" w:rsidRDefault="00000000" w:rsidRPr="00000000" w14:paraId="0000016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 Para mitigação desses impactos, a Contratada deverá adotar práticas ambientalmente adequadas, incluindo a segregação, acondicionamento, transporte e destinação final dos resíduos gerados, em conformidade com a legislação ambiental vigente e com a Política Nacional de Resíduos Sólidos.</w:t>
      </w:r>
    </w:p>
    <w:p w:rsidR="00000000" w:rsidDel="00000000" w:rsidP="00000000" w:rsidRDefault="00000000" w:rsidRPr="00000000" w14:paraId="000001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15.4. O descarte de materiais deverá ser realizado de forma ambientalmente correta, preferencialmente com encaminhamento para reciclagem ou destinação a locais devidamente licenciados pelos órgãos ambientais competentes, sendo vedado o descarte irregular em vias públicas, terrenos baldios ou locais não autorizados.</w:t>
      </w:r>
    </w:p>
    <w:p w:rsidR="00000000" w:rsidDel="00000000" w:rsidP="00000000" w:rsidRDefault="00000000" w:rsidRPr="00000000" w14:paraId="000001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15.5. A execução dos serviços deverá observar o uso racional de materiais, evitando desperdícios, bem como a adoção de boas práticas de sustentabilidade, incluindo reaproveitamento quando tecnicamente possível e redução de perdas durante o processo de instalação e manutenção.</w:t>
      </w:r>
    </w:p>
    <w:p w:rsidR="00000000" w:rsidDel="00000000" w:rsidP="00000000" w:rsidRDefault="00000000" w:rsidRPr="00000000" w14:paraId="000001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15.6. Caberá à Contratada a responsabilidade integral pelo gerenciamento dos resíduos gerados, incluindo transporte, armazenamento temporário e destinação final, sem qualquer ônus adicional ao Município, em conformidade com as diretrizes da Lei nº 14.133/2021 e com as normas ambientais aplicáveis.</w:t>
      </w:r>
    </w:p>
    <w:p w:rsidR="00000000" w:rsidDel="00000000" w:rsidP="00000000" w:rsidRDefault="00000000" w:rsidRPr="00000000" w14:paraId="000001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15.7. A contratação contribui, ainda, de forma indireta, para a sustentabilidade ambiental ao evitar intervenções emergenciais mal planejadas, retrabalhos e desperdícios de materiais, promovendo maior eficiência no uso dos recursos públicos.</w:t>
      </w:r>
    </w:p>
    <w:p w:rsidR="00000000" w:rsidDel="00000000" w:rsidP="00000000" w:rsidRDefault="00000000" w:rsidRPr="00000000" w14:paraId="000001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 As medidas previstas estão alinhadas às boas práticas de governança e sustentabilidade recomendadas pelos órgãos de controle, incluindo o Tribunal de Contas da União e o Tribunal de Contas do Estado de Minas Gerais, que orientam a incorporação de critérios ambientais nas contratações públicas.</w:t>
      </w:r>
    </w:p>
    <w:p w:rsidR="00000000" w:rsidDel="00000000" w:rsidP="00000000" w:rsidRDefault="00000000" w:rsidRPr="00000000" w14:paraId="0000016A">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16 - ANÁLISE DE RISCO</w:t>
      </w:r>
    </w:p>
    <w:p w:rsidR="00000000" w:rsidDel="00000000" w:rsidP="00000000" w:rsidRDefault="00000000" w:rsidRPr="00000000" w14:paraId="0000016B">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w:t>
      </w:r>
      <w:r w:rsidDel="00000000" w:rsidR="00000000" w:rsidRPr="00000000">
        <w:rPr>
          <w:rFonts w:ascii="Times New Roman" w:cs="Times New Roman" w:eastAsia="Times New Roman" w:hAnsi="Times New Roman"/>
          <w:sz w:val="20"/>
          <w:szCs w:val="20"/>
          <w:rtl w:val="0"/>
        </w:rPr>
        <w:t xml:space="preserve"> A presente análise de riscos foi elaborada em conformidade com o disposto na Lei nº 14.133/2021, especialmente quanto ao dever de planejamento, gestão de riscos e governança das contratações públicas, bem como em observância às diretrizes consolidadas do Tribunal de Contas da União e do Tribunal de Contas do Estado de Minas Gerais, que reiteradamente exigem a identificação prévia de riscos, a definição de medidas de mitigação e a demonstração de aderência entre a solução contratada e a necessidade pública.</w:t>
      </w:r>
    </w:p>
    <w:p w:rsidR="00000000" w:rsidDel="00000000" w:rsidP="00000000" w:rsidRDefault="00000000" w:rsidRPr="00000000" w14:paraId="0000016C">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Em consonância com a jurisprudência do TCU, a exemplo de entendimentos consolidados no sentido de que a deficiência no planejamento e na gestão de riscos pode comprometer a execução contratual e a vantajosidade da contratação (como reiterado em deliberações sobre falhas de planejamento e contratação fragmentada), destaca-se a necessidade de adequada definição de responsabilidades, critérios de execução e mecanismos de controle, de forma a evitar improvisações e contratações ineficientes.</w:t>
      </w:r>
    </w:p>
    <w:p w:rsidR="00000000" w:rsidDel="00000000" w:rsidP="00000000" w:rsidRDefault="00000000" w:rsidRPr="00000000" w14:paraId="0000016D">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No âmbito do TCE-MG, conforme reiteradas recomendações em processos de fiscalização de contratações municipais, destaca-se a exigência de adequada estruturação do ETP com identificação de riscos operacionais, especialmente em serviços contínuos e sob demanda, sob pena de fragilidade na fiscalização e aumento de custos decorrentes de falhas de execução ou contratações emergenciais recorrentes.</w:t>
      </w:r>
    </w:p>
    <w:p w:rsidR="00000000" w:rsidDel="00000000" w:rsidP="00000000" w:rsidRDefault="00000000" w:rsidRPr="00000000" w14:paraId="0000016E">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Identifica-se como risco relevante a eventual execução inadequada dos serviços de vidraçaria, com desconformidade técnica, uso de materiais fora de especificação ou falhas de instalação, o que pode comprometer a segurança dos usuários e a durabilidade das intervenções, sendo mitigado por exigência de estrita observância às normas técnicas da ABNT, critérios objetivos de aceitação e rejeição dos serviços e fiscalização técnica contínua.</w:t>
      </w:r>
    </w:p>
    <w:p w:rsidR="00000000" w:rsidDel="00000000" w:rsidP="00000000" w:rsidRDefault="00000000" w:rsidRPr="00000000" w14:paraId="0000016F">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Também constitui risco a eventual incapacidade operacional da contratada para atendimento simultâneo das demandas das diversas Secretarias Municipais, especialmente em situações emergenciais, risco este mitigado pela exigência de comprovação de capacidade técnica operacional, mediante atestados compatíveis com o objeto e demonstração de estrutura mínima de atendimento, conforme orientação recorrente do TCU quanto à necessidade de compatibilidade entre a capacidade do licitante e a complexidade da execução contratual.</w:t>
      </w:r>
    </w:p>
    <w:p w:rsidR="00000000" w:rsidDel="00000000" w:rsidP="00000000" w:rsidRDefault="00000000" w:rsidRPr="00000000" w14:paraId="00000170">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16.6.</w:t>
      </w:r>
      <w:r w:rsidDel="00000000" w:rsidR="00000000" w:rsidRPr="00000000">
        <w:rPr>
          <w:rFonts w:ascii="Times New Roman" w:cs="Times New Roman" w:eastAsia="Times New Roman" w:hAnsi="Times New Roman"/>
          <w:sz w:val="20"/>
          <w:szCs w:val="20"/>
          <w:rtl w:val="0"/>
        </w:rPr>
        <w:t xml:space="preserve"> Outro risco identificado refere-se à ineficiência na gestão e fiscalização contratual, o que pode resultar em recebimento indevido de serviços ou falhas de controle. Tal risco é mitigado pela obrigatoriedade de designação formal de gestor e fiscal do contrato, com atribuições claramente definidas, em consonância com a jurisprudência do TCU que reforça a necessidade de segregação de funções e efetivo acompanhamento da execução contratual.</w:t>
      </w:r>
    </w:p>
    <w:p w:rsidR="00000000" w:rsidDel="00000000" w:rsidP="00000000" w:rsidRDefault="00000000" w:rsidRPr="00000000" w14:paraId="00000171">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16.7.</w:t>
      </w:r>
      <w:r w:rsidDel="00000000" w:rsidR="00000000" w:rsidRPr="00000000">
        <w:rPr>
          <w:rFonts w:ascii="Times New Roman" w:cs="Times New Roman" w:eastAsia="Times New Roman" w:hAnsi="Times New Roman"/>
          <w:sz w:val="20"/>
          <w:szCs w:val="20"/>
          <w:rtl w:val="0"/>
        </w:rPr>
        <w:t xml:space="preserve"> O risco de atrasos na execução dos serviços, especialmente em demandas emergenciais envolvendo segurança de usuários ou patrimônio público, é mitigado pela definição de prazos objetivos de atendimento, incluindo início de execução em até 24 (vinte e quatro) horas e atendimento imediato em situações urgentes, em linha com o entendimento dos órgãos de controle sobre a necessidade de previsibilidade e resposta tempestiva em contratações contínuas.</w:t>
      </w:r>
    </w:p>
    <w:p w:rsidR="00000000" w:rsidDel="00000000" w:rsidP="00000000" w:rsidRDefault="00000000" w:rsidRPr="00000000" w14:paraId="00000172">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16.8.</w:t>
      </w:r>
      <w:r w:rsidDel="00000000" w:rsidR="00000000" w:rsidRPr="00000000">
        <w:rPr>
          <w:rFonts w:ascii="Times New Roman" w:cs="Times New Roman" w:eastAsia="Times New Roman" w:hAnsi="Times New Roman"/>
          <w:sz w:val="20"/>
          <w:szCs w:val="20"/>
          <w:rtl w:val="0"/>
        </w:rPr>
        <w:t xml:space="preserve"> Também se identifica risco de sobrecustos indiretos ou alegações de despesas adicionais relacionadas à logística, deslocamento ou execução em área rural, o que é mitigado pela previsão expressa de que todos os custos operacionais, logísticos, administrativos e de execução são de responsabilidade exclusiva da contratada, em consonância com o entendimento do TCU sobre a necessidade de precificação completa e vedação de repasses não previstos contratualmente.</w:t>
      </w:r>
    </w:p>
    <w:p w:rsidR="00000000" w:rsidDel="00000000" w:rsidP="00000000" w:rsidRDefault="00000000" w:rsidRPr="00000000" w14:paraId="00000173">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16.9.</w:t>
      </w:r>
      <w:r w:rsidDel="00000000" w:rsidR="00000000" w:rsidRPr="00000000">
        <w:rPr>
          <w:rFonts w:ascii="Times New Roman" w:cs="Times New Roman" w:eastAsia="Times New Roman" w:hAnsi="Times New Roman"/>
          <w:sz w:val="20"/>
          <w:szCs w:val="20"/>
          <w:rtl w:val="0"/>
        </w:rPr>
        <w:t xml:space="preserve"> Por fim, destaca-se o risco de fragmentação indevida da execução ou perda de padronização técnica, mitigado pela centralização da contratação em modelo único por itens tecnicamente estruturados, com critérios uniformes de execução e fiscalização, assegurando eficiência, economicidade e controle, conforme diretrizes reiteradas do TCU e do TCE-MG sobre planejamento adequado e mitigação de riscos de contratações descoordenadas.</w:t>
      </w:r>
    </w:p>
    <w:p w:rsidR="00000000" w:rsidDel="00000000" w:rsidP="00000000" w:rsidRDefault="00000000" w:rsidRPr="00000000" w14:paraId="00000174">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16.10.</w:t>
      </w:r>
      <w:r w:rsidDel="00000000" w:rsidR="00000000" w:rsidRPr="00000000">
        <w:rPr>
          <w:rFonts w:ascii="Times New Roman" w:cs="Times New Roman" w:eastAsia="Times New Roman" w:hAnsi="Times New Roman"/>
          <w:sz w:val="20"/>
          <w:szCs w:val="20"/>
          <w:rtl w:val="0"/>
        </w:rPr>
        <w:t xml:space="preserve"> Diante do exposto, conclui-se que os riscos identificados são previsíveis, controláveis e mitigáveis por meio das medidas previstas neste Estudo Técnico Preliminar, inexistindo óbice técnico ou jurídico à contratação, desde que observadas as condições estabelecidas, em conformidade com os princípios da eficiência, planejamento, segurança jurídica e vantajosidade da Administração Pública.</w:t>
      </w:r>
    </w:p>
    <w:p w:rsidR="00000000" w:rsidDel="00000000" w:rsidP="00000000" w:rsidRDefault="00000000" w:rsidRPr="00000000" w14:paraId="00000175">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17 – VIABILIDADE DA CONTRATAÇÃO</w:t>
      </w:r>
      <w:r w:rsidDel="00000000" w:rsidR="00000000" w:rsidRPr="00000000">
        <w:rPr>
          <w:rtl w:val="0"/>
        </w:rPr>
      </w:r>
    </w:p>
    <w:p w:rsidR="00000000" w:rsidDel="00000000" w:rsidP="00000000" w:rsidRDefault="00000000" w:rsidRPr="00000000" w14:paraId="0000017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17.1. À luz do presente Estudo Técnico Preliminar, conclui-se que a contratação de empresa especializada para prestação de serviços continuados e sob demanda de vidraçaria, com fornecimento de materiais, mão de obra, insumos e execução integral das atividades correlatas, é </w:t>
      </w:r>
      <w:r w:rsidDel="00000000" w:rsidR="00000000" w:rsidRPr="00000000">
        <w:rPr>
          <w:rFonts w:ascii="Times New Roman" w:cs="Times New Roman" w:eastAsia="Times New Roman" w:hAnsi="Times New Roman"/>
          <w:b w:val="1"/>
          <w:bCs w:val="1"/>
          <w:sz w:val="20"/>
          <w:szCs w:val="20"/>
          <w:rtl w:val="0"/>
        </w:rPr>
        <w:t xml:space="preserve">tecnicamente viável, juridicamente adequada e operacionalmente necessária</w:t>
      </w:r>
      <w:r w:rsidDel="00000000" w:rsidR="00000000" w:rsidRPr="00000000">
        <w:rPr>
          <w:rFonts w:ascii="Times New Roman" w:cs="Times New Roman" w:eastAsia="Times New Roman" w:hAnsi="Times New Roman"/>
          <w:sz w:val="20"/>
          <w:szCs w:val="20"/>
          <w:rtl w:val="0"/>
        </w:rPr>
        <w:t xml:space="preserve">, em conformidade com a Lei nº 14.133/2021.</w:t>
      </w:r>
    </w:p>
    <w:p w:rsidR="00000000" w:rsidDel="00000000" w:rsidP="00000000" w:rsidRDefault="00000000" w:rsidRPr="00000000" w14:paraId="0000017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17.2. A viabilidade técnica resta demonstrada pela natureza do objeto, que exige execução especializada e continuada, com intervenções de baixa, média e eventual alta complexidade, incompatíveis com execução direta pela Administração, diante da ausência de estrutura permanente específica, equipamentos próprios e equipe técnica dedicada.</w:t>
      </w:r>
    </w:p>
    <w:p w:rsidR="00000000" w:rsidDel="00000000" w:rsidP="00000000" w:rsidRDefault="00000000" w:rsidRPr="00000000" w14:paraId="0000017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17.3. Sob o prisma operacional, a solução contratada permite resposta tempestiva às demandas das diversas unidades administrativas, inclusive em situações emergenciais, assegurando a continuidade dos serviços públicos essenciais, em consonância com o princípio da eficiência e com as diretrizes de gestão de riscos recomendadas pelo Tribunal de Contas da União.</w:t>
      </w:r>
    </w:p>
    <w:p w:rsidR="00000000" w:rsidDel="00000000" w:rsidP="00000000" w:rsidRDefault="00000000" w:rsidRPr="00000000" w14:paraId="0000017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17.4. Do ponto de vista econômico, a solução demonstra-se mais vantajosa quando comparada à execução fragmentada ou emergencial, pois reduz custos administrativos indiretos, elimina perda de escala, mitiga retrabalho e assegura maior previsibilidade orçamentária, conforme entendimento reiterado do TCU no sentido de que a contratação planejada e estruturada reduz ineficiências e riscos de sobrepreço decorrentes de contratações emergenciais.</w:t>
      </w:r>
    </w:p>
    <w:p w:rsidR="00000000" w:rsidDel="00000000" w:rsidP="00000000" w:rsidRDefault="00000000" w:rsidRPr="00000000" w14:paraId="0000017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17.5. No âmbito da governança pública, a contratação está alinhada às boas práticas de planejamento, segregação de funções, definição de riscos e controle de execução, conforme orientações consolidadas do Tribunal de Contas do Estado de Minas Gerais, especialmente quanto à necessidade de demonstração clara da solução adotada, sua justificativa e sua aderência ao interesse público.</w:t>
      </w:r>
    </w:p>
    <w:p w:rsidR="00000000" w:rsidDel="00000000" w:rsidP="00000000" w:rsidRDefault="00000000" w:rsidRPr="00000000" w14:paraId="0000017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17.6. O conjunto das análises desenvolvidas neste ETP evidencia que a solução escolhida representa a alternativa mais adequada sob os aspectos técnico, econômico, operacional e institucional, sendo capaz de assegurar padrão de qualidade, continuidade e segurança na execução dos serviços de vidraçaria no âmbito municipal.</w:t>
      </w:r>
    </w:p>
    <w:p w:rsidR="00000000" w:rsidDel="00000000" w:rsidP="00000000" w:rsidRDefault="00000000" w:rsidRPr="00000000" w14:paraId="0000017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Diante do exposto, declara-se a </w:t>
      </w:r>
      <w:r w:rsidDel="00000000" w:rsidR="00000000" w:rsidRPr="00000000">
        <w:rPr>
          <w:rFonts w:ascii="Times New Roman" w:cs="Times New Roman" w:eastAsia="Times New Roman" w:hAnsi="Times New Roman"/>
          <w:b w:val="1"/>
          <w:bCs w:val="1"/>
          <w:sz w:val="20"/>
          <w:szCs w:val="20"/>
          <w:rtl w:val="0"/>
        </w:rPr>
        <w:t xml:space="preserve">plena viabilidade da contratação</w:t>
      </w:r>
      <w:r w:rsidDel="00000000" w:rsidR="00000000" w:rsidRPr="00000000">
        <w:rPr>
          <w:rFonts w:ascii="Times New Roman" w:cs="Times New Roman" w:eastAsia="Times New Roman" w:hAnsi="Times New Roman"/>
          <w:sz w:val="20"/>
          <w:szCs w:val="20"/>
          <w:rtl w:val="0"/>
        </w:rPr>
        <w:t xml:space="preserve">, inexistindo óbices técnicos, jurídicos ou operacionais relevantes, sendo a solução recomendada a mais aderente ao interesse público, aos princípios da eficiência, planejamento, economicidade e à boa governança das contratações públicas.</w:t>
      </w:r>
    </w:p>
    <w:p w:rsidR="00000000" w:rsidDel="00000000" w:rsidP="00000000" w:rsidRDefault="00000000" w:rsidRPr="00000000" w14:paraId="0000017D">
      <w:pPr>
        <w:spacing w:after="180" w:before="180" w:line="360" w:lineRule="auto"/>
        <w:jc w:val="right"/>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7E">
      <w:pPr>
        <w:spacing w:after="180" w:before="180" w:line="360"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Mantimento/MG,30 de abril de 2026.</w:t>
      </w:r>
    </w:p>
    <w:p w:rsidR="00000000" w:rsidDel="00000000" w:rsidP="00000000" w:rsidRDefault="00000000" w:rsidRPr="00000000" w14:paraId="0000017F">
      <w:pPr>
        <w:spacing w:line="276" w:lineRule="auto"/>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80">
      <w:pPr>
        <w:spacing w:line="276" w:lineRule="auto"/>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81">
      <w:pPr>
        <w:widowControl w:val="0"/>
        <w:spacing w:line="276" w:lineRule="auto"/>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WALKER HENRIQUE SÉLOS GOMES                                                           GEOVANE PEREIRA DA SILVA</w:t>
      </w:r>
    </w:p>
    <w:p w:rsidR="00000000" w:rsidDel="00000000" w:rsidP="00000000" w:rsidRDefault="00000000" w:rsidRPr="00000000" w14:paraId="00000183">
      <w:pPr>
        <w:widowControl w:val="0"/>
        <w:spacing w:line="276" w:lineRule="auto"/>
        <w:rPr>
          <w:rFonts w:ascii="Times New Roman" w:cs="Times New Roman" w:eastAsia="Times New Roman" w:hAnsi="Times New Roman"/>
          <w:sz w:val="20"/>
          <w:szCs w:val="20"/>
        </w:rPr>
      </w:pPr>
      <w:bookmarkStart w:colFirst="0" w:colLast="0" w:name="_heading=h.gjdgxs" w:id="1"/>
      <w:bookmarkEnd w:id="1"/>
      <w:r w:rsidDel="00000000" w:rsidR="00000000" w:rsidRPr="00000000">
        <w:rPr>
          <w:rFonts w:ascii="Times New Roman" w:cs="Times New Roman" w:eastAsia="Times New Roman" w:hAnsi="Times New Roman"/>
          <w:sz w:val="20"/>
          <w:szCs w:val="20"/>
          <w:rtl w:val="0"/>
        </w:rPr>
        <w:t xml:space="preserve">Secretaria Municipal de Administração                                                                 Secretaria Municipal de Turismo</w:t>
      </w:r>
    </w:p>
    <w:p w:rsidR="00000000" w:rsidDel="00000000" w:rsidP="00000000" w:rsidRDefault="00000000" w:rsidRPr="00000000" w14:paraId="00000184">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5">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6">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7">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8">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THALLES HENRIQUE NEVES DOS SANTOS                                                               VALTENCIR GUERRA</w:t>
      </w:r>
    </w:p>
    <w:p w:rsidR="00000000" w:rsidDel="00000000" w:rsidP="00000000" w:rsidRDefault="00000000" w:rsidRPr="00000000" w14:paraId="0000018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Saúde                                                   Secretaria Municipal de Obras e Serviços Urbanos</w:t>
      </w:r>
    </w:p>
    <w:p w:rsidR="00000000" w:rsidDel="00000000" w:rsidP="00000000" w:rsidRDefault="00000000" w:rsidRPr="00000000" w14:paraId="0000018B">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C">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D">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E">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F">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IVAN ALBERTO DE OLIVEIRA MOREIRA                                    KÉSIA APARECIDA HENRIQUE NEVES</w:t>
      </w:r>
    </w:p>
    <w:p w:rsidR="00000000" w:rsidDel="00000000" w:rsidP="00000000" w:rsidRDefault="00000000" w:rsidRPr="00000000" w14:paraId="0000019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Esportes e Lazer                                   Secretaria Municipal de Assistência Social/CRAS</w:t>
      </w:r>
    </w:p>
    <w:p w:rsidR="00000000" w:rsidDel="00000000" w:rsidP="00000000" w:rsidRDefault="00000000" w:rsidRPr="00000000" w14:paraId="00000192">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3">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4">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5">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6">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SEVERINO JOSÉ DE SOUZA NETO                                                                      JOSÉ GUILHERME GOMES</w:t>
      </w:r>
    </w:p>
    <w:p w:rsidR="00000000" w:rsidDel="00000000" w:rsidP="00000000" w:rsidRDefault="00000000" w:rsidRPr="00000000" w14:paraId="0000019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Esportes e Lazer                                                         Secretaria Municipal de Agricultura</w:t>
      </w:r>
    </w:p>
    <w:p w:rsidR="00000000" w:rsidDel="00000000" w:rsidP="00000000" w:rsidRDefault="00000000" w:rsidRPr="00000000" w14:paraId="00000199">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B">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C">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D">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MARCELO DE MATTOS PAULA                                                                     SILVANA A. GUERRA BAESSA</w:t>
      </w:r>
    </w:p>
    <w:p w:rsidR="00000000" w:rsidDel="00000000" w:rsidP="00000000" w:rsidRDefault="00000000" w:rsidRPr="00000000" w14:paraId="0000019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Meio Ambiente                                                              Secretaria Municipal de Educação</w:t>
      </w:r>
    </w:p>
    <w:p w:rsidR="00000000" w:rsidDel="00000000" w:rsidP="00000000" w:rsidRDefault="00000000" w:rsidRPr="00000000" w14:paraId="000001A0">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1">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2">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3">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4">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VALTAIR ANTÔNIO DE ASSIS</w:t>
      </w:r>
    </w:p>
    <w:p w:rsidR="00000000" w:rsidDel="00000000" w:rsidP="00000000" w:rsidRDefault="00000000" w:rsidRPr="00000000" w14:paraId="000001A6">
      <w:pPr>
        <w:widowControl w:val="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Secretaria Municipal de Cultura</w:t>
      </w: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9">
      <w:pPr>
        <w:spacing w:line="312" w:lineRule="auto"/>
        <w:jc w:val="both"/>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1AA">
      <w:pPr>
        <w:spacing w:line="312" w:lineRule="auto"/>
        <w:jc w:val="both"/>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1AB">
      <w:pPr>
        <w:spacing w:line="312"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u w:val="single"/>
          <w:rtl w:val="0"/>
        </w:rPr>
        <w:t xml:space="preserve">Confere com a transcrição do original.</w:t>
      </w:r>
      <w:r w:rsidDel="00000000" w:rsidR="00000000" w:rsidRPr="00000000">
        <w:rPr>
          <w:rtl w:val="0"/>
        </w:rPr>
      </w:r>
    </w:p>
    <w:sectPr>
      <w:headerReference r:id="rId14" w:type="default"/>
      <w:footerReference r:id="rId15" w:type="default"/>
      <w:pgSz w:h="16838" w:w="11906" w:orient="portrait"/>
      <w:pgMar w:bottom="1133.8582677165355" w:top="1700.7874015748032" w:left="1700.7874015748032" w:right="1133.858267716535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-19047</wp:posOffset>
          </wp:positionV>
          <wp:extent cx="5760000" cy="36830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60000" cy="3683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Pr>
      <w:drawing>
        <wp:anchor allowOverlap="1" behindDoc="0" distB="0" distT="0" distL="114300" distR="114300" hidden="0" layoutInCell="1" locked="0" relativeHeight="0" simplePos="0">
          <wp:simplePos x="0" y="0"/>
          <wp:positionH relativeFrom="page">
            <wp:posOffset>6456339</wp:posOffset>
          </wp:positionH>
          <wp:positionV relativeFrom="page">
            <wp:posOffset>149261</wp:posOffset>
          </wp:positionV>
          <wp:extent cx="927032" cy="672956"/>
          <wp:effectExtent b="46607" l="32632" r="32632" t="46607"/>
          <wp:wrapNone/>
          <wp:docPr id="1"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rot="360000">
                    <a:off x="0" y="0"/>
                    <a:ext cx="927032" cy="672956"/>
                  </a:xfrm>
                  <a:prstGeom prst="rect"/>
                  <a:ln/>
                </pic:spPr>
              </pic:pic>
            </a:graphicData>
          </a:graphic>
        </wp:anchor>
      </w:drawing>
    </w: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1080000</wp:posOffset>
          </wp:positionH>
          <wp:positionV relativeFrom="page">
            <wp:posOffset>45675</wp:posOffset>
          </wp:positionV>
          <wp:extent cx="5886450" cy="838200"/>
          <wp:effectExtent b="0" l="0" r="0" t="0"/>
          <wp:wrapNone/>
          <wp:docPr descr="CABEÇALHO PREFEITURA MUNICIPAL DE SÃO JOSÉ DO MANTIMENTO (1)" id="3" name="image2.png"/>
          <a:graphic>
            <a:graphicData uri="http://schemas.openxmlformats.org/drawingml/2006/picture">
              <pic:pic>
                <pic:nvPicPr>
                  <pic:cNvPr descr="CABEÇALHO PREFEITURA MUNICIPAL DE SÃO JOSÉ DO MANTIMENTO (1)" id="0" name="image2.png"/>
                  <pic:cNvPicPr preferRelativeResize="0"/>
                </pic:nvPicPr>
                <pic:blipFill>
                  <a:blip r:embed="rId2"/>
                  <a:srcRect b="0" l="0" r="0" t="0"/>
                  <a:stretch>
                    <a:fillRect/>
                  </a:stretch>
                </pic:blipFill>
                <pic:spPr>
                  <a:xfrm>
                    <a:off x="0" y="0"/>
                    <a:ext cx="5886450" cy="838200"/>
                  </a:xfrm>
                  <a:prstGeom prst="rect"/>
                  <a:ln/>
                </pic:spPr>
              </pic:pic>
            </a:graphicData>
          </a:graphic>
        </wp:anchor>
      </w:drawing>
    </w:r>
    <w:r w:rsidDel="00000000" w:rsidR="00000000" w:rsidRPr="00000000">
      <w:rPr>
        <w:rtl w:val="0"/>
      </w:rPr>
    </w:r>
  </w:p>
  <w:p w:rsidR="00000000" w:rsidDel="00000000" w:rsidP="00000000" w:rsidRDefault="00000000" w:rsidRPr="00000000" w14:paraId="000001AD">
    <w:pPr>
      <w:jc w:val="center"/>
      <w:rPr>
        <w:rFonts w:ascii="Times New Roman" w:cs="Times New Roman" w:eastAsia="Times New Roman" w:hAnsi="Times New Roman"/>
        <w:b w:val="1"/>
        <w:bCs w:val="1"/>
        <w:color w:val="000000"/>
        <w:sz w:val="21"/>
        <w:szCs w:val="21"/>
      </w:rPr>
    </w:pP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color w:val="000000"/>
        <w:sz w:val="21"/>
        <w:szCs w:val="21"/>
        <w:rtl w:val="0"/>
      </w:rPr>
      <w:t xml:space="preserve">Secretaria Municipal de Administração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origin=instituicao" TargetMode="External"/><Relationship Id="rId12" Type="http://schemas.openxmlformats.org/officeDocument/2006/relationships/hyperlink" Target="https://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Constituicao/Constituicao.htm#art7xxxiii"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decreto-lei/del5452.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mL2AQdGHcj5+kphVNfF5jJ6LKw==">CgMxLjAyDmguMTAzMWx6NjhxcWE2MghoLmdqZGd4czgAciExcWtRSFFYZFRxWXY4a0Y2MGlxc1JGRmRFTThrQ1c1dmY=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