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center"/>
        <w:rPr>
          <w:rFonts w:ascii="Times New Roman" w:cs="Times New Roman" w:eastAsia="Times New Roman" w:hAnsi="Times New Roman"/>
          <w:b w:val="1"/>
          <w:bCs w:val="1"/>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ANEXO I</w:t>
      </w:r>
    </w:p>
    <w:p w:rsidR="00000000" w:rsidDel="00000000" w:rsidP="00000000" w:rsidRDefault="00000000" w:rsidRPr="00000000" w14:paraId="00000002">
      <w:pPr>
        <w:spacing w:line="360" w:lineRule="auto"/>
        <w:jc w:val="center"/>
        <w:rPr>
          <w:rFonts w:ascii="Times New Roman" w:cs="Times New Roman" w:eastAsia="Times New Roman" w:hAnsi="Times New Roman"/>
          <w:b w:val="1"/>
          <w:bCs w:val="1"/>
          <w:sz w:val="20"/>
          <w:szCs w:val="20"/>
          <w:u w:val="single"/>
        </w:rPr>
      </w:pPr>
      <w:r w:rsidDel="00000000" w:rsidR="00000000" w:rsidRPr="00000000">
        <w:rPr>
          <w:rtl w:val="0"/>
        </w:rPr>
      </w:r>
    </w:p>
    <w:p w:rsidR="00000000" w:rsidDel="00000000" w:rsidP="00000000" w:rsidRDefault="00000000" w:rsidRPr="00000000" w14:paraId="00000003">
      <w:pPr>
        <w:spacing w:line="360" w:lineRule="auto"/>
        <w:jc w:val="center"/>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ESTUDO TÉCNICO PRELIMINAR</w:t>
      </w:r>
      <w:r w:rsidDel="00000000" w:rsidR="00000000" w:rsidRPr="00000000">
        <w:rPr>
          <w:rtl w:val="0"/>
        </w:rPr>
      </w:r>
    </w:p>
    <w:p w:rsidR="00000000" w:rsidDel="00000000" w:rsidP="00000000" w:rsidRDefault="00000000" w:rsidRPr="00000000" w14:paraId="00000004">
      <w:pPr>
        <w:spacing w:line="360" w:lineRule="auto"/>
        <w:jc w:val="center"/>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Lei nº 14.133/2021</w:t>
      </w:r>
      <w:r w:rsidDel="00000000" w:rsidR="00000000" w:rsidRPr="00000000">
        <w:rPr>
          <w:rtl w:val="0"/>
        </w:rPr>
      </w:r>
    </w:p>
    <w:p w:rsidR="00000000" w:rsidDel="00000000" w:rsidP="00000000" w:rsidRDefault="00000000" w:rsidRPr="00000000" w14:paraId="00000005">
      <w:pPr>
        <w:spacing w:line="312"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6">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u w:val="single"/>
          <w:rtl w:val="0"/>
        </w:rPr>
        <w:t xml:space="preserve">1 – INTRODUÇÃO</w:t>
      </w:r>
      <w:r w:rsidDel="00000000" w:rsidR="00000000" w:rsidRPr="00000000">
        <w:rPr>
          <w:rtl w:val="0"/>
        </w:rPr>
      </w:r>
    </w:p>
    <w:p w:rsidR="00000000" w:rsidDel="00000000" w:rsidP="00000000" w:rsidRDefault="00000000" w:rsidRPr="00000000" w14:paraId="00000007">
      <w:pPr>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1.1. O presente Estudo Técnico Preliminar – ETP constitui a etapa inicial do planejamento da contratação pública, elaborado em observância ao disposto na Lei nº 14.133/2021, especialmente quanto à necessidade de adequada caracterização do interesse público envolvido, identificação da demanda administrativa e avaliação das possíveis soluções disponíveis no mercado para o atendimento das necessidades da municipalidade.</w:t>
      </w:r>
    </w:p>
    <w:p w:rsidR="00000000" w:rsidDel="00000000" w:rsidP="00000000" w:rsidRDefault="00000000" w:rsidRPr="00000000" w14:paraId="00000008">
      <w:pPr>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1.2. Este documento tem por finalidade demonstrar, de forma fundamentada, a viabilidade e a necessidade de </w:t>
      </w:r>
      <w:r w:rsidDel="00000000" w:rsidR="00000000" w:rsidRPr="00000000">
        <w:rPr>
          <w:rFonts w:ascii="Times New Roman" w:cs="Times New Roman" w:eastAsia="Times New Roman" w:hAnsi="Times New Roman"/>
          <w:b w:val="1"/>
          <w:bCs w:val="1"/>
          <w:sz w:val="20"/>
          <w:szCs w:val="20"/>
          <w:highlight w:val="white"/>
          <w:rtl w:val="0"/>
        </w:rPr>
        <w:t xml:space="preserve">futura e eventual contratação de empresa(s) especializada(s) na prestação de serviços de locação de veículos de sonorização (Carro de Som Volante tipo Mini Trio, Trio Elétrico Caminhão e Trio Elétrico Carreta)</w:t>
      </w:r>
      <w:r w:rsidDel="00000000" w:rsidR="00000000" w:rsidRPr="00000000">
        <w:rPr>
          <w:rFonts w:ascii="Times New Roman" w:cs="Times New Roman" w:eastAsia="Times New Roman" w:hAnsi="Times New Roman"/>
          <w:sz w:val="20"/>
          <w:szCs w:val="20"/>
          <w:highlight w:val="white"/>
          <w:rtl w:val="0"/>
        </w:rPr>
        <w:t xml:space="preserve">, incluindo o fornecimento de equipamentos de som, iluminação, estruturas de apoio, combustíveis, geradores de energia e suporte técnico operacional, definindo seus requisitos essenciais sob os aspectos técnico, operacional e econômico.</w:t>
      </w:r>
    </w:p>
    <w:p w:rsidR="00000000" w:rsidDel="00000000" w:rsidP="00000000" w:rsidRDefault="00000000" w:rsidRPr="00000000" w14:paraId="00000009">
      <w:pPr>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1.3. A solução pretendida visa dotar o Município de </w:t>
      </w:r>
      <w:r w:rsidDel="00000000" w:rsidR="00000000" w:rsidRPr="00000000">
        <w:rPr>
          <w:rFonts w:ascii="Times New Roman" w:cs="Times New Roman" w:eastAsia="Times New Roman" w:hAnsi="Times New Roman"/>
          <w:b w:val="1"/>
          <w:bCs w:val="1"/>
          <w:sz w:val="20"/>
          <w:szCs w:val="20"/>
          <w:highlight w:val="white"/>
          <w:rtl w:val="0"/>
        </w:rPr>
        <w:t xml:space="preserve">São José do Mantimento - MG</w:t>
      </w:r>
      <w:r w:rsidDel="00000000" w:rsidR="00000000" w:rsidRPr="00000000">
        <w:rPr>
          <w:rFonts w:ascii="Times New Roman" w:cs="Times New Roman" w:eastAsia="Times New Roman" w:hAnsi="Times New Roman"/>
          <w:sz w:val="20"/>
          <w:szCs w:val="20"/>
          <w:highlight w:val="white"/>
          <w:rtl w:val="0"/>
        </w:rPr>
        <w:t xml:space="preserve"> da infraestrutura de som volante e de grande porte necessária para a realização de eventos institucionais, culturais, festividades tradicionais, campanhas educativas e de utilidade pública promovidas pelas diversas secretarias municipais, assegurando a observância dos princípios da legalidade, impessoalidade, eficiência, economicidade, planejamento e da transparência.</w:t>
      </w:r>
    </w:p>
    <w:p w:rsidR="00000000" w:rsidDel="00000000" w:rsidP="00000000" w:rsidRDefault="00000000" w:rsidRPr="00000000" w14:paraId="0000000A">
      <w:pPr>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1.4. O ETP foi elaborado em conformidade com as boas práticas de governança e planejamento das contratações públicas, bem como com as orientações emanadas pelos órgãos de controle, em especial o Tribunal de Contas do Estado de Minas Gerais (TCE-MG), visando mitigar riscos, prevenir falhas na contratação e assegurar a seleção da proposta mais vantajosa para a Administração, demonstrando que a solução pretendida é estritamente compatível com as demandas institucionais locais.</w:t>
      </w:r>
    </w:p>
    <w:p w:rsidR="00000000" w:rsidDel="00000000" w:rsidP="00000000" w:rsidRDefault="00000000" w:rsidRPr="00000000" w14:paraId="0000000B">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u w:val="single"/>
          <w:rtl w:val="0"/>
        </w:rPr>
        <w:t xml:space="preserve">2 - OBJETO</w:t>
      </w:r>
      <w:r w:rsidDel="00000000" w:rsidR="00000000" w:rsidRPr="00000000">
        <w:rPr>
          <w:rtl w:val="0"/>
        </w:rPr>
      </w:r>
    </w:p>
    <w:p w:rsidR="00000000" w:rsidDel="00000000" w:rsidP="00000000" w:rsidRDefault="00000000" w:rsidRPr="00000000" w14:paraId="0000000C">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2.1. Constitui objeto do presente Estudo Técnico Preliminar o registro de preços para futura e eventual contratação de empresa(s) especializada(s) na prestação de serviços de locação de veículos de sonorização, compreendendo: Carro de Som Volante tipo Mini Trio, Trio Elétrico Caminhão e Trio Elétrico Carreta, incluindo o fornecimento de equipamentos de sonorização profissional, sistemas de iluminação cênica, estruturas de apoio operacional, geradores de energia, combustíveis, bem como suporte técnico especializado durante toda a execução dos serviços.</w:t>
      </w:r>
    </w:p>
    <w:p w:rsidR="00000000" w:rsidDel="00000000" w:rsidP="00000000" w:rsidRDefault="00000000" w:rsidRPr="00000000" w14:paraId="0000000D">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2.2. A contratação destina-se ao atendimento das demandas institucionais do Município de São José do Mantimento/MG, especialmente no suporte à realização de eventos oficiais, campanhas educativas, ações de comunicação pública, festividades culturais e demais atividades de interesse coletivo promovidas pela Administração Pública Municipal.</w:t>
      </w:r>
    </w:p>
    <w:p w:rsidR="00000000" w:rsidDel="00000000" w:rsidP="00000000" w:rsidRDefault="00000000" w:rsidRPr="00000000" w14:paraId="0000000E">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2.3. A solução deverá atender integralmente aos requisitos de qualidade, desempenho, segurança operacional e continuidade do serviço, observando critérios de eficiência, economicidade e sustentabilidade, de modo a garantir a adequada execução das ações públicas ao longo do período contratual.</w:t>
      </w:r>
    </w:p>
    <w:p w:rsidR="00000000" w:rsidDel="00000000" w:rsidP="00000000" w:rsidRDefault="00000000" w:rsidRPr="00000000" w14:paraId="0000000F">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2.4. A modelagem da contratação deverá assegurar ampla competitividade, isonomia entre os licitantes e adequada definição de especificações técnicas, evitando direcionamentos indevidos, restrições injustificadas de mercado ou exigências desproporcionais, em consonância com os entendimentos consolidados do Tribunal de Contas da União (TCU) e do Tribunal de Contas do Estado de Minas Gerais (TCE-MG).</w:t>
      </w:r>
    </w:p>
    <w:p w:rsidR="00000000" w:rsidDel="00000000" w:rsidP="00000000" w:rsidRDefault="00000000" w:rsidRPr="00000000" w14:paraId="00000010">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2.5. O objeto será estruturado de forma a garantir a obtenção da proposta mais vantajosa para a Administração, considerando o ciclo de vida da contratação, a eficiência operacional dos serviços e a mitigação de riscos técnicos, operacionais e financeiros.</w:t>
      </w:r>
      <w:r w:rsidDel="00000000" w:rsidR="00000000" w:rsidRPr="00000000">
        <w:rPr>
          <w:rtl w:val="0"/>
        </w:rPr>
      </w:r>
    </w:p>
    <w:p w:rsidR="00000000" w:rsidDel="00000000" w:rsidP="00000000" w:rsidRDefault="00000000" w:rsidRPr="00000000" w14:paraId="00000011">
      <w:pPr>
        <w:spacing w:after="180" w:before="18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3 – DESCRIÇÃO DA NECESSIDADE</w:t>
      </w:r>
      <w:r w:rsidDel="00000000" w:rsidR="00000000" w:rsidRPr="00000000">
        <w:rPr>
          <w:rtl w:val="0"/>
        </w:rPr>
      </w:r>
    </w:p>
    <w:p w:rsidR="00000000" w:rsidDel="00000000" w:rsidP="00000000" w:rsidRDefault="00000000" w:rsidRPr="00000000" w14:paraId="00000012">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3.1. A Administração Pública Municipal identifica a necessidade contínua e recorrente de estrutura técnica especializada para suporte à comunicação institucional, execução de eventos oficiais, campanhas educativas e atividades culturais, de interesse público, promovidas pelas diversas secretarias do Município de São José do Mantimento/MG.</w:t>
      </w:r>
    </w:p>
    <w:p w:rsidR="00000000" w:rsidDel="00000000" w:rsidP="00000000" w:rsidRDefault="00000000" w:rsidRPr="00000000" w14:paraId="00000013">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3.2. A ausência de estrutura própria de sonorização de médio e grande porte, incluindo veículos de som volante, trio elétrico caminhão e trio elétrico carreta, bem como equipamentos correlatos (sonorização profissional, iluminação, geradores de energia e suporte técnico operacional), impõe a necessidade de contratação de serviços especializados no mercado, a fim de garantir a adequada execução das ações públicas planejadas.</w:t>
      </w:r>
    </w:p>
    <w:p w:rsidR="00000000" w:rsidDel="00000000" w:rsidP="00000000" w:rsidRDefault="00000000" w:rsidRPr="00000000" w14:paraId="00000014">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3.3. A demanda possui natureza essencialmente operacional e eventual, com variação de intensidade conforme o calendário anual de eventos institucionais, festividades tradicionais, campanhas de saúde pública, educação, assistência social e demais ações governamentais de interesse coletivo, o que inviabiliza a aquisição e manutenção de frota e equipamentos próprios, sob pena de elevado custo de aquisição, depreciação e ociosidade.</w:t>
      </w:r>
    </w:p>
    <w:p w:rsidR="00000000" w:rsidDel="00000000" w:rsidP="00000000" w:rsidRDefault="00000000" w:rsidRPr="00000000" w14:paraId="00000015">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3.4. A contratação de empresa especializada se mostra a solução mais adequada sob o ponto de vista técnico, econômico e de eficiência administrativa, permitindo a disponibilização imediata de estrutura compatível com diferentes portes de evento, com adequada capacidade de adaptação às necessidades específicas de cada ação pública.</w:t>
      </w:r>
    </w:p>
    <w:p w:rsidR="00000000" w:rsidDel="00000000" w:rsidP="00000000" w:rsidRDefault="00000000" w:rsidRPr="00000000" w14:paraId="00000016">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3.5. A medida também se justifica pela necessidade de assegurar a ampla divulgação de informações de interesse público, garantindo a efetividade do princípio da publicidade administrativa, bem como a comunicação eficiente com a população, especialmente em áreas com maior dificuldade de acesso a meios digitais de informação.</w:t>
      </w:r>
    </w:p>
    <w:p w:rsidR="00000000" w:rsidDel="00000000" w:rsidP="00000000" w:rsidRDefault="00000000" w:rsidRPr="00000000" w14:paraId="00000017">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3.6. Do ponto de vista do planejamento das contratações públicas, a solução pretendida observa os princípios da razoabilidade, economicidade e eficiência, conforme previsto no art. 5º da Lei nº 14.133/2021, uma vez que a contratação sob demanda, via sistema de registro de preços, permite maior flexibilidade administrativa, redução de desperdícios e adequação às reais necessidades do Município.</w:t>
      </w:r>
    </w:p>
    <w:p w:rsidR="00000000" w:rsidDel="00000000" w:rsidP="00000000" w:rsidRDefault="00000000" w:rsidRPr="00000000" w14:paraId="00000018">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3.7. A opção pela contratação de serviço especializado encontra respaldo nas boas práticas de governança e nas orientações do Tribunal de Contas da União (TCU) e do Tribunal de Contas do Estado de Minas Gerais (TCE-MG), que recomendam a adoção de soluções que evitem aquisição de ativos de uso eventual, privilegiando modelos contratuais que assegurem maior eficiência na aplicação dos recursos públicos.</w:t>
      </w:r>
    </w:p>
    <w:p w:rsidR="00000000" w:rsidDel="00000000" w:rsidP="00000000" w:rsidRDefault="00000000" w:rsidRPr="00000000" w14:paraId="00000019">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3.8. Assim, a necessidade administrativa se consolida na imprescindibilidade de garantir infraestrutura adequada de sonorização e apoio técnico para viabilizar a execução de políticas públicas, eventos institucionais e ações de comunicação governamental, assegurando efetividade, alcance social e adequada prestação do serviço público.</w:t>
      </w:r>
    </w:p>
    <w:p w:rsidR="00000000" w:rsidDel="00000000" w:rsidP="00000000" w:rsidRDefault="00000000" w:rsidRPr="00000000" w14:paraId="0000001A">
      <w:pPr>
        <w:spacing w:after="180" w:before="18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4 - PREVISÃO NO PLANO DE CONTRATAÇÕES ANUAL</w:t>
      </w:r>
      <w:r w:rsidDel="00000000" w:rsidR="00000000" w:rsidRPr="00000000">
        <w:rPr>
          <w:rtl w:val="0"/>
        </w:rPr>
      </w:r>
    </w:p>
    <w:p w:rsidR="00000000" w:rsidDel="00000000" w:rsidP="00000000" w:rsidRDefault="00000000" w:rsidRPr="00000000" w14:paraId="0000001B">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4.1. A presente contratação encontra-se devidamente prevista no Plano de Contratações Anual (PCA) do Município de São José do Mantimento/MG, em conformidade com o disposto no art. 12, inciso VII, da Lei nº 14.133/2021, o qual estabelece o planejamento como etapa obrigatória da fase preparatória das contratações públicas.</w:t>
      </w:r>
    </w:p>
    <w:p w:rsidR="00000000" w:rsidDel="00000000" w:rsidP="00000000" w:rsidRDefault="00000000" w:rsidRPr="00000000" w14:paraId="0000001C">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4.2. A inserção da demanda no PCA demonstra aderência ao planejamento estratégico e orçamentário da Administração Pública Municipal, evidenciando que a necessidade foi previamente identificada, analisada e consolidada no instrumento formal de planejamento das contratações, em consonância com os princípios da eficiência, economicidade, transparência e governança pública.</w:t>
      </w:r>
    </w:p>
    <w:p w:rsidR="00000000" w:rsidDel="00000000" w:rsidP="00000000" w:rsidRDefault="00000000" w:rsidRPr="00000000" w14:paraId="0000001D">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4.3. O alinhamento ao Plano de Contratações Anual contribui diretamente para a racionalização das despesas públicas, permitindo maior previsibilidade na execução orçamentária, melhor organização do fluxo de contratações e adequada alocação de recursos, reduzindo a probabilidade de contratações emergenciais, fragmentadas ou sem adequada maturação técnica.</w:t>
      </w:r>
    </w:p>
    <w:p w:rsidR="00000000" w:rsidDel="00000000" w:rsidP="00000000" w:rsidRDefault="00000000" w:rsidRPr="00000000" w14:paraId="0000001E">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4.4. A observância ao PCA também atende às diretrizes de governança e gestão de riscos nas contratações públicas, conforme entendimento consolidado do Tribunal de Contas da União (TCU) e do Tribunal de Contas do Estado de Minas Gerais (TCE-MG), que reforçam a necessidade de planejamento prévio como mecanismo de controle, eficiência e mitigação de falhas administrativas.</w:t>
      </w:r>
    </w:p>
    <w:p w:rsidR="00000000" w:rsidDel="00000000" w:rsidP="00000000" w:rsidRDefault="00000000" w:rsidRPr="00000000" w14:paraId="0000001F">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4.5. Dessa forma, resta demonstrado que a presente contratação está devidamente integrada ao planejamento anual da Administração, assegurando conformidade com o dever de planejamento previsto na legislação vigente e reforçando a compatibilidade da demanda com as prioridades institucionais do Município.</w:t>
      </w:r>
    </w:p>
    <w:p w:rsidR="00000000" w:rsidDel="00000000" w:rsidP="00000000" w:rsidRDefault="00000000" w:rsidRPr="00000000" w14:paraId="00000020">
      <w:pPr>
        <w:spacing w:after="180" w:before="18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5 - REQUISITOS DA CONTRATAÇÃO</w:t>
      </w:r>
      <w:r w:rsidDel="00000000" w:rsidR="00000000" w:rsidRPr="00000000">
        <w:rPr>
          <w:rtl w:val="0"/>
        </w:rPr>
      </w:r>
    </w:p>
    <w:p w:rsidR="00000000" w:rsidDel="00000000" w:rsidP="00000000" w:rsidRDefault="00000000" w:rsidRPr="00000000" w14:paraId="00000021">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5.1. A contratação deverá dar-se por meio de licitação, na </w:t>
      </w:r>
      <w:r w:rsidDel="00000000" w:rsidR="00000000" w:rsidRPr="00000000">
        <w:rPr>
          <w:rFonts w:ascii="Times New Roman" w:cs="Times New Roman" w:eastAsia="Times New Roman" w:hAnsi="Times New Roman"/>
          <w:b w:val="1"/>
          <w:bCs w:val="1"/>
          <w:sz w:val="20"/>
          <w:szCs w:val="20"/>
          <w:u w:val="single"/>
          <w:rtl w:val="0"/>
        </w:rPr>
        <w:t xml:space="preserve">modalidade Pregão, para registro de preços, na forma eletrônica, com critério de julgamento de menor preço POR ITEM</w:t>
      </w:r>
      <w:r w:rsidDel="00000000" w:rsidR="00000000" w:rsidRPr="00000000">
        <w:rPr>
          <w:rFonts w:ascii="Times New Roman" w:cs="Times New Roman" w:eastAsia="Times New Roman" w:hAnsi="Times New Roman"/>
          <w:sz w:val="20"/>
          <w:szCs w:val="20"/>
          <w:rtl w:val="0"/>
        </w:rPr>
        <w:t xml:space="preserve">, sob o regime de execução indireta, com fornecimento parcelado e sob demanda, aplicando em todos os seus termos a Lei Federal nº 14.133, de 01 de abril de 2021, dentre outras normas regulamentares vigentes.</w:t>
      </w:r>
    </w:p>
    <w:p w:rsidR="00000000" w:rsidDel="00000000" w:rsidP="00000000" w:rsidRDefault="00000000" w:rsidRPr="00000000" w14:paraId="00000022">
      <w:pPr>
        <w:spacing w:after="20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5.2. Deverá ser exigido no Edital, para fins de habilitação, que as empresa interessadas demonstrem capacidade de o licitante exercer direitos e assumir obrigações, mediante comprovação dos </w:t>
      </w:r>
      <w:r w:rsidDel="00000000" w:rsidR="00000000" w:rsidRPr="00000000">
        <w:rPr>
          <w:rFonts w:ascii="Times New Roman" w:cs="Times New Roman" w:eastAsia="Times New Roman" w:hAnsi="Times New Roman"/>
          <w:b w:val="1"/>
          <w:bCs w:val="1"/>
          <w:sz w:val="20"/>
          <w:szCs w:val="20"/>
          <w:u w:val="single"/>
          <w:rtl w:val="0"/>
        </w:rPr>
        <w:t xml:space="preserve">documentos de habilitação jurídica, regularidade fiscal, social e trabalhista, dentre outros</w:t>
      </w:r>
      <w:r w:rsidDel="00000000" w:rsidR="00000000" w:rsidRPr="00000000">
        <w:rPr>
          <w:rFonts w:ascii="Times New Roman" w:cs="Times New Roman" w:eastAsia="Times New Roman" w:hAnsi="Times New Roman"/>
          <w:sz w:val="20"/>
          <w:szCs w:val="20"/>
          <w:rtl w:val="0"/>
        </w:rPr>
        <w:t xml:space="preserve">, se necessário, conforme disposto na lei de licitações e contratos.</w:t>
      </w:r>
    </w:p>
    <w:p w:rsidR="00000000" w:rsidDel="00000000" w:rsidP="00000000" w:rsidRDefault="00000000" w:rsidRPr="00000000" w14:paraId="00000023">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5.3. Deverá ser exigido no edital, para fins de habilitação, no mínimo os seguintes documentos:</w:t>
      </w:r>
    </w:p>
    <w:p w:rsidR="00000000" w:rsidDel="00000000" w:rsidP="00000000" w:rsidRDefault="00000000" w:rsidRPr="00000000" w14:paraId="00000024">
      <w:pPr>
        <w:spacing w:after="180" w:before="180" w:line="360" w:lineRule="auto"/>
        <w:jc w:val="both"/>
        <w:rPr>
          <w:rFonts w:ascii="Times New Roman" w:cs="Times New Roman" w:eastAsia="Times New Roman" w:hAnsi="Times New Roman"/>
          <w:b w:val="1"/>
          <w:bCs w:val="1"/>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5.3.1. Habilitação Jurídica:</w:t>
      </w:r>
    </w:p>
    <w:p w:rsidR="00000000" w:rsidDel="00000000" w:rsidP="00000000" w:rsidRDefault="00000000" w:rsidRPr="00000000" w14:paraId="00000025">
      <w:pPr>
        <w:numPr>
          <w:ilvl w:val="0"/>
          <w:numId w:val="11"/>
        </w:numPr>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Cópia da cédula de identidade e CPF do(s) sócio(s) ou de seus administradores, conforme o caso;</w:t>
      </w:r>
    </w:p>
    <w:p w:rsidR="00000000" w:rsidDel="00000000" w:rsidP="00000000" w:rsidRDefault="00000000" w:rsidRPr="00000000" w14:paraId="00000026">
      <w:pPr>
        <w:numPr>
          <w:ilvl w:val="0"/>
          <w:numId w:val="11"/>
        </w:numPr>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Registro comercial, no caso de empresa individual ou Inscrição de Microempreendedor Individual, conforme o caso;</w:t>
      </w:r>
    </w:p>
    <w:p w:rsidR="00000000" w:rsidDel="00000000" w:rsidP="00000000" w:rsidRDefault="00000000" w:rsidRPr="00000000" w14:paraId="00000027">
      <w:pPr>
        <w:numPr>
          <w:ilvl w:val="0"/>
          <w:numId w:val="11"/>
        </w:numPr>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Ato constitutivo, estatuto ou contrato social consolidado ou, caso não esteja consolidado, apresentar o contrato social acompanhado de todas as alterações contratuais, devidamente registrado no órgão competente, em se tratando de sociedades comerciais, e, no caso de sociedade por ações, acompanhado de documentos relativos à eleição de seus administradores;</w:t>
      </w:r>
    </w:p>
    <w:p w:rsidR="00000000" w:rsidDel="00000000" w:rsidP="00000000" w:rsidRDefault="00000000" w:rsidRPr="00000000" w14:paraId="00000028">
      <w:pPr>
        <w:numPr>
          <w:ilvl w:val="0"/>
          <w:numId w:val="11"/>
        </w:numPr>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Inscrição do ato constitutivo no caso de sociedades civis, acompanhada de documentação que identifique a Diretoria em exercício;</w:t>
      </w:r>
    </w:p>
    <w:p w:rsidR="00000000" w:rsidDel="00000000" w:rsidP="00000000" w:rsidRDefault="00000000" w:rsidRPr="00000000" w14:paraId="00000029">
      <w:pPr>
        <w:numPr>
          <w:ilvl w:val="0"/>
          <w:numId w:val="11"/>
        </w:numPr>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Decreto de autorização, em se tratando de empresa ou sociedade estrangeira em funcionamento no país, e ato de registro ou autorização para funcionamento expedido pelo órgão competente, quando a atividade assim exigir.</w:t>
      </w:r>
    </w:p>
    <w:p w:rsidR="00000000" w:rsidDel="00000000" w:rsidP="00000000" w:rsidRDefault="00000000" w:rsidRPr="00000000" w14:paraId="0000002A">
      <w:pPr>
        <w:spacing w:after="180" w:before="180" w:line="360" w:lineRule="auto"/>
        <w:jc w:val="both"/>
        <w:rPr>
          <w:rFonts w:ascii="Times New Roman" w:cs="Times New Roman" w:eastAsia="Times New Roman" w:hAnsi="Times New Roman"/>
          <w:b w:val="1"/>
          <w:bCs w:val="1"/>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5.3.2. Habilitação fiscal, social e trabalhista</w:t>
      </w:r>
    </w:p>
    <w:p w:rsidR="00000000" w:rsidDel="00000000" w:rsidP="00000000" w:rsidRDefault="00000000" w:rsidRPr="00000000" w14:paraId="0000002B">
      <w:pPr>
        <w:numPr>
          <w:ilvl w:val="0"/>
          <w:numId w:val="14"/>
        </w:numPr>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Prova de inscrição do Cadastro Nacional de Pessoa Jurídica (CNPJ);</w:t>
      </w:r>
    </w:p>
    <w:p w:rsidR="00000000" w:rsidDel="00000000" w:rsidP="00000000" w:rsidRDefault="00000000" w:rsidRPr="00000000" w14:paraId="0000002C">
      <w:pPr>
        <w:numPr>
          <w:ilvl w:val="0"/>
          <w:numId w:val="14"/>
        </w:numPr>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w:t>
      </w:r>
      <w:r w:rsidDel="00000000" w:rsidR="00000000" w:rsidRPr="00000000">
        <w:rPr>
          <w:rFonts w:ascii="Times New Roman" w:cs="Times New Roman" w:eastAsia="Times New Roman" w:hAnsi="Times New Roman"/>
          <w:sz w:val="20"/>
          <w:szCs w:val="20"/>
          <w:highlight w:val="white"/>
          <w:rtl w:val="0"/>
        </w:rPr>
        <w:t xml:space="preserve">rova de inscrição no cadastro de contribuintes estadual ou municipal (conforme o caso), relativo ao domicílio ou sede do licitante, pertinente ao seu ramo de atividade e compatível com o objeto contratual, dentro do prazo de validade;</w:t>
      </w:r>
      <w:r w:rsidDel="00000000" w:rsidR="00000000" w:rsidRPr="00000000">
        <w:rPr>
          <w:rtl w:val="0"/>
        </w:rPr>
      </w:r>
    </w:p>
    <w:p w:rsidR="00000000" w:rsidDel="00000000" w:rsidP="00000000" w:rsidRDefault="00000000" w:rsidRPr="00000000" w14:paraId="0000002D">
      <w:pPr>
        <w:numPr>
          <w:ilvl w:val="0"/>
          <w:numId w:val="14"/>
        </w:numPr>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highlight w:val="white"/>
          <w:rtl w:val="0"/>
        </w:rPr>
        <w:t xml:space="preserve">Prova de Regularidade para com a Fazenda Federal (Certidão Conjunta Negativa da Dívida Ativa da União e Receita Federal), abrangendo inclusive as contribuições sociais previstas nas alíneas 'a' a 'd' do parágrafo único do art. 11 da Lei n</w:t>
      </w:r>
      <w:r w:rsidDel="00000000" w:rsidR="00000000" w:rsidRPr="00000000">
        <w:rPr>
          <w:rFonts w:ascii="Times New Roman" w:cs="Times New Roman" w:eastAsia="Times New Roman" w:hAnsi="Times New Roman"/>
          <w:sz w:val="20"/>
          <w:szCs w:val="20"/>
          <w:highlight w:val="white"/>
          <w:u w:val="single"/>
          <w:vertAlign w:val="superscript"/>
          <w:rtl w:val="0"/>
        </w:rPr>
        <w:t xml:space="preserve">o</w:t>
      </w:r>
      <w:r w:rsidDel="00000000" w:rsidR="00000000" w:rsidRPr="00000000">
        <w:rPr>
          <w:rFonts w:ascii="Times New Roman" w:cs="Times New Roman" w:eastAsia="Times New Roman" w:hAnsi="Times New Roman"/>
          <w:sz w:val="20"/>
          <w:szCs w:val="20"/>
          <w:highlight w:val="white"/>
          <w:rtl w:val="0"/>
        </w:rPr>
        <w:t xml:space="preserve"> 8.212, de 24 de julho de 1991, dentro do prazo de validade</w:t>
      </w: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2E">
      <w:pPr>
        <w:numPr>
          <w:ilvl w:val="0"/>
          <w:numId w:val="14"/>
        </w:numPr>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Prova de regularidade para com a Fazenda Pública Estadual, </w:t>
      </w:r>
      <w:r w:rsidDel="00000000" w:rsidR="00000000" w:rsidRPr="00000000">
        <w:rPr>
          <w:rFonts w:ascii="Times New Roman" w:cs="Times New Roman" w:eastAsia="Times New Roman" w:hAnsi="Times New Roman"/>
          <w:sz w:val="20"/>
          <w:szCs w:val="20"/>
          <w:highlight w:val="white"/>
          <w:rtl w:val="0"/>
        </w:rPr>
        <w:t xml:space="preserve">do domicílio ou sede do licitante, ou outra equivalente, na forma da lei, dentro do prazo de validade;</w:t>
      </w:r>
      <w:r w:rsidDel="00000000" w:rsidR="00000000" w:rsidRPr="00000000">
        <w:rPr>
          <w:rtl w:val="0"/>
        </w:rPr>
      </w:r>
    </w:p>
    <w:p w:rsidR="00000000" w:rsidDel="00000000" w:rsidP="00000000" w:rsidRDefault="00000000" w:rsidRPr="00000000" w14:paraId="0000002F">
      <w:pPr>
        <w:numPr>
          <w:ilvl w:val="0"/>
          <w:numId w:val="14"/>
        </w:numPr>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Prova de regularidade com a Fazenda Pública Municipal do domicílio ou sede da licitante, dentro do prazo de validade;</w:t>
      </w:r>
    </w:p>
    <w:p w:rsidR="00000000" w:rsidDel="00000000" w:rsidP="00000000" w:rsidRDefault="00000000" w:rsidRPr="00000000" w14:paraId="00000030">
      <w:pPr>
        <w:numPr>
          <w:ilvl w:val="0"/>
          <w:numId w:val="14"/>
        </w:numPr>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Prova de regularidade relativo ao FGTS (Fundo de Garantia por tempo de Serviço), dentro do prazo de validade;</w:t>
      </w:r>
    </w:p>
    <w:p w:rsidR="00000000" w:rsidDel="00000000" w:rsidP="00000000" w:rsidRDefault="00000000" w:rsidRPr="00000000" w14:paraId="00000031">
      <w:pPr>
        <w:numPr>
          <w:ilvl w:val="0"/>
          <w:numId w:val="14"/>
        </w:numPr>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Prova de inexistência de débitos inadimplidos perante a Justiça do Trabalho, mediante a apresentação de certidão negativa ou positiva com efeito de negativa, nos termos do </w:t>
      </w:r>
      <w:hyperlink r:id="rId7">
        <w:r w:rsidDel="00000000" w:rsidR="00000000" w:rsidRPr="00000000">
          <w:rPr>
            <w:rFonts w:ascii="Times New Roman" w:cs="Times New Roman" w:eastAsia="Times New Roman" w:hAnsi="Times New Roman"/>
            <w:color w:val="1155cc"/>
            <w:sz w:val="20"/>
            <w:szCs w:val="20"/>
            <w:u w:val="single"/>
            <w:rtl w:val="0"/>
          </w:rPr>
          <w:t xml:space="preserve">Título VII-A da Consolidação das Leis do Trabalho, aprovada pelo Decreto-Lei 5.452, de 1º de maio de 1943</w:t>
        </w:r>
      </w:hyperlink>
      <w:r w:rsidDel="00000000" w:rsidR="00000000" w:rsidRPr="00000000">
        <w:rPr>
          <w:rFonts w:ascii="Times New Roman" w:cs="Times New Roman" w:eastAsia="Times New Roman" w:hAnsi="Times New Roman"/>
          <w:sz w:val="20"/>
          <w:szCs w:val="20"/>
          <w:rtl w:val="0"/>
        </w:rPr>
        <w:t xml:space="preserve">, dentro do prazo de validade;</w:t>
      </w:r>
    </w:p>
    <w:p w:rsidR="00000000" w:rsidDel="00000000" w:rsidP="00000000" w:rsidRDefault="00000000" w:rsidRPr="00000000" w14:paraId="00000032">
      <w:pPr>
        <w:numPr>
          <w:ilvl w:val="0"/>
          <w:numId w:val="14"/>
        </w:numPr>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Declaração de cumprimento do disposto no </w:t>
      </w:r>
      <w:hyperlink r:id="rId8">
        <w:r w:rsidDel="00000000" w:rsidR="00000000" w:rsidRPr="00000000">
          <w:rPr>
            <w:rFonts w:ascii="Times New Roman" w:cs="Times New Roman" w:eastAsia="Times New Roman" w:hAnsi="Times New Roman"/>
            <w:color w:val="1155cc"/>
            <w:sz w:val="20"/>
            <w:szCs w:val="20"/>
            <w:u w:val="single"/>
            <w:rtl w:val="0"/>
          </w:rPr>
          <w:t xml:space="preserve">inciso XXXIII do art. 7º da Constituição Federal e outras constantes da Lei nº 14.133/2021 e alterações.</w:t>
        </w:r>
      </w:hyperlink>
      <w:r w:rsidDel="00000000" w:rsidR="00000000" w:rsidRPr="00000000">
        <w:rPr>
          <w:rtl w:val="0"/>
        </w:rPr>
      </w:r>
    </w:p>
    <w:p w:rsidR="00000000" w:rsidDel="00000000" w:rsidP="00000000" w:rsidRDefault="00000000" w:rsidRPr="00000000" w14:paraId="00000033">
      <w:pPr>
        <w:tabs>
          <w:tab w:val="left" w:leader="none" w:pos="9072"/>
          <w:tab w:val="right" w:leader="none" w:pos="9498"/>
        </w:tabs>
        <w:spacing w:after="200" w:before="200" w:line="360" w:lineRule="auto"/>
        <w:jc w:val="both"/>
        <w:rPr>
          <w:rFonts w:ascii="Times New Roman" w:cs="Times New Roman" w:eastAsia="Times New Roman" w:hAnsi="Times New Roman"/>
          <w:b w:val="1"/>
          <w:bCs w:val="1"/>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5.3.3. Habilitação Econômico-Financeira</w:t>
      </w:r>
    </w:p>
    <w:p w:rsidR="00000000" w:rsidDel="00000000" w:rsidP="00000000" w:rsidRDefault="00000000" w:rsidRPr="00000000" w14:paraId="00000034">
      <w:pPr>
        <w:numPr>
          <w:ilvl w:val="0"/>
          <w:numId w:val="13"/>
        </w:numPr>
        <w:spacing w:after="180" w:before="180" w:line="360" w:lineRule="auto"/>
        <w:ind w:left="720" w:right="6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Balanço patrimonial e demonstrações contábeis dos 02 (dois) últimos exercícios sociais, contendo ainda, Termo de Abertura e Encerramento, apresentados na forma da lei, registrados na junta comercial ou órgão equivalente, que comprovem a boa situação da empresa, vedada sua substituição por balancetes ou balanços provisórios, </w:t>
      </w:r>
      <w:r w:rsidDel="00000000" w:rsidR="00000000" w:rsidRPr="00000000">
        <w:rPr>
          <w:rFonts w:ascii="Times New Roman" w:cs="Times New Roman" w:eastAsia="Times New Roman" w:hAnsi="Times New Roman"/>
          <w:sz w:val="20"/>
          <w:szCs w:val="20"/>
          <w:highlight w:val="white"/>
          <w:rtl w:val="0"/>
        </w:rPr>
        <w:t xml:space="preserve">podendo ser atualizados por índices oficiais quando encerrado há mais de 3 (três) meses da data de apresentação da proposta;</w:t>
      </w:r>
      <w:r w:rsidDel="00000000" w:rsidR="00000000" w:rsidRPr="00000000">
        <w:rPr>
          <w:rtl w:val="0"/>
        </w:rPr>
      </w:r>
    </w:p>
    <w:p w:rsidR="00000000" w:rsidDel="00000000" w:rsidP="00000000" w:rsidRDefault="00000000" w:rsidRPr="00000000" w14:paraId="00000035">
      <w:pPr>
        <w:numPr>
          <w:ilvl w:val="0"/>
          <w:numId w:val="13"/>
        </w:numPr>
        <w:spacing w:after="180" w:before="180" w:line="360" w:lineRule="auto"/>
        <w:ind w:left="720" w:right="6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As empresas constituídas há menos de 02 (dois) anos, deverá apresentar Balanço de Abertura, contendo ainda, o Termo de Abertura e Encerramento do último exercício social, apresentados na forma da lei, devidamente registrado na Junta Comercial ou cópia do Livro Diário contendo o Balanço de Abertura, inclusive com os termos de Abertura e de Encerramento, devidamente registrados na Junta Comercial ou órgão equivalente da sede ou domicílio da licitante;</w:t>
      </w:r>
    </w:p>
    <w:p w:rsidR="00000000" w:rsidDel="00000000" w:rsidP="00000000" w:rsidRDefault="00000000" w:rsidRPr="00000000" w14:paraId="00000036">
      <w:pPr>
        <w:numPr>
          <w:ilvl w:val="0"/>
          <w:numId w:val="13"/>
        </w:numPr>
        <w:spacing w:after="180" w:before="180" w:line="360" w:lineRule="auto"/>
        <w:ind w:left="720" w:right="6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Para efeito de avaliação da capacidade econômico-financeira dos licitantes, conforme disposto nos termos da Lei Federal nº 14.133/2021, a empresa licitante deverá apresentar demonstrativo de boa situação financeira, que será avaliada pelos índices de Liquidez Corrente (LC), Liquidez Geral (LG) e Solvência Geral (SG), que deverão ser igual ou superior a 1,0 para que o licitante seja considerado habilitado, nas seguintes fórmulas:</w:t>
      </w:r>
    </w:p>
    <w:p w:rsidR="00000000" w:rsidDel="00000000" w:rsidP="00000000" w:rsidRDefault="00000000" w:rsidRPr="00000000" w14:paraId="00000037">
      <w:pPr>
        <w:pStyle w:val="Heading2"/>
        <w:keepNext w:val="0"/>
        <w:keepLines w:val="0"/>
        <w:spacing w:after="0" w:before="0" w:line="276" w:lineRule="auto"/>
        <w:ind w:right="60"/>
        <w:jc w:val="center"/>
        <w:rPr>
          <w:rFonts w:ascii="Times New Roman" w:cs="Times New Roman" w:eastAsia="Times New Roman" w:hAnsi="Times New Roman"/>
          <w:b w:val="0"/>
          <w:bCs w:val="0"/>
          <w:sz w:val="18"/>
          <w:szCs w:val="18"/>
        </w:rPr>
      </w:pPr>
      <w:bookmarkStart w:colFirst="0" w:colLast="0" w:name="_heading=h.1031lz68qqa6" w:id="0"/>
      <w:bookmarkEnd w:id="0"/>
      <w:r w:rsidDel="00000000" w:rsidR="00000000" w:rsidRPr="00000000">
        <w:rPr>
          <w:rFonts w:ascii="Times New Roman" w:cs="Times New Roman" w:eastAsia="Times New Roman" w:hAnsi="Times New Roman"/>
          <w:b w:val="0"/>
          <w:bCs w:val="0"/>
          <w:sz w:val="18"/>
          <w:szCs w:val="18"/>
          <w:rtl w:val="0"/>
        </w:rPr>
        <w:t xml:space="preserve">Ativo Circulante + Realizável a Longo Prazo</w:t>
      </w:r>
    </w:p>
    <w:p w:rsidR="00000000" w:rsidDel="00000000" w:rsidP="00000000" w:rsidRDefault="00000000" w:rsidRPr="00000000" w14:paraId="00000038">
      <w:pPr>
        <w:spacing w:line="276" w:lineRule="auto"/>
        <w:ind w:right="60"/>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LG =-------------------------------------------------------------------------------------- ;</w:t>
      </w:r>
    </w:p>
    <w:p w:rsidR="00000000" w:rsidDel="00000000" w:rsidP="00000000" w:rsidRDefault="00000000" w:rsidRPr="00000000" w14:paraId="00000039">
      <w:pPr>
        <w:spacing w:line="276" w:lineRule="auto"/>
        <w:ind w:right="60"/>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Passivo Circulante + Passivo Não Circulante</w:t>
      </w:r>
    </w:p>
    <w:p w:rsidR="00000000" w:rsidDel="00000000" w:rsidP="00000000" w:rsidRDefault="00000000" w:rsidRPr="00000000" w14:paraId="0000003A">
      <w:pPr>
        <w:spacing w:line="276" w:lineRule="auto"/>
        <w:ind w:right="60"/>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14:paraId="0000003B">
      <w:pPr>
        <w:spacing w:line="276" w:lineRule="auto"/>
        <w:ind w:right="60"/>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Ativo Total</w:t>
      </w:r>
    </w:p>
    <w:p w:rsidR="00000000" w:rsidDel="00000000" w:rsidP="00000000" w:rsidRDefault="00000000" w:rsidRPr="00000000" w14:paraId="0000003C">
      <w:pPr>
        <w:spacing w:line="276" w:lineRule="auto"/>
        <w:ind w:right="60"/>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SG =-------------------------------------------------------------------------------------- ;</w:t>
      </w:r>
    </w:p>
    <w:p w:rsidR="00000000" w:rsidDel="00000000" w:rsidP="00000000" w:rsidRDefault="00000000" w:rsidRPr="00000000" w14:paraId="0000003D">
      <w:pPr>
        <w:spacing w:line="276" w:lineRule="auto"/>
        <w:ind w:right="60"/>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Passivo Circulante + Passivo Não Circulante</w:t>
      </w:r>
    </w:p>
    <w:p w:rsidR="00000000" w:rsidDel="00000000" w:rsidP="00000000" w:rsidRDefault="00000000" w:rsidRPr="00000000" w14:paraId="0000003E">
      <w:pPr>
        <w:spacing w:line="276" w:lineRule="auto"/>
        <w:ind w:right="60"/>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 </w:t>
      </w:r>
    </w:p>
    <w:p w:rsidR="00000000" w:rsidDel="00000000" w:rsidP="00000000" w:rsidRDefault="00000000" w:rsidRPr="00000000" w14:paraId="0000003F">
      <w:pPr>
        <w:spacing w:line="276" w:lineRule="auto"/>
        <w:ind w:right="60"/>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Ativo Circulante</w:t>
      </w:r>
    </w:p>
    <w:p w:rsidR="00000000" w:rsidDel="00000000" w:rsidP="00000000" w:rsidRDefault="00000000" w:rsidRPr="00000000" w14:paraId="00000040">
      <w:pPr>
        <w:spacing w:line="276" w:lineRule="auto"/>
        <w:ind w:right="60"/>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LC =----------------------------------------------- ;</w:t>
      </w:r>
    </w:p>
    <w:p w:rsidR="00000000" w:rsidDel="00000000" w:rsidP="00000000" w:rsidRDefault="00000000" w:rsidRPr="00000000" w14:paraId="00000041">
      <w:pPr>
        <w:spacing w:line="276" w:lineRule="auto"/>
        <w:ind w:right="60"/>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Passivo Circulante</w:t>
      </w:r>
    </w:p>
    <w:p w:rsidR="00000000" w:rsidDel="00000000" w:rsidP="00000000" w:rsidRDefault="00000000" w:rsidRPr="00000000" w14:paraId="00000042">
      <w:pPr>
        <w:numPr>
          <w:ilvl w:val="0"/>
          <w:numId w:val="13"/>
        </w:numPr>
        <w:spacing w:after="180" w:before="180" w:line="360" w:lineRule="auto"/>
        <w:ind w:left="720" w:right="6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As empresas interessadas em participar do certame, deverão comprovar no Balanço, que possui capital social ou </w:t>
      </w:r>
      <w:r w:rsidDel="00000000" w:rsidR="00000000" w:rsidRPr="00000000">
        <w:rPr>
          <w:rFonts w:ascii="Times New Roman" w:cs="Times New Roman" w:eastAsia="Times New Roman" w:hAnsi="Times New Roman"/>
          <w:sz w:val="20"/>
          <w:szCs w:val="20"/>
          <w:highlight w:val="white"/>
          <w:rtl w:val="0"/>
        </w:rPr>
        <w:t xml:space="preserve">patrimônio líquido, igual ou superior a 10% (dez por cento) do valor estimado da contratação, devendo a comprovação ser feita relativamente à data da apresentação da proposta, na forma da lei, admitida a atualização para esta data através de índices oficiais, nos termos do </w:t>
      </w:r>
      <w:hyperlink r:id="rId9">
        <w:r w:rsidDel="00000000" w:rsidR="00000000" w:rsidRPr="00000000">
          <w:rPr>
            <w:rFonts w:ascii="Times New Roman" w:cs="Times New Roman" w:eastAsia="Times New Roman" w:hAnsi="Times New Roman"/>
            <w:b w:val="1"/>
            <w:bCs w:val="1"/>
            <w:color w:val="1155cc"/>
            <w:sz w:val="20"/>
            <w:szCs w:val="20"/>
            <w:highlight w:val="white"/>
            <w:u w:val="single"/>
            <w:rtl w:val="0"/>
          </w:rPr>
          <w:t xml:space="preserve">art. 69, §4º da Lei nº 14.133/2021</w:t>
        </w:r>
      </w:hyperlink>
      <w:r w:rsidDel="00000000" w:rsidR="00000000" w:rsidRPr="00000000">
        <w:rPr>
          <w:rFonts w:ascii="Times New Roman" w:cs="Times New Roman" w:eastAsia="Times New Roman" w:hAnsi="Times New Roman"/>
          <w:sz w:val="20"/>
          <w:szCs w:val="20"/>
          <w:highlight w:val="white"/>
          <w:rtl w:val="0"/>
        </w:rPr>
        <w:t xml:space="preserve">;</w:t>
      </w:r>
      <w:r w:rsidDel="00000000" w:rsidR="00000000" w:rsidRPr="00000000">
        <w:rPr>
          <w:rtl w:val="0"/>
        </w:rPr>
      </w:r>
    </w:p>
    <w:p w:rsidR="00000000" w:rsidDel="00000000" w:rsidP="00000000" w:rsidRDefault="00000000" w:rsidRPr="00000000" w14:paraId="00000043">
      <w:pPr>
        <w:numPr>
          <w:ilvl w:val="0"/>
          <w:numId w:val="13"/>
        </w:numPr>
        <w:spacing w:after="180" w:before="180" w:line="360" w:lineRule="auto"/>
        <w:ind w:left="720" w:right="60" w:hanging="360"/>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Os documentos referidos no item acima limitar-se-ão ao último exercício no caso de a pessoa jurídica ter sido constituída há menos de 2 (dois) anos.</w:t>
      </w:r>
    </w:p>
    <w:p w:rsidR="00000000" w:rsidDel="00000000" w:rsidP="00000000" w:rsidRDefault="00000000" w:rsidRPr="00000000" w14:paraId="00000044">
      <w:pPr>
        <w:numPr>
          <w:ilvl w:val="0"/>
          <w:numId w:val="13"/>
        </w:numPr>
        <w:spacing w:after="180" w:before="180" w:line="360" w:lineRule="auto"/>
        <w:ind w:left="720" w:right="60" w:hanging="360"/>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As empresas com menos de um exercício financeiro devem cumprir a exigência deste item mediante apresentação de Balanço de Abertura ou do último Balanço Patrimonial levantado, conforme o caso, devidamente registrado na forma da lei.</w:t>
      </w:r>
    </w:p>
    <w:p w:rsidR="00000000" w:rsidDel="00000000" w:rsidP="00000000" w:rsidRDefault="00000000" w:rsidRPr="00000000" w14:paraId="00000045">
      <w:pPr>
        <w:numPr>
          <w:ilvl w:val="0"/>
          <w:numId w:val="13"/>
        </w:numPr>
        <w:spacing w:after="180" w:before="180" w:line="360" w:lineRule="auto"/>
        <w:ind w:left="720" w:right="60" w:hanging="360"/>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Os documentos referidos (a, b, c e d) deverão estar devidamente assinados pelo representante legal da empresa e por profissional de contabilidade habilitado, com registro ativo no Conselho Regional de Contabilidade – CRC;</w:t>
      </w:r>
    </w:p>
    <w:p w:rsidR="00000000" w:rsidDel="00000000" w:rsidP="00000000" w:rsidRDefault="00000000" w:rsidRPr="00000000" w14:paraId="00000046">
      <w:pPr>
        <w:numPr>
          <w:ilvl w:val="0"/>
          <w:numId w:val="13"/>
        </w:numPr>
        <w:spacing w:after="180" w:before="180" w:line="360" w:lineRule="auto"/>
        <w:ind w:left="720" w:right="60" w:hanging="360"/>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Quando encerrados há mais de 03 (três) meses da data de apresentação da proposta, os valores poderão ser atualizados por índices oficiais, devendo ser apresentado o respectivo memorial de cálculo; </w:t>
      </w:r>
    </w:p>
    <w:p w:rsidR="00000000" w:rsidDel="00000000" w:rsidP="00000000" w:rsidRDefault="00000000" w:rsidRPr="00000000" w14:paraId="00000047">
      <w:pPr>
        <w:numPr>
          <w:ilvl w:val="0"/>
          <w:numId w:val="13"/>
        </w:numPr>
        <w:spacing w:after="180" w:before="180" w:line="360" w:lineRule="auto"/>
        <w:ind w:left="720" w:right="6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Certidão negativa de falência expedida pelo distribuidor da sede do fornecedor - Lei nº 14.133, de 2021, art. 69, caput, inciso II.</w:t>
      </w:r>
    </w:p>
    <w:p w:rsidR="00000000" w:rsidDel="00000000" w:rsidP="00000000" w:rsidRDefault="00000000" w:rsidRPr="00000000" w14:paraId="00000048">
      <w:pPr>
        <w:spacing w:after="180" w:before="180" w:line="360" w:lineRule="auto"/>
        <w:ind w:right="60"/>
        <w:jc w:val="both"/>
        <w:rPr>
          <w:rFonts w:ascii="Times New Roman" w:cs="Times New Roman" w:eastAsia="Times New Roman" w:hAnsi="Times New Roman"/>
          <w:b w:val="1"/>
          <w:bCs w:val="1"/>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5.3.3.1. As demonstrações contábeis deverão ser apresentadas conforme o tipo societário do licitante:</w:t>
      </w:r>
    </w:p>
    <w:p w:rsidR="00000000" w:rsidDel="00000000" w:rsidP="00000000" w:rsidRDefault="00000000" w:rsidRPr="00000000" w14:paraId="00000049">
      <w:pPr>
        <w:numPr>
          <w:ilvl w:val="0"/>
          <w:numId w:val="15"/>
        </w:numPr>
        <w:spacing w:after="180" w:before="180" w:line="360" w:lineRule="auto"/>
        <w:ind w:left="720" w:right="6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Sociedades por ações (Lei nº 6.404/76): publicadas em Diário Oficial ou jornal de grande circulação, ou registradas na Junta Comercial; </w:t>
      </w:r>
    </w:p>
    <w:p w:rsidR="00000000" w:rsidDel="00000000" w:rsidP="00000000" w:rsidRDefault="00000000" w:rsidRPr="00000000" w14:paraId="0000004A">
      <w:pPr>
        <w:numPr>
          <w:ilvl w:val="0"/>
          <w:numId w:val="15"/>
        </w:numPr>
        <w:spacing w:after="180" w:before="180" w:line="360" w:lineRule="auto"/>
        <w:ind w:left="720" w:right="6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Empresas que utilizam SPED: deverão apresentar o balanço acompanhado do Termo de Abertura e Encerramento, Recibo de Entrega do Livro Digital e demais documentos exigidos pela legislação; </w:t>
      </w:r>
    </w:p>
    <w:p w:rsidR="00000000" w:rsidDel="00000000" w:rsidP="00000000" w:rsidRDefault="00000000" w:rsidRPr="00000000" w14:paraId="0000004B">
      <w:pPr>
        <w:numPr>
          <w:ilvl w:val="0"/>
          <w:numId w:val="15"/>
        </w:numPr>
        <w:spacing w:after="180" w:before="180" w:line="360" w:lineRule="auto"/>
        <w:ind w:left="720" w:right="6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Demais sociedades: cópia do Livro Diário, com Termos de Abertura e Encerramento devidamente registrados, ou balanço registrado na Junta Comercial;</w:t>
      </w:r>
    </w:p>
    <w:p w:rsidR="00000000" w:rsidDel="00000000" w:rsidP="00000000" w:rsidRDefault="00000000" w:rsidRPr="00000000" w14:paraId="0000004C">
      <w:pPr>
        <w:numPr>
          <w:ilvl w:val="0"/>
          <w:numId w:val="15"/>
        </w:numPr>
        <w:spacing w:after="180" w:before="180" w:line="360" w:lineRule="auto"/>
        <w:ind w:left="720" w:right="60" w:hanging="360"/>
        <w:jc w:val="both"/>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b w:val="1"/>
          <w:bCs w:val="1"/>
          <w:sz w:val="20"/>
          <w:szCs w:val="20"/>
          <w:rtl w:val="0"/>
        </w:rPr>
        <w:t xml:space="preserve">As demonstrações contábeis deverão estar obrigatoriamente registradas na Junta Comercial competente, ou, quando aplicável, no Sistema Público de Escrituração Digital (SPED), observadas as exigências da legislação vigente, com comprovação de autenticação eletrônica e recibo de entrega.</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p w:rsidR="00000000" w:rsidDel="00000000" w:rsidP="00000000" w:rsidRDefault="00000000" w:rsidRPr="00000000" w14:paraId="0000004D">
      <w:pPr>
        <w:spacing w:after="200" w:line="360" w:lineRule="auto"/>
        <w:jc w:val="both"/>
        <w:rPr>
          <w:rFonts w:ascii="Times New Roman" w:cs="Times New Roman" w:eastAsia="Times New Roman" w:hAnsi="Times New Roman"/>
          <w:b w:val="1"/>
          <w:bCs w:val="1"/>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5.3.4. Habilitação/Qualificação Técnica:</w:t>
      </w:r>
    </w:p>
    <w:p w:rsidR="00000000" w:rsidDel="00000000" w:rsidP="00000000" w:rsidRDefault="00000000" w:rsidRPr="00000000" w14:paraId="0000004E">
      <w:pPr>
        <w:widowControl w:val="0"/>
        <w:tabs>
          <w:tab w:val="left" w:leader="none" w:pos="44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5.3.4.1. </w:t>
      </w:r>
      <w:r w:rsidDel="00000000" w:rsidR="00000000" w:rsidRPr="00000000">
        <w:rPr>
          <w:rFonts w:ascii="Times New Roman" w:cs="Times New Roman" w:eastAsia="Times New Roman" w:hAnsi="Times New Roman"/>
          <w:sz w:val="20"/>
          <w:szCs w:val="20"/>
          <w:rtl w:val="0"/>
        </w:rPr>
        <w:t xml:space="preserve">Para fins de habilitação, a licitante deverá apresentar atestado(s) de capacidade técnica emitido(s) por pessoa jurídica de direito público ou privado, que comprove(m) a execução de fornecimentos compatíveis em características, quantidades e prazos com o objeto desta licitação, nos termos do </w:t>
      </w:r>
      <w:hyperlink r:id="rId10">
        <w:r w:rsidDel="00000000" w:rsidR="00000000" w:rsidRPr="00000000">
          <w:rPr>
            <w:rFonts w:ascii="Times New Roman" w:cs="Times New Roman" w:eastAsia="Times New Roman" w:hAnsi="Times New Roman"/>
            <w:color w:val="1155cc"/>
            <w:sz w:val="20"/>
            <w:szCs w:val="20"/>
            <w:u w:val="single"/>
            <w:rtl w:val="0"/>
          </w:rPr>
          <w:t xml:space="preserve">art. 67 da Lei nº 14.133/2021</w:t>
        </w:r>
      </w:hyperlink>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4F">
      <w:pPr>
        <w:widowControl w:val="0"/>
        <w:tabs>
          <w:tab w:val="left" w:leader="none" w:pos="44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5.3.4.2. </w:t>
      </w:r>
      <w:r w:rsidDel="00000000" w:rsidR="00000000" w:rsidRPr="00000000">
        <w:rPr>
          <w:rFonts w:ascii="Times New Roman" w:cs="Times New Roman" w:eastAsia="Times New Roman" w:hAnsi="Times New Roman"/>
          <w:sz w:val="20"/>
          <w:szCs w:val="20"/>
          <w:rtl w:val="0"/>
        </w:rPr>
        <w:t xml:space="preserve">Os atestados deverão estar emitidos em papel timbrado da entidade emitente, devidamente assinados e conter, no mínimo:</w:t>
      </w:r>
    </w:p>
    <w:p w:rsidR="00000000" w:rsidDel="00000000" w:rsidP="00000000" w:rsidRDefault="00000000" w:rsidRPr="00000000" w14:paraId="00000050">
      <w:pPr>
        <w:widowControl w:val="0"/>
        <w:numPr>
          <w:ilvl w:val="0"/>
          <w:numId w:val="12"/>
        </w:numPr>
        <w:tabs>
          <w:tab w:val="left" w:leader="none" w:pos="44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identificação da entidade emitente e da licitante;</w:t>
      </w:r>
    </w:p>
    <w:p w:rsidR="00000000" w:rsidDel="00000000" w:rsidP="00000000" w:rsidRDefault="00000000" w:rsidRPr="00000000" w14:paraId="00000051">
      <w:pPr>
        <w:widowControl w:val="0"/>
        <w:numPr>
          <w:ilvl w:val="0"/>
          <w:numId w:val="12"/>
        </w:numPr>
        <w:tabs>
          <w:tab w:val="left" w:leader="none" w:pos="44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descrição dos materiais fornecidos ou serviços prestados;</w:t>
      </w:r>
    </w:p>
    <w:p w:rsidR="00000000" w:rsidDel="00000000" w:rsidP="00000000" w:rsidRDefault="00000000" w:rsidRPr="00000000" w14:paraId="00000052">
      <w:pPr>
        <w:widowControl w:val="0"/>
        <w:numPr>
          <w:ilvl w:val="0"/>
          <w:numId w:val="12"/>
        </w:numPr>
        <w:tabs>
          <w:tab w:val="left" w:leader="none" w:pos="44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Os prazos de execução/entrega;</w:t>
      </w:r>
    </w:p>
    <w:p w:rsidR="00000000" w:rsidDel="00000000" w:rsidP="00000000" w:rsidRDefault="00000000" w:rsidRPr="00000000" w14:paraId="00000053">
      <w:pPr>
        <w:widowControl w:val="0"/>
        <w:numPr>
          <w:ilvl w:val="0"/>
          <w:numId w:val="12"/>
        </w:numPr>
        <w:tabs>
          <w:tab w:val="left" w:leader="none" w:pos="44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data e o local da prestação do serviço ou fornecimento;</w:t>
      </w:r>
    </w:p>
    <w:p w:rsidR="00000000" w:rsidDel="00000000" w:rsidP="00000000" w:rsidRDefault="00000000" w:rsidRPr="00000000" w14:paraId="00000054">
      <w:pPr>
        <w:widowControl w:val="0"/>
        <w:numPr>
          <w:ilvl w:val="0"/>
          <w:numId w:val="12"/>
        </w:numPr>
        <w:tabs>
          <w:tab w:val="left" w:leader="none" w:pos="44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 a confirmação de que os serviços ou fornecimentos foram realizados a contento.</w:t>
      </w:r>
    </w:p>
    <w:p w:rsidR="00000000" w:rsidDel="00000000" w:rsidP="00000000" w:rsidRDefault="00000000" w:rsidRPr="00000000" w14:paraId="00000055">
      <w:pPr>
        <w:widowControl w:val="0"/>
        <w:tabs>
          <w:tab w:val="left" w:leader="none" w:pos="44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5.3.4.3. </w:t>
      </w:r>
      <w:r w:rsidDel="00000000" w:rsidR="00000000" w:rsidRPr="00000000">
        <w:rPr>
          <w:rFonts w:ascii="Times New Roman" w:cs="Times New Roman" w:eastAsia="Times New Roman" w:hAnsi="Times New Roman"/>
          <w:sz w:val="20"/>
          <w:szCs w:val="20"/>
          <w:rtl w:val="0"/>
        </w:rPr>
        <w:t xml:space="preserve">Quando permitida a participação de empresas estrangeiras que não funcionem no País, as exigências de habilitação serão atendidas mediante documentos equivalentes, apresentados em tradução livre para a língua portuguesa deste país, seguindo Normas Técnicas em acordo com a ABNT.</w:t>
      </w:r>
    </w:p>
    <w:p w:rsidR="00000000" w:rsidDel="00000000" w:rsidP="00000000" w:rsidRDefault="00000000" w:rsidRPr="00000000" w14:paraId="00000056">
      <w:pPr>
        <w:widowControl w:val="0"/>
        <w:tabs>
          <w:tab w:val="left" w:leader="none" w:pos="44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5.3.4.4. </w:t>
      </w:r>
      <w:r w:rsidDel="00000000" w:rsidR="00000000" w:rsidRPr="00000000">
        <w:rPr>
          <w:rFonts w:ascii="Times New Roman" w:cs="Times New Roman" w:eastAsia="Times New Roman" w:hAnsi="Times New Roman"/>
          <w:sz w:val="20"/>
          <w:szCs w:val="20"/>
          <w:rtl w:val="0"/>
        </w:rPr>
        <w:t xml:space="preserve">Fica assegurado à Administração o direito de realizar diligências para verificar a veracidade das informações constantes dos documentos apresentados.</w:t>
      </w:r>
    </w:p>
    <w:p w:rsidR="00000000" w:rsidDel="00000000" w:rsidP="00000000" w:rsidRDefault="00000000" w:rsidRPr="00000000" w14:paraId="00000057">
      <w:pPr>
        <w:widowControl w:val="0"/>
        <w:tabs>
          <w:tab w:val="left" w:leader="none" w:pos="443"/>
        </w:tabs>
        <w:spacing w:after="180" w:before="180" w:line="360" w:lineRule="auto"/>
        <w:jc w:val="both"/>
        <w:rPr>
          <w:rFonts w:ascii="Times New Roman" w:cs="Times New Roman" w:eastAsia="Times New Roman" w:hAnsi="Times New Roman"/>
          <w:b w:val="1"/>
          <w:bCs w:val="1"/>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5.3.4.5. O objeto social descrito no ato constitutivo referente à habilitação deverá possuir ramo de atividade compatível ao objeto licitado.</w:t>
      </w:r>
    </w:p>
    <w:p w:rsidR="00000000" w:rsidDel="00000000" w:rsidP="00000000" w:rsidRDefault="00000000" w:rsidRPr="00000000" w14:paraId="00000058">
      <w:pPr>
        <w:widowControl w:val="0"/>
        <w:tabs>
          <w:tab w:val="left" w:leader="none" w:pos="443"/>
        </w:tabs>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5.3.4.6.</w:t>
      </w:r>
      <w:r w:rsidDel="00000000" w:rsidR="00000000" w:rsidRPr="00000000">
        <w:rPr>
          <w:rFonts w:ascii="Times New Roman" w:cs="Times New Roman" w:eastAsia="Times New Roman" w:hAnsi="Times New Roman"/>
          <w:sz w:val="20"/>
          <w:szCs w:val="20"/>
          <w:rtl w:val="0"/>
        </w:rPr>
        <w:t xml:space="preserve"> Qualquer informação incompleta ou inverídica constante dos documentos apresentados apurada pelo (a) Pregoeiro (a), mediante simples conferência ou diligência, implicará na inabilitação da respectiva licitante e envio dos documentos para o M.P.M.G (Ministério Público de Minas Gerais), para apuração, se possível, de prática delituosa, conforme lei n.º 14.1433/2021.</w:t>
      </w:r>
    </w:p>
    <w:p w:rsidR="00000000" w:rsidDel="00000000" w:rsidP="00000000" w:rsidRDefault="00000000" w:rsidRPr="00000000" w14:paraId="00000059">
      <w:pPr>
        <w:pStyle w:val="Heading3"/>
        <w:keepNext w:val="0"/>
        <w:keepLines w:val="0"/>
        <w:widowControl w:val="0"/>
        <w:tabs>
          <w:tab w:val="left" w:leader="none" w:pos="443"/>
        </w:tabs>
        <w:spacing w:after="180" w:before="180" w:line="360" w:lineRule="auto"/>
        <w:jc w:val="both"/>
        <w:rPr>
          <w:rFonts w:ascii="Times New Roman" w:cs="Times New Roman" w:eastAsia="Times New Roman" w:hAnsi="Times New Roman"/>
          <w:sz w:val="20"/>
          <w:szCs w:val="20"/>
        </w:rPr>
      </w:pPr>
      <w:bookmarkStart w:colFirst="0" w:colLast="0" w:name="_heading=h.js2uez1qqwmb" w:id="1"/>
      <w:bookmarkEnd w:id="1"/>
      <w:r w:rsidDel="00000000" w:rsidR="00000000" w:rsidRPr="00000000">
        <w:rPr>
          <w:rFonts w:ascii="Times New Roman" w:cs="Times New Roman" w:eastAsia="Times New Roman" w:hAnsi="Times New Roman"/>
          <w:sz w:val="20"/>
          <w:szCs w:val="20"/>
          <w:rtl w:val="0"/>
        </w:rPr>
        <w:t xml:space="preserve">5.3.4.7. Responsabilidade técnica e registros profissionais (CREA/ART)</w:t>
      </w:r>
    </w:p>
    <w:p w:rsidR="00000000" w:rsidDel="00000000" w:rsidP="00000000" w:rsidRDefault="00000000" w:rsidRPr="00000000" w14:paraId="0000005A">
      <w:pPr>
        <w:widowControl w:val="0"/>
        <w:numPr>
          <w:ilvl w:val="0"/>
          <w:numId w:val="2"/>
        </w:numPr>
        <w:tabs>
          <w:tab w:val="left" w:leader="none" w:pos="44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Registro da empresa no Conselho Regional de Engenharia e Agronomia (</w:t>
      </w:r>
      <w:r w:rsidDel="00000000" w:rsidR="00000000" w:rsidRPr="00000000">
        <w:rPr>
          <w:rFonts w:ascii="Times New Roman" w:cs="Times New Roman" w:eastAsia="Times New Roman" w:hAnsi="Times New Roman"/>
          <w:b w:val="1"/>
          <w:bCs w:val="1"/>
          <w:sz w:val="20"/>
          <w:szCs w:val="20"/>
          <w:rtl w:val="0"/>
        </w:rPr>
        <w:t xml:space="preserve">CREA</w:t>
      </w:r>
      <w:r w:rsidDel="00000000" w:rsidR="00000000" w:rsidRPr="00000000">
        <w:rPr>
          <w:rFonts w:ascii="Times New Roman" w:cs="Times New Roman" w:eastAsia="Times New Roman" w:hAnsi="Times New Roman"/>
          <w:sz w:val="20"/>
          <w:szCs w:val="20"/>
          <w:rtl w:val="0"/>
        </w:rPr>
        <w:t xml:space="preserve">), quando aplicável;</w:t>
      </w:r>
    </w:p>
    <w:p w:rsidR="00000000" w:rsidDel="00000000" w:rsidP="00000000" w:rsidRDefault="00000000" w:rsidRPr="00000000" w14:paraId="0000005B">
      <w:pPr>
        <w:widowControl w:val="0"/>
        <w:numPr>
          <w:ilvl w:val="0"/>
          <w:numId w:val="2"/>
        </w:numPr>
        <w:tabs>
          <w:tab w:val="left" w:leader="none" w:pos="44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Indicação de responsável técnico devidamente registrado no CREA;</w:t>
      </w:r>
    </w:p>
    <w:p w:rsidR="00000000" w:rsidDel="00000000" w:rsidP="00000000" w:rsidRDefault="00000000" w:rsidRPr="00000000" w14:paraId="0000005C">
      <w:pPr>
        <w:widowControl w:val="0"/>
        <w:numPr>
          <w:ilvl w:val="0"/>
          <w:numId w:val="2"/>
        </w:numPr>
        <w:tabs>
          <w:tab w:val="left" w:leader="none" w:pos="44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Apresentação de </w:t>
      </w:r>
      <w:r w:rsidDel="00000000" w:rsidR="00000000" w:rsidRPr="00000000">
        <w:rPr>
          <w:rFonts w:ascii="Times New Roman" w:cs="Times New Roman" w:eastAsia="Times New Roman" w:hAnsi="Times New Roman"/>
          <w:b w:val="1"/>
          <w:bCs w:val="1"/>
          <w:sz w:val="20"/>
          <w:szCs w:val="20"/>
          <w:rtl w:val="0"/>
        </w:rPr>
        <w:t xml:space="preserve">ART (Anotação de Responsabilidade Técnica)</w:t>
      </w:r>
      <w:r w:rsidDel="00000000" w:rsidR="00000000" w:rsidRPr="00000000">
        <w:rPr>
          <w:rFonts w:ascii="Times New Roman" w:cs="Times New Roman" w:eastAsia="Times New Roman" w:hAnsi="Times New Roman"/>
          <w:sz w:val="20"/>
          <w:szCs w:val="20"/>
          <w:rtl w:val="0"/>
        </w:rPr>
        <w:t xml:space="preserve"> referente à montagem, operação e responsabilidade pelos sistemas elétricos, estruturas e equipamentos utilizados nos trios elétricos e veículos adaptados;</w:t>
      </w:r>
    </w:p>
    <w:p w:rsidR="00000000" w:rsidDel="00000000" w:rsidP="00000000" w:rsidRDefault="00000000" w:rsidRPr="00000000" w14:paraId="0000005D">
      <w:pPr>
        <w:widowControl w:val="0"/>
        <w:numPr>
          <w:ilvl w:val="0"/>
          <w:numId w:val="2"/>
        </w:numPr>
        <w:tabs>
          <w:tab w:val="left" w:leader="none" w:pos="44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Em casos de montagem de estruturas e instalações elétricas provisórias, a ART deverá abranger também os sistemas de iluminação, sonorização e geração de energia.</w:t>
      </w:r>
    </w:p>
    <w:p w:rsidR="00000000" w:rsidDel="00000000" w:rsidP="00000000" w:rsidRDefault="00000000" w:rsidRPr="00000000" w14:paraId="0000005E">
      <w:pPr>
        <w:pStyle w:val="Heading3"/>
        <w:keepNext w:val="0"/>
        <w:keepLines w:val="0"/>
        <w:widowControl w:val="0"/>
        <w:tabs>
          <w:tab w:val="left" w:leader="none" w:pos="443"/>
        </w:tabs>
        <w:spacing w:after="180" w:before="180" w:line="360" w:lineRule="auto"/>
        <w:jc w:val="both"/>
        <w:rPr>
          <w:rFonts w:ascii="Times New Roman" w:cs="Times New Roman" w:eastAsia="Times New Roman" w:hAnsi="Times New Roman"/>
          <w:sz w:val="20"/>
          <w:szCs w:val="20"/>
        </w:rPr>
      </w:pPr>
      <w:bookmarkStart w:colFirst="0" w:colLast="0" w:name="_heading=h.8g3zpfjj8p8" w:id="2"/>
      <w:bookmarkEnd w:id="2"/>
      <w:r w:rsidDel="00000000" w:rsidR="00000000" w:rsidRPr="00000000">
        <w:rPr>
          <w:rFonts w:ascii="Times New Roman" w:cs="Times New Roman" w:eastAsia="Times New Roman" w:hAnsi="Times New Roman"/>
          <w:sz w:val="20"/>
          <w:szCs w:val="20"/>
          <w:rtl w:val="0"/>
        </w:rPr>
        <w:t xml:space="preserve">5.3.4.8. Segurança contra incêndio e pânico (Corpo de Bombeiros Militar)</w:t>
      </w:r>
    </w:p>
    <w:p w:rsidR="00000000" w:rsidDel="00000000" w:rsidP="00000000" w:rsidRDefault="00000000" w:rsidRPr="00000000" w14:paraId="0000005F">
      <w:pPr>
        <w:widowControl w:val="0"/>
        <w:numPr>
          <w:ilvl w:val="0"/>
          <w:numId w:val="4"/>
        </w:numPr>
        <w:tabs>
          <w:tab w:val="left" w:leader="none" w:pos="44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Auto de Vistoria do Corpo de Bombeiros (AVCB)</w:t>
      </w:r>
      <w:r w:rsidDel="00000000" w:rsidR="00000000" w:rsidRPr="00000000">
        <w:rPr>
          <w:rFonts w:ascii="Times New Roman" w:cs="Times New Roman" w:eastAsia="Times New Roman" w:hAnsi="Times New Roman"/>
          <w:sz w:val="20"/>
          <w:szCs w:val="20"/>
          <w:rtl w:val="0"/>
        </w:rPr>
        <w:t xml:space="preserve"> ou documento equivalente válido para os veículos/estruturas (trios elétricos e caminhões adaptados);</w:t>
      </w:r>
    </w:p>
    <w:p w:rsidR="00000000" w:rsidDel="00000000" w:rsidP="00000000" w:rsidRDefault="00000000" w:rsidRPr="00000000" w14:paraId="00000060">
      <w:pPr>
        <w:widowControl w:val="0"/>
        <w:numPr>
          <w:ilvl w:val="0"/>
          <w:numId w:val="4"/>
        </w:numPr>
        <w:tabs>
          <w:tab w:val="left" w:leader="none" w:pos="44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Certificação de conformidade das instalações elétricas provisórias utilizadas em eventos;</w:t>
      </w:r>
    </w:p>
    <w:p w:rsidR="00000000" w:rsidDel="00000000" w:rsidP="00000000" w:rsidRDefault="00000000" w:rsidRPr="00000000" w14:paraId="00000061">
      <w:pPr>
        <w:widowControl w:val="0"/>
        <w:numPr>
          <w:ilvl w:val="0"/>
          <w:numId w:val="4"/>
        </w:numPr>
        <w:tabs>
          <w:tab w:val="left" w:leader="none" w:pos="44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Plano de segurança contra incêndio e pânico, quando exigido pelo Corpo de Bombeiros Militar do Estado de Minas Gerais (CBMMG);</w:t>
      </w:r>
    </w:p>
    <w:p w:rsidR="00000000" w:rsidDel="00000000" w:rsidP="00000000" w:rsidRDefault="00000000" w:rsidRPr="00000000" w14:paraId="00000062">
      <w:pPr>
        <w:widowControl w:val="0"/>
        <w:numPr>
          <w:ilvl w:val="0"/>
          <w:numId w:val="4"/>
        </w:numPr>
        <w:tabs>
          <w:tab w:val="left" w:leader="none" w:pos="44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Comprovação de adequação das saídas de emergência, extintores e dispositivos de segurança instalados nas estruturas móveis.</w:t>
      </w:r>
    </w:p>
    <w:p w:rsidR="00000000" w:rsidDel="00000000" w:rsidP="00000000" w:rsidRDefault="00000000" w:rsidRPr="00000000" w14:paraId="00000063">
      <w:pPr>
        <w:pStyle w:val="Heading3"/>
        <w:keepNext w:val="0"/>
        <w:keepLines w:val="0"/>
        <w:widowControl w:val="0"/>
        <w:tabs>
          <w:tab w:val="left" w:leader="none" w:pos="443"/>
        </w:tabs>
        <w:spacing w:after="180" w:before="180" w:line="360" w:lineRule="auto"/>
        <w:jc w:val="both"/>
        <w:rPr>
          <w:rFonts w:ascii="Times New Roman" w:cs="Times New Roman" w:eastAsia="Times New Roman" w:hAnsi="Times New Roman"/>
          <w:sz w:val="20"/>
          <w:szCs w:val="20"/>
        </w:rPr>
      </w:pPr>
      <w:bookmarkStart w:colFirst="0" w:colLast="0" w:name="_heading=h.t3v7txgss851" w:id="3"/>
      <w:bookmarkEnd w:id="3"/>
      <w:r w:rsidDel="00000000" w:rsidR="00000000" w:rsidRPr="00000000">
        <w:rPr>
          <w:rFonts w:ascii="Times New Roman" w:cs="Times New Roman" w:eastAsia="Times New Roman" w:hAnsi="Times New Roman"/>
          <w:sz w:val="20"/>
          <w:szCs w:val="20"/>
          <w:rtl w:val="0"/>
        </w:rPr>
        <w:t xml:space="preserve">5.3.4.9. Regularidade veicular e operacional</w:t>
      </w:r>
    </w:p>
    <w:p w:rsidR="00000000" w:rsidDel="00000000" w:rsidP="00000000" w:rsidRDefault="00000000" w:rsidRPr="00000000" w14:paraId="00000064">
      <w:pPr>
        <w:widowControl w:val="0"/>
        <w:numPr>
          <w:ilvl w:val="0"/>
          <w:numId w:val="7"/>
        </w:numPr>
        <w:tabs>
          <w:tab w:val="left" w:leader="none" w:pos="44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Certificado de Registro e Licenciamento de Veículo (CRLV) atualizado dos veículos utilizados;</w:t>
      </w:r>
    </w:p>
    <w:p w:rsidR="00000000" w:rsidDel="00000000" w:rsidP="00000000" w:rsidRDefault="00000000" w:rsidRPr="00000000" w14:paraId="00000065">
      <w:pPr>
        <w:widowControl w:val="0"/>
        <w:numPr>
          <w:ilvl w:val="0"/>
          <w:numId w:val="7"/>
        </w:numPr>
        <w:tabs>
          <w:tab w:val="left" w:leader="none" w:pos="44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Comprovação de que os veículos atendem às normas do Código de Trânsito Brasileiro (CTB);</w:t>
      </w:r>
    </w:p>
    <w:p w:rsidR="00000000" w:rsidDel="00000000" w:rsidP="00000000" w:rsidRDefault="00000000" w:rsidRPr="00000000" w14:paraId="00000066">
      <w:pPr>
        <w:widowControl w:val="0"/>
        <w:numPr>
          <w:ilvl w:val="0"/>
          <w:numId w:val="7"/>
        </w:numPr>
        <w:tabs>
          <w:tab w:val="left" w:leader="none" w:pos="44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Autorização para circulação de veículos especiais/adaptados, quando aplicável;</w:t>
      </w:r>
    </w:p>
    <w:p w:rsidR="00000000" w:rsidDel="00000000" w:rsidP="00000000" w:rsidRDefault="00000000" w:rsidRPr="00000000" w14:paraId="00000067">
      <w:pPr>
        <w:widowControl w:val="0"/>
        <w:numPr>
          <w:ilvl w:val="0"/>
          <w:numId w:val="7"/>
        </w:numPr>
        <w:tabs>
          <w:tab w:val="left" w:leader="none" w:pos="44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Alvará ou autorização municipal para operação de carro de som, quando exigido pela legislação local.</w:t>
      </w:r>
    </w:p>
    <w:p w:rsidR="00000000" w:rsidDel="00000000" w:rsidP="00000000" w:rsidRDefault="00000000" w:rsidRPr="00000000" w14:paraId="00000068">
      <w:pPr>
        <w:pStyle w:val="Heading3"/>
        <w:keepNext w:val="0"/>
        <w:keepLines w:val="0"/>
        <w:widowControl w:val="0"/>
        <w:tabs>
          <w:tab w:val="left" w:leader="none" w:pos="443"/>
        </w:tabs>
        <w:spacing w:after="180" w:before="180" w:line="360" w:lineRule="auto"/>
        <w:jc w:val="both"/>
        <w:rPr>
          <w:rFonts w:ascii="Times New Roman" w:cs="Times New Roman" w:eastAsia="Times New Roman" w:hAnsi="Times New Roman"/>
          <w:sz w:val="20"/>
          <w:szCs w:val="20"/>
        </w:rPr>
      </w:pPr>
      <w:bookmarkStart w:colFirst="0" w:colLast="0" w:name="_heading=h.1cvlrf6tzwyt" w:id="4"/>
      <w:bookmarkEnd w:id="4"/>
      <w:r w:rsidDel="00000000" w:rsidR="00000000" w:rsidRPr="00000000">
        <w:rPr>
          <w:rFonts w:ascii="Times New Roman" w:cs="Times New Roman" w:eastAsia="Times New Roman" w:hAnsi="Times New Roman"/>
          <w:sz w:val="20"/>
          <w:szCs w:val="20"/>
          <w:rtl w:val="0"/>
        </w:rPr>
        <w:t xml:space="preserve">5.3.4.10. Segurança do trabalho e operação técnica</w:t>
      </w:r>
    </w:p>
    <w:p w:rsidR="00000000" w:rsidDel="00000000" w:rsidP="00000000" w:rsidRDefault="00000000" w:rsidRPr="00000000" w14:paraId="00000069">
      <w:pPr>
        <w:widowControl w:val="0"/>
        <w:numPr>
          <w:ilvl w:val="0"/>
          <w:numId w:val="3"/>
        </w:numPr>
        <w:tabs>
          <w:tab w:val="left" w:leader="none" w:pos="44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Comprovação de atendimento às normas regulamentadoras do Ministério do Trabalho (NRs aplicáveis, especialmente NR-10 e NR-35, quando houver atividades elétricas e em altura);</w:t>
      </w:r>
    </w:p>
    <w:p w:rsidR="00000000" w:rsidDel="00000000" w:rsidP="00000000" w:rsidRDefault="00000000" w:rsidRPr="00000000" w14:paraId="0000006A">
      <w:pPr>
        <w:widowControl w:val="0"/>
        <w:numPr>
          <w:ilvl w:val="0"/>
          <w:numId w:val="3"/>
        </w:numPr>
        <w:tabs>
          <w:tab w:val="left" w:leader="none" w:pos="44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Certificados de capacitação da equipe técnica operacional;</w:t>
      </w:r>
    </w:p>
    <w:p w:rsidR="00000000" w:rsidDel="00000000" w:rsidP="00000000" w:rsidRDefault="00000000" w:rsidRPr="00000000" w14:paraId="0000006B">
      <w:pPr>
        <w:widowControl w:val="0"/>
        <w:numPr>
          <w:ilvl w:val="0"/>
          <w:numId w:val="3"/>
        </w:numPr>
        <w:tabs>
          <w:tab w:val="left" w:leader="none" w:pos="44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Uso obrigatório de Equipamentos de Proteção Individual (EPIs), quando aplicável;</w:t>
      </w:r>
    </w:p>
    <w:p w:rsidR="00000000" w:rsidDel="00000000" w:rsidP="00000000" w:rsidRDefault="00000000" w:rsidRPr="00000000" w14:paraId="0000006C">
      <w:pPr>
        <w:widowControl w:val="0"/>
        <w:numPr>
          <w:ilvl w:val="0"/>
          <w:numId w:val="3"/>
        </w:numPr>
        <w:tabs>
          <w:tab w:val="left" w:leader="none" w:pos="44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Procedimentos de segurança para montagem, operação e desmontagem dos equipamentos.</w:t>
      </w:r>
    </w:p>
    <w:p w:rsidR="00000000" w:rsidDel="00000000" w:rsidP="00000000" w:rsidRDefault="00000000" w:rsidRPr="00000000" w14:paraId="0000006D">
      <w:pPr>
        <w:pStyle w:val="Heading3"/>
        <w:keepNext w:val="0"/>
        <w:keepLines w:val="0"/>
        <w:widowControl w:val="0"/>
        <w:tabs>
          <w:tab w:val="left" w:leader="none" w:pos="443"/>
        </w:tabs>
        <w:spacing w:after="180" w:before="180" w:line="360" w:lineRule="auto"/>
        <w:jc w:val="both"/>
        <w:rPr>
          <w:rFonts w:ascii="Times New Roman" w:cs="Times New Roman" w:eastAsia="Times New Roman" w:hAnsi="Times New Roman"/>
          <w:sz w:val="20"/>
          <w:szCs w:val="20"/>
        </w:rPr>
      </w:pPr>
      <w:bookmarkStart w:colFirst="0" w:colLast="0" w:name="_heading=h.nomhr12rznjp" w:id="5"/>
      <w:bookmarkEnd w:id="5"/>
      <w:r w:rsidDel="00000000" w:rsidR="00000000" w:rsidRPr="00000000">
        <w:rPr>
          <w:rFonts w:ascii="Times New Roman" w:cs="Times New Roman" w:eastAsia="Times New Roman" w:hAnsi="Times New Roman"/>
          <w:sz w:val="20"/>
          <w:szCs w:val="20"/>
          <w:rtl w:val="0"/>
        </w:rPr>
        <w:t xml:space="preserve">5.3.4.11. Requisitos técnicos dos equipamentos e operação</w:t>
      </w:r>
    </w:p>
    <w:p w:rsidR="00000000" w:rsidDel="00000000" w:rsidP="00000000" w:rsidRDefault="00000000" w:rsidRPr="00000000" w14:paraId="0000006E">
      <w:pPr>
        <w:widowControl w:val="0"/>
        <w:numPr>
          <w:ilvl w:val="0"/>
          <w:numId w:val="18"/>
        </w:numPr>
        <w:tabs>
          <w:tab w:val="left" w:leader="none" w:pos="44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Laudos ou declarações de manutenção preventiva dos equipamentos de som, iluminação e geradores;</w:t>
      </w:r>
    </w:p>
    <w:p w:rsidR="00000000" w:rsidDel="00000000" w:rsidP="00000000" w:rsidRDefault="00000000" w:rsidRPr="00000000" w14:paraId="0000006F">
      <w:pPr>
        <w:widowControl w:val="0"/>
        <w:numPr>
          <w:ilvl w:val="0"/>
          <w:numId w:val="18"/>
        </w:numPr>
        <w:tabs>
          <w:tab w:val="left" w:leader="none" w:pos="44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Comprovação de adequação técnica dos sistemas de sonorização e energia;</w:t>
      </w:r>
    </w:p>
    <w:p w:rsidR="00000000" w:rsidDel="00000000" w:rsidP="00000000" w:rsidRDefault="00000000" w:rsidRPr="00000000" w14:paraId="00000070">
      <w:pPr>
        <w:widowControl w:val="0"/>
        <w:numPr>
          <w:ilvl w:val="0"/>
          <w:numId w:val="18"/>
        </w:numPr>
        <w:tabs>
          <w:tab w:val="left" w:leader="none" w:pos="44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Relatórios de inspeção e testes operacionais antes da execução dos eventos, quando solicitado pela Administração.</w:t>
      </w:r>
    </w:p>
    <w:p w:rsidR="00000000" w:rsidDel="00000000" w:rsidP="00000000" w:rsidRDefault="00000000" w:rsidRPr="00000000" w14:paraId="00000071">
      <w:pPr>
        <w:pStyle w:val="Heading3"/>
        <w:keepNext w:val="0"/>
        <w:keepLines w:val="0"/>
        <w:widowControl w:val="0"/>
        <w:tabs>
          <w:tab w:val="left" w:leader="none" w:pos="443"/>
        </w:tabs>
        <w:spacing w:after="180" w:before="180" w:line="360" w:lineRule="auto"/>
        <w:jc w:val="both"/>
        <w:rPr>
          <w:rFonts w:ascii="Times New Roman" w:cs="Times New Roman" w:eastAsia="Times New Roman" w:hAnsi="Times New Roman"/>
          <w:sz w:val="20"/>
          <w:szCs w:val="20"/>
        </w:rPr>
      </w:pPr>
      <w:bookmarkStart w:colFirst="0" w:colLast="0" w:name="_heading=h.hw7rix6hqzgc" w:id="6"/>
      <w:bookmarkEnd w:id="6"/>
      <w:r w:rsidDel="00000000" w:rsidR="00000000" w:rsidRPr="00000000">
        <w:rPr>
          <w:rFonts w:ascii="Times New Roman" w:cs="Times New Roman" w:eastAsia="Times New Roman" w:hAnsi="Times New Roman"/>
          <w:sz w:val="20"/>
          <w:szCs w:val="20"/>
          <w:rtl w:val="0"/>
        </w:rPr>
        <w:t xml:space="preserve">5.3.4.12. Observações gerais de conformidade</w:t>
      </w:r>
    </w:p>
    <w:p w:rsidR="00000000" w:rsidDel="00000000" w:rsidP="00000000" w:rsidRDefault="00000000" w:rsidRPr="00000000" w14:paraId="00000072">
      <w:pPr>
        <w:widowControl w:val="0"/>
        <w:numPr>
          <w:ilvl w:val="0"/>
          <w:numId w:val="16"/>
        </w:numPr>
        <w:tabs>
          <w:tab w:val="left" w:leader="none" w:pos="44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Todos os documentos deverão estar válidos durante toda a execução contratual;</w:t>
      </w:r>
    </w:p>
    <w:p w:rsidR="00000000" w:rsidDel="00000000" w:rsidP="00000000" w:rsidRDefault="00000000" w:rsidRPr="00000000" w14:paraId="00000073">
      <w:pPr>
        <w:widowControl w:val="0"/>
        <w:numPr>
          <w:ilvl w:val="0"/>
          <w:numId w:val="16"/>
        </w:numPr>
        <w:tabs>
          <w:tab w:val="left" w:leader="none" w:pos="44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ausência ou irregularidade de qualquer documento poderá implicar suspensão da execução dos serviços e aplicação das sanções previstas na Lei nº 14.133/2021;</w:t>
      </w:r>
    </w:p>
    <w:p w:rsidR="00000000" w:rsidDel="00000000" w:rsidP="00000000" w:rsidRDefault="00000000" w:rsidRPr="00000000" w14:paraId="00000074">
      <w:pPr>
        <w:widowControl w:val="0"/>
        <w:numPr>
          <w:ilvl w:val="0"/>
          <w:numId w:val="16"/>
        </w:numPr>
        <w:tabs>
          <w:tab w:val="left" w:leader="none" w:pos="443"/>
        </w:tabs>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Administração poderá exigir documentação complementar sempre que necessário para resguardar a segurança pública, a regularidade do evento e o interesse coletivo.</w:t>
      </w:r>
    </w:p>
    <w:p w:rsidR="00000000" w:rsidDel="00000000" w:rsidP="00000000" w:rsidRDefault="00000000" w:rsidRPr="00000000" w14:paraId="00000075">
      <w:pPr>
        <w:spacing w:after="180" w:before="18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6 – DOS LOCAIS E CONDIÇÕES PARA A EXECUÇÃO DOS SERVIÇOS</w:t>
      </w:r>
      <w:r w:rsidDel="00000000" w:rsidR="00000000" w:rsidRPr="00000000">
        <w:rPr>
          <w:rtl w:val="0"/>
        </w:rPr>
      </w:r>
    </w:p>
    <w:p w:rsidR="00000000" w:rsidDel="00000000" w:rsidP="00000000" w:rsidRDefault="00000000" w:rsidRPr="00000000" w14:paraId="00000076">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6.1. A execução dos serviços objeto da contratação ocorrerá no território do Município de São José do Mantimento/MG, em locais previamente definidos pela Administração Pública Municipal, conforme a natureza, porte e finalidade de cada evento, campanha ou ação institucional a ser realizada.</w:t>
      </w:r>
    </w:p>
    <w:p w:rsidR="00000000" w:rsidDel="00000000" w:rsidP="00000000" w:rsidRDefault="00000000" w:rsidRPr="00000000" w14:paraId="00000077">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6.2. Os pontos de execução poderão abranger áreas urbanas e rurais do Município, bem como espaços públicos como praças, vias públicas, bairros, comunidades, distritos, ou outros locais determinados formalmente pela Administração, mediante comunicação prévia à contratada.</w:t>
      </w:r>
    </w:p>
    <w:p w:rsidR="00000000" w:rsidDel="00000000" w:rsidP="00000000" w:rsidRDefault="00000000" w:rsidRPr="00000000" w14:paraId="00000078">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6.3. A contratada deverá disponibilizar toda a estrutura necessária à plena execução dos serviços no local designado, incluindo veículos de sonorização, equipamentos de áudio, iluminação, geradores de energia, combustíveis, mão de obra técnica especializada e demais insumos operacionais indispensáveis ao perfeito cumprimento do objeto contratual.</w:t>
      </w:r>
    </w:p>
    <w:p w:rsidR="00000000" w:rsidDel="00000000" w:rsidP="00000000" w:rsidRDefault="00000000" w:rsidRPr="00000000" w14:paraId="00000079">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6.4. A execução deverá observar rigorosamente as normas técnicas aplicáveis, bem como as condições de segurança operacional, responsabilidade técnica e regularidade dos equipamentos utilizados, assegurando a continuidade e a qualidade dos serviços durante toda a sua realização.</w:t>
      </w:r>
    </w:p>
    <w:p w:rsidR="00000000" w:rsidDel="00000000" w:rsidP="00000000" w:rsidRDefault="00000000" w:rsidRPr="00000000" w14:paraId="0000007A">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6.5. O prazo para atendimento das demandas será definido conforme o cronograma de eventos estabelecido pela Administração Municipal, respeitando a antecedência mínima de convocação prevista no instrumento convocatório e/ou contrato, de modo a garantir a adequada organização logística e operacional dos serviços.</w:t>
      </w:r>
    </w:p>
    <w:p w:rsidR="00000000" w:rsidDel="00000000" w:rsidP="00000000" w:rsidRDefault="00000000" w:rsidRPr="00000000" w14:paraId="0000007B">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6.6. A convocação da contratada para execução dos serviços ocorrerá de forma parcelada e sob demanda, conforme planejamento da Administração, caracterizando contratação sob regime de execução contínua eventual, vinculada às necessidades institucionais e ao calendário oficial de eventos do Município.</w:t>
      </w:r>
    </w:p>
    <w:p w:rsidR="00000000" w:rsidDel="00000000" w:rsidP="00000000" w:rsidRDefault="00000000" w:rsidRPr="00000000" w14:paraId="0000007C">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6.7. A contratada deverá assegurar plena disponibilidade operacional para atendimento das demandas dentro dos prazos estabelecidos, não sendo admitidas justificativas relacionadas à ausência de planejamento interno ou indisponibilidade de equipamentos, exceto nos casos devidamente comprovados de força maior, nos termos da legislação aplicável.</w:t>
      </w:r>
    </w:p>
    <w:p w:rsidR="00000000" w:rsidDel="00000000" w:rsidP="00000000" w:rsidRDefault="00000000" w:rsidRPr="00000000" w14:paraId="0000007D">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6.8. Todas as condições de execução deverão observar os princípios da eficiência, continuidade do serviço público, segurança, economicidade e interesse público, em conformidade com a Lei nº 14.133/2021 e com as orientações dos órgãos de controle, especialmente o Tribunal de Contas da União (TCU) e o Tribunal de Contas do Estado de Minas Gerais (TCE-MG).</w:t>
      </w:r>
    </w:p>
    <w:p w:rsidR="00000000" w:rsidDel="00000000" w:rsidP="00000000" w:rsidRDefault="00000000" w:rsidRPr="00000000" w14:paraId="0000007E">
      <w:pPr>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bCs w:val="1"/>
          <w:sz w:val="20"/>
          <w:szCs w:val="20"/>
          <w:highlight w:val="white"/>
          <w:u w:val="single"/>
          <w:rtl w:val="0"/>
        </w:rPr>
        <w:t xml:space="preserve">7 – ESTIMATIVA DAS QUANTIDADES</w:t>
      </w:r>
      <w:r w:rsidDel="00000000" w:rsidR="00000000" w:rsidRPr="00000000">
        <w:rPr>
          <w:rtl w:val="0"/>
        </w:rPr>
      </w:r>
    </w:p>
    <w:p w:rsidR="00000000" w:rsidDel="00000000" w:rsidP="00000000" w:rsidRDefault="00000000" w:rsidRPr="00000000" w14:paraId="0000007F">
      <w:pPr>
        <w:spacing w:after="200" w:line="312"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7.1. Os quantitativos estimados são os seguintes:</w:t>
      </w:r>
    </w:p>
    <w:tbl>
      <w:tblPr>
        <w:tblStyle w:val="Table1"/>
        <w:tblW w:w="910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85"/>
        <w:gridCol w:w="1485"/>
        <w:gridCol w:w="5655"/>
        <w:gridCol w:w="780"/>
        <w:gridCol w:w="600"/>
        <w:tblGridChange w:id="0">
          <w:tblGrid>
            <w:gridCol w:w="585"/>
            <w:gridCol w:w="1485"/>
            <w:gridCol w:w="5655"/>
            <w:gridCol w:w="780"/>
            <w:gridCol w:w="600"/>
          </w:tblGrid>
        </w:tblGridChange>
      </w:tblGrid>
      <w:tr>
        <w:trPr>
          <w:cantSplit w:val="0"/>
          <w:trHeight w:val="495" w:hRule="atLeast"/>
          <w:tblHeader w:val="0"/>
        </w:trPr>
        <w:tc>
          <w:tcPr>
            <w:tcBorders>
              <w:top w:color="000000" w:space="0" w:sz="8" w:val="single"/>
              <w:left w:color="000000" w:space="0" w:sz="8" w:val="single"/>
              <w:bottom w:color="000000" w:space="0" w:sz="8" w:val="single"/>
              <w:right w:color="000000" w:space="0" w:sz="8" w:val="single"/>
            </w:tcBorders>
            <w:tcMar>
              <w:top w:w="40.0" w:type="dxa"/>
              <w:left w:w="40.0" w:type="dxa"/>
              <w:bottom w:w="40.0" w:type="dxa"/>
              <w:right w:w="40.0" w:type="dxa"/>
            </w:tcMar>
            <w:vAlign w:val="center"/>
          </w:tcPr>
          <w:p w:rsidR="00000000" w:rsidDel="00000000" w:rsidP="00000000" w:rsidRDefault="00000000" w:rsidRPr="00000000" w14:paraId="00000080">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ITEM</w:t>
            </w:r>
            <w:r w:rsidDel="00000000" w:rsidR="00000000" w:rsidRPr="00000000">
              <w:rPr>
                <w:rtl w:val="0"/>
              </w:rPr>
            </w:r>
          </w:p>
        </w:tc>
        <w:tc>
          <w:tcPr>
            <w:tcBorders>
              <w:top w:color="000000" w:space="0" w:sz="8" w:val="single"/>
              <w:left w:color="cccccc" w:space="0" w:sz="8" w:val="single"/>
              <w:bottom w:color="000000" w:space="0" w:sz="8" w:val="single"/>
              <w:right w:color="000000" w:space="0" w:sz="8" w:val="single"/>
            </w:tcBorders>
            <w:tcMar>
              <w:top w:w="40.0" w:type="dxa"/>
              <w:left w:w="40.0" w:type="dxa"/>
              <w:bottom w:w="40.0" w:type="dxa"/>
              <w:right w:w="40.0" w:type="dxa"/>
            </w:tcMar>
            <w:vAlign w:val="center"/>
          </w:tcPr>
          <w:p w:rsidR="00000000" w:rsidDel="00000000" w:rsidP="00000000" w:rsidRDefault="00000000" w:rsidRPr="00000000" w14:paraId="00000081">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DESCRIÇÃO</w:t>
            </w:r>
            <w:r w:rsidDel="00000000" w:rsidR="00000000" w:rsidRPr="00000000">
              <w:rPr>
                <w:rtl w:val="0"/>
              </w:rPr>
            </w:r>
          </w:p>
        </w:tc>
        <w:tc>
          <w:tcPr>
            <w:tcBorders>
              <w:top w:color="000000" w:space="0" w:sz="8" w:val="single"/>
              <w:left w:color="cccccc" w:space="0" w:sz="8" w:val="single"/>
              <w:bottom w:color="000000" w:space="0" w:sz="8" w:val="single"/>
              <w:right w:color="000000" w:space="0" w:sz="8" w:val="single"/>
            </w:tcBorders>
            <w:tcMar>
              <w:top w:w="40.0" w:type="dxa"/>
              <w:left w:w="40.0" w:type="dxa"/>
              <w:bottom w:w="40.0" w:type="dxa"/>
              <w:right w:w="40.0" w:type="dxa"/>
            </w:tcMar>
            <w:vAlign w:val="center"/>
          </w:tcPr>
          <w:p w:rsidR="00000000" w:rsidDel="00000000" w:rsidP="00000000" w:rsidRDefault="00000000" w:rsidRPr="00000000" w14:paraId="00000082">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DETALHAMENTO</w:t>
            </w:r>
            <w:r w:rsidDel="00000000" w:rsidR="00000000" w:rsidRPr="00000000">
              <w:rPr>
                <w:rtl w:val="0"/>
              </w:rPr>
            </w:r>
          </w:p>
        </w:tc>
        <w:tc>
          <w:tcPr>
            <w:tcBorders>
              <w:top w:color="000000" w:space="0" w:sz="8" w:val="single"/>
              <w:left w:color="cccccc" w:space="0" w:sz="8" w:val="single"/>
              <w:bottom w:color="000000" w:space="0" w:sz="8" w:val="single"/>
              <w:right w:color="000000" w:space="0" w:sz="8" w:val="single"/>
            </w:tcBorders>
            <w:tcMar>
              <w:top w:w="40.0" w:type="dxa"/>
              <w:left w:w="40.0" w:type="dxa"/>
              <w:bottom w:w="40.0" w:type="dxa"/>
              <w:right w:w="40.0" w:type="dxa"/>
            </w:tcMar>
            <w:vAlign w:val="center"/>
          </w:tcPr>
          <w:p w:rsidR="00000000" w:rsidDel="00000000" w:rsidP="00000000" w:rsidRDefault="00000000" w:rsidRPr="00000000" w14:paraId="00000083">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UN.</w:t>
            </w:r>
            <w:r w:rsidDel="00000000" w:rsidR="00000000" w:rsidRPr="00000000">
              <w:rPr>
                <w:rtl w:val="0"/>
              </w:rPr>
            </w:r>
          </w:p>
        </w:tc>
        <w:tc>
          <w:tcPr>
            <w:tcBorders>
              <w:top w:color="000000" w:space="0" w:sz="8" w:val="single"/>
              <w:left w:color="cccccc" w:space="0" w:sz="8" w:val="single"/>
              <w:bottom w:color="000000" w:space="0" w:sz="8" w:val="single"/>
              <w:right w:color="000000" w:space="0" w:sz="8" w:val="single"/>
            </w:tcBorders>
            <w:tcMar>
              <w:top w:w="40.0" w:type="dxa"/>
              <w:left w:w="40.0" w:type="dxa"/>
              <w:bottom w:w="40.0" w:type="dxa"/>
              <w:right w:w="40.0" w:type="dxa"/>
            </w:tcMar>
            <w:vAlign w:val="center"/>
          </w:tcPr>
          <w:p w:rsidR="00000000" w:rsidDel="00000000" w:rsidP="00000000" w:rsidRDefault="00000000" w:rsidRPr="00000000" w14:paraId="00000084">
            <w:pPr>
              <w:widowControl w:val="0"/>
              <w:spacing w:line="276" w:lineRule="auto"/>
              <w:jc w:val="center"/>
              <w:rPr>
                <w:sz w:val="20"/>
                <w:szCs w:val="20"/>
              </w:rPr>
            </w:pPr>
            <w:r w:rsidDel="00000000" w:rsidR="00000000" w:rsidRPr="00000000">
              <w:rPr>
                <w:rFonts w:ascii="Times New Roman" w:cs="Times New Roman" w:eastAsia="Times New Roman" w:hAnsi="Times New Roman"/>
                <w:b w:val="1"/>
                <w:bCs w:val="1"/>
                <w:sz w:val="18"/>
                <w:szCs w:val="18"/>
                <w:rtl w:val="0"/>
              </w:rPr>
              <w:t xml:space="preserve">QTD.</w:t>
            </w:r>
            <w:r w:rsidDel="00000000" w:rsidR="00000000" w:rsidRPr="00000000">
              <w:rPr>
                <w:rtl w:val="0"/>
              </w:rPr>
            </w:r>
          </w:p>
        </w:tc>
      </w:tr>
      <w:tr>
        <w:trPr>
          <w:cantSplit w:val="0"/>
          <w:trHeight w:val="7095" w:hRule="atLeast"/>
          <w:tblHeader w:val="0"/>
        </w:trPr>
        <w:tc>
          <w:tcPr>
            <w:tcBorders>
              <w:top w:color="cccccc" w:space="0" w:sz="8" w:val="single"/>
              <w:left w:color="000000" w:space="0" w:sz="8" w:val="single"/>
              <w:bottom w:color="000000" w:space="0" w:sz="8" w:val="single"/>
              <w:right w:color="000000" w:space="0" w:sz="8" w:val="single"/>
            </w:tcBorders>
            <w:tcMar>
              <w:top w:w="40.0" w:type="dxa"/>
              <w:left w:w="40.0" w:type="dxa"/>
              <w:bottom w:w="40.0" w:type="dxa"/>
              <w:right w:w="40.0" w:type="dxa"/>
            </w:tcMar>
            <w:vAlign w:val="center"/>
          </w:tcPr>
          <w:p w:rsidR="00000000" w:rsidDel="00000000" w:rsidP="00000000" w:rsidRDefault="00000000" w:rsidRPr="00000000" w14:paraId="00000085">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1</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tcMar>
              <w:top w:w="40.0" w:type="dxa"/>
              <w:left w:w="40.0" w:type="dxa"/>
              <w:bottom w:w="40.0" w:type="dxa"/>
              <w:right w:w="40.0" w:type="dxa"/>
            </w:tcMar>
            <w:vAlign w:val="center"/>
          </w:tcPr>
          <w:p w:rsidR="00000000" w:rsidDel="00000000" w:rsidP="00000000" w:rsidRDefault="00000000" w:rsidRPr="00000000" w14:paraId="00000086">
            <w:pPr>
              <w:widowControl w:val="0"/>
              <w:spacing w:line="276" w:lineRule="auto"/>
              <w:rPr>
                <w:sz w:val="20"/>
                <w:szCs w:val="20"/>
              </w:rPr>
            </w:pPr>
            <w:r w:rsidDel="00000000" w:rsidR="00000000" w:rsidRPr="00000000">
              <w:rPr>
                <w:rFonts w:ascii="Times New Roman" w:cs="Times New Roman" w:eastAsia="Times New Roman" w:hAnsi="Times New Roman"/>
                <w:sz w:val="18"/>
                <w:szCs w:val="18"/>
                <w:rtl w:val="0"/>
              </w:rPr>
              <w:t xml:space="preserve">CARRO DE SOM VOLANTE (TIPO MINI TRIO)</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tcMar>
              <w:top w:w="40.0" w:type="dxa"/>
              <w:left w:w="40.0" w:type="dxa"/>
              <w:bottom w:w="40.0" w:type="dxa"/>
              <w:right w:w="40.0" w:type="dxa"/>
            </w:tcMar>
            <w:vAlign w:val="center"/>
          </w:tcPr>
          <w:p w:rsidR="00000000" w:rsidDel="00000000" w:rsidP="00000000" w:rsidRDefault="00000000" w:rsidRPr="00000000" w14:paraId="00000087">
            <w:pPr>
              <w:widowControl w:val="0"/>
              <w:spacing w:line="360"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O Lote 01 compreende a disponibilização de veículo de som volante do tipo carroceria Mini Trio, devidamente regularizado junto aos órgãos competentes, obrigatoriamente com Alvará Municipal vigente, apto à circulação e operação em vias urbanas e rurais do Município, com estrutura sonora montada de forma fixa e segura na carroceria.</w:t>
            </w:r>
          </w:p>
          <w:p w:rsidR="00000000" w:rsidDel="00000000" w:rsidP="00000000" w:rsidRDefault="00000000" w:rsidRPr="00000000" w14:paraId="00000088">
            <w:pPr>
              <w:widowControl w:val="0"/>
              <w:spacing w:line="360" w:lineRule="auto"/>
              <w:jc w:val="both"/>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089">
            <w:pPr>
              <w:widowControl w:val="0"/>
              <w:spacing w:line="360"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O sistema de sonorização deverá ser composto, no mínimo, por 08 cornetas de alta eficiência acústica, 06 tweeters destinados à reprodução de frequências agudas, 04 alto-falantes de médio grave e 04 alto-falantes de grave, todos devidamente compatíveis entre si, com potência e impedância adequadas para operação contínua em ambiente externo, garantindo projeção sonora adequada para eventos públicos de pequeno e médio porte.</w:t>
            </w:r>
          </w:p>
          <w:p w:rsidR="00000000" w:rsidDel="00000000" w:rsidP="00000000" w:rsidRDefault="00000000" w:rsidRPr="00000000" w14:paraId="0000008A">
            <w:pPr>
              <w:widowControl w:val="0"/>
              <w:spacing w:line="360" w:lineRule="auto"/>
              <w:jc w:val="both"/>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08B">
            <w:pPr>
              <w:widowControl w:val="0"/>
              <w:spacing w:line="360"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O sistema de controle de áudio deverá contar com mesa de som com, no mínimo, 04 saídas independentes, permitindo ajuste de canais e equalização básica, além de 01 microfone operacional, destinado à locução e comunicação direta com o público.</w:t>
            </w:r>
          </w:p>
          <w:p w:rsidR="00000000" w:rsidDel="00000000" w:rsidP="00000000" w:rsidRDefault="00000000" w:rsidRPr="00000000" w14:paraId="0000008C">
            <w:pPr>
              <w:widowControl w:val="0"/>
              <w:spacing w:line="360" w:lineRule="auto"/>
              <w:jc w:val="both"/>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08D">
            <w:pPr>
              <w:widowControl w:val="0"/>
              <w:spacing w:line="360"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O conjunto deverá ser complementado por 03 amplificadores (módulos) compatíveis com a potência total do sistema, garantindo estabilidade e desempenho contínuo durante toda a execução dos serviços, além de 01 crossover eletrônico responsável pela divisão correta das frequências sonoras entre graves, médios e agudos, assegurando qualidade acústica e redução de distorções.</w:t>
            </w:r>
          </w:p>
          <w:p w:rsidR="00000000" w:rsidDel="00000000" w:rsidP="00000000" w:rsidRDefault="00000000" w:rsidRPr="00000000" w14:paraId="0000008E">
            <w:pPr>
              <w:widowControl w:val="0"/>
              <w:spacing w:line="360" w:lineRule="auto"/>
              <w:jc w:val="both"/>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08F">
            <w:pPr>
              <w:widowControl w:val="0"/>
              <w:spacing w:line="360"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O veículo deverá ser entregue em plenas condições de operação, com todos os equipamentos instalados de forma fixa, segura e devidamente protegida contra intempéries, sendo de inteira responsabilidade da contratada a manutenção, operação, combustível, transporte e suporte técnico durante a execução dos serviços.</w:t>
            </w:r>
          </w:p>
        </w:tc>
        <w:tc>
          <w:tcPr>
            <w:tcBorders>
              <w:top w:color="cccccc" w:space="0" w:sz="8" w:val="single"/>
              <w:left w:color="cccccc" w:space="0" w:sz="8" w:val="single"/>
              <w:bottom w:color="000000" w:space="0" w:sz="8" w:val="single"/>
              <w:right w:color="000000" w:space="0" w:sz="8" w:val="single"/>
            </w:tcBorders>
            <w:tcMar>
              <w:top w:w="40.0" w:type="dxa"/>
              <w:left w:w="40.0" w:type="dxa"/>
              <w:bottom w:w="40.0" w:type="dxa"/>
              <w:right w:w="40.0" w:type="dxa"/>
            </w:tcMar>
            <w:vAlign w:val="center"/>
          </w:tcPr>
          <w:p w:rsidR="00000000" w:rsidDel="00000000" w:rsidP="00000000" w:rsidRDefault="00000000" w:rsidRPr="00000000" w14:paraId="00000090">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HORA</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tcMar>
              <w:top w:w="40.0" w:type="dxa"/>
              <w:left w:w="40.0" w:type="dxa"/>
              <w:bottom w:w="40.0" w:type="dxa"/>
              <w:right w:w="40.0" w:type="dxa"/>
            </w:tcMar>
            <w:vAlign w:val="center"/>
          </w:tcPr>
          <w:p w:rsidR="00000000" w:rsidDel="00000000" w:rsidP="00000000" w:rsidRDefault="00000000" w:rsidRPr="00000000" w14:paraId="00000091">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100</w:t>
            </w:r>
            <w:r w:rsidDel="00000000" w:rsidR="00000000" w:rsidRPr="00000000">
              <w:rPr>
                <w:rtl w:val="0"/>
              </w:rPr>
            </w:r>
          </w:p>
        </w:tc>
      </w:tr>
      <w:tr>
        <w:trPr>
          <w:cantSplit w:val="0"/>
          <w:trHeight w:val="8325" w:hRule="atLeast"/>
          <w:tblHeader w:val="0"/>
        </w:trPr>
        <w:tc>
          <w:tcPr>
            <w:tcBorders>
              <w:top w:color="cccccc" w:space="0" w:sz="8" w:val="single"/>
              <w:left w:color="000000" w:space="0" w:sz="8" w:val="single"/>
              <w:bottom w:color="000000" w:space="0" w:sz="8" w:val="single"/>
              <w:right w:color="000000" w:space="0" w:sz="8" w:val="single"/>
            </w:tcBorders>
            <w:tcMar>
              <w:top w:w="40.0" w:type="dxa"/>
              <w:left w:w="40.0" w:type="dxa"/>
              <w:bottom w:w="40.0" w:type="dxa"/>
              <w:right w:w="40.0" w:type="dxa"/>
            </w:tcMar>
            <w:vAlign w:val="center"/>
          </w:tcPr>
          <w:p w:rsidR="00000000" w:rsidDel="00000000" w:rsidP="00000000" w:rsidRDefault="00000000" w:rsidRPr="00000000" w14:paraId="00000092">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2</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tcMar>
              <w:top w:w="40.0" w:type="dxa"/>
              <w:left w:w="40.0" w:type="dxa"/>
              <w:bottom w:w="40.0" w:type="dxa"/>
              <w:right w:w="40.0" w:type="dxa"/>
            </w:tcMar>
            <w:vAlign w:val="center"/>
          </w:tcPr>
          <w:p w:rsidR="00000000" w:rsidDel="00000000" w:rsidP="00000000" w:rsidRDefault="00000000" w:rsidRPr="00000000" w14:paraId="00000093">
            <w:pPr>
              <w:widowControl w:val="0"/>
              <w:spacing w:line="276" w:lineRule="auto"/>
              <w:rPr>
                <w:sz w:val="20"/>
                <w:szCs w:val="20"/>
              </w:rPr>
            </w:pPr>
            <w:r w:rsidDel="00000000" w:rsidR="00000000" w:rsidRPr="00000000">
              <w:rPr>
                <w:rFonts w:ascii="Times New Roman" w:cs="Times New Roman" w:eastAsia="Times New Roman" w:hAnsi="Times New Roman"/>
                <w:sz w:val="18"/>
                <w:szCs w:val="18"/>
                <w:rtl w:val="0"/>
              </w:rPr>
              <w:t xml:space="preserve">TRIO ELÉTRICO CAMINHÃO</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tcMar>
              <w:top w:w="40.0" w:type="dxa"/>
              <w:left w:w="40.0" w:type="dxa"/>
              <w:bottom w:w="40.0" w:type="dxa"/>
              <w:right w:w="40.0" w:type="dxa"/>
            </w:tcMar>
            <w:vAlign w:val="center"/>
          </w:tcPr>
          <w:p w:rsidR="00000000" w:rsidDel="00000000" w:rsidP="00000000" w:rsidRDefault="00000000" w:rsidRPr="00000000" w14:paraId="00000094">
            <w:pPr>
              <w:widowControl w:val="0"/>
              <w:spacing w:line="360"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O Lote 02 compreende a disponibilização de caminhão adaptado e estruturado como trio elétrico, devidamente regularizado e apto à circulação, com estrutura mínima obrigatória de 3,00 metros de altura, 6,00 metros de comprimento e 1,80 metro de largura, devendo possuir adaptação técnica compatível com a instalação de sistema profissional de som, iluminação e apoio operacional.</w:t>
            </w:r>
          </w:p>
          <w:p w:rsidR="00000000" w:rsidDel="00000000" w:rsidP="00000000" w:rsidRDefault="00000000" w:rsidRPr="00000000" w14:paraId="00000095">
            <w:pPr>
              <w:widowControl w:val="0"/>
              <w:spacing w:line="360" w:lineRule="auto"/>
              <w:jc w:val="both"/>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096">
            <w:pPr>
              <w:widowControl w:val="0"/>
              <w:spacing w:line="360"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O sistema de sonorização deverá ser composto por conjunto técnico profissional, incluindo no mínimo 01 processador de áudio e 01 notebook destinado à operação e controle dos sistemas, bem como 06 caixas de médio grave, 12 alto-falantes de 12 polegadas, 06 drivers de alta frequência tipo TI, 06 caixas de subgrave e 12 alto-falantes de 15 polegadas, todos devidamente dimensionados para garantir alta pressão sonora e qualidade de reprodução em ambientes abertos e eventos de médio porte.</w:t>
            </w:r>
          </w:p>
          <w:p w:rsidR="00000000" w:rsidDel="00000000" w:rsidP="00000000" w:rsidRDefault="00000000" w:rsidRPr="00000000" w14:paraId="00000097">
            <w:pPr>
              <w:widowControl w:val="0"/>
              <w:spacing w:line="360" w:lineRule="auto"/>
              <w:jc w:val="both"/>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098">
            <w:pPr>
              <w:widowControl w:val="0"/>
              <w:spacing w:line="360"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O sistema deverá contar ainda com mesa de som digital de múltiplos canais, compatível com operação profissional, e no mínimo 03 amplificadores de potência adequados ao conjunto, além de ao menos 01 microfone sem fio e 03 microfones com cabo para locução e apresentações.</w:t>
            </w:r>
          </w:p>
          <w:p w:rsidR="00000000" w:rsidDel="00000000" w:rsidP="00000000" w:rsidRDefault="00000000" w:rsidRPr="00000000" w14:paraId="00000099">
            <w:pPr>
              <w:widowControl w:val="0"/>
              <w:spacing w:line="360" w:lineRule="auto"/>
              <w:jc w:val="both"/>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09A">
            <w:pPr>
              <w:widowControl w:val="0"/>
              <w:spacing w:line="360"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No sistema de retorno e apoio musical, deverão ser disponibilizados 01 amplificador para guitarra, 01 cubo para contrabaixo, 04 retornos de chão para músicos, 01 subwoofer dedicado para bateria, 08 fones tipo Porta-Pro e 10 fones de ouvido para monitoramento individual.</w:t>
            </w:r>
          </w:p>
          <w:p w:rsidR="00000000" w:rsidDel="00000000" w:rsidP="00000000" w:rsidRDefault="00000000" w:rsidRPr="00000000" w14:paraId="0000009B">
            <w:pPr>
              <w:widowControl w:val="0"/>
              <w:spacing w:line="360" w:lineRule="auto"/>
              <w:jc w:val="both"/>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09C">
            <w:pPr>
              <w:widowControl w:val="0"/>
              <w:spacing w:line="360"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O conjunto de iluminação deverá ser composto por 01 mesa de controle de iluminação, 01 máquina de fumaça para efeitos cênicos, 10 pares de LED tipo PAR 64 e 04 refletores de luz branca, garantindo ambientação visual adequada aos eventos.</w:t>
            </w:r>
          </w:p>
          <w:p w:rsidR="00000000" w:rsidDel="00000000" w:rsidP="00000000" w:rsidRDefault="00000000" w:rsidRPr="00000000" w14:paraId="0000009D">
            <w:pPr>
              <w:widowControl w:val="0"/>
              <w:spacing w:line="360" w:lineRule="auto"/>
              <w:jc w:val="both"/>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09E">
            <w:pPr>
              <w:widowControl w:val="0"/>
              <w:spacing w:line="360"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O sistema de energia deverá contar com 01 grupo gerador com capacidade mínima de 12 KVA, devidamente instalado e compatível com a demanda elétrica do conjunto, além de cobertura superior em lona branca para proteção da estrutura e piso revestido em grama sintética ou tapetes adequados, garantindo segurança e conforto operacional.</w:t>
            </w:r>
          </w:p>
        </w:tc>
        <w:tc>
          <w:tcPr>
            <w:tcBorders>
              <w:top w:color="cccccc" w:space="0" w:sz="8" w:val="single"/>
              <w:left w:color="cccccc" w:space="0" w:sz="8" w:val="single"/>
              <w:bottom w:color="000000" w:space="0" w:sz="8" w:val="single"/>
              <w:right w:color="000000" w:space="0" w:sz="8" w:val="single"/>
            </w:tcBorders>
            <w:tcMar>
              <w:top w:w="40.0" w:type="dxa"/>
              <w:left w:w="40.0" w:type="dxa"/>
              <w:bottom w:w="40.0" w:type="dxa"/>
              <w:right w:w="40.0" w:type="dxa"/>
            </w:tcMar>
            <w:vAlign w:val="center"/>
          </w:tcPr>
          <w:p w:rsidR="00000000" w:rsidDel="00000000" w:rsidP="00000000" w:rsidRDefault="00000000" w:rsidRPr="00000000" w14:paraId="0000009F">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DIÁRIA</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tcMar>
              <w:top w:w="40.0" w:type="dxa"/>
              <w:left w:w="40.0" w:type="dxa"/>
              <w:bottom w:w="40.0" w:type="dxa"/>
              <w:right w:w="40.0" w:type="dxa"/>
            </w:tcMar>
            <w:vAlign w:val="center"/>
          </w:tcPr>
          <w:p w:rsidR="00000000" w:rsidDel="00000000" w:rsidP="00000000" w:rsidRDefault="00000000" w:rsidRPr="00000000" w14:paraId="000000A0">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12</w:t>
            </w:r>
            <w:r w:rsidDel="00000000" w:rsidR="00000000" w:rsidRPr="00000000">
              <w:rPr>
                <w:rtl w:val="0"/>
              </w:rPr>
            </w:r>
          </w:p>
        </w:tc>
      </w:tr>
      <w:tr>
        <w:trPr>
          <w:cantSplit w:val="0"/>
          <w:trHeight w:val="10590" w:hRule="atLeast"/>
          <w:tblHeader w:val="0"/>
        </w:trPr>
        <w:tc>
          <w:tcPr>
            <w:tcBorders>
              <w:top w:color="cccccc" w:space="0" w:sz="8" w:val="single"/>
              <w:left w:color="000000" w:space="0" w:sz="8" w:val="single"/>
              <w:bottom w:color="000000" w:space="0" w:sz="8" w:val="single"/>
              <w:right w:color="000000" w:space="0" w:sz="8" w:val="single"/>
            </w:tcBorders>
            <w:tcMar>
              <w:top w:w="40.0" w:type="dxa"/>
              <w:left w:w="40.0" w:type="dxa"/>
              <w:bottom w:w="40.0" w:type="dxa"/>
              <w:right w:w="40.0" w:type="dxa"/>
            </w:tcMar>
            <w:vAlign w:val="center"/>
          </w:tcPr>
          <w:p w:rsidR="00000000" w:rsidDel="00000000" w:rsidP="00000000" w:rsidRDefault="00000000" w:rsidRPr="00000000" w14:paraId="000000A1">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3</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tcMar>
              <w:top w:w="40.0" w:type="dxa"/>
              <w:left w:w="40.0" w:type="dxa"/>
              <w:bottom w:w="40.0" w:type="dxa"/>
              <w:right w:w="40.0" w:type="dxa"/>
            </w:tcMar>
            <w:vAlign w:val="center"/>
          </w:tcPr>
          <w:p w:rsidR="00000000" w:rsidDel="00000000" w:rsidP="00000000" w:rsidRDefault="00000000" w:rsidRPr="00000000" w14:paraId="000000A2">
            <w:pPr>
              <w:widowControl w:val="0"/>
              <w:spacing w:line="276" w:lineRule="auto"/>
              <w:rPr>
                <w:sz w:val="20"/>
                <w:szCs w:val="20"/>
              </w:rPr>
            </w:pPr>
            <w:r w:rsidDel="00000000" w:rsidR="00000000" w:rsidRPr="00000000">
              <w:rPr>
                <w:rFonts w:ascii="Times New Roman" w:cs="Times New Roman" w:eastAsia="Times New Roman" w:hAnsi="Times New Roman"/>
                <w:sz w:val="18"/>
                <w:szCs w:val="18"/>
                <w:rtl w:val="0"/>
              </w:rPr>
              <w:t xml:space="preserve">TRIO ELÉTRICO CARRETA</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tcMar>
              <w:top w:w="40.0" w:type="dxa"/>
              <w:left w:w="40.0" w:type="dxa"/>
              <w:bottom w:w="40.0" w:type="dxa"/>
              <w:right w:w="40.0" w:type="dxa"/>
            </w:tcMar>
            <w:vAlign w:val="center"/>
          </w:tcPr>
          <w:p w:rsidR="00000000" w:rsidDel="00000000" w:rsidP="00000000" w:rsidRDefault="00000000" w:rsidRPr="00000000" w14:paraId="000000A3">
            <w:pPr>
              <w:widowControl w:val="0"/>
              <w:spacing w:line="360"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O Lote 03 compreende a disponibilização de carreta de 03 eixos adaptada como trio elétrico de grande porte, devidamente regularizada para circulação, acompanhada de cavalo mecânico compatível com a estrutura e capacidade de tração necessária, com dimensões mínimas de 4,20 metros de altura, 16,00 metros de comprimento e 2,60 metros de largura, configurando estrutura apta à execução de eventos de grande porte e alta demanda sonora e estrutural.</w:t>
            </w:r>
          </w:p>
          <w:p w:rsidR="00000000" w:rsidDel="00000000" w:rsidP="00000000" w:rsidRDefault="00000000" w:rsidRPr="00000000" w14:paraId="000000A4">
            <w:pPr>
              <w:widowControl w:val="0"/>
              <w:spacing w:line="360" w:lineRule="auto"/>
              <w:jc w:val="both"/>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0A5">
            <w:pPr>
              <w:widowControl w:val="0"/>
              <w:spacing w:line="360"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A estrutura deverá conter ainda 01 mini camarim completo, equipado com frigobar, espelho, sofá, tapete e vaso sanitário, destinado ao suporte de artistas, equipe técnica e autoridades, garantindo condições mínimas de conforto e apoio durante a execução dos eventos.</w:t>
            </w:r>
          </w:p>
          <w:p w:rsidR="00000000" w:rsidDel="00000000" w:rsidP="00000000" w:rsidRDefault="00000000" w:rsidRPr="00000000" w14:paraId="000000A6">
            <w:pPr>
              <w:widowControl w:val="0"/>
              <w:spacing w:line="360" w:lineRule="auto"/>
              <w:jc w:val="both"/>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0A7">
            <w:pPr>
              <w:widowControl w:val="0"/>
              <w:spacing w:line="360"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O sistema de sonorização deverá ser de padrão profissional de alta performance, composto por 02 processadores de áudio tipo DBX, 01 notebook operacional, 01 sistema Power Play de 8 canais, 20 caixas de médio grave, 40 alto-falantes de 12 polegadas, 20 drivers de alta frequência tipo TI, 18 caixas de subgrave e 36 alto-falantes de 18 polegadas, além de 02 processadores digitais adicionais DBX para controle e equalização avançada.</w:t>
            </w:r>
          </w:p>
          <w:p w:rsidR="00000000" w:rsidDel="00000000" w:rsidP="00000000" w:rsidRDefault="00000000" w:rsidRPr="00000000" w14:paraId="000000A8">
            <w:pPr>
              <w:widowControl w:val="0"/>
              <w:spacing w:line="360" w:lineRule="auto"/>
              <w:jc w:val="both"/>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0A9">
            <w:pPr>
              <w:widowControl w:val="0"/>
              <w:spacing w:line="360"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O sistema deverá incluir mesa de som digital com no mínimo 48 canais, 04 monitores de retorno tipo clear, 20 amplificadores de potência, no mínimo 02 microfones sem fio, 02 microfones de lapela, 20 microfones com fio, 02 microfones sem fio tipo Shure ou equivalente técnico devidamente comprovado, além de 20 pedestais e 01 sistema de retorno via fone.</w:t>
            </w:r>
          </w:p>
          <w:p w:rsidR="00000000" w:rsidDel="00000000" w:rsidP="00000000" w:rsidRDefault="00000000" w:rsidRPr="00000000" w14:paraId="000000AA">
            <w:pPr>
              <w:widowControl w:val="0"/>
              <w:spacing w:line="360" w:lineRule="auto"/>
              <w:jc w:val="both"/>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0AB">
            <w:pPr>
              <w:widowControl w:val="0"/>
              <w:spacing w:line="360"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No sistema de retorno e apoio musical, deverão ser disponibilizados 01 amplificador para guitarra, 01 cubo para contrabaixo, 04 retornos de chão, 01 subwoofer para bateria, 08 fones tipo Porta-Pro e 10 fones de ouvido, garantindo monitoramento técnico adequado para apresentações musicais.</w:t>
            </w:r>
          </w:p>
          <w:p w:rsidR="00000000" w:rsidDel="00000000" w:rsidP="00000000" w:rsidRDefault="00000000" w:rsidRPr="00000000" w14:paraId="000000AC">
            <w:pPr>
              <w:widowControl w:val="0"/>
              <w:spacing w:line="360" w:lineRule="auto"/>
              <w:jc w:val="both"/>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0AD">
            <w:pPr>
              <w:widowControl w:val="0"/>
              <w:spacing w:line="360"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O sistema de iluminação deverá ser composto por 01 mesa de controle de iluminação, no mínimo 12 moving beam, 01 máquina de fumaça, 20 pares de LED tipo PAR 64, 04 refletores de luz branca, 01 máquina adicional de fumaça e 12 garras tipo LP, garantindo efeitos cênicos de alta performance para eventos noturnos e de grande visibilidade pública.</w:t>
            </w:r>
          </w:p>
          <w:p w:rsidR="00000000" w:rsidDel="00000000" w:rsidP="00000000" w:rsidRDefault="00000000" w:rsidRPr="00000000" w14:paraId="000000AE">
            <w:pPr>
              <w:widowControl w:val="0"/>
              <w:spacing w:line="360" w:lineRule="auto"/>
              <w:jc w:val="both"/>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0AF">
            <w:pPr>
              <w:widowControl w:val="0"/>
              <w:spacing w:line="360" w:lineRule="auto"/>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O sistema de energia deverá contar com 01 grupo gerador de 120 KVA, além de 01 grupo gerador reserva de 100 KVA, assegurando redundância operacional e continuidade dos serviços mesmo em situações de falha elétrica. A estrutura deverá ainda possuir cobertura em lona branca e piso adequado em grama sintética ou material equivalente, garantindo segurança, estabilidade e adequação estética ao evento.</w:t>
            </w:r>
          </w:p>
        </w:tc>
        <w:tc>
          <w:tcPr>
            <w:tcBorders>
              <w:top w:color="cccccc" w:space="0" w:sz="8" w:val="single"/>
              <w:left w:color="cccccc" w:space="0" w:sz="8" w:val="single"/>
              <w:bottom w:color="000000" w:space="0" w:sz="8" w:val="single"/>
              <w:right w:color="000000" w:space="0" w:sz="8" w:val="single"/>
            </w:tcBorders>
            <w:tcMar>
              <w:top w:w="40.0" w:type="dxa"/>
              <w:left w:w="40.0" w:type="dxa"/>
              <w:bottom w:w="40.0" w:type="dxa"/>
              <w:right w:w="40.0" w:type="dxa"/>
            </w:tcMar>
            <w:vAlign w:val="center"/>
          </w:tcPr>
          <w:p w:rsidR="00000000" w:rsidDel="00000000" w:rsidP="00000000" w:rsidRDefault="00000000" w:rsidRPr="00000000" w14:paraId="000000B0">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DIÁRIA</w:t>
            </w:r>
            <w:r w:rsidDel="00000000" w:rsidR="00000000" w:rsidRPr="00000000">
              <w:rPr>
                <w:rtl w:val="0"/>
              </w:rPr>
            </w:r>
          </w:p>
        </w:tc>
        <w:tc>
          <w:tcPr>
            <w:tcBorders>
              <w:top w:color="cccccc" w:space="0" w:sz="8" w:val="single"/>
              <w:left w:color="cccccc" w:space="0" w:sz="8" w:val="single"/>
              <w:bottom w:color="000000" w:space="0" w:sz="8" w:val="single"/>
              <w:right w:color="000000" w:space="0" w:sz="8" w:val="single"/>
            </w:tcBorders>
            <w:tcMar>
              <w:top w:w="40.0" w:type="dxa"/>
              <w:left w:w="40.0" w:type="dxa"/>
              <w:bottom w:w="40.0" w:type="dxa"/>
              <w:right w:w="40.0" w:type="dxa"/>
            </w:tcMar>
            <w:vAlign w:val="center"/>
          </w:tcPr>
          <w:p w:rsidR="00000000" w:rsidDel="00000000" w:rsidP="00000000" w:rsidRDefault="00000000" w:rsidRPr="00000000" w14:paraId="000000B1">
            <w:pPr>
              <w:widowControl w:val="0"/>
              <w:spacing w:line="276" w:lineRule="auto"/>
              <w:jc w:val="center"/>
              <w:rPr>
                <w:sz w:val="20"/>
                <w:szCs w:val="20"/>
              </w:rPr>
            </w:pPr>
            <w:r w:rsidDel="00000000" w:rsidR="00000000" w:rsidRPr="00000000">
              <w:rPr>
                <w:rFonts w:ascii="Times New Roman" w:cs="Times New Roman" w:eastAsia="Times New Roman" w:hAnsi="Times New Roman"/>
                <w:sz w:val="18"/>
                <w:szCs w:val="18"/>
                <w:rtl w:val="0"/>
              </w:rPr>
              <w:t xml:space="preserve">6</w:t>
            </w:r>
            <w:r w:rsidDel="00000000" w:rsidR="00000000" w:rsidRPr="00000000">
              <w:rPr>
                <w:rtl w:val="0"/>
              </w:rPr>
            </w:r>
          </w:p>
        </w:tc>
      </w:tr>
    </w:tbl>
    <w:p w:rsidR="00000000" w:rsidDel="00000000" w:rsidP="00000000" w:rsidRDefault="00000000" w:rsidRPr="00000000" w14:paraId="000000B2">
      <w:pPr>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7.2. A descrição do objeto constante na tabela acima trata-se de referências mínimas e não tem o intuito de direcionamento às marcas ou modelos específicos, mesmo quando mencionadas na descrição, visam apenas esclarecer aos licitantes os produtos pretendidos pela Administração, como padrão de similaridade.</w:t>
      </w:r>
    </w:p>
    <w:p w:rsidR="00000000" w:rsidDel="00000000" w:rsidP="00000000" w:rsidRDefault="00000000" w:rsidRPr="00000000" w14:paraId="000000B3">
      <w:pPr>
        <w:spacing w:after="180" w:before="180" w:line="360" w:lineRule="auto"/>
        <w:jc w:val="both"/>
        <w:rPr>
          <w:rFonts w:ascii="Times New Roman" w:cs="Times New Roman" w:eastAsia="Times New Roman" w:hAnsi="Times New Roman"/>
          <w:b w:val="1"/>
          <w:bCs w:val="1"/>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8 – LEVANTAMENTO DE MERCADO</w:t>
      </w:r>
    </w:p>
    <w:p w:rsidR="00000000" w:rsidDel="00000000" w:rsidP="00000000" w:rsidRDefault="00000000" w:rsidRPr="00000000" w14:paraId="000000B4">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8.1. O levantamento de mercado foi realizado com o objetivo de identificar as soluções tecnicamente disponíveis e economicamente viáveis para atendimento da demanda administrativa, considerando a contratação de serviços especializados de locação de veículos de sonorização (carro de som volante tipo mini trio, trio elétrico caminhão e trio elétrico carreta), com fornecimento de equipamentos de áudio, iluminação, geração de energia e suporte técnico operacional.</w:t>
      </w:r>
    </w:p>
    <w:p w:rsidR="00000000" w:rsidDel="00000000" w:rsidP="00000000" w:rsidRDefault="00000000" w:rsidRPr="00000000" w14:paraId="000000B5">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8.2. Verifica-se que o mercado nacional dispõe de empresas especializadas na prestação de serviços de sonorização móvel e estruturas de grande porte para eventos, com atuação predominante em regime de locação por diária, evento ou pacote operacional, incluindo mão de obra técnica, equipamentos e logística integrada. Trata-se de mercado segmentado, composto por fornecedores de pequeno, médio e grande porte, com capacidade operacional distinta conforme o nível de complexidade do serviço.</w:t>
      </w:r>
    </w:p>
    <w:p w:rsidR="00000000" w:rsidDel="00000000" w:rsidP="00000000" w:rsidRDefault="00000000" w:rsidRPr="00000000" w14:paraId="000000B6">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8.3. Foram identificadas, de forma geral, três soluções de mercado usualmente adotadas por entes públicos e privados para atendimento da demanda:</w:t>
      </w:r>
    </w:p>
    <w:p w:rsidR="00000000" w:rsidDel="00000000" w:rsidP="00000000" w:rsidRDefault="00000000" w:rsidRPr="00000000" w14:paraId="000000B7">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8.3.1. </w:t>
      </w:r>
      <w:r w:rsidDel="00000000" w:rsidR="00000000" w:rsidRPr="00000000">
        <w:rPr>
          <w:rFonts w:ascii="Times New Roman" w:cs="Times New Roman" w:eastAsia="Times New Roman" w:hAnsi="Times New Roman"/>
          <w:b w:val="1"/>
          <w:bCs w:val="1"/>
          <w:sz w:val="20"/>
          <w:szCs w:val="20"/>
          <w:rtl w:val="0"/>
        </w:rPr>
        <w:t xml:space="preserve">Solução 1 – Aquisição de bens permanentes (compra de veículos e equipamentos próprios):</w:t>
      </w:r>
      <w:r w:rsidDel="00000000" w:rsidR="00000000" w:rsidRPr="00000000">
        <w:rPr>
          <w:rFonts w:ascii="Times New Roman" w:cs="Times New Roman" w:eastAsia="Times New Roman" w:hAnsi="Times New Roman"/>
          <w:sz w:val="20"/>
          <w:szCs w:val="20"/>
          <w:rtl w:val="0"/>
        </w:rPr>
        <w:t xml:space="preserve"> consiste na aquisição de veículos adaptados e sistemas completos de sonorização e iluminação para formação de estrutura própria municipal. Essa alternativa apresenta elevado custo inicial de investimento, necessidade de manutenção contínua, equipe técnica permanente, custos de depreciação e alto risco de ociosidade, uma vez que a demanda possui caráter eventual e sazonal.</w:t>
      </w:r>
    </w:p>
    <w:p w:rsidR="00000000" w:rsidDel="00000000" w:rsidP="00000000" w:rsidRDefault="00000000" w:rsidRPr="00000000" w14:paraId="000000B8">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8.3.2. </w:t>
      </w:r>
      <w:r w:rsidDel="00000000" w:rsidR="00000000" w:rsidRPr="00000000">
        <w:rPr>
          <w:rFonts w:ascii="Times New Roman" w:cs="Times New Roman" w:eastAsia="Times New Roman" w:hAnsi="Times New Roman"/>
          <w:b w:val="1"/>
          <w:bCs w:val="1"/>
          <w:sz w:val="20"/>
          <w:szCs w:val="20"/>
          <w:rtl w:val="0"/>
        </w:rPr>
        <w:t xml:space="preserve">Solução 2 – Contratação de serviços avulsos por evento (sem sistema de registro de preços):</w:t>
      </w:r>
      <w:r w:rsidDel="00000000" w:rsidR="00000000" w:rsidRPr="00000000">
        <w:rPr>
          <w:rFonts w:ascii="Times New Roman" w:cs="Times New Roman" w:eastAsia="Times New Roman" w:hAnsi="Times New Roman"/>
          <w:sz w:val="20"/>
          <w:szCs w:val="20"/>
          <w:rtl w:val="0"/>
        </w:rPr>
        <w:t xml:space="preserve"> consiste na contratação pontual de serviços para cada evento específico. Embora operacionalmente simples, essa alternativa pode gerar fragmentação de despesas, aumento de custos administrativos, maior tempo de contratação e risco de descontinuidade na prestação dos serviços, especialmente em eventos simultâneos ou de curta antecedência.</w:t>
      </w:r>
    </w:p>
    <w:p w:rsidR="00000000" w:rsidDel="00000000" w:rsidP="00000000" w:rsidRDefault="00000000" w:rsidRPr="00000000" w14:paraId="000000B9">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8.3.3. </w:t>
      </w:r>
      <w:r w:rsidDel="00000000" w:rsidR="00000000" w:rsidRPr="00000000">
        <w:rPr>
          <w:rFonts w:ascii="Times New Roman" w:cs="Times New Roman" w:eastAsia="Times New Roman" w:hAnsi="Times New Roman"/>
          <w:b w:val="1"/>
          <w:bCs w:val="1"/>
          <w:sz w:val="20"/>
          <w:szCs w:val="20"/>
          <w:rtl w:val="0"/>
        </w:rPr>
        <w:t xml:space="preserve">Solução 3 – Contratação por meio de Sistema de Registro de Preços (SRP):</w:t>
      </w:r>
      <w:r w:rsidDel="00000000" w:rsidR="00000000" w:rsidRPr="00000000">
        <w:rPr>
          <w:rFonts w:ascii="Times New Roman" w:cs="Times New Roman" w:eastAsia="Times New Roman" w:hAnsi="Times New Roman"/>
          <w:sz w:val="20"/>
          <w:szCs w:val="20"/>
          <w:rtl w:val="0"/>
        </w:rPr>
        <w:t xml:space="preserve"> consiste na contratação de empresa(s) especializada(s) mediante registro formal de preços, com utilização sob demanda, conforme necessidade da Administração. Essa solução permite maior flexibilidade operacional, melhor planejamento, padronização dos serviços, redução de custos administrativos e maior eficiência na gestão contratual, sendo amplamente adotada por órgãos públicos, em conformidade com o art. 82 da Lei nº 14.133/2021.</w:t>
      </w:r>
    </w:p>
    <w:p w:rsidR="00000000" w:rsidDel="00000000" w:rsidP="00000000" w:rsidRDefault="00000000" w:rsidRPr="00000000" w14:paraId="000000BA">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8.4. A análise comparativa das soluções evidencia que a alternativa mais vantajosa para a Administração Pública é a contratação por Sistema de Registro de Preços, uma vez que melhor atende ao princípio da eficiência, evita desperdícios decorrentes de estrutura própria subutilizada e permite adequação dinâmica às demandas variáveis do calendário de eventos municipais.</w:t>
      </w:r>
    </w:p>
    <w:p w:rsidR="00000000" w:rsidDel="00000000" w:rsidP="00000000" w:rsidRDefault="00000000" w:rsidRPr="00000000" w14:paraId="000000BB">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8.5. No que se refere à formação de preços, o mercado apresenta variação significativa conforme porte do evento, especificações técnicas dos equipamentos, distância de deslocamento, duração do serviço e nível de complexidade operacional. Dessa forma, recomenda-se a realização de pesquisa de preços com base em fontes diversificadas, tais como contratações similares de outros entes públicos, cotações com fornecedores especializados e bancos de preços oficiais, em conformidade com as diretrizes do Tribunal de Contas da União (TCU) e do Tribunal de Contas do Estado de Minas Gerais (TCE-MG).</w:t>
      </w:r>
    </w:p>
    <w:p w:rsidR="00000000" w:rsidDel="00000000" w:rsidP="00000000" w:rsidRDefault="00000000" w:rsidRPr="00000000" w14:paraId="000000BC">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8.6. Observa-se, ainda, que a contratação de serviços integrados (som, iluminação, estrutura, energia e operação técnica) é prática predominante no mercado, pois garante maior eficiência operacional, reduz riscos de incompatibilidade técnica entre equipamentos e transfere à contratada a responsabilidade integral pela performance do sistema durante os eventos.</w:t>
      </w:r>
    </w:p>
    <w:p w:rsidR="00000000" w:rsidDel="00000000" w:rsidP="00000000" w:rsidRDefault="00000000" w:rsidRPr="00000000" w14:paraId="000000BD">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8.7. Conclui-se, portanto, que o mercado possui plena capacidade de atendimento da demanda, sendo tecnicamente viável a contratação nos moldes propostos, especialmente por meio de Sistema de Registro de Preços, assegurando competitividade, economicidade e adequada execução do objeto.</w:t>
      </w:r>
    </w:p>
    <w:p w:rsidR="00000000" w:rsidDel="00000000" w:rsidP="00000000" w:rsidRDefault="00000000" w:rsidRPr="00000000" w14:paraId="000000BE">
      <w:pPr>
        <w:spacing w:after="180" w:before="180" w:line="360" w:lineRule="auto"/>
        <w:jc w:val="both"/>
        <w:rPr>
          <w:rFonts w:ascii="Times New Roman" w:cs="Times New Roman" w:eastAsia="Times New Roman" w:hAnsi="Times New Roman"/>
          <w:sz w:val="20"/>
          <w:szCs w:val="20"/>
          <w:highlight w:val="white"/>
          <w:u w:val="single"/>
        </w:rPr>
      </w:pPr>
      <w:r w:rsidDel="00000000" w:rsidR="00000000" w:rsidRPr="00000000">
        <w:rPr>
          <w:rFonts w:ascii="Times New Roman" w:cs="Times New Roman" w:eastAsia="Times New Roman" w:hAnsi="Times New Roman"/>
          <w:b w:val="1"/>
          <w:bCs w:val="1"/>
          <w:sz w:val="20"/>
          <w:szCs w:val="20"/>
          <w:highlight w:val="white"/>
          <w:u w:val="single"/>
          <w:rtl w:val="0"/>
        </w:rPr>
        <w:t xml:space="preserve">9 – ESTIMATIVA DO PREÇO DO REGISTRO DE PREÇOS/CONTRATAÇÃO</w:t>
      </w:r>
      <w:r w:rsidDel="00000000" w:rsidR="00000000" w:rsidRPr="00000000">
        <w:rPr>
          <w:rtl w:val="0"/>
        </w:rPr>
      </w:r>
    </w:p>
    <w:p w:rsidR="00000000" w:rsidDel="00000000" w:rsidP="00000000" w:rsidRDefault="00000000" w:rsidRPr="00000000" w14:paraId="000000BF">
      <w:pPr>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9.1. A estimativa de preços da presente contratação foi elaborada com base em ampla pesquisa de mercado, realizada junto a empresas especializadas do ramo, bem como mediante consulta à plataforma BNC (Bolsa Nacional de Compras), observando-se as disposições do art. 23 da Lei nº 14.133/2021 e as orientações técnicas do Tribunal de Contas da União (TCU) e do Tribunal de Contas do Estado de Minas Gerais (TCE-MG), no que se refere à formação do preço estimado e à necessidade de compatibilidade com os valores praticados no mercado.</w:t>
      </w:r>
    </w:p>
    <w:p w:rsidR="00000000" w:rsidDel="00000000" w:rsidP="00000000" w:rsidRDefault="00000000" w:rsidRPr="00000000" w14:paraId="000000C0">
      <w:pPr>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9.2. Para fins de composição do preço estimado, foram considerados parâmetros reais de mercado, incluindo contratações similares realizadas por outros entes públicos, cotações com fornecedores do ramo especializado e análise de valores praticados em processos licitatórios correlatos, assegurando maior fidedignidade à estimativa e mitigação de distorções de precificação.</w:t>
      </w:r>
    </w:p>
    <w:p w:rsidR="00000000" w:rsidDel="00000000" w:rsidP="00000000" w:rsidRDefault="00000000" w:rsidRPr="00000000" w14:paraId="000000C1">
      <w:pPr>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9.3. Foram igualmente considerados fatores técnicos e operacionais inerentes ao objeto, tais como porte e complexidade dos equipamentos, logística de deslocamento, disponibilidade de estrutura completa (som, iluminação, geração de energia e suporte técnico), bem como o nível de especialização exigido para execução dos serviços em eventos de pequeno, médio e grande porte.</w:t>
      </w:r>
    </w:p>
    <w:p w:rsidR="00000000" w:rsidDel="00000000" w:rsidP="00000000" w:rsidRDefault="00000000" w:rsidRPr="00000000" w14:paraId="000000C2">
      <w:pPr>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9.4. O valor total estimado para a contratação é de </w:t>
      </w:r>
      <w:r w:rsidDel="00000000" w:rsidR="00000000" w:rsidRPr="00000000">
        <w:rPr>
          <w:rFonts w:ascii="Times New Roman" w:cs="Times New Roman" w:eastAsia="Times New Roman" w:hAnsi="Times New Roman"/>
          <w:b w:val="1"/>
          <w:bCs w:val="1"/>
          <w:sz w:val="20"/>
          <w:szCs w:val="20"/>
          <w:highlight w:val="white"/>
          <w:rtl w:val="0"/>
        </w:rPr>
        <w:t xml:space="preserve">R$ 227.338,83 (duzentos e vinte e sete mil trezentos e trinta e oito reais e oitenta e três centavos)</w:t>
      </w:r>
      <w:r w:rsidDel="00000000" w:rsidR="00000000" w:rsidRPr="00000000">
        <w:rPr>
          <w:rFonts w:ascii="Times New Roman" w:cs="Times New Roman" w:eastAsia="Times New Roman" w:hAnsi="Times New Roman"/>
          <w:sz w:val="20"/>
          <w:szCs w:val="20"/>
          <w:highlight w:val="white"/>
          <w:rtl w:val="0"/>
        </w:rPr>
        <w:t xml:space="preserve">.</w:t>
      </w:r>
    </w:p>
    <w:p w:rsidR="00000000" w:rsidDel="00000000" w:rsidP="00000000" w:rsidRDefault="00000000" w:rsidRPr="00000000" w14:paraId="000000C3">
      <w:pPr>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9.5. O valor estimado reflete a média dos preços obtidos nas fontes consultadas, sendo considerado compatível com os praticados no mercado e adequado à realidade da Administração Pública Municipal, atendendo aos princípios da economicidade, razoabilidade, eficiência e vantajosidade, nos termos da Lei nº 14.133/2021.</w:t>
      </w:r>
    </w:p>
    <w:p w:rsidR="00000000" w:rsidDel="00000000" w:rsidP="00000000" w:rsidRDefault="00000000" w:rsidRPr="00000000" w14:paraId="000000C4">
      <w:pPr>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9.6. Ressalta-se que os quantitativos e valores constantes da estimativa possuem natureza meramente referencial, não gerando obrigação de contratação integral por parte da Administração, em razão da adoção do Sistema de Registro de Preços, nos termos do art. 82 da Lei nº 14.133/2021, permitindo a aquisição sob demanda, conforme necessidade efetiva e disponibilidade orçamentária.</w:t>
      </w:r>
    </w:p>
    <w:p w:rsidR="00000000" w:rsidDel="00000000" w:rsidP="00000000" w:rsidRDefault="00000000" w:rsidRPr="00000000" w14:paraId="000000C5">
      <w:pPr>
        <w:spacing w:after="180" w:before="180" w:line="360"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9.7. Por fim, destaca-se que a metodologia adotada para a formação do preço estimado observa os princípios da transparência e da rastreabilidade da pesquisa de preços, garantindo maior segurança jurídica ao processo e aderência às boas práticas recomendadas pelos órgãos de controle.</w:t>
      </w:r>
    </w:p>
    <w:p w:rsidR="00000000" w:rsidDel="00000000" w:rsidP="00000000" w:rsidRDefault="00000000" w:rsidRPr="00000000" w14:paraId="000000C6">
      <w:pPr>
        <w:spacing w:after="180" w:before="18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10 - DESCRIÇÃO DA SOLUÇÃO COMO UM TODO</w:t>
      </w:r>
      <w:r w:rsidDel="00000000" w:rsidR="00000000" w:rsidRPr="00000000">
        <w:rPr>
          <w:rtl w:val="0"/>
        </w:rPr>
      </w:r>
    </w:p>
    <w:p w:rsidR="00000000" w:rsidDel="00000000" w:rsidP="00000000" w:rsidRDefault="00000000" w:rsidRPr="00000000" w14:paraId="000000C7">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10.1. A solução adotada consiste na contratação de empresa(s) especializada(s) na prestação de serviços integrados de locação de veículos de sonorização e estruturas móveis de eventos, compreendendo carro de som volante tipo mini trio, trio elétrico caminhão e trio elétrico carreta, incluindo o fornecimento de sistemas completos de sonorização profissional, iluminação cênica, geração de energia, estruturas de apoio e suporte técnico operacional contínuo.</w:t>
      </w:r>
    </w:p>
    <w:p w:rsidR="00000000" w:rsidDel="00000000" w:rsidP="00000000" w:rsidRDefault="00000000" w:rsidRPr="00000000" w14:paraId="000000C8">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10.2. Trata-se de solução operacional integrada, na qual a contratada será responsável por disponibilizar, de forma completa e funcional, todos os recursos necessários à execução dos serviços, englobando equipamentos, veículos adaptados, insumos, mão de obra especializada, transporte, montagem, operação e desmontagem, assegurando o pleno funcionamento durante os eventos promovidos pelo Município.</w:t>
      </w:r>
    </w:p>
    <w:p w:rsidR="00000000" w:rsidDel="00000000" w:rsidP="00000000" w:rsidRDefault="00000000" w:rsidRPr="00000000" w14:paraId="000000C9">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10.3. A modelagem adotada elimina a necessidade de aquisição de ativos permanentes pela Administração, bem como reduz a necessidade de estrutura técnica própria para operação, manutenção e armazenamento de equipamentos de alta complexidade, transferindo tais responsabilidades à contratada, que detém expertise técnica e operacional no segmento.</w:t>
      </w:r>
    </w:p>
    <w:p w:rsidR="00000000" w:rsidDel="00000000" w:rsidP="00000000" w:rsidRDefault="00000000" w:rsidRPr="00000000" w14:paraId="000000CA">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10.4. A solução contempla diferentes níveis de complexidade operacional, estruturados em lotes, permitindo a adequada alocação dos recursos conforme o porte do evento, sendo o Lote 01 destinado a ações de menor porte e comunicação volante, o Lote 02 voltado a eventos de médio porte com estrutura musical e cênica completa, e o Lote 03 destinado a grandes eventos, com alta demanda sonora, estrutural e de iluminação.</w:t>
      </w:r>
    </w:p>
    <w:p w:rsidR="00000000" w:rsidDel="00000000" w:rsidP="00000000" w:rsidRDefault="00000000" w:rsidRPr="00000000" w14:paraId="000000CB">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10.5. O modelo de contratação por Sistema de Registro de Preços (SRP) é o mais adequado à solução proposta, pois possibilita a utilização dos serviços sob demanda, conforme calendário de eventos do Município, garantindo flexibilidade administrativa, eficiência na gestão dos recursos públicos e adequação à sazonalidade das atividades institucionais.</w:t>
      </w:r>
    </w:p>
    <w:p w:rsidR="00000000" w:rsidDel="00000000" w:rsidP="00000000" w:rsidRDefault="00000000" w:rsidRPr="00000000" w14:paraId="000000CC">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10.6. A solução como um todo assegura a prestação de serviços com padrão técnico profissional, compatível com eventos públicos oficiais, culturais e institucionais, garantindo qualidade de sonorização, segurança operacional, continuidade do serviço e adequada comunicação com a população.</w:t>
      </w:r>
    </w:p>
    <w:p w:rsidR="00000000" w:rsidDel="00000000" w:rsidP="00000000" w:rsidRDefault="00000000" w:rsidRPr="00000000" w14:paraId="000000CD">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10.7. Do ponto de vista da vantajosidade, a contratação integrada apresenta superioridade em relação a modelos fragmentados (locação isolada de equipamentos ou serviços parciais), uma vez que reduz riscos de incompatibilidade técnica entre sistemas, diminui custos indiretos de gestão e fiscalização e assegura maior responsabilidade contratual concentrada em um único prestador por lote.</w:t>
      </w:r>
    </w:p>
    <w:p w:rsidR="00000000" w:rsidDel="00000000" w:rsidP="00000000" w:rsidRDefault="00000000" w:rsidRPr="00000000" w14:paraId="000000CE">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10.8. Dessa forma, a solução proposta se mostra tecnicamente adequada, economicamente viável e operacionalmente eficiente, atendendo integralmente ao interesse público, em conformidade com os princípios da Lei nº 14.133/2021 e com as diretrizes de planejamento e governança estabelecidas pelos órgãos de controle, especialmente o Tribunal de Contas da União (TCU) e o Tribunal de Contas do Estado de Minas Gerais (TCE-MG).</w:t>
      </w:r>
    </w:p>
    <w:p w:rsidR="00000000" w:rsidDel="00000000" w:rsidP="00000000" w:rsidRDefault="00000000" w:rsidRPr="00000000" w14:paraId="000000CF">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u w:val="single"/>
          <w:rtl w:val="0"/>
        </w:rPr>
        <w:t xml:space="preserve">11 – JUSTIFICATIVA PARA PARCELAMENTO</w:t>
      </w:r>
      <w:r w:rsidDel="00000000" w:rsidR="00000000" w:rsidRPr="00000000">
        <w:rPr>
          <w:rtl w:val="0"/>
        </w:rPr>
      </w:r>
    </w:p>
    <w:p w:rsidR="00000000" w:rsidDel="00000000" w:rsidP="00000000" w:rsidRDefault="00000000" w:rsidRPr="00000000" w14:paraId="000000D0">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11.1. A análise quanto ao parcelamento do objeto foi realizada em conformidade com o disposto na Lei nº 14.133/2021, especialmente o dever de avaliação da divisibilidade técnica e econômica da contratação, com vistas à ampliação da competitividade, à mitigação de riscos contratuais e à seleção da proposta mais vantajosa para a Administração Pública.</w:t>
      </w:r>
    </w:p>
    <w:p w:rsidR="00000000" w:rsidDel="00000000" w:rsidP="00000000" w:rsidRDefault="00000000" w:rsidRPr="00000000" w14:paraId="000000D1">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11.2. No presente caso, o objeto será estruturado em </w:t>
      </w:r>
      <w:r w:rsidDel="00000000" w:rsidR="00000000" w:rsidRPr="00000000">
        <w:rPr>
          <w:rFonts w:ascii="Times New Roman" w:cs="Times New Roman" w:eastAsia="Times New Roman" w:hAnsi="Times New Roman"/>
          <w:b w:val="1"/>
          <w:bCs w:val="1"/>
          <w:sz w:val="20"/>
          <w:szCs w:val="20"/>
          <w:rtl w:val="0"/>
        </w:rPr>
        <w:t xml:space="preserve">lotes tecnicamente independentes</w:t>
      </w:r>
      <w:r w:rsidDel="00000000" w:rsidR="00000000" w:rsidRPr="00000000">
        <w:rPr>
          <w:rFonts w:ascii="Times New Roman" w:cs="Times New Roman" w:eastAsia="Times New Roman" w:hAnsi="Times New Roman"/>
          <w:sz w:val="20"/>
          <w:szCs w:val="20"/>
          <w:rtl w:val="0"/>
        </w:rPr>
        <w:t xml:space="preserve">, considerando a natureza e a complexidade distinta de cada solução de sonorização e estrutura móvel (carro de som volante tipo mini trio, trio elétrico caminhão e trio elétrico carreta), o que permite a segregação sem prejuízo da funcionalidade, da qualidade técnica ou da interoperabilidade dos serviços.</w:t>
      </w:r>
    </w:p>
    <w:p w:rsidR="00000000" w:rsidDel="00000000" w:rsidP="00000000" w:rsidRDefault="00000000" w:rsidRPr="00000000" w14:paraId="000000D2">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11.3. O parcelamento por lotes mostra-se tecnicamente viável e operacionalmente adequado, uma vez que cada estrutura possui autonomia funcional própria, com demandas específicas de equipamentos, logística, dimensionamento técnico e capacidade operacional, inexistindo dependência técnica entre as soluções capazes de justificar sua unificação em lote único.</w:t>
      </w:r>
    </w:p>
    <w:p w:rsidR="00000000" w:rsidDel="00000000" w:rsidP="00000000" w:rsidRDefault="00000000" w:rsidRPr="00000000" w14:paraId="000000D3">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11.4. A adoção de lotes distintos amplia significativamente a competitividade do certame, permitindo a participação de fornecedores com diferentes portes e níveis de especialização, desde empresas de pequeno porte aptas à execução de serviços de menor complexidade até empresas com estrutura robusta para atendimento de grandes eventos, contribuindo diretamente para a obtenção de melhores condições econômicas para a Administração.</w:t>
      </w:r>
    </w:p>
    <w:p w:rsidR="00000000" w:rsidDel="00000000" w:rsidP="00000000" w:rsidRDefault="00000000" w:rsidRPr="00000000" w14:paraId="000000D4">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11.5. Ressalta-se que o parcelamento foi estruturado de forma a preservar a integridade técnica de cada solução, evitando fracionamento artificial do objeto ou perda de eficiência na gestão contratual, garantindo padronização mínima de qualidade, segurança operacional e compatibilidade dos serviços prestados.</w:t>
      </w:r>
    </w:p>
    <w:p w:rsidR="00000000" w:rsidDel="00000000" w:rsidP="00000000" w:rsidRDefault="00000000" w:rsidRPr="00000000" w14:paraId="000000D5">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11.6. A medida está em consonância com as boas práticas de governança pública e com os entendimentos consolidados do Tribunal de Contas da União (TCU) e do Tribunal de Contas do Estado de Minas Gerais (TCE-MG), que recomendam o parcelamento sempre que técnica e economicamente viável, como forma de ampliar a competitividade e assegurar a vantajosidade da contratação.</w:t>
      </w:r>
    </w:p>
    <w:p w:rsidR="00000000" w:rsidDel="00000000" w:rsidP="00000000" w:rsidRDefault="00000000" w:rsidRPr="00000000" w14:paraId="000000D6">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11.7. Assim, conclui-se que o parcelamento do objeto em lotes distintos é tecnicamente adequado, economicamente vantajoso e juridicamente recomendável, contribuindo para maior eficiência da contratação, melhor gestão dos recursos públicos e pleno atendimento ao interesse público.</w:t>
      </w:r>
    </w:p>
    <w:p w:rsidR="00000000" w:rsidDel="00000000" w:rsidP="00000000" w:rsidRDefault="00000000" w:rsidRPr="00000000" w14:paraId="000000D7">
      <w:pPr>
        <w:spacing w:after="180" w:before="18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12 - DEMONSTRATIVO DOS RESULTADOS PRETENDIDOS</w:t>
      </w:r>
      <w:r w:rsidDel="00000000" w:rsidR="00000000" w:rsidRPr="00000000">
        <w:rPr>
          <w:rtl w:val="0"/>
        </w:rPr>
      </w:r>
    </w:p>
    <w:p w:rsidR="00000000" w:rsidDel="00000000" w:rsidP="00000000" w:rsidRDefault="00000000" w:rsidRPr="00000000" w14:paraId="000000D8">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12.1. A presente contratação tem como resultado principal esperado a disponibilização de estrutura técnica adequada, contínua e eficiente para apoio à realização de eventos institucionais, culturais, educativos e de interesse público promovidos pelo Município de São José do Mantimento/MG, garantindo adequada comunicação com a população e suporte operacional às ações governamentais.</w:t>
      </w:r>
    </w:p>
    <w:p w:rsidR="00000000" w:rsidDel="00000000" w:rsidP="00000000" w:rsidRDefault="00000000" w:rsidRPr="00000000" w14:paraId="000000D9">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12.2. Pretende-se assegurar a ampliação da capacidade de divulgação de informações oficiais, campanhas educativas e ações de utilidade pública, por meio de veículos de sonorização e estruturas de grande alcance acústico e visual, contribuindo para a efetividade do princípio da publicidade administrativa e para o fortalecimento da comunicação institucional.</w:t>
      </w:r>
    </w:p>
    <w:p w:rsidR="00000000" w:rsidDel="00000000" w:rsidP="00000000" w:rsidRDefault="00000000" w:rsidRPr="00000000" w14:paraId="000000DA">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12.3. Do ponto de vista operacional, busca-se obter maior eficiência na execução dos eventos públicos, com redução de falhas técnicas, maior estabilidade dos sistemas de som e iluminação e disponibilidade imediata de estrutura adequada ao porte de cada atividade, evitando interrupções e prejuízos à programação institucional.</w:t>
      </w:r>
    </w:p>
    <w:p w:rsidR="00000000" w:rsidDel="00000000" w:rsidP="00000000" w:rsidRDefault="00000000" w:rsidRPr="00000000" w14:paraId="000000DB">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12.4. Em termos de economicidade, espera-se a otimização dos recursos públicos mediante a adoção do Sistema de Registro de Preços, evitando a manutenção de estrutura própria subutilizada e reduzindo custos fixos relacionados à aquisição, manutenção, armazenamento e depreciação de equipamentos de alta complexidade técnica.</w:t>
      </w:r>
    </w:p>
    <w:p w:rsidR="00000000" w:rsidDel="00000000" w:rsidP="00000000" w:rsidRDefault="00000000" w:rsidRPr="00000000" w14:paraId="000000DC">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12.5. No aspecto da gestão administrativa, a contratação permitirá maior previsibilidade, padronização e organização dos serviços de sonorização, facilitando o planejamento dos eventos e a alocação de recursos conforme o calendário oficial do Município, com consequente melhoria da eficiência administrativa.</w:t>
      </w:r>
    </w:p>
    <w:p w:rsidR="00000000" w:rsidDel="00000000" w:rsidP="00000000" w:rsidRDefault="00000000" w:rsidRPr="00000000" w14:paraId="000000DD">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12.6. A solução também visa reduzir riscos operacionais, tais como indisponibilidade de equipamentos, falhas técnicas durante eventos, incompatibilidade de sistemas e atrasos na montagem e execução dos serviços, uma vez que a responsabilidade integral pela estrutura será da contratada.</w:t>
      </w:r>
    </w:p>
    <w:p w:rsidR="00000000" w:rsidDel="00000000" w:rsidP="00000000" w:rsidRDefault="00000000" w:rsidRPr="00000000" w14:paraId="000000DE">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12.7. Sob a perspectiva do interesse público, espera-se maior alcance social das ações governamentais, especialmente em áreas com menor acesso a meios digitais de comunicação, garantindo que informações relevantes cheguem de forma clara, acessível e tempestiva à população.</w:t>
      </w:r>
    </w:p>
    <w:p w:rsidR="00000000" w:rsidDel="00000000" w:rsidP="00000000" w:rsidRDefault="00000000" w:rsidRPr="00000000" w14:paraId="000000DF">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12.8. Por fim, os resultados pretendidos estão alinhados aos princípios da eficiência, planejamento, economicidade e continuidade do serviço público, em conformidade com a Lei nº 14.133/2021 e com as boas práticas recomendadas pelo Tribunal de Contas da União (TCU) e pelo Tribunal de Contas do Estado de Minas Gerais (TCE-MG), assegurando a adequada execução das políticas públicas municipais.</w:t>
      </w:r>
    </w:p>
    <w:p w:rsidR="00000000" w:rsidDel="00000000" w:rsidP="00000000" w:rsidRDefault="00000000" w:rsidRPr="00000000" w14:paraId="000000E0">
      <w:pPr>
        <w:spacing w:after="180" w:before="180" w:line="360" w:lineRule="auto"/>
        <w:jc w:val="both"/>
        <w:rPr>
          <w:rFonts w:ascii="Times New Roman" w:cs="Times New Roman" w:eastAsia="Times New Roman" w:hAnsi="Times New Roman"/>
          <w:b w:val="1"/>
          <w:bCs w:val="1"/>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13 – PROVIDÊNCIAS PRÉVIAS AO CONTRATO</w:t>
      </w:r>
    </w:p>
    <w:p w:rsidR="00000000" w:rsidDel="00000000" w:rsidP="00000000" w:rsidRDefault="00000000" w:rsidRPr="00000000" w14:paraId="000000E1">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13.1. Considerando a natureza do objeto, consistente na prestação de serviços especializados de locação de veículos de sonorização, estruturas móveis e suporte técnico operacional, usualmente disponíveis no mercado, não se identifica a necessidade de adequações estruturais, tecnológicas ou de infraestrutura física por parte da Administração Pública como condição prévia à formalização e execução contratual.</w:t>
      </w:r>
    </w:p>
    <w:p w:rsidR="00000000" w:rsidDel="00000000" w:rsidP="00000000" w:rsidRDefault="00000000" w:rsidRPr="00000000" w14:paraId="000000E2">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13.2. Contudo, em conformidade com a Lei nº 14.133/2021, especialmente no que se refere às boas práticas de planejamento, gestão e fiscalização contratual, bem como às orientações do Tribunal de Contas da União (TCU) e do Tribunal de Contas do Estado de Minas Gerais (TCE-MG), deverão ser adotadas, previamente à execução contratual, as seguintes medidas administrativas mínimas:</w:t>
      </w:r>
    </w:p>
    <w:p w:rsidR="00000000" w:rsidDel="00000000" w:rsidP="00000000" w:rsidRDefault="00000000" w:rsidRPr="00000000" w14:paraId="000000E3">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13.2.1. </w:t>
      </w:r>
      <w:r w:rsidDel="00000000" w:rsidR="00000000" w:rsidRPr="00000000">
        <w:rPr>
          <w:rFonts w:ascii="Times New Roman" w:cs="Times New Roman" w:eastAsia="Times New Roman" w:hAnsi="Times New Roman"/>
          <w:b w:val="1"/>
          <w:bCs w:val="1"/>
          <w:sz w:val="20"/>
          <w:szCs w:val="20"/>
          <w:rtl w:val="0"/>
        </w:rPr>
        <w:t xml:space="preserve">Designação formal de gestor e fiscais do contrato</w:t>
      </w:r>
      <w:r w:rsidDel="00000000" w:rsidR="00000000" w:rsidRPr="00000000">
        <w:rPr>
          <w:rFonts w:ascii="Times New Roman" w:cs="Times New Roman" w:eastAsia="Times New Roman" w:hAnsi="Times New Roman"/>
          <w:sz w:val="20"/>
          <w:szCs w:val="20"/>
          <w:rtl w:val="0"/>
        </w:rPr>
        <w:t xml:space="preserve">, com definição expressa de atribuições, responsabilidades e competências, abrangendo o acompanhamento da execução, verificação da conformidade dos serviços prestados e adoção de medidas corretivas quando necessárias;</w:t>
      </w:r>
    </w:p>
    <w:p w:rsidR="00000000" w:rsidDel="00000000" w:rsidP="00000000" w:rsidRDefault="00000000" w:rsidRPr="00000000" w14:paraId="000000E4">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13.2.2. </w:t>
      </w:r>
      <w:r w:rsidDel="00000000" w:rsidR="00000000" w:rsidRPr="00000000">
        <w:rPr>
          <w:rFonts w:ascii="Times New Roman" w:cs="Times New Roman" w:eastAsia="Times New Roman" w:hAnsi="Times New Roman"/>
          <w:b w:val="1"/>
          <w:bCs w:val="1"/>
          <w:sz w:val="20"/>
          <w:szCs w:val="20"/>
          <w:rtl w:val="0"/>
        </w:rPr>
        <w:t xml:space="preserve">Capacitação ou orientação dos servidores designados</w:t>
      </w:r>
      <w:r w:rsidDel="00000000" w:rsidR="00000000" w:rsidRPr="00000000">
        <w:rPr>
          <w:rFonts w:ascii="Times New Roman" w:cs="Times New Roman" w:eastAsia="Times New Roman" w:hAnsi="Times New Roman"/>
          <w:sz w:val="20"/>
          <w:szCs w:val="20"/>
          <w:rtl w:val="0"/>
        </w:rPr>
        <w:t xml:space="preserve">, com foco nos procedimentos de fiscalização, medição dos serviços, critérios de aceitação, recebimento provisório e definitivo, registro de ocorrências e instrução de eventuais glosas ou notificações;</w:t>
      </w:r>
    </w:p>
    <w:p w:rsidR="00000000" w:rsidDel="00000000" w:rsidP="00000000" w:rsidRDefault="00000000" w:rsidRPr="00000000" w14:paraId="000000E5">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13.2.3. </w:t>
      </w:r>
      <w:r w:rsidDel="00000000" w:rsidR="00000000" w:rsidRPr="00000000">
        <w:rPr>
          <w:rFonts w:ascii="Times New Roman" w:cs="Times New Roman" w:eastAsia="Times New Roman" w:hAnsi="Times New Roman"/>
          <w:b w:val="1"/>
          <w:bCs w:val="1"/>
          <w:sz w:val="20"/>
          <w:szCs w:val="20"/>
          <w:rtl w:val="0"/>
        </w:rPr>
        <w:t xml:space="preserve">Padronização dos fluxos internos de requisição e autorização dos serviços</w:t>
      </w:r>
      <w:r w:rsidDel="00000000" w:rsidR="00000000" w:rsidRPr="00000000">
        <w:rPr>
          <w:rFonts w:ascii="Times New Roman" w:cs="Times New Roman" w:eastAsia="Times New Roman" w:hAnsi="Times New Roman"/>
          <w:sz w:val="20"/>
          <w:szCs w:val="20"/>
          <w:rtl w:val="0"/>
        </w:rPr>
        <w:t xml:space="preserve">, com a implementação de rotinas formais de emissão de Ordens de Serviço pelas unidades demandantes, garantindo rastreabilidade, controle e previsibilidade das demandas;</w:t>
      </w:r>
    </w:p>
    <w:p w:rsidR="00000000" w:rsidDel="00000000" w:rsidP="00000000" w:rsidRDefault="00000000" w:rsidRPr="00000000" w14:paraId="000000E6">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13.2.4. </w:t>
      </w:r>
      <w:r w:rsidDel="00000000" w:rsidR="00000000" w:rsidRPr="00000000">
        <w:rPr>
          <w:rFonts w:ascii="Times New Roman" w:cs="Times New Roman" w:eastAsia="Times New Roman" w:hAnsi="Times New Roman"/>
          <w:b w:val="1"/>
          <w:bCs w:val="1"/>
          <w:sz w:val="20"/>
          <w:szCs w:val="20"/>
          <w:rtl w:val="0"/>
        </w:rPr>
        <w:t xml:space="preserve">Estruturação de mecanismos de controle e registro da execução contratual</w:t>
      </w:r>
      <w:r w:rsidDel="00000000" w:rsidR="00000000" w:rsidRPr="00000000">
        <w:rPr>
          <w:rFonts w:ascii="Times New Roman" w:cs="Times New Roman" w:eastAsia="Times New Roman" w:hAnsi="Times New Roman"/>
          <w:sz w:val="20"/>
          <w:szCs w:val="20"/>
          <w:rtl w:val="0"/>
        </w:rPr>
        <w:t xml:space="preserve">, incluindo instrumentos formais de acompanhamento, relatórios de fiscalização, registros fotográficos ou documentais quando aplicável, e consolidação de evidências da execução, assegurando transparência e segurança administrativa;</w:t>
      </w:r>
    </w:p>
    <w:p w:rsidR="00000000" w:rsidDel="00000000" w:rsidP="00000000" w:rsidRDefault="00000000" w:rsidRPr="00000000" w14:paraId="000000E7">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13.2.5. </w:t>
      </w:r>
      <w:r w:rsidDel="00000000" w:rsidR="00000000" w:rsidRPr="00000000">
        <w:rPr>
          <w:rFonts w:ascii="Times New Roman" w:cs="Times New Roman" w:eastAsia="Times New Roman" w:hAnsi="Times New Roman"/>
          <w:b w:val="1"/>
          <w:bCs w:val="1"/>
          <w:sz w:val="20"/>
          <w:szCs w:val="20"/>
          <w:rtl w:val="0"/>
        </w:rPr>
        <w:t xml:space="preserve">Verificação prévia das condições orçamentárias, financeiras e administrativas</w:t>
      </w:r>
      <w:r w:rsidDel="00000000" w:rsidR="00000000" w:rsidRPr="00000000">
        <w:rPr>
          <w:rFonts w:ascii="Times New Roman" w:cs="Times New Roman" w:eastAsia="Times New Roman" w:hAnsi="Times New Roman"/>
          <w:sz w:val="20"/>
          <w:szCs w:val="20"/>
          <w:rtl w:val="0"/>
        </w:rPr>
        <w:t xml:space="preserve">, assegurando a existência de dotação orçamentária compatível e a regularidade dos trâmites internos necessários à formalização e execução do contrato.</w:t>
      </w:r>
    </w:p>
    <w:p w:rsidR="00000000" w:rsidDel="00000000" w:rsidP="00000000" w:rsidRDefault="00000000" w:rsidRPr="00000000" w14:paraId="000000E8">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13.3. As providências descritas têm por finalidade assegurar a adequada governança da contratação, fortalecer os mecanismos de controle interno, prevenir falhas de execução e garantir a correta aplicação dos recursos públicos, com foco na eficiência e na continuidade dos serviços prestados à população.</w:t>
      </w:r>
    </w:p>
    <w:p w:rsidR="00000000" w:rsidDel="00000000" w:rsidP="00000000" w:rsidRDefault="00000000" w:rsidRPr="00000000" w14:paraId="000000E9">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13.4. Conclui-se, portanto, que as medidas prévias necessárias à contratação são de natureza estritamente administrativa e organizacional, não demandando investimentos adicionais relevantes, obras, aquisições estruturais ou intervenções físicas por parte da Administração Pública Municipal.</w:t>
      </w:r>
    </w:p>
    <w:p w:rsidR="00000000" w:rsidDel="00000000" w:rsidP="00000000" w:rsidRDefault="00000000" w:rsidRPr="00000000" w14:paraId="000000EA">
      <w:pPr>
        <w:spacing w:after="180" w:before="18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14 – CONTRATAÇÕES CORRELATAS/INTERDEPENDENTES</w:t>
      </w:r>
      <w:r w:rsidDel="00000000" w:rsidR="00000000" w:rsidRPr="00000000">
        <w:rPr>
          <w:rtl w:val="0"/>
        </w:rPr>
      </w:r>
    </w:p>
    <w:p w:rsidR="00000000" w:rsidDel="00000000" w:rsidP="00000000" w:rsidRDefault="00000000" w:rsidRPr="00000000" w14:paraId="000000EB">
      <w:pPr>
        <w:shd w:fill="ffffff" w:val="clea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14.1. Para a execução do objeto ora proposto, foi realizada análise quanto à existência de contratações correlatas ou interdependentes, nos termos da Lei nº 14.133/2021, com o objetivo de verificar eventuais interfaces com outros contratos vigentes ou futuros que possam impactar a plena execução dos serviços de locação de veículos de sonorização, estruturas móveis e suporte técnico operacional.</w:t>
      </w:r>
    </w:p>
    <w:p w:rsidR="00000000" w:rsidDel="00000000" w:rsidP="00000000" w:rsidRDefault="00000000" w:rsidRPr="00000000" w14:paraId="000000EC">
      <w:pPr>
        <w:shd w:fill="ffffff" w:val="clea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14.2. Verifica-se que a presente contratação possui natureza predominantemente autônoma, não estando condicionada, em regra, à execução de outras contratações previamente estabelecidas, uma vez que contempla solução integrada, incluindo equipamentos, veículos, operação técnica, logística e insumos necessários à sua plena execução.</w:t>
      </w:r>
    </w:p>
    <w:p w:rsidR="00000000" w:rsidDel="00000000" w:rsidP="00000000" w:rsidRDefault="00000000" w:rsidRPr="00000000" w14:paraId="000000ED">
      <w:pPr>
        <w:shd w:fill="ffffff" w:val="clea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14.3. Todavia, a execução dos serviços poderá demandar articulação operacional com contratações eventualmente existentes ou futuras relacionadas à organização de eventos públicos, tais como serviços de segurança privada, organização de estruturas físicas temporárias, limpeza urbana, iluminação pública complementar, fornecimento de energia elétrica temporária, locação de palcos ou tendas e serviços de apoio logístico, quando aplicáveis a determinados eventos.</w:t>
      </w:r>
    </w:p>
    <w:p w:rsidR="00000000" w:rsidDel="00000000" w:rsidP="00000000" w:rsidRDefault="00000000" w:rsidRPr="00000000" w14:paraId="000000EE">
      <w:pPr>
        <w:shd w:fill="ffffff" w:val="clea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14.4. Tais contratações, quando existentes, não configuram dependência direta do objeto principal, mas sim relações de complementaridade operacional, sendo sua execução coordenada de forma a garantir a adequada realização dos eventos públicos, sem prejuízo da autonomia contratual de cada objeto.</w:t>
      </w:r>
    </w:p>
    <w:p w:rsidR="00000000" w:rsidDel="00000000" w:rsidP="00000000" w:rsidRDefault="00000000" w:rsidRPr="00000000" w14:paraId="000000EF">
      <w:pPr>
        <w:shd w:fill="ffffff" w:val="clea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14.5. Destaca-se que não há necessidade de contratação prévia obrigatória de outros serviços como condição para a execução do objeto, uma vez que a solução contratada já contempla estrutura completa de som, iluminação, energia e suporte técnico, reduzindo a dependência de terceiros para sua operacionalização.</w:t>
      </w:r>
    </w:p>
    <w:p w:rsidR="00000000" w:rsidDel="00000000" w:rsidP="00000000" w:rsidRDefault="00000000" w:rsidRPr="00000000" w14:paraId="000000F0">
      <w:pPr>
        <w:shd w:fill="ffffff" w:val="clea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14.6. Eventuais contratações correlatas deverão observar planejamento integrado entre as unidades demandantes, de modo a evitar sobreposição de objetos, conflitos de escopo ou ineficiências operacionais, em consonância com os princípios da eficiência, economicidade e planejamento previstos na Lei nº 14.133/2021.</w:t>
      </w:r>
    </w:p>
    <w:p w:rsidR="00000000" w:rsidDel="00000000" w:rsidP="00000000" w:rsidRDefault="00000000" w:rsidRPr="00000000" w14:paraId="000000F1">
      <w:pPr>
        <w:shd w:fill="ffffff" w:val="clea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14.7. Assim, conclui-se que a presente contratação não possui contratações interdependentes obrigatórias, apresentando-se como solução autônoma, embora possa demandar integração operacional com outros contratos de apoio à realização de eventos públicos, quando necessário.</w:t>
      </w:r>
    </w:p>
    <w:p w:rsidR="00000000" w:rsidDel="00000000" w:rsidP="00000000" w:rsidRDefault="00000000" w:rsidRPr="00000000" w14:paraId="000000F2">
      <w:pPr>
        <w:shd w:fill="ffffff" w:val="clear"/>
        <w:spacing w:after="180" w:before="18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15 – IMPACTOS AMBIENTAIS</w:t>
      </w:r>
      <w:r w:rsidDel="00000000" w:rsidR="00000000" w:rsidRPr="00000000">
        <w:rPr>
          <w:rtl w:val="0"/>
        </w:rPr>
      </w:r>
    </w:p>
    <w:p w:rsidR="00000000" w:rsidDel="00000000" w:rsidP="00000000" w:rsidRDefault="00000000" w:rsidRPr="00000000" w14:paraId="000000F3">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15.1. A análise dos impactos ambientais decorrentes da presente contratação considera a natureza do objeto, consistente na locação de veículos de sonorização, estruturas móveis de eventos, sistemas de iluminação e geração de energia, os quais possuem potencial de geração de impactos ambientais típicos de atividades temporárias de apoio a eventos públicos.</w:t>
      </w:r>
    </w:p>
    <w:p w:rsidR="00000000" w:rsidDel="00000000" w:rsidP="00000000" w:rsidRDefault="00000000" w:rsidRPr="00000000" w14:paraId="000000F4">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15.2. Dentre os principais impactos ambientais potenciais, destacam-se: emissão de gases poluentes decorrentes da operação de veículos e grupos geradores movidos a combustíveis fósseis; geração de ruídos sonoros durante a execução dos eventos, ainda que de natureza controlada e temporária; e eventual geração de resíduos sólidos oriundos da montagem e desmontagem das estruturas de apoio.</w:t>
      </w:r>
    </w:p>
    <w:p w:rsidR="00000000" w:rsidDel="00000000" w:rsidP="00000000" w:rsidRDefault="00000000" w:rsidRPr="00000000" w14:paraId="000000F5">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15.3. Considerando a natureza eventual e temporária da contratação, os impactos ambientais são classificados como de baixa a moderada intensidade, concentrados no período de execução dos eventos, não havendo caráter contínuo ou permanente de degradação ambiental associado ao objeto contratual.</w:t>
      </w:r>
    </w:p>
    <w:p w:rsidR="00000000" w:rsidDel="00000000" w:rsidP="00000000" w:rsidRDefault="00000000" w:rsidRPr="00000000" w14:paraId="000000F6">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15.4. Para mitigação dos impactos identificados, a contratada deverá adotar boas práticas ambientais, incluindo a utilização de equipamentos em bom estado de conservação e regulagem adequada de motores e geradores, de forma a reduzir emissões atmosféricas e consumo excessivo de combustível, bem como garantir o correto acondicionamento e descarte de resíduos eventualmente gerados durante a execução dos serviços.</w:t>
      </w:r>
    </w:p>
    <w:p w:rsidR="00000000" w:rsidDel="00000000" w:rsidP="00000000" w:rsidRDefault="00000000" w:rsidRPr="00000000" w14:paraId="000000F7">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15.5. Recomenda-se, sempre que tecnicamente viável, a utilização de tecnologias mais eficientes e menos poluentes, incluindo equipamentos com melhor desempenho energético, bem como a otimização do uso de grupos geradores, priorizando sua utilização apenas quando estritamente necessário à execução dos serviços.</w:t>
      </w:r>
    </w:p>
    <w:p w:rsidR="00000000" w:rsidDel="00000000" w:rsidP="00000000" w:rsidRDefault="00000000" w:rsidRPr="00000000" w14:paraId="000000F8">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15.6. No que se refere à poluição sonora, deverá ser observado o controle técnico adequado dos níveis de pressão sonora, respeitando os limites estabelecidos pela legislação ambiental e normas técnicas aplicáveis, de forma a evitar impactos excessivos à população circunvizinha aos locais de realização dos eventos.</w:t>
      </w:r>
    </w:p>
    <w:p w:rsidR="00000000" w:rsidDel="00000000" w:rsidP="00000000" w:rsidRDefault="00000000" w:rsidRPr="00000000" w14:paraId="000000F9">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15.7. A execução contratual deverá observar, ainda, os princípios da sustentabilidade previstos na Lei nº 14.133/2021, promovendo o uso racional de recursos naturais e a adoção de práticas ambientalmente responsáveis, sempre que compatíveis com a natureza do objeto.</w:t>
      </w:r>
    </w:p>
    <w:p w:rsidR="00000000" w:rsidDel="00000000" w:rsidP="00000000" w:rsidRDefault="00000000" w:rsidRPr="00000000" w14:paraId="000000FA">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15.8. Assim, conclui-se que os impactos ambientais associados à presente contratação são controláveis e mitigáveis, não representando impedimento à execução do objeto, desde que observadas as medidas de prevenção e boas práticas ambientais previstas neste Estudo Técnico Preliminar e na legislação vigente.</w:t>
      </w:r>
    </w:p>
    <w:p w:rsidR="00000000" w:rsidDel="00000000" w:rsidP="00000000" w:rsidRDefault="00000000" w:rsidRPr="00000000" w14:paraId="000000FB">
      <w:pPr>
        <w:spacing w:after="180" w:before="180" w:line="360" w:lineRule="auto"/>
        <w:jc w:val="both"/>
        <w:rPr>
          <w:rFonts w:ascii="Times New Roman" w:cs="Times New Roman" w:eastAsia="Times New Roman" w:hAnsi="Times New Roman"/>
          <w:b w:val="1"/>
          <w:bCs w:val="1"/>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16 - ANÁLISE DE RISCO</w:t>
      </w:r>
    </w:p>
    <w:p w:rsidR="00000000" w:rsidDel="00000000" w:rsidP="00000000" w:rsidRDefault="00000000" w:rsidRPr="00000000" w14:paraId="000000FC">
      <w:pPr>
        <w:shd w:fill="ffffff" w:val="clea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16.1. A presente análise de riscos foi elaborada em conformidade com o disposto na Lei nº 14.133/2021, especialmente o art. 18, inciso X, que estabelece a necessidade de avaliação dos riscos que possam comprometer o sucesso da contratação, bem como a definição de medidas de tratamento e mitigação, em alinhamento às boas práticas de governança e às orientações do Tribunal de Contas da União (TCU) e do Tribunal de Contas do Estado de Minas Gerais (TCE-MG).</w:t>
      </w:r>
    </w:p>
    <w:p w:rsidR="00000000" w:rsidDel="00000000" w:rsidP="00000000" w:rsidRDefault="00000000" w:rsidRPr="00000000" w14:paraId="000000FD">
      <w:pPr>
        <w:shd w:fill="ffffff" w:val="clea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16.2. Considerando a natureza do objeto (serviços de locação de veículos de sonorização, estruturas móveis, iluminação e geração de energia), os riscos são predominantemente operacionais, vinculados à execução em campo durante eventos públicos, com impacto direto na continuidade e qualidade dos serviços prestados.</w:t>
      </w:r>
    </w:p>
    <w:p w:rsidR="00000000" w:rsidDel="00000000" w:rsidP="00000000" w:rsidRDefault="00000000" w:rsidRPr="00000000" w14:paraId="000000FE">
      <w:pPr>
        <w:pStyle w:val="Heading3"/>
        <w:keepNext w:val="0"/>
        <w:keepLines w:val="0"/>
        <w:shd w:fill="ffffff" w:val="clear"/>
        <w:spacing w:after="180" w:before="180" w:line="360" w:lineRule="auto"/>
        <w:jc w:val="both"/>
        <w:rPr>
          <w:rFonts w:ascii="Times New Roman" w:cs="Times New Roman" w:eastAsia="Times New Roman" w:hAnsi="Times New Roman"/>
          <w:b w:val="0"/>
          <w:bCs w:val="0"/>
          <w:sz w:val="20"/>
          <w:szCs w:val="20"/>
        </w:rPr>
      </w:pPr>
      <w:bookmarkStart w:colFirst="0" w:colLast="0" w:name="_heading=h.go8r7l5q5o7w" w:id="7"/>
      <w:bookmarkEnd w:id="7"/>
      <w:r w:rsidDel="00000000" w:rsidR="00000000" w:rsidRPr="00000000">
        <w:rPr>
          <w:rFonts w:ascii="Times New Roman" w:cs="Times New Roman" w:eastAsia="Times New Roman" w:hAnsi="Times New Roman"/>
          <w:b w:val="0"/>
          <w:bCs w:val="0"/>
          <w:sz w:val="20"/>
          <w:szCs w:val="20"/>
          <w:rtl w:val="0"/>
        </w:rPr>
        <w:t xml:space="preserve">16.3. Principais riscos identificados e tratamento</w:t>
      </w:r>
    </w:p>
    <w:p w:rsidR="00000000" w:rsidDel="00000000" w:rsidP="00000000" w:rsidRDefault="00000000" w:rsidRPr="00000000" w14:paraId="000000FF">
      <w:pPr>
        <w:shd w:fill="ffffff" w:val="clea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a) Indisponibilidade de estrutura na data do evento: </w:t>
      </w:r>
      <w:r w:rsidDel="00000000" w:rsidR="00000000" w:rsidRPr="00000000">
        <w:rPr>
          <w:rFonts w:ascii="Times New Roman" w:cs="Times New Roman" w:eastAsia="Times New Roman" w:hAnsi="Times New Roman"/>
          <w:sz w:val="20"/>
          <w:szCs w:val="20"/>
          <w:rtl w:val="0"/>
        </w:rPr>
        <w:t xml:space="preserve">Risco de a contratada não disponibilizar veículos, equipamentos ou equipe técnica conforme demandado.</w:t>
      </w:r>
    </w:p>
    <w:p w:rsidR="00000000" w:rsidDel="00000000" w:rsidP="00000000" w:rsidRDefault="00000000" w:rsidRPr="00000000" w14:paraId="00000100">
      <w:pPr>
        <w:numPr>
          <w:ilvl w:val="0"/>
          <w:numId w:val="1"/>
        </w:numPr>
        <w:shd w:fill="ffffff" w:val="clear"/>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Tratamento:</w:t>
      </w:r>
      <w:r w:rsidDel="00000000" w:rsidR="00000000" w:rsidRPr="00000000">
        <w:rPr>
          <w:rFonts w:ascii="Times New Roman" w:cs="Times New Roman" w:eastAsia="Times New Roman" w:hAnsi="Times New Roman"/>
          <w:sz w:val="20"/>
          <w:szCs w:val="20"/>
          <w:rtl w:val="0"/>
        </w:rPr>
        <w:t xml:space="preserve"> previsão de obrigações contratuais expressas de disponibilidade, exigência de capacidade operacional mínima, planejamento prévio por Ordem de Serviço e aplicação de sanções administrativas (Lei nº 14.133/2021, arts. 155 a 156).</w:t>
      </w:r>
    </w:p>
    <w:p w:rsidR="00000000" w:rsidDel="00000000" w:rsidP="00000000" w:rsidRDefault="00000000" w:rsidRPr="00000000" w14:paraId="00000101">
      <w:pPr>
        <w:shd w:fill="ffffff" w:val="clea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b) Falhas técnicas em equipamentos de som, iluminação ou geração de energia: </w:t>
      </w:r>
      <w:r w:rsidDel="00000000" w:rsidR="00000000" w:rsidRPr="00000000">
        <w:rPr>
          <w:rFonts w:ascii="Times New Roman" w:cs="Times New Roman" w:eastAsia="Times New Roman" w:hAnsi="Times New Roman"/>
          <w:sz w:val="20"/>
          <w:szCs w:val="20"/>
          <w:rtl w:val="0"/>
        </w:rPr>
        <w:t xml:space="preserve">Risco de interrupção ou queda de desempenho durante a execução dos eventos.</w:t>
      </w:r>
    </w:p>
    <w:p w:rsidR="00000000" w:rsidDel="00000000" w:rsidP="00000000" w:rsidRDefault="00000000" w:rsidRPr="00000000" w14:paraId="00000102">
      <w:pPr>
        <w:numPr>
          <w:ilvl w:val="0"/>
          <w:numId w:val="10"/>
        </w:numPr>
        <w:shd w:fill="ffffff" w:val="clear"/>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Tratamento:</w:t>
      </w:r>
      <w:r w:rsidDel="00000000" w:rsidR="00000000" w:rsidRPr="00000000">
        <w:rPr>
          <w:rFonts w:ascii="Times New Roman" w:cs="Times New Roman" w:eastAsia="Times New Roman" w:hAnsi="Times New Roman"/>
          <w:sz w:val="20"/>
          <w:szCs w:val="20"/>
          <w:rtl w:val="0"/>
        </w:rPr>
        <w:t xml:space="preserve"> exigência de manutenção preventiva e corretiva, equipamentos em perfeito estado de funcionamento, presença de equipe técnica especializada, substituição imediata de itens defeituosos e previsão de redundância (backup) quando aplicável.</w:t>
      </w:r>
    </w:p>
    <w:p w:rsidR="00000000" w:rsidDel="00000000" w:rsidP="00000000" w:rsidRDefault="00000000" w:rsidRPr="00000000" w14:paraId="00000103">
      <w:pPr>
        <w:shd w:fill="ffffff" w:val="clea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c) Atrasos na montagem, operação ou início dos eventos: </w:t>
      </w:r>
      <w:r w:rsidDel="00000000" w:rsidR="00000000" w:rsidRPr="00000000">
        <w:rPr>
          <w:rFonts w:ascii="Times New Roman" w:cs="Times New Roman" w:eastAsia="Times New Roman" w:hAnsi="Times New Roman"/>
          <w:sz w:val="20"/>
          <w:szCs w:val="20"/>
          <w:rtl w:val="0"/>
        </w:rPr>
        <w:t xml:space="preserve">Risco de prejuízo ao cronograma dos eventos públicos.</w:t>
      </w:r>
    </w:p>
    <w:p w:rsidR="00000000" w:rsidDel="00000000" w:rsidP="00000000" w:rsidRDefault="00000000" w:rsidRPr="00000000" w14:paraId="00000104">
      <w:pPr>
        <w:numPr>
          <w:ilvl w:val="0"/>
          <w:numId w:val="8"/>
        </w:numPr>
        <w:shd w:fill="ffffff" w:val="clear"/>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Tratamento:</w:t>
      </w:r>
      <w:r w:rsidDel="00000000" w:rsidR="00000000" w:rsidRPr="00000000">
        <w:rPr>
          <w:rFonts w:ascii="Times New Roman" w:cs="Times New Roman" w:eastAsia="Times New Roman" w:hAnsi="Times New Roman"/>
          <w:sz w:val="20"/>
          <w:szCs w:val="20"/>
          <w:rtl w:val="0"/>
        </w:rPr>
        <w:t xml:space="preserve"> definição de prazos mínimos de antecedência para montagem, planejamento logístico obrigatório, fiscalização presencial e responsabilização contratual por descumprimento de prazos.</w:t>
      </w:r>
    </w:p>
    <w:p w:rsidR="00000000" w:rsidDel="00000000" w:rsidP="00000000" w:rsidRDefault="00000000" w:rsidRPr="00000000" w14:paraId="00000105">
      <w:pPr>
        <w:shd w:fill="ffffff" w:val="clea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d) Baixa qualidade técnica dos serviços executados: </w:t>
      </w:r>
      <w:r w:rsidDel="00000000" w:rsidR="00000000" w:rsidRPr="00000000">
        <w:rPr>
          <w:rFonts w:ascii="Times New Roman" w:cs="Times New Roman" w:eastAsia="Times New Roman" w:hAnsi="Times New Roman"/>
          <w:sz w:val="20"/>
          <w:szCs w:val="20"/>
          <w:rtl w:val="0"/>
        </w:rPr>
        <w:t xml:space="preserve">Risco de sonorização inadequada, falhas de cobertura acústica ou iluminação insuficiente.</w:t>
      </w:r>
    </w:p>
    <w:p w:rsidR="00000000" w:rsidDel="00000000" w:rsidP="00000000" w:rsidRDefault="00000000" w:rsidRPr="00000000" w14:paraId="00000106">
      <w:pPr>
        <w:numPr>
          <w:ilvl w:val="0"/>
          <w:numId w:val="5"/>
        </w:numPr>
        <w:shd w:fill="ffffff" w:val="clear"/>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Tratamento:</w:t>
      </w:r>
      <w:r w:rsidDel="00000000" w:rsidR="00000000" w:rsidRPr="00000000">
        <w:rPr>
          <w:rFonts w:ascii="Times New Roman" w:cs="Times New Roman" w:eastAsia="Times New Roman" w:hAnsi="Times New Roman"/>
          <w:sz w:val="20"/>
          <w:szCs w:val="20"/>
          <w:rtl w:val="0"/>
        </w:rPr>
        <w:t xml:space="preserve"> especificações técnicas detalhadas no edital, critérios objetivos de aceitação, fiscalização contínua, registro de ocorrências e aplicação de sanções previstas em contrato.</w:t>
      </w:r>
    </w:p>
    <w:p w:rsidR="00000000" w:rsidDel="00000000" w:rsidP="00000000" w:rsidRDefault="00000000" w:rsidRPr="00000000" w14:paraId="00000107">
      <w:pPr>
        <w:shd w:fill="ffffff" w:val="clea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e) Falha ou insuficiência de fornecimento de energia (geradores): </w:t>
      </w:r>
      <w:r w:rsidDel="00000000" w:rsidR="00000000" w:rsidRPr="00000000">
        <w:rPr>
          <w:rFonts w:ascii="Times New Roman" w:cs="Times New Roman" w:eastAsia="Times New Roman" w:hAnsi="Times New Roman"/>
          <w:sz w:val="20"/>
          <w:szCs w:val="20"/>
          <w:rtl w:val="0"/>
        </w:rPr>
        <w:t xml:space="preserve">Risco de interrupção dos serviços por falha energética.</w:t>
      </w:r>
    </w:p>
    <w:p w:rsidR="00000000" w:rsidDel="00000000" w:rsidP="00000000" w:rsidRDefault="00000000" w:rsidRPr="00000000" w14:paraId="00000108">
      <w:pPr>
        <w:numPr>
          <w:ilvl w:val="0"/>
          <w:numId w:val="6"/>
        </w:numPr>
        <w:shd w:fill="ffffff" w:val="clear"/>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Tratamento:</w:t>
      </w:r>
      <w:r w:rsidDel="00000000" w:rsidR="00000000" w:rsidRPr="00000000">
        <w:rPr>
          <w:rFonts w:ascii="Times New Roman" w:cs="Times New Roman" w:eastAsia="Times New Roman" w:hAnsi="Times New Roman"/>
          <w:sz w:val="20"/>
          <w:szCs w:val="20"/>
          <w:rtl w:val="0"/>
        </w:rPr>
        <w:t xml:space="preserve"> exigência de dimensionamento adequado dos geradores, manutenção preventiva obrigatória, testes operacionais antes dos eventos e, nos lotes de maior porte, previsão de gerador reserva.</w:t>
      </w:r>
    </w:p>
    <w:p w:rsidR="00000000" w:rsidDel="00000000" w:rsidP="00000000" w:rsidRDefault="00000000" w:rsidRPr="00000000" w14:paraId="00000109">
      <w:pPr>
        <w:shd w:fill="ffffff" w:val="clea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f) Descumprimento de normas ambientais e de segurança: </w:t>
      </w:r>
      <w:r w:rsidDel="00000000" w:rsidR="00000000" w:rsidRPr="00000000">
        <w:rPr>
          <w:rFonts w:ascii="Times New Roman" w:cs="Times New Roman" w:eastAsia="Times New Roman" w:hAnsi="Times New Roman"/>
          <w:sz w:val="20"/>
          <w:szCs w:val="20"/>
          <w:rtl w:val="0"/>
        </w:rPr>
        <w:t xml:space="preserve">Risco de poluição sonora excessiva, emissões inadequadas ou operação insegura.</w:t>
      </w:r>
    </w:p>
    <w:p w:rsidR="00000000" w:rsidDel="00000000" w:rsidP="00000000" w:rsidRDefault="00000000" w:rsidRPr="00000000" w14:paraId="0000010A">
      <w:pPr>
        <w:numPr>
          <w:ilvl w:val="0"/>
          <w:numId w:val="9"/>
        </w:numPr>
        <w:shd w:fill="ffffff" w:val="clear"/>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Tratamento:</w:t>
      </w:r>
      <w:r w:rsidDel="00000000" w:rsidR="00000000" w:rsidRPr="00000000">
        <w:rPr>
          <w:rFonts w:ascii="Times New Roman" w:cs="Times New Roman" w:eastAsia="Times New Roman" w:hAnsi="Times New Roman"/>
          <w:sz w:val="20"/>
          <w:szCs w:val="20"/>
          <w:rtl w:val="0"/>
        </w:rPr>
        <w:t xml:space="preserve"> exigência de conformidade com legislação ambiental e normas técnicas aplicáveis, controle de níveis de ruído, responsabilização da contratada e fiscalização administrativa.</w:t>
      </w:r>
    </w:p>
    <w:p w:rsidR="00000000" w:rsidDel="00000000" w:rsidP="00000000" w:rsidRDefault="00000000" w:rsidRPr="00000000" w14:paraId="0000010B">
      <w:pPr>
        <w:shd w:fill="ffffff" w:val="clea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g) Fragilidade na fiscalização contratual: </w:t>
      </w:r>
      <w:r w:rsidDel="00000000" w:rsidR="00000000" w:rsidRPr="00000000">
        <w:rPr>
          <w:rFonts w:ascii="Times New Roman" w:cs="Times New Roman" w:eastAsia="Times New Roman" w:hAnsi="Times New Roman"/>
          <w:sz w:val="20"/>
          <w:szCs w:val="20"/>
          <w:rtl w:val="0"/>
        </w:rPr>
        <w:t xml:space="preserve">Risco de falhas no acompanhamento da execução e recebimento dos serviços.</w:t>
      </w:r>
    </w:p>
    <w:p w:rsidR="00000000" w:rsidDel="00000000" w:rsidP="00000000" w:rsidRDefault="00000000" w:rsidRPr="00000000" w14:paraId="0000010C">
      <w:pPr>
        <w:numPr>
          <w:ilvl w:val="0"/>
          <w:numId w:val="17"/>
        </w:numPr>
        <w:shd w:fill="ffffff" w:val="clear"/>
        <w:spacing w:after="180" w:before="180" w:line="360" w:lineRule="auto"/>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Tratamento:</w:t>
      </w:r>
      <w:r w:rsidDel="00000000" w:rsidR="00000000" w:rsidRPr="00000000">
        <w:rPr>
          <w:rFonts w:ascii="Times New Roman" w:cs="Times New Roman" w:eastAsia="Times New Roman" w:hAnsi="Times New Roman"/>
          <w:sz w:val="20"/>
          <w:szCs w:val="20"/>
          <w:rtl w:val="0"/>
        </w:rPr>
        <w:t xml:space="preserve"> designação formal de gestor e fiscais do contrato, capacitação dos servidores, padronização de checklists de fiscalização e registro documental de todas as etapas da execução.</w:t>
      </w:r>
    </w:p>
    <w:p w:rsidR="00000000" w:rsidDel="00000000" w:rsidP="00000000" w:rsidRDefault="00000000" w:rsidRPr="00000000" w14:paraId="0000010D">
      <w:pPr>
        <w:shd w:fill="ffffff" w:val="clea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16.4. Os riscos identificados são classificados, em sua maioria, como de </w:t>
      </w:r>
      <w:r w:rsidDel="00000000" w:rsidR="00000000" w:rsidRPr="00000000">
        <w:rPr>
          <w:rFonts w:ascii="Times New Roman" w:cs="Times New Roman" w:eastAsia="Times New Roman" w:hAnsi="Times New Roman"/>
          <w:b w:val="1"/>
          <w:bCs w:val="1"/>
          <w:sz w:val="20"/>
          <w:szCs w:val="20"/>
          <w:rtl w:val="0"/>
        </w:rPr>
        <w:t xml:space="preserve">nível baixo a médio</w:t>
      </w:r>
      <w:r w:rsidDel="00000000" w:rsidR="00000000" w:rsidRPr="00000000">
        <w:rPr>
          <w:rFonts w:ascii="Times New Roman" w:cs="Times New Roman" w:eastAsia="Times New Roman" w:hAnsi="Times New Roman"/>
          <w:sz w:val="20"/>
          <w:szCs w:val="20"/>
          <w:rtl w:val="0"/>
        </w:rPr>
        <w:t xml:space="preserve">, considerando sua natureza operacional, previsibilidade e possibilidade de mitigação por mecanismos contratuais e de fiscalização.</w:t>
      </w:r>
    </w:p>
    <w:p w:rsidR="00000000" w:rsidDel="00000000" w:rsidP="00000000" w:rsidRDefault="00000000" w:rsidRPr="00000000" w14:paraId="0000010E">
      <w:pPr>
        <w:shd w:fill="ffffff" w:val="clea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16.5. Conclui-se que os riscos associados à contratação são plenamente gerenciáveis e mitigáveis por meio de adequada estruturação contratual, fiscalização eficiente e aplicação dos instrumentos previstos na Lei nº 14.133/2021, especialmente no que se refere à responsabilização contratual e à governança das contratações públicas.</w:t>
      </w:r>
    </w:p>
    <w:p w:rsidR="00000000" w:rsidDel="00000000" w:rsidP="00000000" w:rsidRDefault="00000000" w:rsidRPr="00000000" w14:paraId="0000010F">
      <w:pPr>
        <w:shd w:fill="ffffff" w:val="clear"/>
        <w:spacing w:after="180" w:before="180" w:line="360" w:lineRule="auto"/>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17 – VIABILIDADE DA CONTRATAÇÃO</w:t>
      </w:r>
      <w:r w:rsidDel="00000000" w:rsidR="00000000" w:rsidRPr="00000000">
        <w:rPr>
          <w:rtl w:val="0"/>
        </w:rPr>
      </w:r>
    </w:p>
    <w:p w:rsidR="00000000" w:rsidDel="00000000" w:rsidP="00000000" w:rsidRDefault="00000000" w:rsidRPr="00000000" w14:paraId="00000110">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17.1. A análise global do Estudo Técnico Preliminar demonstra que a contratação pretendida é tecnicamente, economicamente e operacionalmente viável, em conformidade com o art. 18 da Lei nº 14.133/2021, bem como com os princípios da eficiência, planejamento, economicidade e interesse público.</w:t>
      </w:r>
    </w:p>
    <w:p w:rsidR="00000000" w:rsidDel="00000000" w:rsidP="00000000" w:rsidRDefault="00000000" w:rsidRPr="00000000" w14:paraId="00000111">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17.2. Do ponto de vista técnico, o mercado dispõe de ampla oferta de empresas especializadas capazes de atender integralmente às exigências do objeto, incluindo veículos de sonorização, estruturas de trio elétrico, sistemas de iluminação, geração de energia e suporte técnico operacional, não havendo restrição de competitividade ou limitação de fornecedores aptos.</w:t>
      </w:r>
    </w:p>
    <w:p w:rsidR="00000000" w:rsidDel="00000000" w:rsidP="00000000" w:rsidRDefault="00000000" w:rsidRPr="00000000" w14:paraId="00000112">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17.3. Sob a perspectiva operacional, a solução proposta é adequada às necessidades do Município, uma vez que permite atendimento flexível e sob demanda, compatível com o calendário de eventos institucionais, culturais e sociais, garantindo eficiência na execução das ações públicas e continuidade dos serviços.</w:t>
      </w:r>
    </w:p>
    <w:p w:rsidR="00000000" w:rsidDel="00000000" w:rsidP="00000000" w:rsidRDefault="00000000" w:rsidRPr="00000000" w14:paraId="00000113">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17.4. No aspecto econômico, a adoção do Sistema de Registro de Preços (SRP) se mostra a alternativa mais vantajosa, pois evita custos fixos com aquisição, manutenção e depreciação de equipamentos próprios, além de possibilitar a contratação conforme a necessidade efetiva da Administração, reduzindo desperdícios e promovendo melhor alocação dos recursos públicos.</w:t>
      </w:r>
    </w:p>
    <w:p w:rsidR="00000000" w:rsidDel="00000000" w:rsidP="00000000" w:rsidRDefault="00000000" w:rsidRPr="00000000" w14:paraId="00000114">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17.5. A estruturação do objeto em lotes distintos contribui para o aumento da competitividade, permitindo a participação de fornecedores com diferentes capacidades técnicas e operacionais, o que reforça a obtenção de propostas mais vantajosas e aderentes ao interesse público.</w:t>
      </w:r>
    </w:p>
    <w:p w:rsidR="00000000" w:rsidDel="00000000" w:rsidP="00000000" w:rsidRDefault="00000000" w:rsidRPr="00000000" w14:paraId="00000115">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17.6. A análise de riscos realizada demonstra que os riscos associados à contratação são de natureza predominantemente operacional e plenamente mitigáveis por meio de mecanismos de gestão e fiscalização contratual, não representando impedimento à execução do objeto.</w:t>
      </w:r>
    </w:p>
    <w:p w:rsidR="00000000" w:rsidDel="00000000" w:rsidP="00000000" w:rsidRDefault="00000000" w:rsidRPr="00000000" w14:paraId="00000116">
      <w:pPr>
        <w:spacing w:after="180" w:before="180" w:line="36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17.7. Diante do exposto, conclui-se que a contratação é plenamente viável e recomendável, atendendo aos requisitos legais e às diretrizes dos órgãos de controle, especialmente o Tribunal de Contas da União (TCU) e o Tribunal de Contas do Estado de Minas Gerais (TCE-MG), estando apta ao prosseguimento para a fase de planejamento executivo e elaboração do Termo de Referência.</w:t>
      </w:r>
    </w:p>
    <w:p w:rsidR="00000000" w:rsidDel="00000000" w:rsidP="00000000" w:rsidRDefault="00000000" w:rsidRPr="00000000" w14:paraId="00000117">
      <w:pPr>
        <w:spacing w:after="180" w:before="180" w:line="360" w:lineRule="auto"/>
        <w:jc w:val="right"/>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sz w:val="20"/>
          <w:szCs w:val="20"/>
          <w:highlight w:val="white"/>
          <w:rtl w:val="0"/>
        </w:rPr>
        <w:t xml:space="preserve">São José do Mantimento/MG, 16 de junho de 2026.</w:t>
      </w:r>
    </w:p>
    <w:p w:rsidR="00000000" w:rsidDel="00000000" w:rsidP="00000000" w:rsidRDefault="00000000" w:rsidRPr="00000000" w14:paraId="00000118">
      <w:pPr>
        <w:spacing w:line="276" w:lineRule="auto"/>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119">
      <w:pPr>
        <w:widowControl w:val="0"/>
        <w:spacing w:line="276"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1A">
      <w:pPr>
        <w:widowControl w:val="0"/>
        <w:spacing w:line="276"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1B">
      <w:pPr>
        <w:widowControl w:val="0"/>
        <w:spacing w:line="276" w:lineRule="auto"/>
        <w:rPr>
          <w:rFonts w:ascii="Times New Roman" w:cs="Times New Roman" w:eastAsia="Times New Roman" w:hAnsi="Times New Roman"/>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1C">
      <w:pPr>
        <w:widowControl w:val="0"/>
        <w:spacing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WALKER HENRIQUE SÉLOS GOMES                                                           CLEYDE DA SILVA PRAXEDES</w:t>
      </w:r>
    </w:p>
    <w:p w:rsidR="00000000" w:rsidDel="00000000" w:rsidP="00000000" w:rsidRDefault="00000000" w:rsidRPr="00000000" w14:paraId="0000011D">
      <w:pPr>
        <w:widowControl w:val="0"/>
        <w:spacing w:line="276" w:lineRule="auto"/>
        <w:rPr>
          <w:rFonts w:ascii="Times New Roman" w:cs="Times New Roman" w:eastAsia="Times New Roman" w:hAnsi="Times New Roman"/>
          <w:sz w:val="20"/>
          <w:szCs w:val="20"/>
        </w:rPr>
      </w:pPr>
      <w:bookmarkStart w:colFirst="0" w:colLast="0" w:name="_heading=h.gjdgxs" w:id="8"/>
      <w:bookmarkEnd w:id="8"/>
      <w:r w:rsidDel="00000000" w:rsidR="00000000" w:rsidRPr="00000000">
        <w:rPr>
          <w:rFonts w:ascii="Times New Roman" w:cs="Times New Roman" w:eastAsia="Times New Roman" w:hAnsi="Times New Roman"/>
          <w:sz w:val="20"/>
          <w:szCs w:val="20"/>
          <w:rtl w:val="0"/>
        </w:rPr>
        <w:t xml:space="preserve">Secretaria Municipal de Administração                                                                 Secretaria Municipal de Cultura</w:t>
      </w:r>
    </w:p>
    <w:p w:rsidR="00000000" w:rsidDel="00000000" w:rsidP="00000000" w:rsidRDefault="00000000" w:rsidRPr="00000000" w14:paraId="0000011E">
      <w:pPr>
        <w:widowControl w:val="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1F">
      <w:pPr>
        <w:widowControl w:val="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20">
      <w:pPr>
        <w:widowControl w:val="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21">
      <w:pPr>
        <w:widowControl w:val="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22">
      <w:pPr>
        <w:widowControl w:val="0"/>
        <w:rPr>
          <w:rFonts w:ascii="Times New Roman" w:cs="Times New Roman" w:eastAsia="Times New Roman" w:hAnsi="Times New Roman"/>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23">
      <w:pPr>
        <w:widowControl w:val="0"/>
        <w:spacing w:line="36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GEOVANE PEREIRA DA SILVA                                                           </w:t>
      </w:r>
    </w:p>
    <w:p w:rsidR="00000000" w:rsidDel="00000000" w:rsidP="00000000" w:rsidRDefault="00000000" w:rsidRPr="00000000" w14:paraId="00000124">
      <w:pPr>
        <w:widowControl w:val="0"/>
        <w:spacing w:line="36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Secretaria Municipal de Turismo                                                  </w:t>
      </w:r>
    </w:p>
    <w:p w:rsidR="00000000" w:rsidDel="00000000" w:rsidP="00000000" w:rsidRDefault="00000000" w:rsidRPr="00000000" w14:paraId="00000125">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26">
      <w:pPr>
        <w:widowControl w:val="0"/>
        <w:spacing w:line="276" w:lineRule="auto"/>
        <w:rPr>
          <w:rFonts w:ascii="Times New Roman" w:cs="Times New Roman" w:eastAsia="Times New Roman" w:hAnsi="Times New Roman"/>
          <w:b w:val="1"/>
          <w:bCs w:val="1"/>
          <w:sz w:val="20"/>
          <w:szCs w:val="20"/>
          <w:u w:val="single"/>
        </w:rPr>
      </w:pPr>
      <w:r w:rsidDel="00000000" w:rsidR="00000000" w:rsidRPr="00000000">
        <w:rPr>
          <w:rtl w:val="0"/>
        </w:rPr>
      </w:r>
    </w:p>
    <w:p w:rsidR="00000000" w:rsidDel="00000000" w:rsidP="00000000" w:rsidRDefault="00000000" w:rsidRPr="00000000" w14:paraId="00000127">
      <w:pPr>
        <w:widowControl w:val="0"/>
        <w:spacing w:line="276" w:lineRule="auto"/>
        <w:rPr>
          <w:rFonts w:ascii="Times New Roman" w:cs="Times New Roman" w:eastAsia="Times New Roman" w:hAnsi="Times New Roman"/>
          <w:b w:val="1"/>
          <w:bCs w:val="1"/>
          <w:sz w:val="20"/>
          <w:szCs w:val="20"/>
          <w:u w:val="single"/>
        </w:rPr>
      </w:pPr>
      <w:bookmarkStart w:colFirst="0" w:colLast="0" w:name="_heading=h.gjdgxs" w:id="8"/>
      <w:bookmarkEnd w:id="8"/>
      <w:r w:rsidDel="00000000" w:rsidR="00000000" w:rsidRPr="00000000">
        <w:rPr>
          <w:rtl w:val="0"/>
        </w:rPr>
      </w:r>
    </w:p>
    <w:p w:rsidR="00000000" w:rsidDel="00000000" w:rsidP="00000000" w:rsidRDefault="00000000" w:rsidRPr="00000000" w14:paraId="00000128">
      <w:pPr>
        <w:spacing w:line="312" w:lineRule="auto"/>
        <w:jc w:val="both"/>
        <w:rPr>
          <w:rFonts w:ascii="Times New Roman" w:cs="Times New Roman" w:eastAsia="Times New Roman" w:hAnsi="Times New Roman"/>
          <w:sz w:val="20"/>
          <w:szCs w:val="20"/>
          <w:highlight w:val="white"/>
        </w:rPr>
      </w:pPr>
      <w:r w:rsidDel="00000000" w:rsidR="00000000" w:rsidRPr="00000000">
        <w:rPr>
          <w:rFonts w:ascii="Times New Roman" w:cs="Times New Roman" w:eastAsia="Times New Roman" w:hAnsi="Times New Roman"/>
          <w:b w:val="1"/>
          <w:bCs w:val="1"/>
          <w:sz w:val="20"/>
          <w:szCs w:val="20"/>
          <w:u w:val="single"/>
          <w:rtl w:val="0"/>
        </w:rPr>
        <w:t xml:space="preserve">Confere com a transcrição do original.</w:t>
      </w:r>
      <w:r w:rsidDel="00000000" w:rsidR="00000000" w:rsidRPr="00000000">
        <w:rPr>
          <w:rtl w:val="0"/>
        </w:rPr>
      </w:r>
    </w:p>
    <w:sectPr>
      <w:headerReference r:id="rId11" w:type="default"/>
      <w:footerReference r:id="rId12" w:type="default"/>
      <w:pgSz w:h="16838" w:w="11906" w:orient="portrait"/>
      <w:pgMar w:bottom="1133.8582677165355" w:top="1700.7874015748032" w:left="1700.7874015748032" w:right="1133.8582677165355" w:header="566.9291338582677" w:footer="566.929133858267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B">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123825</wp:posOffset>
          </wp:positionH>
          <wp:positionV relativeFrom="paragraph">
            <wp:posOffset>-19045</wp:posOffset>
          </wp:positionV>
          <wp:extent cx="5760000" cy="368300"/>
          <wp:effectExtent b="0" l="0" r="0" t="0"/>
          <wp:wrapNone/>
          <wp:docPr id="3"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5760000" cy="368300"/>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9">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sz w:val="22"/>
        <w:szCs w:val="22"/>
      </w:rPr>
      <w:drawing>
        <wp:anchor allowOverlap="1" behindDoc="0" distB="0" distT="0" distL="114300" distR="114300" hidden="0" layoutInCell="1" locked="0" relativeHeight="0" simplePos="0">
          <wp:simplePos x="0" y="0"/>
          <wp:positionH relativeFrom="page">
            <wp:posOffset>6452407</wp:posOffset>
          </wp:positionH>
          <wp:positionV relativeFrom="page">
            <wp:posOffset>149052</wp:posOffset>
          </wp:positionV>
          <wp:extent cx="923925" cy="751988"/>
          <wp:effectExtent b="46228" l="36771" r="36771" t="46228"/>
          <wp:wrapNone/>
          <wp:docPr id="2" name="image3.jpg"/>
          <a:graphic>
            <a:graphicData uri="http://schemas.openxmlformats.org/drawingml/2006/picture">
              <pic:pic>
                <pic:nvPicPr>
                  <pic:cNvPr id="0" name="image3.jpg"/>
                  <pic:cNvPicPr preferRelativeResize="0"/>
                </pic:nvPicPr>
                <pic:blipFill>
                  <a:blip r:embed="rId1"/>
                  <a:srcRect b="0" l="0" r="0" t="0"/>
                  <a:stretch>
                    <a:fillRect/>
                  </a:stretch>
                </pic:blipFill>
                <pic:spPr>
                  <a:xfrm rot="360000">
                    <a:off x="0" y="0"/>
                    <a:ext cx="923925" cy="751988"/>
                  </a:xfrm>
                  <a:prstGeom prst="rect"/>
                  <a:ln/>
                </pic:spPr>
              </pic:pic>
            </a:graphicData>
          </a:graphic>
        </wp:anchor>
      </w:drawing>
    </w:r>
    <w:r w:rsidDel="00000000" w:rsidR="00000000" w:rsidRPr="00000000">
      <w:rPr>
        <w:rFonts w:ascii="Calibri" w:cs="Calibri" w:eastAsia="Calibri" w:hAnsi="Calibri"/>
        <w:sz w:val="22"/>
        <w:szCs w:val="22"/>
      </w:rPr>
      <w:drawing>
        <wp:anchor allowOverlap="1" behindDoc="1" distB="0" distT="0" distL="0" distR="0" hidden="0" layoutInCell="1" locked="0" relativeHeight="0" simplePos="0">
          <wp:simplePos x="0" y="0"/>
          <wp:positionH relativeFrom="page">
            <wp:posOffset>1080000</wp:posOffset>
          </wp:positionH>
          <wp:positionV relativeFrom="page">
            <wp:posOffset>45675</wp:posOffset>
          </wp:positionV>
          <wp:extent cx="5886450" cy="838200"/>
          <wp:effectExtent b="0" l="0" r="0" t="0"/>
          <wp:wrapNone/>
          <wp:docPr descr="CABEÇALHO PREFEITURA MUNICIPAL DE SÃO JOSÉ DO MANTIMENTO (1)" id="1" name="image1.png"/>
          <a:graphic>
            <a:graphicData uri="http://schemas.openxmlformats.org/drawingml/2006/picture">
              <pic:pic>
                <pic:nvPicPr>
                  <pic:cNvPr descr="CABEÇALHO PREFEITURA MUNICIPAL DE SÃO JOSÉ DO MANTIMENTO (1)" id="0" name="image1.png"/>
                  <pic:cNvPicPr preferRelativeResize="0"/>
                </pic:nvPicPr>
                <pic:blipFill>
                  <a:blip r:embed="rId2"/>
                  <a:srcRect b="0" l="0" r="0" t="0"/>
                  <a:stretch>
                    <a:fillRect/>
                  </a:stretch>
                </pic:blipFill>
                <pic:spPr>
                  <a:xfrm>
                    <a:off x="0" y="0"/>
                    <a:ext cx="5886450" cy="838200"/>
                  </a:xfrm>
                  <a:prstGeom prst="rect"/>
                  <a:ln/>
                </pic:spPr>
              </pic:pic>
            </a:graphicData>
          </a:graphic>
        </wp:anchor>
      </w:drawing>
    </w:r>
    <w:r w:rsidDel="00000000" w:rsidR="00000000" w:rsidRPr="00000000">
      <w:rPr>
        <w:rtl w:val="0"/>
      </w:rPr>
    </w:r>
  </w:p>
  <w:p w:rsidR="00000000" w:rsidDel="00000000" w:rsidP="00000000" w:rsidRDefault="00000000" w:rsidRPr="00000000" w14:paraId="0000012A">
    <w:pPr>
      <w:jc w:val="center"/>
      <w:rPr>
        <w:rFonts w:ascii="Times New Roman" w:cs="Times New Roman" w:eastAsia="Times New Roman" w:hAnsi="Times New Roman"/>
        <w:b w:val="1"/>
        <w:bCs w:val="1"/>
        <w:color w:val="000000"/>
        <w:sz w:val="21"/>
        <w:szCs w:val="21"/>
      </w:rPr>
    </w:pPr>
    <w:r w:rsidDel="00000000" w:rsidR="00000000" w:rsidRPr="00000000">
      <w:rPr>
        <w:rFonts w:ascii="Times New Roman" w:cs="Times New Roman" w:eastAsia="Times New Roman" w:hAnsi="Times New Roman"/>
        <w:b w:val="1"/>
        <w:bCs w:val="1"/>
        <w:sz w:val="21"/>
        <w:szCs w:val="21"/>
        <w:rtl w:val="0"/>
      </w:rPr>
      <w:t xml:space="preserve">                   </w:t>
    </w:r>
    <w:r w:rsidDel="00000000" w:rsidR="00000000" w:rsidRPr="00000000">
      <w:rPr>
        <w:rFonts w:ascii="Times New Roman" w:cs="Times New Roman" w:eastAsia="Times New Roman" w:hAnsi="Times New Roman"/>
        <w:b w:val="1"/>
        <w:bCs w:val="1"/>
        <w:color w:val="000000"/>
        <w:sz w:val="21"/>
        <w:szCs w:val="21"/>
        <w:rtl w:val="0"/>
      </w:rPr>
      <w:t xml:space="preserve">Secretaria Municipal de Administração</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3">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5">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pt_BR"/>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before="92" w:lineRule="auto"/>
      <w:ind w:left="20"/>
    </w:pPr>
    <w:rPr>
      <w:b w:val="1"/>
      <w:bCs w:val="1"/>
      <w:sz w:val="24"/>
      <w:szCs w:val="24"/>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widowControl w:val="0"/>
      <w:ind w:left="507" w:right="523"/>
      <w:jc w:val="center"/>
    </w:pPr>
    <w:rPr>
      <w:b w:val="1"/>
      <w:bCs w:val="1"/>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eader" Target="header1.xml"/><Relationship Id="rId10" Type="http://schemas.openxmlformats.org/officeDocument/2006/relationships/hyperlink" Target="https://www.planalto.gov.br/ccivil_03/_ato2019-2022/2021/lei/l14133.htm" TargetMode="External"/><Relationship Id="rId12" Type="http://schemas.openxmlformats.org/officeDocument/2006/relationships/footer" Target="footer1.xml"/><Relationship Id="rId9" Type="http://schemas.openxmlformats.org/officeDocument/2006/relationships/hyperlink" Target="https://www.planalto.gov.br/ccivil_03/_ato2019-2022/2021/lei/l14133.htm"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planalto.gov.br/ccivil_03/decreto-lei/del5452.htm" TargetMode="External"/><Relationship Id="rId8" Type="http://schemas.openxmlformats.org/officeDocument/2006/relationships/hyperlink" Target="https://www.planalto.gov.br/ccivil_03/Constituicao/Constituicao.htm#art7xxxiii"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 Id="rId2"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0jHplUSI/F1X+tj5EqfYjzNS1lw==">CgMxLjAyDmguMTAzMWx6NjhxcWE2Mg5oLmpzMnVlejFxcXdtYjINaC44ZzN6cGZqajhwODIOaC50M3Y3dHhnc3M4NTEyDmguMWN2bHJmNnR6d3l0Mg5oLm5vbWhyMTJyem5qcDIOaC5odzdyaXg2aHF6Z2MyDmguZ284cjdsNXE1bzd3MghoLmdqZGd4czIIaC5namRneHM4AHIhMTM2VUoxVHFJNVZ0dlhaR0ZTMklvWUZlckN0X1NkNHZD</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1046-12.2.0.23131</vt:lpwstr>
  </property>
  <property fmtid="{D5CDD505-2E9C-101B-9397-08002B2CF9AE}" pid="3" name="ICV">
    <vt:lpwstr>11F9E12AD0D649D7AFB30F9F5CBF0AB9_12</vt:lpwstr>
  </property>
</Properties>
</file>