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after="180" w:line="48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u w:val="single"/>
        </w:rPr>
        <w:t>AVISO DE CONTRATAÇÃO DIRETA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after="180" w:line="48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highlight w:val="white"/>
        </w:rPr>
        <w:t>DISPENSA ELETRÔNICA SRP Nº 0</w:t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highlight w:val="white"/>
        </w:rPr>
        <w:t>10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highlight w:val="white"/>
        </w:rPr>
        <w:t>/2026.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PROCESSO ADMINISTRATIVO Nº 0</w:t>
      </w:r>
      <w:r>
        <w:rPr>
          <w:rFonts w:ascii="Times New Roman" w:eastAsia="Times New Roman" w:hAnsi="Times New Roman" w:cs="Times New Roman"/>
          <w:sz w:val="20"/>
          <w:szCs w:val="20"/>
          <w:highlight w:val="white"/>
        </w:rPr>
        <w:t>32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/2026.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after="180" w:line="48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DISPENSA ELETRÔNICA SRP Nº 0</w:t>
      </w:r>
      <w:r>
        <w:rPr>
          <w:rFonts w:ascii="Times New Roman" w:eastAsia="Times New Roman" w:hAnsi="Times New Roman" w:cs="Times New Roman"/>
          <w:sz w:val="20"/>
          <w:szCs w:val="20"/>
          <w:highlight w:val="white"/>
        </w:rPr>
        <w:t>10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/2026.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 xml:space="preserve">Forma de Execução: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Indireta.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48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Tipo de Licitação: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Menor Preço por Item.</w:t>
      </w:r>
    </w:p>
    <w:tbl>
      <w:tblPr>
        <w:tblStyle w:val="a"/>
        <w:tblW w:w="908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4"/>
      </w:tblGrid>
      <w:tr w:rsidR="00A81B12">
        <w:trPr>
          <w:cantSplit/>
          <w:tblHeader/>
        </w:trPr>
        <w:tc>
          <w:tcPr>
            <w:tcW w:w="9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tabs>
                <w:tab w:val="left" w:pos="9072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  <w:t>1 - PREÂMBULO</w:t>
            </w:r>
          </w:p>
        </w:tc>
      </w:tr>
    </w:tbl>
    <w:p w:rsidR="00A81B12" w:rsidRDefault="00A81B1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12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</w:pPr>
    </w:p>
    <w:p w:rsidR="00A81B12" w:rsidRDefault="008555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1.1.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 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Município de São José do Mantimento/MG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, pessoa jurídica de direito público interno, inscrito no CNPJ sob o nº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18.392.514/0001-03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, com sede na Praça Marechal Rondon, nº 60, CEP: 36.990-000, Centro, São José do Mantimento/MG,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torna público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, para conhecimento dos interessados, que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 xml:space="preserve">atendendo à solicitação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da  Secretaria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 xml:space="preserve"> Municipal de Educação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, promoverá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Dispensa de Licitação, na forma eletrônica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, adotando o critério de julgamento de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  <w:u w:val="single"/>
        </w:rPr>
        <w:t>MENOR PREÇO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. A contratação será fundamentada no art. 75, inciso II, da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Lei Federal nº 14.133, de 1º de abril de 2021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, e suas alterações, na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Lei Complementar nº 123, de 14 de dezembro de 2006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, e alterações posteriores, no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Decreto Municipal nº 013/2025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, bem como nas demais normas regulamentares aplicáveis. O procedimento será conduzido pela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Agente de Contratação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, designada pelo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Decreto nº 0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>68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 xml:space="preserve">, de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>30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>dezembro de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 xml:space="preserve"> 2025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, observando-se estritamente as condições estabelecidas neste instrumento convocatório e em seus anexos.</w:t>
      </w:r>
    </w:p>
    <w:p w:rsidR="00A81B12" w:rsidRDefault="008555D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9072"/>
        </w:tabs>
        <w:spacing w:before="180" w:after="180" w:line="36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Recebimento das Propostas: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A partir das 0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>8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 xml:space="preserve">h00min do dia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>17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/0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>7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/2026 até às 0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>7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h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>59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 xml:space="preserve">min do dia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>21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/0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>7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/2026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.</w:t>
      </w:r>
    </w:p>
    <w:p w:rsidR="00A81B12" w:rsidRDefault="008555D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9072"/>
        </w:tabs>
        <w:spacing w:before="180" w:after="180" w:line="360" w:lineRule="auto"/>
        <w:ind w:right="14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Início da Sessão e Oferta de Lances: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Às 0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>8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 xml:space="preserve">h00min do dia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>21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/0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>7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/2026 – Com duração de 06 (SEIS) horas.</w:t>
      </w:r>
    </w:p>
    <w:p w:rsidR="00A81B12" w:rsidRDefault="008555D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9072"/>
        </w:tabs>
        <w:spacing w:before="180" w:after="180" w:line="360" w:lineRule="auto"/>
        <w:ind w:right="14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Referência/Hora: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Horário de Brasília/DF.</w:t>
      </w:r>
    </w:p>
    <w:p w:rsidR="00A81B12" w:rsidRDefault="008555D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9072"/>
        </w:tabs>
        <w:spacing w:before="180" w:after="180" w:line="36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Local/Plataforma: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Bolsa Nacional de Compras (</w:t>
      </w:r>
      <w:hyperlink r:id="rId8">
        <w:r>
          <w:rPr>
            <w:rFonts w:ascii="Times New Roman" w:eastAsia="Times New Roman" w:hAnsi="Times New Roman" w:cs="Times New Roman"/>
            <w:b/>
            <w:bCs/>
            <w:color w:val="0000FF"/>
            <w:sz w:val="20"/>
            <w:szCs w:val="20"/>
            <w:highlight w:val="white"/>
          </w:rPr>
          <w:t>https://bnc.org.br/</w:t>
        </w:r>
      </w:hyperlink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).</w:t>
      </w:r>
    </w:p>
    <w:p w:rsidR="00A81B12" w:rsidRDefault="008555D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9072"/>
        </w:tabs>
        <w:spacing w:before="180" w:after="180" w:line="36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O modo de disputa deste certame será 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  <w:u w:val="single"/>
        </w:rPr>
        <w:t>aberto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, conforme disposições contidas no inc. I e II.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do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 artigo 56, da Lei nº 14.133, de 01 de abril de 2021 e alterações.</w:t>
      </w:r>
    </w:p>
    <w:p w:rsidR="00A81B12" w:rsidRDefault="008555D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9072"/>
        </w:tabs>
        <w:spacing w:before="180" w:after="180" w:line="36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Critério de Julgamento: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Menor Preço por Item.</w:t>
      </w:r>
    </w:p>
    <w:tbl>
      <w:tblPr>
        <w:tblStyle w:val="a0"/>
        <w:tblW w:w="90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76"/>
      </w:tblGrid>
      <w:tr w:rsidR="00A81B12">
        <w:trPr>
          <w:cantSplit/>
          <w:tblHeader/>
        </w:trPr>
        <w:tc>
          <w:tcPr>
            <w:tcW w:w="9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72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– OBJETO</w:t>
            </w:r>
          </w:p>
        </w:tc>
      </w:tr>
    </w:tbl>
    <w:p w:rsidR="00A81B12" w:rsidRDefault="00A81B12">
      <w:pPr>
        <w:spacing w:line="312" w:lineRule="auto"/>
        <w:ind w:right="68"/>
        <w:jc w:val="both"/>
        <w:rPr>
          <w:rFonts w:ascii="Century" w:eastAsia="Century" w:hAnsi="Century" w:cs="Century"/>
          <w:b/>
          <w:bCs/>
          <w:sz w:val="18"/>
          <w:szCs w:val="18"/>
        </w:rPr>
      </w:pPr>
    </w:p>
    <w:p w:rsidR="00880543" w:rsidRDefault="008555D3" w:rsidP="00880543">
      <w:pPr>
        <w:spacing w:line="312" w:lineRule="auto"/>
        <w:ind w:right="6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2.1. </w:t>
      </w:r>
      <w:r w:rsidR="00880543">
        <w:rPr>
          <w:rFonts w:ascii="Times New Roman" w:eastAsia="Times New Roman" w:hAnsi="Times New Roman" w:cs="Times New Roman"/>
          <w:sz w:val="20"/>
          <w:szCs w:val="20"/>
        </w:rPr>
        <w:t xml:space="preserve">Constitui objeto do presente Estudo Técnico Preliminar a </w:t>
      </w:r>
      <w:r w:rsidR="00880543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contratação de empresa especializada para prestação de serviços em Assessoria e Consultoria Técnica, para </w:t>
      </w:r>
      <w:r w:rsidR="0088054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executar e monitorar todos os projetos, programas e sistemas do Governo Federal e Estadual</w:t>
      </w:r>
      <w:r w:rsidR="00880543">
        <w:rPr>
          <w:rFonts w:ascii="Times New Roman" w:eastAsia="Times New Roman" w:hAnsi="Times New Roman" w:cs="Times New Roman"/>
          <w:b/>
          <w:bCs/>
          <w:sz w:val="20"/>
          <w:szCs w:val="20"/>
        </w:rPr>
        <w:t>, objetivando a alocação de recursos, cadastramento de propostas, alimentação de sistema e programas e prestação de contas, através convênios, contratos de repasse, termo de compromisso, oriundos de transferências voluntárias ou obrigatórias, emendas parlamentares, dentre outros, firmados e a serem firmados entre o Município de São José do Mantimento/MG e o Governo Federal e Estadual, no âmbito da Secretaria Municipal de Educação.</w:t>
      </w:r>
    </w:p>
    <w:p w:rsidR="00A81B12" w:rsidRDefault="008555D3" w:rsidP="00880543">
      <w:pPr>
        <w:spacing w:line="312" w:lineRule="auto"/>
        <w:ind w:right="6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lastRenderedPageBreak/>
        <w:t>2.2. As descrições detalhadas, quantidades dos serviços e preços estimados, encontram-se no Estudo Técnico Preliminar, Termo de Referência e nos lotes insertos na Plataforma BNC, que faz parte integrante deste Aviso de contratação Direta.</w:t>
      </w:r>
    </w:p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Century" w:eastAsia="Century" w:hAnsi="Century" w:cs="Century"/>
          <w:b/>
          <w:bCs/>
          <w:color w:val="000000"/>
          <w:sz w:val="18"/>
          <w:szCs w:val="18"/>
          <w:u w:val="single"/>
        </w:rPr>
      </w:pPr>
    </w:p>
    <w:tbl>
      <w:tblPr>
        <w:tblStyle w:val="a1"/>
        <w:tblW w:w="909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91"/>
      </w:tblGrid>
      <w:tr w:rsidR="00A81B12">
        <w:trPr>
          <w:cantSplit/>
          <w:tblHeader/>
        </w:trPr>
        <w:tc>
          <w:tcPr>
            <w:tcW w:w="9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72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– DISPOSIÇÕES PRELIMINARES</w:t>
            </w:r>
          </w:p>
        </w:tc>
      </w:tr>
    </w:tbl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312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3.1.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participação na Dispensa Eletrônica se dará em sessão pública virtual, por meio da INTERNET, mediante condições de segurança - criptografia e autenticação - em todas as suas fases, através da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Bolsa Nacional de Compras - BNC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na Forma Eletrônica. </w:t>
      </w:r>
    </w:p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3.2.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utilização do sistema eletrônico do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Bolsa Nacional de Compras - BNC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está consubstanciada nos §§ 2º e 4º do artigo 17º da Lei 14.133, de 01 de abril de 2021 e alterações, além de outros normativos municipais que regulamentou a matéria.</w:t>
      </w:r>
    </w:p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312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3.3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Os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item/lote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cujo valor referencial é de até R$ 80.000,00 (oitenta mil reais), fica reservado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exclusivamente para a participação de empresas enquadradas nas modalidades MEI, ME e EPP ou equiparadas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em observância ao art. 47 da Lei Complementar nº 123/2006 com redação dada pela Lei Complementar nº 147/2014 e Decreto Municipal nº 020/2023.</w:t>
      </w:r>
    </w:p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3.4.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As empresas sediadas no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Município de São José do Mantimento/MG e na Microrregião de Manhuaçu/MG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terão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prioridade de contratação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ficando limitado no âmbito regional, as empresas que tenha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 xml:space="preserve">Sede na Microrregião de Manhuaçu, MG, cujos Municípios são: Abre-Campo, Alto Caparaó, Alto Jequitibá, Caparaó,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Caputira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 xml:space="preserve">, Chalé, Durandé, Lajinha,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Luisburgo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 xml:space="preserve">, Manhuaçu, Manhumirim, Martins Soares, Matipó, Pedra Bonita, Reduto, Santa Bárbara do Leste, Santa Margarida, Santana do Manhuaçu, São João do Manhuaçu, São José do Mantimento e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Simonésia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em observância ao art. 47 da Lei Complementar nº 123/2006 com redação dada pela Lei Complementar nº 147/2014 e Decreto Municipal nº 020/2023, visando o desenvolvimento econômico regional.</w:t>
      </w:r>
    </w:p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3.5.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justificativa para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exclusividade de participação de empresas enquadradas nas modalidades MEI, ME e EPP ou equiparadas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bem como 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prioridade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de contratação das empresas sediadas no âmbito local e regional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encontra-se inserta no Termo de Referência, anexo deste Edital.</w:t>
      </w:r>
    </w:p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2"/>
        <w:tblW w:w="908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4"/>
      </w:tblGrid>
      <w:tr w:rsidR="00A81B12">
        <w:trPr>
          <w:cantSplit/>
          <w:tblHeader/>
        </w:trPr>
        <w:tc>
          <w:tcPr>
            <w:tcW w:w="9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4 - DA FORMA, CONDIÇÕES E LOCAIS PARA A ENTREGA DO OBJETO</w:t>
            </w:r>
          </w:p>
        </w:tc>
      </w:tr>
    </w:tbl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line="312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4.1.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execução do objeto desta contratação deverá ocorrer de forma contínua, integrada e sob demanda, conforme as necessidades da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Secretaria Municipal de Educação do Município de São José do Mantimento/MG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bem como de outros setores que eventualmente demandem apoio técnico, desde que relacionado ao objeto contratual, observadas as diretrizes de planejamento administrativo e as condições estabelecidas no Termo de Referência.</w:t>
      </w:r>
    </w:p>
    <w:p w:rsidR="00A81B12" w:rsidRDefault="00A81B12">
      <w:pPr>
        <w:tabs>
          <w:tab w:val="left" w:pos="9213"/>
        </w:tabs>
        <w:spacing w:line="312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A81B12" w:rsidRDefault="008555D3">
      <w:pPr>
        <w:tabs>
          <w:tab w:val="left" w:pos="9213"/>
        </w:tabs>
        <w:spacing w:line="312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4.2. </w:t>
      </w:r>
      <w:r>
        <w:rPr>
          <w:rFonts w:ascii="Times New Roman" w:eastAsia="Times New Roman" w:hAnsi="Times New Roman" w:cs="Times New Roman"/>
          <w:sz w:val="20"/>
          <w:szCs w:val="20"/>
        </w:rPr>
        <w:t>O objeto do presente Aviso de Contratação Direta será executado na forma de execução indireta, nos termos consignados na lei nº 14.133, de 01 de abril de 2021 e suas alterações.</w:t>
      </w:r>
    </w:p>
    <w:p w:rsidR="00A81B12" w:rsidRDefault="00A81B12">
      <w:pPr>
        <w:tabs>
          <w:tab w:val="left" w:pos="9213"/>
        </w:tabs>
        <w:spacing w:line="312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82"/>
        </w:tabs>
        <w:spacing w:line="312" w:lineRule="auto"/>
        <w:ind w:right="68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 xml:space="preserve">4.3. As condições, local e forma para a execução dos serviços e especificações do objeto deste Aviso de Contratação Direta, encontram-se descritas no item 6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do, Estudo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 xml:space="preserve"> Técnico Preliminar e item 9, do Termo de Referência.</w:t>
      </w:r>
    </w:p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3"/>
        <w:tblW w:w="908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4"/>
      </w:tblGrid>
      <w:tr w:rsidR="00A81B12">
        <w:trPr>
          <w:cantSplit/>
          <w:tblHeader/>
        </w:trPr>
        <w:tc>
          <w:tcPr>
            <w:tcW w:w="9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tabs>
                <w:tab w:val="left" w:pos="142"/>
                <w:tab w:val="left" w:pos="9072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  <w:t xml:space="preserve">5 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 ADEQUAÇÃO ORÇAMENTÁRIA</w:t>
            </w:r>
          </w:p>
        </w:tc>
      </w:tr>
    </w:tbl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Century" w:eastAsia="Century" w:hAnsi="Century" w:cs="Century"/>
          <w:b/>
          <w:bCs/>
          <w:color w:val="000000"/>
          <w:sz w:val="18"/>
          <w:szCs w:val="18"/>
          <w:highlight w:val="green"/>
        </w:rPr>
      </w:pP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5.1.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 As despesas decorrentes da execução do presente contrato correrão à conta de dotações orçamentárias próprias consignadas na Lei Orçamentária Anual do exercício de 2026 do Município de São José do Mantimento, conforme abaixo indicada:</w:t>
      </w:r>
    </w:p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 xml:space="preserve">DOTAÇÃO ORÇAMENTÁRIA: </w:t>
      </w:r>
      <w:r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020501.1212200229.2022 3390 3900 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br/>
        <w:t>FICHA: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highlight w:val="white"/>
        </w:rPr>
        <w:t>188</w:t>
      </w:r>
    </w:p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FONTE DE RECURSOS (DR):</w:t>
      </w:r>
      <w:r>
        <w:rPr>
          <w:rFonts w:ascii="Times New Roman" w:eastAsia="Times New Roman" w:hAnsi="Times New Roman" w:cs="Times New Roman"/>
          <w:sz w:val="20"/>
          <w:szCs w:val="20"/>
          <w:highlight w:val="white"/>
        </w:rPr>
        <w:t>1.500001001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ELEMENTO DE DESPESA: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highlight w:val="white"/>
        </w:rPr>
        <w:t>3390-3900</w:t>
      </w:r>
    </w:p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</w:p>
    <w:p w:rsidR="00A81B12" w:rsidRDefault="008555D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12" w:lineRule="auto"/>
        <w:ind w:right="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5.2.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 Os recursos financeiros para cobertura das despesas correrão a conta de recursos próprios e do Município de São José do Mantimento/MG e outros consignados na lei orçamentária anual, por intermédio da Secretaria Municipal de Educação.</w:t>
      </w:r>
    </w:p>
    <w:p w:rsidR="00A81B12" w:rsidRDefault="00A81B1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12" w:lineRule="auto"/>
        <w:ind w:right="68"/>
        <w:jc w:val="both"/>
        <w:rPr>
          <w:rFonts w:ascii="Century" w:eastAsia="Century" w:hAnsi="Century" w:cs="Century"/>
          <w:color w:val="000000"/>
          <w:sz w:val="18"/>
          <w:szCs w:val="18"/>
          <w:highlight w:val="white"/>
        </w:rPr>
      </w:pPr>
    </w:p>
    <w:tbl>
      <w:tblPr>
        <w:tblStyle w:val="a4"/>
        <w:tblW w:w="909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91"/>
      </w:tblGrid>
      <w:tr w:rsidR="00A81B12">
        <w:trPr>
          <w:cantSplit/>
          <w:tblHeader/>
        </w:trPr>
        <w:tc>
          <w:tcPr>
            <w:tcW w:w="9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tabs>
                <w:tab w:val="left" w:pos="142"/>
                <w:tab w:val="left" w:pos="9072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6 - DA PARTICIPAÇÃO NA DISPENSA ELETRÔNICA</w:t>
            </w:r>
          </w:p>
        </w:tc>
      </w:tr>
    </w:tbl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6.1.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participação se dará exclusivamente por meio do Sistema de Dispensa Eletrônica da Bolsa Nacional de Compras – BNC, disponível no endereço eletrônico</w:t>
      </w:r>
      <w:hyperlink r:id="rId9">
        <w:r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 xml:space="preserve"> </w:t>
        </w:r>
      </w:hyperlink>
      <w:hyperlink r:id="rId10">
        <w:r>
          <w:rPr>
            <w:rFonts w:ascii="Times New Roman" w:eastAsia="Times New Roman" w:hAnsi="Times New Roman" w:cs="Times New Roman"/>
            <w:color w:val="1155CC"/>
            <w:sz w:val="20"/>
            <w:szCs w:val="20"/>
            <w:u w:val="single"/>
          </w:rPr>
          <w:t>https://bnc.org.br/</w:t>
        </w:r>
      </w:hyperlink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6.2.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Os fornecedores deverão realizar cadastramento prévio junto à plataforma BNC, diretamente ou por meio de empresas associadas, sendo responsáveis pela correta utilização de seus acessos e credenciais.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6.2.1.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fornecedor é o único responsável por todas as transações efetuadas em seu nome no sistema eletrônico, não cabendo à plataforma ou ao órgão contratante responsabilidade por eventuais danos decorrentes de uso indevido de senha, ainda que por terceiros.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6.3.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Não poderão participar deste procedimento os fornecedores que: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6.3.1.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Não atendam às condições deste Aviso de Contratação Direta e seus anexos;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6.3.2.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Sejam estrangeiros sem representação legal no Brasil com poderes expressos para receber citação e responder administrativa ou judicialmente.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6.4.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Também ficam impedidos de participar os fornecedores que se enquadrem nas seguintes hipóteses de vedação: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a) Autor do anteprojeto, projeto básico ou executivo, quando a contratação estiver a ele vinculada;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b) Empresa responsável pela elaboração do projeto básico ou executivo, ou que possua vínculo com seu autor;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c) Pessoa física ou jurídica impedida de licitar e contratar com a Administração Pública;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d) Empresa que possua vínculo técnico, comercial, econômico, financeiro, trabalhista ou civil com agente público do órgão contratante, até o terceiro grau;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e) Empresas controladoras, controladas ou coligadas entre si, nos termos da Lei nº 6.404/1976;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f) Pessoa física ou jurídica condenada, nos últimos 05 (cinco) anos, por trabalho infantil, trabalho análogo à escravidão ou exploração de menores;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g) Equiparam-se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aos autores de projeto empresas do mesmo grupo econômico, quando caracterizado o vínculo;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h) Empresas que atuem em substituição fraudulenta a outra pessoa jurídica para burlar sanções administrativas;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i) Organizações da Sociedade Civil de Interesse Público (OSCIP), quando atuando nessa condição;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j) Sociedades cooperativas, quando incompatíveis com o objeto da contratação.</w:t>
      </w:r>
    </w:p>
    <w:tbl>
      <w:tblPr>
        <w:tblStyle w:val="a5"/>
        <w:tblW w:w="908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3"/>
      </w:tblGrid>
      <w:tr w:rsidR="00A81B12">
        <w:trPr>
          <w:cantSplit/>
          <w:tblHeader/>
        </w:trPr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tabs>
                <w:tab w:val="left" w:pos="142"/>
                <w:tab w:val="left" w:pos="9072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 – DO INGRESSO NA DISPENSA ELETRÔNICA E CADASTRAMENTO DA PROPOSTA INICIAL</w:t>
            </w:r>
          </w:p>
        </w:tc>
      </w:tr>
    </w:tbl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ingresso do fornecedor na disputa da dispensa eletrônica ocorrerá mediante o cadastramento de sua proposta inicial, na forma estabelecida neste item.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Após a divulgação do Aviso de Contratação Direta, o fornecedor interessado encaminhará, exclusivamente por meio do Sistema de Dispensa Eletrônica da Bolsa Nacional de Compras – BNC, sua proposta com a descrição do objeto ofertado e o respectivo preço, até a data e horário estabelecidos para abertura do procedimento.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contratação será realizada em item único, conforme descrições constantes do Estudo Técnico Preliminar – ETP, do Termo de Referência e deste Aviso de Contratação Direta.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Todas as especificações do objeto contidas na proposta, especialmente o preço ofertado, vinculam integralmente a futura contratada.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7.5.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Nos valores propostos deverão estar incluídos todos os custos operacionais, encargos previdenciários, trabalhistas, tributários, comerciais e quaisquer outros custos diretos ou indiretos necessários à plena execução do objeto.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7.5.1.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Os preços ofertados, tanto na proposta inicial quanto na etapa de lances, são de exclusiva responsabilidade do fornecedor, não lhe assistindo o direito de pleitear qualquer alteração sob alegação de erro, omissão ou qualquer outro pretexto.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7.6.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apresentação da proposta implica obrigatoriedade do cumprimento integral das disposições nela contidas, em conformidade com o Termo de Referência e com este Aviso de Contratação Direta, assumindo o proponente o compromisso de executar o objeto nos termos propostos, com a qualidade e a quantidade necessárias à perfeita execução contratual, inclusive promovendo substituições quando exigido pela Administração.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7.7.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Uma vez enviada a proposta no sistema eletrônico, os fornecedores não poderão retirá-la, substituí-la ou modificá-la.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7.8.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 cadastramento da proposta inicial, o fornecedor deverá registrar, em campo próprio do sistema eletrônico, as seguintes declarações: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7.8.1.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que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inexistem fatos impeditivos para sua habilitação no certame, comprometendo-se a informar ocorrências supervenientes;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7.8.2.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que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cumpre os requisitos estabelecidos no art. 3º da Lei Complementar nº 123/2006, quando aplicável, para fins de enquadramento no regime favorecido;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7.8.3.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que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está ciente e concorda integralmente com as condições estabelecidas neste Aviso de Contratação Direta e seus anexos;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7.8.4.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que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assume total responsabilidade pelas transações efetuadas no sistema, reconhecendo-as como firmes e verdadeiras;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7.8.5.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que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cumpre as exigências de reserva de cargos previstas no art. 93 da Lei nº 8.213/1991, quando aplicável;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7.8.6.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que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não emprega menor de 18 anos em trabalho noturno, perigoso ou insalubre, e não emprega menor de 16 anos, salvo na condição de aprendiz a partir de 14 anos, nos termos do art. 7º, XXXIII, da Constituição Federal.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7.9.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Fica facultado ao fornecedor, no momento do cadastramento da proposta inicial, parametrizar valor final mínimo, correspondente ao menor lance aceitável.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7.9.1.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Caso realizada essa opção, os lances poderão ser enviados automaticamente pelo sistema, respeitados os limites previamente cadastrados pelo fornecedor e o intervalo mínimo entre lances estabelecido neste Aviso.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7.9.1.1.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Sem prejuízo do disposto acima, os lances também poderão ser enviados manualmente, na forma prevista na seção específica deste Aviso de Contratação Direta.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7.9.2.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valor final mínimo poderá ser alterado pelo fornecedor durante a fase de disputa, desde que não seja superior ao último lance já registrado no sistema.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7.10.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valor mínimo parametrizado terá caráter sigiloso, não sendo divulgado aos demais participantes nem ao órgão contratante, sendo conhecidos apenas os lances efetivamente registrados no sistema durante a fase de disputa.</w:t>
      </w:r>
    </w:p>
    <w:tbl>
      <w:tblPr>
        <w:tblStyle w:val="a6"/>
        <w:tblW w:w="908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3"/>
      </w:tblGrid>
      <w:tr w:rsidR="00A81B12">
        <w:trPr>
          <w:cantSplit/>
          <w:tblHeader/>
        </w:trPr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tabs>
                <w:tab w:val="left" w:pos="142"/>
                <w:tab w:val="left" w:pos="9072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  <w:t xml:space="preserve">8 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FASE DE LANCES</w:t>
            </w:r>
          </w:p>
        </w:tc>
      </w:tr>
    </w:tbl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8.1.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partir da data e horário estabelecidos neste Aviso de Contratação Direta, a sessão pública será automaticamente aberta pelo sistema para a etapa competitiva, com a recepção de lances públicos e sucessivos, exclusivamente por meio do sistema eletrônico, encerrando-se no horário previamente definido no instrumento convocatório.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8.2.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Iniciada a fase competitiva, os fornecedores deverão encaminhar lances exclusivamente por meio do sistema eletrônico, sendo imediatamente informados do seu recebimento e do valor registrado.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8.2.1.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lance deverá ser ofertado pelo valor unitário do item.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8.3.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fornecedor somente poderá oferecer valor inferior ao último lance por ele registrado no sistema, ou percentual de desconto superior, quando aplicável, em relação à sua própria oferta anterior.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8.3.1.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fornecedor poderá apresentar lances sucessivos, inclusive em valores intermediários, desde que inferiores ao menor lance por ele ofertado e registrado no sistema, observadas as regras de disputa definidas neste Aviso de Contratação Direta.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8.4.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Havendo lances de mesmo valor, será considerado como vencedor aquele que tiver sido recebido e registrado primeiro no sistema eletrônico.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8.5.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 hipótese de não apresentação de novos lances, o fornecedor permanecerá com o valor da sua proposta inicial registrada no sistema.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8.6.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Durante toda a fase de lances, os participantes serão informados, em tempo real, do menor valor registrado, sendo vedada a identificação dos demais fornecedores concorrentes.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8.7.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Encerrado o prazo estabelecido para a fase de lances, o sistema procederá automaticamente ao encerramento da etapa competitiva, com a ordenação e divulgação dos lances em ordem crescente de classificação.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8.7.1.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encerramento da fase de lances ocorrerá de forma automática e pontual no horário previamente fixado, sem prorrogação e sem utilização de tempo aleatório ou mecanismos de extensão automática.</w:t>
      </w:r>
    </w:p>
    <w:tbl>
      <w:tblPr>
        <w:tblStyle w:val="a7"/>
        <w:tblW w:w="908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3"/>
      </w:tblGrid>
      <w:tr w:rsidR="00A81B12">
        <w:trPr>
          <w:cantSplit/>
          <w:tblHeader/>
        </w:trPr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tabs>
                <w:tab w:val="left" w:pos="142"/>
                <w:tab w:val="left" w:pos="9072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– DO JULGAMENTO DAS PROPOSTAS DE PREÇOS</w:t>
            </w:r>
          </w:p>
        </w:tc>
      </w:tr>
    </w:tbl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critério de julgamento adotado para a presente Dispensa Eletrônica será 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MENOR PREÇO POR ITEM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observadas as exigências contidas neste Aviso de Contratação Direta e seus anexos quanto às especificações do objeto, em conformidade com o </w:t>
      </w:r>
      <w:hyperlink r:id="rId11">
        <w:r>
          <w:rPr>
            <w:rFonts w:ascii="Times New Roman" w:eastAsia="Times New Roman" w:hAnsi="Times New Roman" w:cs="Times New Roman"/>
            <w:color w:val="1155CC"/>
            <w:sz w:val="20"/>
            <w:szCs w:val="20"/>
            <w:u w:val="single"/>
          </w:rPr>
          <w:t>art. 33, inciso I, da Lei nº 14.133/2021</w:t>
        </w:r>
      </w:hyperlink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Ressalta-se que o critério de menor preço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não exime a contratada do cumprimento integral das obrigações contratuais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incluindo prazos de entrega, instalação, testes que eliminem riscos de vazamento, transporte, armazenagem e atendimento às demandas da Administração em qualquer dia e horário, conforme necessidade da Prefeitura, não cabendo à contratada definir formas ou métodos para a execução. Qualquer descumprimento sujeitará a contratada às penalidades previstas neste instrumento e na legislação vigente, garantindo à Administração Pública o exercício pleno do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controle, fiscalização e aplicação das sanções administrativas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em conformidade com os princípios da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legalidade, eficiência, moralidade e economicidade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previstos no </w:t>
      </w:r>
      <w:hyperlink r:id="rId12">
        <w:r>
          <w:rPr>
            <w:rFonts w:ascii="Times New Roman" w:eastAsia="Times New Roman" w:hAnsi="Times New Roman" w:cs="Times New Roman"/>
            <w:color w:val="1155CC"/>
            <w:sz w:val="20"/>
            <w:szCs w:val="20"/>
            <w:u w:val="single"/>
          </w:rPr>
          <w:t>art. 5º da Lei nº 14.133/2021</w:t>
        </w:r>
      </w:hyperlink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Ressalta-se que o critério adotado não exime o licitante do cumprimento rigoroso das condições técnicas e operacionais previstas no Termo de Referência, na Nota de Autorização de Fornecimento e demais anexos, sendo qualquer descumprimento passível de aplicação das penalidades previstas neste instrumento e na legislação vigente.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Além disso, o critério atende aos princípios previstos no </w:t>
      </w:r>
      <w:hyperlink r:id="rId13">
        <w:r>
          <w:rPr>
            <w:rFonts w:ascii="Times New Roman" w:eastAsia="Times New Roman" w:hAnsi="Times New Roman" w:cs="Times New Roman"/>
            <w:color w:val="1155CC"/>
            <w:sz w:val="20"/>
            <w:szCs w:val="20"/>
            <w:u w:val="single"/>
          </w:rPr>
          <w:t>art. 5º da Lei nº 14.133/2021</w:t>
        </w:r>
      </w:hyperlink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especialmente:</w:t>
      </w:r>
    </w:p>
    <w:p w:rsidR="00A81B12" w:rsidRDefault="008555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Eficiência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economicidade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ao buscar a proposta mais vantajosa considerando o conjunto completo do objeto;</w:t>
      </w:r>
    </w:p>
    <w:p w:rsidR="00A81B12" w:rsidRDefault="008555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Planejamento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ao alinhar o critério ao Estudo Técnico Preliminar e à definição clara das necessidades da Administração;</w:t>
      </w:r>
    </w:p>
    <w:p w:rsidR="00A81B12" w:rsidRDefault="008555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Competitividade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isonomia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pois o critério permite comparação objetiva e transparente entre as propostas, evitando subjetividades.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 xml:space="preserve">9.4.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Desse modo, a escolha pelo critério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Menor Preço Por Item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mostra-se adequada, legalmente fundamentada e compatível com a natureza integrada da contratação, assegurando a seleção da proposta mais vantajosa para a Administração Pública.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9.5.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Encerrada a fase de lances, será verificada a conformidade da proposta classificada em primeiro lugar quanto à adequação do objeto e à compatibilidade do preço em relação ao estipulado para a contratação.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9.6.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 caso de o preço da proposta vencedora estar acima do estimado pela Administração, poderá haver a negociação de condições mais vantajosas.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9.7.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Neste caso, será encaminhada contraproposta ao fornecedor que tenha apresentado o melhor preço, para que seja obtida a melhor proposta com preço compatível ao estimado pela Administração.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9.8.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9.8.1.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Sempre que convocado, o licitante/interessado detentor da proposta vencedora terá 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prazo de máximo de 30 (trinta) minutos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contado da solicitação no sistema, para responder à convocação de negociação, se for o caso, observados os itens 9.3.1 e 9.3.2.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9.8.2.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Em qualquer caso, concluída a negociação, o resultado será registrado na ata do procedimento da dispensa eletrônica.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9.9.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Estando o preço compatível, será solicitado o envio da proposta readequada ao último lance e, se necessário, de documentos complementares.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9.10.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Além da documentação supracitada, o fornecedor com a melhor proposta deverá encaminhar 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Proposta de Preços Readequada ao Último Lance Ofertado (Anexo III)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conforme modelo anexo, com os valores adequados à proposta vencedora.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9.10.1.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Fica estabelecido o prazo máximo de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30 (trinta) minutos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contado a partir da solicitação registrada no sistema, para o envio da proposta readequada ao último lance ofertado, bem como, se necessário, dos documentos complementares pertinentes.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9.10.2. O referido prazo poderá ser prorrogado, de ofício ou mediante justificativa do licitante, a critério da Administração, nos termos da Lei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n.º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14.133/2021 e demais normas vigentes, desde que devidamente motivado e não comprometa a celeridade e a continuidade do certame.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prazo de validade da proposta não será inferior 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60 (sessenta) dias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contar da data de sua apresentação.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Será desclassificada a proposta que: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9.12.1.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Contiver vícios insanáveis;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9.12.2.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Não obedecer às especificações técnicas pormenorizadas neste aviso ou em seus anexos;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9.12.3.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Apresentar preços inexequíveis ou permanecerem acima do preço máximo definido para a contratação;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 xml:space="preserve">9.12.4.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Não tiverem sua exequibilidade demonstrada, quando exigido pela Administração;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9.12.5.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Apresentar desconformidade com quaisquer outras exigências deste aviso ou seus anexos, desde que insanável.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Quando o fornecedor não conseguir comprovar que possui ou possuirá recursos suficientes para executar a contento o objeto, será considerada inexequível a proposta de preços ou menor lance que: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0"/>
          <w:szCs w:val="20"/>
        </w:rPr>
        <w:t>9.13.1.</w:t>
      </w: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For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 houver indícios de inexequibilidade da proposta de preço, ou em caso da necessidade de esclarecimentos complementares, poderão ser efetuadas diligências, para que a empresa comprove a exequibilidade da proposta.  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9.15.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Erros no preenchimento da planilha não constituem motivo para a desclassificação da proposta. A planilha poderá́ ser ajustada pelo fornecedor, no prazo indicado pelo sistema, desde que não haja majoração do preço.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9.15.1.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>O ajuste de que trata este dispositivo se limita a sanar erros ou falhas que não alterem a substância das propostas;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0"/>
          <w:szCs w:val="20"/>
        </w:rPr>
        <w:t>9.15.2.</w:t>
      </w: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Considera-se erro no preenchimento da planilha passível de correção a indicação de recolhimento de impostos e contribuições na forma do Simples Nacional, quando não cabível esse regime.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9.16.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Para fins de análise da proposta quanto ao cumprimento das especificações do objeto, poderá ser colhida a manifestação escrita do setor requisitante do item ou da área especializada no objeto.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9.17.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 a proposta ou lance vencedor for desclassificado, será examinada a proposta ou lance subsequente, e, assim sucessivamente, na ordem de classificação.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9.18.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Havendo necessidade, a sessão será suspensa, informando-se no “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chat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” a nova data e horário para a sua continuidade.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9.19.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Encerrada a análise quanto à aceitação da proposta, se iniciará a fase de habilitação, observado o disposto neste Aviso de Contratação Direta.</w:t>
      </w:r>
    </w:p>
    <w:p w:rsidR="00A81B12" w:rsidRDefault="008555D3">
      <w:pPr>
        <w:pStyle w:val="Ttulo3"/>
        <w:keepNext w:val="0"/>
        <w:keepLines w:val="0"/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" w:name="_heading=h.qgl9tfuv3p3q" w:colFirst="0" w:colLast="0"/>
      <w:bookmarkEnd w:id="1"/>
      <w:r>
        <w:rPr>
          <w:rFonts w:ascii="Times New Roman" w:eastAsia="Times New Roman" w:hAnsi="Times New Roman" w:cs="Times New Roman"/>
          <w:sz w:val="20"/>
          <w:szCs w:val="20"/>
        </w:rPr>
        <w:t>9.20. Exigência de Comprovação de Exequibilidade (Desconto Superior a 30%)</w:t>
      </w:r>
    </w:p>
    <w:p w:rsidR="00A81B12" w:rsidRDefault="008555D3">
      <w:pPr>
        <w:pStyle w:val="Ttulo3"/>
        <w:keepNext w:val="0"/>
        <w:keepLines w:val="0"/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</w:pPr>
      <w:bookmarkStart w:id="2" w:name="_heading=h.bvef24ipzicx" w:colFirst="0" w:colLast="0"/>
      <w:bookmarkEnd w:id="2"/>
      <w:r>
        <w:rPr>
          <w:rFonts w:ascii="Times New Roman" w:eastAsia="Times New Roman" w:hAnsi="Times New Roman" w:cs="Times New Roman"/>
          <w:sz w:val="20"/>
          <w:szCs w:val="20"/>
        </w:rPr>
        <w:t>9.20.1.</w:t>
      </w:r>
      <w:r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  <w:t xml:space="preserve"> A Agente de Contratação, designada Pregoeira, poderá exigir que a licitante demonstre a exequibilidade da proposta, nos casos em que os descontos oferecidos forem superiores a 30% (trinta por cento) do valor referencial. A licitante deverá comprovar a viabilidade da execução por critérios objetivos, tais como:</w:t>
      </w:r>
    </w:p>
    <w:p w:rsidR="00A81B12" w:rsidRDefault="008555D3">
      <w:pPr>
        <w:pStyle w:val="Ttulo3"/>
        <w:keepNext w:val="0"/>
        <w:keepLines w:val="0"/>
        <w:numPr>
          <w:ilvl w:val="0"/>
          <w:numId w:val="11"/>
        </w:numP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3" w:name="_heading=h.vpunkm5s4tht" w:colFirst="0" w:colLast="0"/>
      <w:bookmarkEnd w:id="3"/>
      <w:r>
        <w:rPr>
          <w:rFonts w:ascii="Times New Roman" w:eastAsia="Times New Roman" w:hAnsi="Times New Roman" w:cs="Times New Roman"/>
          <w:sz w:val="20"/>
          <w:szCs w:val="20"/>
        </w:rPr>
        <w:t>Planilha de Composição de Custos;</w:t>
      </w:r>
    </w:p>
    <w:p w:rsidR="00A81B12" w:rsidRDefault="008555D3">
      <w:pPr>
        <w:pStyle w:val="Ttulo3"/>
        <w:keepNext w:val="0"/>
        <w:keepLines w:val="0"/>
        <w:numPr>
          <w:ilvl w:val="0"/>
          <w:numId w:val="11"/>
        </w:numP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4" w:name="_heading=h.1fudbf7sb2h6" w:colFirst="0" w:colLast="0"/>
      <w:bookmarkEnd w:id="4"/>
      <w:r>
        <w:rPr>
          <w:rFonts w:ascii="Times New Roman" w:eastAsia="Times New Roman" w:hAnsi="Times New Roman" w:cs="Times New Roman"/>
          <w:sz w:val="20"/>
          <w:szCs w:val="20"/>
        </w:rPr>
        <w:t>Cópias de contratos executados no prazo inferior a 01 (um) ano;</w:t>
      </w:r>
    </w:p>
    <w:p w:rsidR="00A81B12" w:rsidRDefault="008555D3">
      <w:pPr>
        <w:pStyle w:val="Ttulo3"/>
        <w:keepNext w:val="0"/>
        <w:keepLines w:val="0"/>
        <w:numPr>
          <w:ilvl w:val="0"/>
          <w:numId w:val="11"/>
        </w:numP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5" w:name="_heading=h.xkv4c4abj4ga" w:colFirst="0" w:colLast="0"/>
      <w:bookmarkEnd w:id="5"/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Notas fiscais, faturas ou documentos equivalentes.</w:t>
      </w:r>
    </w:p>
    <w:p w:rsidR="00A81B12" w:rsidRDefault="008555D3">
      <w:pPr>
        <w:pStyle w:val="Ttulo3"/>
        <w:keepNext w:val="0"/>
        <w:keepLines w:val="0"/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</w:pPr>
      <w:bookmarkStart w:id="6" w:name="_heading=h.4e0gy13upmhm" w:colFirst="0" w:colLast="0"/>
      <w:bookmarkEnd w:id="6"/>
      <w:r>
        <w:rPr>
          <w:rFonts w:ascii="Times New Roman" w:eastAsia="Times New Roman" w:hAnsi="Times New Roman" w:cs="Times New Roman"/>
          <w:sz w:val="20"/>
          <w:szCs w:val="20"/>
        </w:rPr>
        <w:t xml:space="preserve">9.20.2.  </w:t>
      </w:r>
      <w:r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  <w:t>Caso contrário, a proposta poderá ser desclassificada.</w:t>
      </w:r>
    </w:p>
    <w:p w:rsidR="00A81B12" w:rsidRDefault="008555D3">
      <w:pPr>
        <w:pStyle w:val="Ttulo3"/>
        <w:keepNext w:val="0"/>
        <w:keepLines w:val="0"/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7" w:name="_heading=h.fn7v4993f9fa" w:colFirst="0" w:colLast="0"/>
      <w:bookmarkEnd w:id="7"/>
      <w:r>
        <w:rPr>
          <w:rFonts w:ascii="Times New Roman" w:eastAsia="Times New Roman" w:hAnsi="Times New Roman" w:cs="Times New Roman"/>
          <w:sz w:val="20"/>
          <w:szCs w:val="20"/>
        </w:rPr>
        <w:t>9.21. Desconto Superior a 50% – Exigências Adicionais de Exequibilidade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9.21.1.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Nos casos em que o desconto oferecido na proposta for superior 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50% (cinquenta por cento)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do valor referencial estabelecido no edital, a Agente de Contratação poderá exigir a comprovação adicional da exequibilidade da proposta. Neste caso, além dos documentos mencionados no item 9.14, a licitante deverá apresentar elementos que atestem, de forma robusta, a viabilidade econômica da execução do objeto contratado. Entre os documentos passíveis de apresentação, incluem-se:</w:t>
      </w:r>
    </w:p>
    <w:p w:rsidR="00A81B12" w:rsidRDefault="008555D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Planilhas detalhadas de composição de custos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considerando o valor do insumo, mão-de-obra, encargos sociais, e outros componentes necessários para a execução do objeto da licitação;</w:t>
      </w:r>
    </w:p>
    <w:p w:rsidR="00A81B12" w:rsidRDefault="008555D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Contratos já executados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em período inferior a 01 (um) ano, demonstrando a experiência prévia com execução de projetos ou fornecimentos semelhantes, a fim de evidenciar a capacidade técnica e financeira da empresa para honrar a proposta apresentada;</w:t>
      </w:r>
    </w:p>
    <w:p w:rsidR="00A81B12" w:rsidRDefault="008555D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Notas fiscais, faturas, ou documentos equivalentes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que comprovem a efetiva execução de contratos de valores ou características semelhantes ao objeto licitado, com destaque para a execução eficiente e dentro dos parâmetros financeiros estabelecidos.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9.22. Desclassificação por Desconto Superior a 50% e Inexequibilidade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9.22.1.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Caso o desconto superior 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50%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seja considerado manifestamente inexequível, conforme o disposto no </w:t>
      </w:r>
      <w:hyperlink r:id="rId14">
        <w:r>
          <w:rPr>
            <w:rFonts w:ascii="Times New Roman" w:eastAsia="Times New Roman" w:hAnsi="Times New Roman" w:cs="Times New Roman"/>
            <w:color w:val="1155CC"/>
            <w:sz w:val="20"/>
            <w:szCs w:val="20"/>
            <w:u w:val="single"/>
          </w:rPr>
          <w:t>§4º do art. 59 da Lei nº 14.133/2021</w:t>
        </w:r>
      </w:hyperlink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a proposta será desclassificada, podendo o licitante ser sujeito às penalidades previstas nos artigos 155 e 156 da mesma lei.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9.23. Sanções para Propostas com Desconto Superior a 50% sem Comprovação de Viabilidade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9.23.1.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Quando a proposta apresentar um desconto acima de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50%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sem a devida comprovação de viabilidade, a Administração poderá, conforme a gravidade do caso, aplicar as seguintes sanções:</w:t>
      </w:r>
    </w:p>
    <w:p w:rsidR="00A81B12" w:rsidRDefault="008555D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Advertência (art. 156, I)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: Quando a infração for leve e não houver dolo ou má-fé.</w:t>
      </w:r>
    </w:p>
    <w:p w:rsidR="00A81B12" w:rsidRDefault="008555D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Multa (art. 156, II)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: Quando a proposta for considerada exequível, mas o licitante não comprovar adequadamente a viabilidade da execução.</w:t>
      </w:r>
    </w:p>
    <w:p w:rsidR="00A81B12" w:rsidRDefault="008555D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Impedimento de Licitar e Contratar (art. 156, III)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: Por até 3 anos, em casos de descumprimento grave das exigências legais ou contratuais.</w:t>
      </w:r>
    </w:p>
    <w:p w:rsidR="00A81B12" w:rsidRDefault="008555D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Declaração de inidoneidade (art. 156, IV)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: Quando for verificada a fraude ou falsidade das informações prestadas, ou quando houver violação grave dos deveres contratuais.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9.24. Consequências de Documentação Falsa ou Fraude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9.24.1.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Nos termos do </w:t>
      </w:r>
      <w:hyperlink r:id="rId15">
        <w:r>
          <w:rPr>
            <w:rFonts w:ascii="Times New Roman" w:eastAsia="Times New Roman" w:hAnsi="Times New Roman" w:cs="Times New Roman"/>
            <w:color w:val="1155CC"/>
            <w:sz w:val="20"/>
            <w:szCs w:val="20"/>
            <w:u w:val="single"/>
          </w:rPr>
          <w:t>art. 155 da Lei nº 14.133/2021</w:t>
        </w:r>
      </w:hyperlink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constitui infração administrativa apresentar documentação falsa ou fraudar a execução do contrato. A apresentação de proposta com descontos superiores 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50%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sem a comprovação de exequibilidade adequada poderá configurar infração grave, sujeitando o licitante às penalidades previstas, incluindo a suspensão de participação em licitações e o impedimento de celebrar novos contratos com a Administração.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9.25. Comprovação em Casos de Preço Manifestamente Inexequível (Desconto Inferior a 75%)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9.25.1.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Será exigida a comprovação da exequibilidade da proposta quando o preço for manifestamente inexequível, conforme o </w:t>
      </w:r>
      <w:hyperlink r:id="rId16">
        <w:r>
          <w:rPr>
            <w:rFonts w:ascii="Times New Roman" w:eastAsia="Times New Roman" w:hAnsi="Times New Roman" w:cs="Times New Roman"/>
            <w:color w:val="1155CC"/>
            <w:sz w:val="20"/>
            <w:szCs w:val="20"/>
            <w:u w:val="single"/>
          </w:rPr>
          <w:t>§3º do art. 59 da Lei n.º 14.133/2021</w:t>
        </w:r>
      </w:hyperlink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 O licitante deverá apresentar:</w:t>
      </w:r>
    </w:p>
    <w:p w:rsidR="00A81B12" w:rsidRDefault="008555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Memória de cálculo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;</w:t>
      </w:r>
    </w:p>
    <w:p w:rsidR="00A81B12" w:rsidRDefault="008555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Demonstrações de custos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;</w:t>
      </w:r>
    </w:p>
    <w:p w:rsidR="00A81B12" w:rsidRDefault="008555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Demais documentos que comprovem a viabilidade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da execução do objeto licitado.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9.26. Propostas Manifestamente Inexequíveis (Desconto Inferior a 75%)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9.26.1.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Serão consideradas manifestamente inexequíveis as propostas cujo valor for inferior a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75% (setenta e cinco por cento)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da média aritmética das propostas válidas, conforme o §4º do art. 59 da Lei nº 14.133/2021.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9.27. Consequências da Apresentação de Proposta Inexequível (Desconto Inferior a 75%)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9.27.1.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 apresentação de proposta manifestamente inexequível, sem a comprovação de sua viabilidade, poderá acarretar a aplicação de sanções previstas nos artigos 155 e 156 da Lei nº 14.133/2021, incluindo a suspensão temporária de participação em licitações e o impedimento de contratação com a Administração Pública.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9.28. Punições em Caso de Proposta Inexequível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9.28.1.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As punições aplicáveis ao licitante que apresentar proposta inexequível são as seguintes, conforme a Lei nº 14.133/2021:</w:t>
      </w:r>
    </w:p>
    <w:p w:rsidR="00A81B12" w:rsidRDefault="008555D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Advertência (art. 156, I)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: Em caso de infração leve, sem dolo ou má-fé.</w:t>
      </w:r>
    </w:p>
    <w:p w:rsidR="00A81B12" w:rsidRDefault="008555D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Multa (art. 156, II)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: Quando a proposta não for viável e a licitante não comprovar adequadamente a execução.</w:t>
      </w:r>
    </w:p>
    <w:p w:rsidR="00A81B12" w:rsidRDefault="008555D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Impedimento de Licitar e Contratar (art. 156, III)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: Por até 3 anos, em caso de infrações graves ou reiteradas.</w:t>
      </w:r>
    </w:p>
    <w:p w:rsidR="00A81B12" w:rsidRDefault="008555D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Declaração de Inidoneidade (art. 156, IV)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: Em caso de violação grave de obrigações contratuais ou fraudes durante a execução do contrato.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9.29. Fundamentos Legais das Penalidades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9.29.1.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De acordo com o Art. 155 da Lei nº 14.133/2021, comete infração administrativa o licitante ou contratado que:</w:t>
      </w:r>
    </w:p>
    <w:p w:rsidR="00A81B12" w:rsidRDefault="008555D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VI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– Apresentar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declaração ou documentação falsa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exigida para o certame ou prestar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declaração falsa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durante a licitação ou execução do contrato;</w:t>
      </w:r>
    </w:p>
    <w:p w:rsidR="00A81B12" w:rsidRDefault="008555D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IX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Fraudar a execução do contrato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tbl>
      <w:tblPr>
        <w:tblStyle w:val="a8"/>
        <w:tblW w:w="9195" w:type="dxa"/>
        <w:tblInd w:w="-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95"/>
      </w:tblGrid>
      <w:tr w:rsidR="00A81B12">
        <w:trPr>
          <w:cantSplit/>
          <w:tblHeader/>
        </w:trPr>
        <w:tc>
          <w:tcPr>
            <w:tcW w:w="9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tabs>
                <w:tab w:val="left" w:pos="142"/>
                <w:tab w:val="left" w:pos="9072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  <w:t xml:space="preserve">10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– DA HABILITAÇÃO</w:t>
            </w:r>
          </w:p>
        </w:tc>
      </w:tr>
    </w:tbl>
    <w:p w:rsidR="00A81B12" w:rsidRDefault="008555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ind w:right="68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 xml:space="preserve">10.1. Para fins de habilitação no certame, encerrada a fase de negociação, a licitante que tiver sua proposta classificada em 1º (primeiro) lugar,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será(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ão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) convocado(s) via “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u w:val="single"/>
        </w:rPr>
        <w:t>chat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”, para apresentar(em) os documentos de habilitação, exclusivamente, por meio do sistema eletrônico, no prazo de até 30 (trinta) minutos, quando então, encerrar-se-á a fase de inserção dos documentos de habilitação, conforme relação abaixo, sob pena de inabilitação.</w:t>
      </w:r>
    </w:p>
    <w:tbl>
      <w:tblPr>
        <w:tblStyle w:val="a9"/>
        <w:tblW w:w="9187" w:type="dxa"/>
        <w:tblInd w:w="-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87"/>
      </w:tblGrid>
      <w:tr w:rsidR="00A81B12">
        <w:trPr>
          <w:cantSplit/>
          <w:tblHeader/>
        </w:trPr>
        <w:tc>
          <w:tcPr>
            <w:tcW w:w="9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tabs>
                <w:tab w:val="left" w:pos="142"/>
                <w:tab w:val="left" w:pos="9072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10.2. DOCUMENTOS RELATIVO À HABILITAÇÃO JURÍDICA</w:t>
            </w:r>
          </w:p>
        </w:tc>
      </w:tr>
    </w:tbl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  <w:tab w:val="right" w:pos="9498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10.2.1. Cópia da cédula de identidade e CPF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do(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s) sócio(s) ou de seus administradores, conforme o caso;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  <w:tab w:val="right" w:pos="9498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10.2.2. Registro comercial, no caso de empresa individual ou Inscrição de Microempreendedor Individual, conforme o caso;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  <w:tab w:val="right" w:pos="9498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10.2.3. Ato constitutivo, estatuto ou contrato social consolidado ou, caso não esteja consolidado, apresentar o contrato social acompanhado de todas as alterações contratuais, devidamente registrado no órgão competente, em se tratando de sociedades comerciais, e, no caso de sociedade por ações, acompanhado de documentos relativos à eleição de seus administradores;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  <w:tab w:val="right" w:pos="9498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10.2.4. Inscrição do ato constitutivo no caso de sociedades civis, acompanhada de documentação que identifique a Diretoria em exercício;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  <w:tab w:val="right" w:pos="9498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10.2.5. Decreto de autorização, em se tratando de empresa ou sociedade estrangeira em funcionamento no país, e ato de registro ou autorização para funcionamento expedido pelo órgão competente, quando a atividade assim exigir.</w:t>
      </w:r>
    </w:p>
    <w:tbl>
      <w:tblPr>
        <w:tblStyle w:val="aa"/>
        <w:tblW w:w="9202" w:type="dxa"/>
        <w:tblInd w:w="-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02"/>
      </w:tblGrid>
      <w:tr w:rsidR="00A81B12">
        <w:trPr>
          <w:cantSplit/>
          <w:tblHeader/>
        </w:trPr>
        <w:tc>
          <w:tcPr>
            <w:tcW w:w="9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tabs>
                <w:tab w:val="left" w:pos="142"/>
                <w:tab w:val="left" w:pos="9072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  <w:t xml:space="preserve">10.3.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DOCUMENTOS RELATIVOS À HABILITAÇÃO FISCAL, SOCIAL E TRABALHISTA</w:t>
            </w:r>
          </w:p>
        </w:tc>
      </w:tr>
    </w:tbl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10.3.1. Prova de inscrição do Cadastro Nacional de Pessoa Jurídica (CNPJ);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10.3.2. P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rova de inscrição no cadastro de contribuintes estadual ou municipal (conforme o caso), relativo ao domicílio ou sede do licitante, pertinente ao seu ramo de atividade e compatível com o objeto contratual, dentro do prazo de validade;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10.3.3.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Prova de Regularidade para com a Administração Federal (Certidão Conjunta Negativa da Dívida Ativa da União e Receita Federal), abrangendo inclusive as contribuições sociais previstas nas alíneas 'a' a 'd' do parágrafo único do art. 11 da Lei n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  <w:u w:val="single"/>
          <w:vertAlign w:val="superscri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 8.212, de 24 de julho de 1991, dentro do prazo de validade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10.3.4. Prova de regularidade para com a Administração Pública Estadual,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white"/>
        </w:rPr>
        <w:t>do domicílio ou sede do licitante, ou outra equivalente, na forma da lei, dentro do prazo de validade;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10.3.5. Prova de regularidade com a Administração Pública Municipal do domicílio ou sede da licitante, dentro do prazo de validade;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10.3.6. Prova de regularidade relativa ao FGTS (Fundo de Garantia por tempo de Serviço), dentro do prazo de validade;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10.3.7. Prova de inexistência de débitos inadimplidos perante a Justiça do Trabalho, mediante a apresentação de CNDT - certidão negativa ou positiva com efeito de negativa, nos termos do Título VII-A da Consolidação das Leis do Trabalho, aprovada pelo Decreto-Lei 5.452, de 1º de maio de 1943, dentro do prazo de validade.</w:t>
      </w:r>
    </w:p>
    <w:tbl>
      <w:tblPr>
        <w:tblStyle w:val="ab"/>
        <w:tblW w:w="9195" w:type="dxa"/>
        <w:tblInd w:w="-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95"/>
      </w:tblGrid>
      <w:tr w:rsidR="00A81B12">
        <w:trPr>
          <w:cantSplit/>
          <w:tblHeader/>
        </w:trPr>
        <w:tc>
          <w:tcPr>
            <w:tcW w:w="9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10.4. DA QUALIFICAÇÃO ECONÔMICO-FINANCEIRA</w:t>
            </w:r>
          </w:p>
        </w:tc>
      </w:tr>
    </w:tbl>
    <w:p w:rsidR="00A81B12" w:rsidRDefault="008555D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ind w:right="6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Certidão negativa de falência expedida pelo distribuidor da sede do fornecedor - Lei nº 14.133, de 2021, art. 69, caput, inciso II.</w:t>
      </w:r>
    </w:p>
    <w:tbl>
      <w:tblPr>
        <w:tblStyle w:val="ac"/>
        <w:tblW w:w="9210" w:type="dxa"/>
        <w:tblInd w:w="-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0"/>
      </w:tblGrid>
      <w:tr w:rsidR="00A81B12">
        <w:trPr>
          <w:cantSplit/>
          <w:tblHeader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10.5. DECLARAÇÃO UNIFICADA</w:t>
            </w:r>
          </w:p>
        </w:tc>
      </w:tr>
    </w:tbl>
    <w:p w:rsidR="00A81B12" w:rsidRDefault="008555D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10.5.1. Declaração Unificada, conforme modelo Anexo IV.</w:t>
      </w:r>
    </w:p>
    <w:tbl>
      <w:tblPr>
        <w:tblStyle w:val="ad"/>
        <w:tblW w:w="9195" w:type="dxa"/>
        <w:tblInd w:w="-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95"/>
      </w:tblGrid>
      <w:tr w:rsidR="00A81B12">
        <w:trPr>
          <w:cantSplit/>
          <w:tblHeader/>
        </w:trPr>
        <w:tc>
          <w:tcPr>
            <w:tcW w:w="9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10.6. QUALIFICAÇÃO TÉCNICA OPERACIONAL E PROFISSIONAL</w:t>
            </w:r>
          </w:p>
        </w:tc>
      </w:tr>
    </w:tbl>
    <w:p w:rsidR="00A81B12" w:rsidRDefault="008555D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Para fins de habilitação, a licitante deverá apresentar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atestado(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s) de capacidade técnica emitido(s) por pessoa jurídica de direito público ou privado que comprove(m) a execução de serviços compatíveis em características, quantidades e prazos com o objeto desta licitação, nos termos do art. 67 da Lei n.º 14.133/202.</w:t>
      </w:r>
    </w:p>
    <w:p w:rsidR="00A81B12" w:rsidRDefault="008555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10.6.1.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Os atestados deverão estar emitidos em papel timbrado da entidade emitente, devidamente assinados e conter, no mínimo:</w:t>
      </w:r>
    </w:p>
    <w:p w:rsidR="00A81B12" w:rsidRDefault="008555D3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 identificação da entidade emitente e da licitante;</w:t>
      </w:r>
    </w:p>
    <w:p w:rsidR="00A81B12" w:rsidRDefault="008555D3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 descrição dos materiais fornecidos ou serviços prestados;</w:t>
      </w:r>
    </w:p>
    <w:p w:rsidR="00A81B12" w:rsidRDefault="008555D3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Os prazos de execução/entrega;</w:t>
      </w:r>
    </w:p>
    <w:p w:rsidR="00A81B12" w:rsidRDefault="008555D3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 data e o local da prestação do serviço ou fornecimento;</w:t>
      </w:r>
    </w:p>
    <w:p w:rsidR="00A81B12" w:rsidRDefault="008555D3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Data de emissão/expedição inferior a 90 (noventa) dias;</w:t>
      </w:r>
    </w:p>
    <w:p w:rsidR="00A81B12" w:rsidRDefault="008555D3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 a confirmação de que os serviços ou fornecimentos foram realizados a contento.</w:t>
      </w:r>
    </w:p>
    <w:p w:rsidR="00A81B12" w:rsidRDefault="008555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10.6.2.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Quando permitida a participação de empresas estrangeiras que não funcionem no País, as exigências de habilitação serão atendidas mediante documentos equivalentes, apresentados em tradução livre para a língua portuguesa deste país, seguindo Normas Técnicas em acordo com a ABNT.</w:t>
      </w:r>
    </w:p>
    <w:p w:rsidR="00A81B12" w:rsidRDefault="008555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10.6.3.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Fica assegurado à Administração o direito de realizar diligências para verificar a veracidade das informações constantes dos documentos apresentados.</w:t>
      </w:r>
    </w:p>
    <w:p w:rsidR="00A81B12" w:rsidRDefault="008555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10.6.4. O objeto social descrito no ato constitutivo referente à habilitação deverá possuir ramo de atividade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compatível ao objeto licitado.</w:t>
      </w:r>
    </w:p>
    <w:p w:rsidR="00A81B12" w:rsidRDefault="008555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4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10.6.5.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Qualquer informação incompleta ou inverídica constante dos documentos apresentados, apurada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pelo(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a) Pregoeiro(a), mediante simples conferência ou diligência, implicará na inabilitação da respectiva licitante e envio dos documentos para o M.P.M.G (Ministério Público de Minas Gerais), para apuração, se possível, de prática delituosa, conforme lei n.º 14.133/2021.</w:t>
      </w:r>
    </w:p>
    <w:tbl>
      <w:tblPr>
        <w:tblStyle w:val="ae"/>
        <w:tblW w:w="9195" w:type="dxa"/>
        <w:tblInd w:w="-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95"/>
      </w:tblGrid>
      <w:tr w:rsidR="00A81B12">
        <w:trPr>
          <w:cantSplit/>
          <w:tblHeader/>
        </w:trPr>
        <w:tc>
          <w:tcPr>
            <w:tcW w:w="9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 – DA ANÁLISE E JULGAMENTO DOS DOCUMENTOS DE HABILITAÇÃO</w:t>
            </w:r>
          </w:p>
        </w:tc>
      </w:tr>
    </w:tbl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Encerrada a fase de inserção dos documentos de habilitação, a Agente de Contratação procederá à análise dos documentos apresentados, com o objetivo de verificar a habilitação ou inabilitação do fornecedor.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Agente de Contratação realizará consultas em sítios eletrônicos oficiais para validação da autenticidade e regularidade das certidões emitidas pela internet, bem como consultará os seguintes cadastros de controle: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a) Cadastro Nacional de Empresas Inidôneas e Suspensas – CEIS;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b) Cadastro Nacional de Condenações Cíveis por Atos de Improbidade Administrativa, mantido pelo Conselho Nacional de Justiça (CNJ);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c) Lista de Inidôneos do Tribunal de Contas da União – TCU.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As consultas serão realizadas em nome da pessoa jurídica licitante e de seus sócios majoritários, em observância ao art. 12 da Lei nº 8.429/1992, considerando as sanções de proibição de contratar com o Poder Público, inclusive quando aplicadas por meio de pessoa jurídica da qual o sócio participe.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Constatada a existência de ocorrências impeditivas indiretas, a Administração diligenciará para verificar eventual fraude, especialmente quanto a vínculos societários, identidade de objetos sociais ou indícios de simulação entre empresas.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11.5.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Confirmada a existência de sanção impeditiva vigente, o fornecedor será considerado inabilitado, por ausência de condição de participação.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11.6.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verificação de tentativa de burla ou fraude poderá considerar vínculos societários, atuação em conjunto, identidade de sócios, similaridade de atividades e demais elementos indiciários admitidos pela legislação e pelos órgãos de controle.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11.7.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fornecedor será previamente notificado para manifestação, quando houver intenção de sua desclassificação ou inabilitação com base em indícios de irregularidade.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11.8.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Constatada a existência de impedimento legal ou sanção vigente, o fornecedor será inabilitado, por ausência de condição de participação.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11.9.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Atendidas as condições de participação, a habilitação será verificada com base na documentação exigida neste Aviso de Contratação Direta.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11.10.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É de responsabilidade do fornecedor manter atualizados os documentos de habilitação, devendo apresentá-los vigentes na data da abertura da sessão pública, ou quando solicitados pela Administração.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11.11.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descumprimento do disposto no item anterior poderá ensejar inabilitação, exceto quando for possível a validação da regularidade por meio de consulta a sistemas oficiais de emissão de certidões.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11.12.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Quando necessário, a Administração poderá solicitar documentos complementares destinados à confirmação ou complementação daqueles já apresentados, os quais deverão ser encaminhados em formato digital, sob pena de inabilitação.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11.13.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exigência de apresentação de documentos originais somente ocorrerá quando houver dúvida razoável quanto à integridade, autenticidade ou validade do documento digital apresentado.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11.14.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Microempreendedor Individual (MEI), quando enquadrado nos termos da Lei Complementar nº 123/2006, fica dispensado da apresentação de inscrição estadual ou municipal, quando não exigível, bem como da apresentação de balanço patrimonial e demonstrações contábeis dos últimos exercícios, conforme legislação aplicável.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11.15.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Havendo necessidade de análise mais detalhada da documentação, a sessão poderá ser suspensa, sendo previamente comunicada a nova data e horário para sua continuidade.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11.16.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Será inabilitado o fornecedor que deixar de apresentar qualquer documento exigido ou apresentá-lo em desconformidade com as regras deste Aviso de Contratação Direta.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11.17.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 hipótese de inabilitação do primeiro colocado, será examinada a proposta subsequente, observada a ordem de classificação, até a apuração de proposta que atenda integralmente às condições de habilitação e ao objeto.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11.18.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Constatado o atendimento pleno às exigências de habilitação, o fornecedor será declarado habilitado.</w:t>
      </w:r>
    </w:p>
    <w:tbl>
      <w:tblPr>
        <w:tblStyle w:val="af"/>
        <w:tblW w:w="9202" w:type="dxa"/>
        <w:tblInd w:w="-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02"/>
      </w:tblGrid>
      <w:tr w:rsidR="00A81B12">
        <w:trPr>
          <w:cantSplit/>
          <w:tblHeader/>
        </w:trPr>
        <w:tc>
          <w:tcPr>
            <w:tcW w:w="9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6"/>
              </w:tabs>
              <w:ind w:right="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12. DA CONTRATAÇÃO</w:t>
            </w:r>
          </w:p>
        </w:tc>
      </w:tr>
    </w:tbl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12.1.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Após a homologação e adjudicação do objeto, sendo confirmada a necessidade de contratação, será formalizado Termo de Contrato ou instrumento equivalente, conforme previsto na legislação aplicável.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12.2.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adjudicatário será convocado para assinar o Termo de Contrato ou aceitar o instrumento equivalente no prazo de até 05 (cinco) dias úteis, contados da data da convocação, sob pena de decair do direito à contratação, sem prejuízo das sanções previstas neste Aviso de Contratação Direta e na legislação vigente.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12.3.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Alternativamente, a Administração poderá encaminhar o instrumento contratual para assinatura por meio eletrônico ou postal, com aviso de recebimento (AR), ou por meio da plataforma eletrônica utilizada no certame, devendo a adjudicatária assiná-lo ou aceitá-lo no prazo de até 02 (dois) dias úteis, contados do recebimento.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12.4.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prazo previsto para assinatura do contrato ou aceite do instrumento equivalente poderá ser prorrogado uma única vez, por igual período, mediante solicitação justificada do adjudicatário e aceitação expressa da Administração.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12.5.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contratada fica vinculada integralmente à sua proposta, bem como às disposições constantes neste Aviso de Contratação Direta e em seus anexos.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12.6.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contratada reconhece que as hipóteses de rescisão contratual são aquelas previstas nos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arts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137 e 138 da Lei nº 14.133/2021, bem como reconhece os direitos da Administração previstos nos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arts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 137 a 139 do mesmo diploma legal.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12.7.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prazo de vigência do contrato será de 12 (doze) meses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contados a partir da data de sua assinatura, podendo ser prorrogado nos termos do art. 107 da Lei nº 14.133/2021, desde que demonstrada a necessidade administrativa e a manutenção da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vantajosidade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econômica, mediante justificativa formal da autoridade competente, permitida a negociação das condições pactuadas ou a extinção contratual sem ônus para as partes, conforme o caso.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12.8.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 ato da assinatura do contrato ou instrumento equivalente, será exigida a comprovação das condições de habilitação e contratação anteriormente apresentadas, devendo tais condições ser mantidas durante toda a execução contratual.</w:t>
      </w:r>
    </w:p>
    <w:tbl>
      <w:tblPr>
        <w:tblStyle w:val="af0"/>
        <w:tblW w:w="9187" w:type="dxa"/>
        <w:tblInd w:w="-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87"/>
      </w:tblGrid>
      <w:tr w:rsidR="00A81B12">
        <w:trPr>
          <w:cantSplit/>
          <w:tblHeader/>
        </w:trPr>
        <w:tc>
          <w:tcPr>
            <w:tcW w:w="9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tabs>
                <w:tab w:val="left" w:pos="142"/>
                <w:tab w:val="left" w:pos="9072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  <w:t>13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- DAS SANÇÕES</w:t>
            </w:r>
          </w:p>
        </w:tc>
      </w:tr>
    </w:tbl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licitante ou contratado será responsabilizado administrativamente pelas seguintes infrações:</w:t>
      </w:r>
    </w:p>
    <w:p w:rsidR="00A81B12" w:rsidRDefault="008555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dar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causa à inexecução parcial do contrato;</w:t>
      </w:r>
    </w:p>
    <w:p w:rsidR="00A81B12" w:rsidRDefault="008555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dar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causa à inexecução parcial do contrato que cause grave dano à Administração, ao funcionamento dos serviços públicos ou ao interesse coletivo;</w:t>
      </w:r>
    </w:p>
    <w:p w:rsidR="00A81B12" w:rsidRDefault="008555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dar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causa à inexecução total do contrato; deixar de entregar a documentação exigida para o certame; não manter a proposta, salvo em decorrência de fato superveniente devidamente justificado;</w:t>
      </w:r>
    </w:p>
    <w:p w:rsidR="00A81B12" w:rsidRDefault="008555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não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celebrar o contrato ou não apresentar a documentação exigida para a contratação, quando convocado dentro do prazo de validade da proposta; ensejar o retardamento da execução ou da entrega do objeto sem motivo justificado;</w:t>
      </w:r>
    </w:p>
    <w:p w:rsidR="00A81B12" w:rsidRDefault="008555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apresentar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declaração ou documentação falsa exigida para o certame ou durante a execução contratual; fraudar a licitação ou a execução contratual; comportar-se de modo inidôneo ou cometer fraude de qualquer natureza;</w:t>
      </w:r>
    </w:p>
    <w:p w:rsidR="00A81B12" w:rsidRDefault="008555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praticar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atos ilícitos com o objetivo de frustrar os objetivos da licitação ou contratação direta;</w:t>
      </w:r>
    </w:p>
    <w:p w:rsidR="00A81B12" w:rsidRDefault="008555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praticar ato lesivo previsto no art. 5º da Lei nº 12.846/2013.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As sanções aplicáveis às infrações descritas no item anterior são: advertência; multa; impedimento de licitar e contratar; e declaração de inidoneidade para licitar ou contratar.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 aplicação das sanções serão observados a natureza e a gravidade da infração, as circunstâncias agravantes ou atenuantes, os danos causados à Administração Pública, as peculiaridades do caso concreto e a eventual implantação ou aperfeiçoamento de programa de integridade, conforme normas dos órgãos de controle.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sanção de advertência será aplicada exclusivamente na hipótese de infração prevista no inciso I do item 13.1, quando não se justificar a imposição de penalidade mais grave.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13.5.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sanção de multa será aplicada nos termos deste instrumento, não podendo ser inferior a 0,5% (cinco décimos por cento) nem superior a 30% (trinta por cento) do valor do contrato ou da parcela inadimplida, conforme o caso, observados os limites previstos na Lei nº 14.133/2021.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13.6.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sanção de impedimento de licitar e contratar será aplicada às infrações previstas nos incisos II a VII do item 13.1, quando não se justificar penalidade mais grave, e impedirá o responsável de licitar ou contratar no âmbito da Administração Pública direta e indireta do Município de São José do Mantimento/MG, pelo prazo máximo de até 3 (três) anos.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13.7.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sanção de declaração de inidoneidade para licitar ou contratar será aplicada às infrações previstas nos incisos VIII a XII do item 13.1, bem como em outras hipóteses de maior gravidade previstas em lei, e impedirá o responsável de licitar ou contratar com a Administração Pública direta e indireta de todos os entes federativos, pelo prazo mínimo de 3 (três) anos e máximo de 6 (seis) anos.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13.8.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Será aplicada multa moratória de 1% (um por cento) por dia de atraso injustificado sobre o valor da parcela inadimplida, até o limite de 30 (trinta) dias.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13.9.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Ultrapassado o prazo de 30 (trinta) dias de atraso, poderá a Administração rescindir o contrato por culpa da contratada, convertendo-se a multa moratória em multa compensatória de até 30% (trinta por cento) sobre o valor total do contrato.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13.10.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aplicação das sanções de impedimento de licitar e contratar e de declaração de inidoneidade será precedida de processo administrativo sancionador, assegurados o contraditório e a ampla defesa.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13.11.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As sanções previstas poderão ser aplicadas cumulativamente com a multa, observados os princípios da proporcionalidade e razoabilidade.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13.12.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Caso a multa aplicada e eventuais indenizações sejam superiores aos valores devidos pela Administração ao contratado, a diferença será descontada da garantia contratual, quando houver, ou cobrada judicialmente.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13.13.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aplicação das sanções previstas neste instrumento não exclui a obrigação de reparação integral dos danos causados à Administração Pública.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13.14.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 aplicação da sanção de multa, será assegurado ao interessado o prazo de 15 (quinze) dias úteis para apresentação de defesa, contado da intimação.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13.15.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aplicação das sanções de impedimento de licitar e contratar e de declaração de inidoneidade será precedida de instauração de processo administrativo sancionador, conduzido por comissão composta por, no mínimo, 2 (dois) servidores efetivos ou empregados públicos, assegurados o contraditório e a ampla defesa, com prazo de 15 (quinze) dias úteis para apresentação de defesa escrita e indicação de provas.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13.16.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Os atos previstos como infrações administrativas na Lei nº 14.133/2021 ou em outras normas que também configurem atos lesivos nos termos da Lei nº 12.846/2013 serão apurados e julgados conjuntamente, nos mesmos autos, observando-se o rito legal aplicável.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tabs>
          <w:tab w:val="left" w:pos="9213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13.17.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autoridade competente deverá registrar e manter atualizados os dados relativos às sanções aplicadas, no prazo legal, para fins de publicidade no Cadastro Nacional de Empresas Inidôneas e Suspensas (CEIS) e no Cadastro Nacional de Empresas Punidas (CNEP), nos termos do art. 161 da Lei nº 14.133/2021.</w:t>
      </w:r>
    </w:p>
    <w:tbl>
      <w:tblPr>
        <w:tblStyle w:val="af1"/>
        <w:tblW w:w="9202" w:type="dxa"/>
        <w:tblInd w:w="-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02"/>
      </w:tblGrid>
      <w:tr w:rsidR="00A81B12">
        <w:trPr>
          <w:cantSplit/>
          <w:tblHeader/>
        </w:trPr>
        <w:tc>
          <w:tcPr>
            <w:tcW w:w="9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81B12" w:rsidRDefault="00855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tabs>
                <w:tab w:val="left" w:pos="142"/>
                <w:tab w:val="left" w:pos="9072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  <w:t>14 -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DISPOSIÇÕES GERAIS</w:t>
            </w:r>
          </w:p>
        </w:tc>
      </w:tr>
    </w:tbl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 procedimento será divulgado na Plataforma Bolsa Nacional de Compras (BNC) e no Portal Nacional de Contratações Públicas (PNCP), sendo automaticamente encaminhado aos fornecedores registrados no sistema, por mensagem eletrônica, conforme a linha de fornecimento correspondente ao objeto da contratação.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 caso de todos os fornecedores serem desclassificados ou inabilitados (procedimento fracassado), a Administração poderá adotar as seguintes medidas: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14.2.1.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Republicar o presente Aviso de Contratação Direta, com nova data de abertura;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14.2.2.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Utilizar, para fins de contratação, proposta obtida na pesquisa de preços que serviu de base ao procedimento, se houver, observados os princípios da economicidade, da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vantajosidade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 da seleção da proposta mais vantajosa, desde que atendidos os requisitos de habilitação;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14.2.3.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 hipótese do subitem anterior, a contratação deverá ser formalizada por meio de processo administrativo próprio, fora deste procedimento eletrônico;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14.2.4.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Conceder prazo para saneamento de falhas formais, adequação de propostas ou complementação de documentos de habilitação, quando juridicamente cabível.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As medidas previstas nos subitens 14.2.1 e 14.2.2 poderão ser adotadas também na hipótese de ausência de interessados (procedimento deserto).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14.4.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Havendo necessidade de prática de ato pelos fornecedores, cujo prazo não esteja previsto neste Aviso de Contratação Direta, será observado o prazo estabelecido pela Administração na respectiva notificação.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14.5.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É de responsabilidade exclusiva de o fornecedor acompanhar as operações no sistema eletrônico, inclusive mensagens, convocações e notificações, ficando a Administração isenta de responsabilidade por eventuais prejuízos decorrentes de sua inobservância ou desconexão.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14.6.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Não havendo expediente ou ocorrendo fato superveniente que impeça a realização do certame na data marcada, a sessão será automaticamente transferida para o primeiro dia útil subsequente, no mesmo horário anteriormente estabelecido, salvo comunicação em sentido diverso.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14.7.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Todos os horários estabelecidos neste procedimento observarão o horário oficial de Brasília/DF, inclusive para fins de contagem de prazos, registro de lances e demais atos no sistema.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14.8.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 julgamento das propostas e da habilitação, a Administração poderá sanar erros ou falhas formais que não alterem a substância das propostas, dos documentos ou sua validade jurídica, mediante decisão fundamentada, registrada em ata e acessível aos interessados, assegurando a regularidade do procedimento.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14.9.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As normas deste Aviso de Contratação Direta serão interpretadas em favor da ampliação da competitividade, desde que não comprometam o interesse público, a isonomia entre os participantes, a finalidade do procedimento e a segurança jurídica da contratação.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14.10.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Os fornecedores assumem todos os custos decorrentes da elaboração e apresentação de suas propostas, não cabendo à Administração qualquer responsabilidade por tais despesas, independentemente do resultado.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14.11.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Da sessão pública será lavrada e disponibilizada ata no sistema eletrônico, com registro.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14.12.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Integram este Aviso de Contratação Direta, para todos os fins e efeitos, os seguintes anexos: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ANEXO 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– Estudo Técnico Preliminar (ETP);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ANEXO II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– Termo de Referência;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ANEXO III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– Proposta de Preços Readequada ao Último Lance;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ANEXO IV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– Declaração Unificada;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ANEXO V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– Minuta do Contrato;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before="240" w:after="200" w:line="360" w:lineRule="auto"/>
        <w:ind w:left="1416" w:firstLine="569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São José do Mantimento/MG,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13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 de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julho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 de 2026.</w:t>
      </w:r>
    </w:p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1B12" w:rsidRDefault="00A81B12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NOÊMIA PATRÍCIO DA SILVA RODRIGUES</w:t>
      </w:r>
    </w:p>
    <w:p w:rsidR="00A81B12" w:rsidRDefault="008555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Agente de Contratação / Diretora do Setor de Licitações</w:t>
      </w:r>
    </w:p>
    <w:p w:rsidR="00A81B12" w:rsidRDefault="008555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bookmarkStart w:id="8" w:name="_heading=h.ppkoiersbjdn" w:colFirst="0" w:colLast="0"/>
      <w:bookmarkEnd w:id="8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Responsável pela Elaboração do Aviso de Contratação Direta</w:t>
      </w:r>
    </w:p>
    <w:sectPr w:rsidR="00A81B12">
      <w:headerReference w:type="default" r:id="rId17"/>
      <w:footerReference w:type="default" r:id="rId18"/>
      <w:pgSz w:w="11906" w:h="16838"/>
      <w:pgMar w:top="1700" w:right="1133" w:bottom="1133" w:left="1700" w:header="56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837" w:rsidRDefault="00157837">
      <w:r>
        <w:separator/>
      </w:r>
    </w:p>
  </w:endnote>
  <w:endnote w:type="continuationSeparator" w:id="0">
    <w:p w:rsidR="00157837" w:rsidRDefault="00157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A2A81383-7E5A-4B11-98C4-56DBEFDABC25}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  <w:embedRegular r:id="rId2" w:fontKey="{1FA90E0D-55B7-476C-B7C4-F13D119D9F5D}"/>
    <w:embedBold r:id="rId3" w:fontKey="{BF47A176-CE4C-4D60-A7C2-029644426DF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A3426EEC-89AD-4925-9645-5CC61A4256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2F41E45-5C2C-43C4-8F46-3F48ABBC0DF3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B12" w:rsidRDefault="008555D3">
    <w:pPr>
      <w:pBdr>
        <w:top w:val="nil"/>
        <w:left w:val="nil"/>
        <w:bottom w:val="nil"/>
        <w:right w:val="nil"/>
        <w:between w:val="nil"/>
      </w:pBdr>
      <w:spacing w:line="312" w:lineRule="auto"/>
      <w:jc w:val="center"/>
      <w:rPr>
        <w:rFonts w:ascii="Times New Roman" w:eastAsia="Times New Roman" w:hAnsi="Times New Roman" w:cs="Times New Roman"/>
        <w:b/>
        <w:bCs/>
        <w:color w:val="000000"/>
        <w:sz w:val="20"/>
        <w:szCs w:val="20"/>
      </w:rPr>
    </w:pPr>
    <w:r>
      <w:rPr>
        <w:noProof/>
      </w:rPr>
      <w:drawing>
        <wp:anchor distT="114300" distB="114300" distL="114300" distR="114300" simplePos="0" relativeHeight="251660288" behindDoc="0" locked="0" layoutInCell="1" hidden="0" allowOverlap="1">
          <wp:simplePos x="0" y="0"/>
          <wp:positionH relativeFrom="column">
            <wp:posOffset>-29864</wp:posOffset>
          </wp:positionH>
          <wp:positionV relativeFrom="paragraph">
            <wp:posOffset>-238120</wp:posOffset>
          </wp:positionV>
          <wp:extent cx="5792494" cy="676275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5280"/>
                  <a:stretch>
                    <a:fillRect/>
                  </a:stretch>
                </pic:blipFill>
                <pic:spPr>
                  <a:xfrm>
                    <a:off x="0" y="0"/>
                    <a:ext cx="5792494" cy="6762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81B12" w:rsidRDefault="00A81B12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837" w:rsidRDefault="00157837">
      <w:r>
        <w:separator/>
      </w:r>
    </w:p>
  </w:footnote>
  <w:footnote w:type="continuationSeparator" w:id="0">
    <w:p w:rsidR="00157837" w:rsidRDefault="00157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B12" w:rsidRDefault="008555D3">
    <w:pPr>
      <w:pBdr>
        <w:top w:val="nil"/>
        <w:left w:val="nil"/>
        <w:bottom w:val="nil"/>
        <w:right w:val="nil"/>
        <w:between w:val="nil"/>
      </w:pBdr>
      <w:rPr>
        <w:rFonts w:ascii="Times New Roman" w:eastAsia="Times New Roman" w:hAnsi="Times New Roman" w:cs="Times New Roman"/>
        <w:b/>
        <w:bCs/>
        <w:color w:val="000000"/>
        <w:sz w:val="21"/>
        <w:szCs w:val="21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-106063</wp:posOffset>
          </wp:positionH>
          <wp:positionV relativeFrom="paragraph">
            <wp:posOffset>-247645</wp:posOffset>
          </wp:positionV>
          <wp:extent cx="5821069" cy="97155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21069" cy="971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5162550</wp:posOffset>
          </wp:positionH>
          <wp:positionV relativeFrom="paragraph">
            <wp:posOffset>-247643</wp:posOffset>
          </wp:positionV>
          <wp:extent cx="802115" cy="743990"/>
          <wp:effectExtent l="36687" t="39884" r="36687" b="39884"/>
          <wp:wrapNone/>
          <wp:docPr id="1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 rot="360000">
                    <a:off x="0" y="0"/>
                    <a:ext cx="802115" cy="7439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762CA"/>
    <w:multiLevelType w:val="multilevel"/>
    <w:tmpl w:val="4E2091E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F9A71EF"/>
    <w:multiLevelType w:val="multilevel"/>
    <w:tmpl w:val="6AD60B0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1FD75E1"/>
    <w:multiLevelType w:val="multilevel"/>
    <w:tmpl w:val="15F6D91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F612A08"/>
    <w:multiLevelType w:val="multilevel"/>
    <w:tmpl w:val="4AF05D5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D7A16CD"/>
    <w:multiLevelType w:val="multilevel"/>
    <w:tmpl w:val="C7D6FA32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2030AA5"/>
    <w:multiLevelType w:val="multilevel"/>
    <w:tmpl w:val="03C86A8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E2448F0"/>
    <w:multiLevelType w:val="multilevel"/>
    <w:tmpl w:val="A3AC869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FC81A6D"/>
    <w:multiLevelType w:val="multilevel"/>
    <w:tmpl w:val="F176D6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1325058"/>
    <w:multiLevelType w:val="multilevel"/>
    <w:tmpl w:val="0EB20CA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30F5711"/>
    <w:multiLevelType w:val="multilevel"/>
    <w:tmpl w:val="DA30EE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572792A"/>
    <w:multiLevelType w:val="multilevel"/>
    <w:tmpl w:val="438E2E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7D579A8"/>
    <w:multiLevelType w:val="multilevel"/>
    <w:tmpl w:val="EA545D9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8"/>
  </w:num>
  <w:num w:numId="6">
    <w:abstractNumId w:val="10"/>
  </w:num>
  <w:num w:numId="7">
    <w:abstractNumId w:val="11"/>
  </w:num>
  <w:num w:numId="8">
    <w:abstractNumId w:val="6"/>
  </w:num>
  <w:num w:numId="9">
    <w:abstractNumId w:val="1"/>
  </w:num>
  <w:num w:numId="10">
    <w:abstractNumId w:val="5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B12"/>
    <w:rsid w:val="00157837"/>
    <w:rsid w:val="0038035E"/>
    <w:rsid w:val="008555D3"/>
    <w:rsid w:val="00880543"/>
    <w:rsid w:val="00A81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D646"/>
  <w15:docId w15:val="{5546038C-2923-4384-AFD5-E23921569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before="92"/>
      <w:ind w:left="20" w:hanging="20"/>
      <w:outlineLvl w:val="0"/>
    </w:pPr>
    <w:rPr>
      <w:b/>
      <w:bCs/>
      <w:color w:val="000000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 w:val="0"/>
      <w:pBdr>
        <w:top w:val="nil"/>
        <w:left w:val="nil"/>
        <w:bottom w:val="nil"/>
        <w:right w:val="nil"/>
        <w:between w:val="nil"/>
      </w:pBdr>
      <w:ind w:left="507" w:right="523" w:hanging="507"/>
      <w:jc w:val="center"/>
    </w:pPr>
    <w:rPr>
      <w:b/>
      <w:bCs/>
      <w:color w:val="000000"/>
    </w:r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.org.br/" TargetMode="External"/><Relationship Id="rId13" Type="http://schemas.openxmlformats.org/officeDocument/2006/relationships/hyperlink" Target="https://www.planalto.gov.br/ccivil_03/_ato2019-2022/2021/lei/l14133.htm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_ato2019-2022/2021/lei/l14133.htm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planalto.gov.br/ccivil_03/_ato2019-2022/2021/lei/l14133.ht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lanalto.gov.br/ccivil_03/_ato2019-2022/2021/lei/l14133.htm" TargetMode="External"/><Relationship Id="rId10" Type="http://schemas.openxmlformats.org/officeDocument/2006/relationships/hyperlink" Target="https://bnc.org.br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bnc.org.br/" TargetMode="External"/><Relationship Id="rId14" Type="http://schemas.openxmlformats.org/officeDocument/2006/relationships/hyperlink" Target="https://www.planalto.gov.br/ccivil_03/_ato2019-2022/2021/lei/l14133.ht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55nZ5II3Y9opMmk7tuBOR/eJmg==">CgMxLjAyDmgucWdsOXRmdXYzcDNxMg5oLmJ2ZWYyNGlwemljeDIOaC52cHVua201czR0aHQyDmguMWZ1ZGJmN3NiMmg2Mg5oLnhrdjRjNGFiajRnYTIOaC40ZTBneTEzdXBtaG0yDmguZm43djQ5OTNmOWZhMg5oLnBwa29pZXJzYmpkbjgAciExMTdyT0RPbHFWaDctTVlEd2lMOVlyMC1TdXBFcUlFd1E=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7350</Words>
  <Characters>39694</Characters>
  <Application>Microsoft Office Word</Application>
  <DocSecurity>0</DocSecurity>
  <Lines>330</Lines>
  <Paragraphs>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3</cp:revision>
  <dcterms:created xsi:type="dcterms:W3CDTF">2026-07-17T18:43:00Z</dcterms:created>
  <dcterms:modified xsi:type="dcterms:W3CDTF">2026-07-17T19:04:00Z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11F9E12AD0D649D7AFB30F9F5CBF0AB9_12</vt:lpwstr>
  </property>
</Properties>
</file>