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B5AC4" w14:textId="39C74484" w:rsidR="00D33C3A" w:rsidRPr="00042C98" w:rsidRDefault="00D33C3A" w:rsidP="00D33C3A">
      <w:pPr>
        <w:jc w:val="center"/>
        <w:rPr>
          <w:b/>
          <w:sz w:val="20"/>
          <w:szCs w:val="20"/>
        </w:rPr>
      </w:pPr>
      <w:bookmarkStart w:id="0" w:name="_Hlk177025054"/>
      <w:r w:rsidRPr="00042C98">
        <w:rPr>
          <w:b/>
          <w:sz w:val="20"/>
          <w:szCs w:val="20"/>
        </w:rPr>
        <w:t xml:space="preserve">TERMO DE REFERÊNCIA Nº </w:t>
      </w:r>
      <w:r w:rsidR="007834AF" w:rsidRPr="00042C98">
        <w:rPr>
          <w:b/>
          <w:sz w:val="20"/>
          <w:szCs w:val="20"/>
        </w:rPr>
        <w:t>0</w:t>
      </w:r>
      <w:r w:rsidR="005912D2" w:rsidRPr="00042C98">
        <w:rPr>
          <w:b/>
          <w:sz w:val="20"/>
          <w:szCs w:val="20"/>
        </w:rPr>
        <w:t>20</w:t>
      </w:r>
      <w:r w:rsidR="007834AF" w:rsidRPr="00042C98">
        <w:rPr>
          <w:b/>
          <w:sz w:val="20"/>
          <w:szCs w:val="20"/>
        </w:rPr>
        <w:t>/2025</w:t>
      </w:r>
    </w:p>
    <w:p w14:paraId="3C0ACA41" w14:textId="732904CC" w:rsidR="00D33C3A" w:rsidRDefault="00573D3B" w:rsidP="0089093B">
      <w:pPr>
        <w:jc w:val="center"/>
        <w:rPr>
          <w:b/>
          <w:sz w:val="20"/>
          <w:szCs w:val="20"/>
        </w:rPr>
      </w:pPr>
      <w:r w:rsidRPr="00042C98">
        <w:rPr>
          <w:b/>
          <w:sz w:val="20"/>
          <w:szCs w:val="20"/>
        </w:rPr>
        <w:t xml:space="preserve">PROCESSO: </w:t>
      </w:r>
      <w:r w:rsidR="0089093B" w:rsidRPr="0089093B">
        <w:rPr>
          <w:b/>
          <w:sz w:val="20"/>
          <w:szCs w:val="20"/>
        </w:rPr>
        <w:t>31.00750649/2025-88</w:t>
      </w:r>
    </w:p>
    <w:p w14:paraId="07A9F0D0" w14:textId="1D8801DA" w:rsidR="0089093B" w:rsidRDefault="0089093B" w:rsidP="0089093B">
      <w:pPr>
        <w:jc w:val="center"/>
        <w:rPr>
          <w:b/>
          <w:sz w:val="20"/>
          <w:szCs w:val="20"/>
        </w:rPr>
      </w:pPr>
    </w:p>
    <w:p w14:paraId="05BBDB12" w14:textId="12CFF0F9" w:rsidR="0089093B" w:rsidRDefault="0089093B" w:rsidP="0089093B">
      <w:pPr>
        <w:jc w:val="center"/>
        <w:rPr>
          <w:b/>
          <w:sz w:val="20"/>
          <w:szCs w:val="20"/>
        </w:rPr>
      </w:pPr>
    </w:p>
    <w:p w14:paraId="4E5C331C" w14:textId="77777777" w:rsidR="0089093B" w:rsidRPr="00042C98" w:rsidRDefault="0089093B" w:rsidP="0089093B">
      <w:pPr>
        <w:jc w:val="center"/>
        <w:rPr>
          <w:b/>
          <w:sz w:val="20"/>
          <w:szCs w:val="20"/>
        </w:rPr>
      </w:pPr>
    </w:p>
    <w:p w14:paraId="04FDED05" w14:textId="77777777" w:rsidR="00D33C3A" w:rsidRPr="00042C98" w:rsidRDefault="00D33C3A" w:rsidP="00D33C3A">
      <w:pPr>
        <w:rPr>
          <w:b/>
          <w:sz w:val="20"/>
          <w:szCs w:val="20"/>
        </w:rPr>
      </w:pPr>
      <w:r w:rsidRPr="00042C98">
        <w:rPr>
          <w:b/>
          <w:sz w:val="20"/>
          <w:szCs w:val="20"/>
        </w:rPr>
        <w:t>UNIDADE REQUISITANTE: Secretaria Municipal De Política Urbana</w:t>
      </w:r>
    </w:p>
    <w:p w14:paraId="1C7A7E48" w14:textId="77777777" w:rsidR="00D33C3A" w:rsidRPr="00042C98" w:rsidRDefault="00D33C3A" w:rsidP="00D33C3A">
      <w:pPr>
        <w:rPr>
          <w:b/>
          <w:sz w:val="20"/>
          <w:szCs w:val="20"/>
        </w:rPr>
      </w:pPr>
    </w:p>
    <w:p w14:paraId="224B631B" w14:textId="77777777" w:rsidR="00D33C3A" w:rsidRPr="00042C98" w:rsidRDefault="00D33C3A" w:rsidP="00D33C3A">
      <w:pPr>
        <w:rPr>
          <w:b/>
          <w:sz w:val="20"/>
          <w:szCs w:val="20"/>
        </w:rPr>
      </w:pPr>
      <w:r w:rsidRPr="00042C98">
        <w:rPr>
          <w:b/>
          <w:sz w:val="20"/>
          <w:szCs w:val="20"/>
        </w:rPr>
        <w:t>RESPONSÁVEIS PELA EMISSÃO: Ricardo Coutinho – BM35.227-x</w:t>
      </w:r>
    </w:p>
    <w:p w14:paraId="4125B935" w14:textId="6130B56B" w:rsidR="00D33C3A" w:rsidRPr="00042C98" w:rsidRDefault="00D33C3A" w:rsidP="00D33C3A">
      <w:pPr>
        <w:rPr>
          <w:b/>
          <w:sz w:val="20"/>
          <w:szCs w:val="20"/>
        </w:rPr>
      </w:pPr>
      <w:r w:rsidRPr="00042C98">
        <w:rPr>
          <w:b/>
          <w:sz w:val="20"/>
          <w:szCs w:val="20"/>
        </w:rPr>
        <w:tab/>
      </w:r>
      <w:r w:rsidRPr="00042C98">
        <w:rPr>
          <w:b/>
          <w:sz w:val="20"/>
          <w:szCs w:val="20"/>
        </w:rPr>
        <w:tab/>
      </w:r>
      <w:r w:rsidRPr="00042C98">
        <w:rPr>
          <w:b/>
          <w:sz w:val="20"/>
          <w:szCs w:val="20"/>
        </w:rPr>
        <w:tab/>
      </w:r>
      <w:r w:rsidRPr="00042C98">
        <w:rPr>
          <w:b/>
          <w:sz w:val="20"/>
          <w:szCs w:val="20"/>
        </w:rPr>
        <w:tab/>
        <w:t xml:space="preserve">       Leilane </w:t>
      </w:r>
      <w:r w:rsidR="00410F65" w:rsidRPr="00042C98">
        <w:rPr>
          <w:b/>
          <w:sz w:val="20"/>
          <w:szCs w:val="20"/>
        </w:rPr>
        <w:t>Cândida</w:t>
      </w:r>
      <w:r w:rsidRPr="00042C98">
        <w:rPr>
          <w:b/>
          <w:sz w:val="20"/>
          <w:szCs w:val="20"/>
        </w:rPr>
        <w:t xml:space="preserve"> Ramos - BM 88.383-6</w:t>
      </w:r>
    </w:p>
    <w:bookmarkEnd w:id="0"/>
    <w:p w14:paraId="5F3EFB25" w14:textId="77777777" w:rsidR="00D33C3A" w:rsidRPr="00042C98" w:rsidRDefault="00D33C3A" w:rsidP="00D33C3A">
      <w:pPr>
        <w:rPr>
          <w:b/>
          <w:sz w:val="20"/>
          <w:szCs w:val="20"/>
        </w:rPr>
      </w:pPr>
    </w:p>
    <w:p w14:paraId="0E35B2EE" w14:textId="77777777" w:rsidR="00D33C3A" w:rsidRPr="00042C98" w:rsidRDefault="00D33C3A" w:rsidP="00D33C3A">
      <w:pPr>
        <w:rPr>
          <w:b/>
          <w:sz w:val="20"/>
          <w:szCs w:val="20"/>
        </w:rPr>
      </w:pPr>
    </w:p>
    <w:p w14:paraId="3D1E0AEF" w14:textId="22993FF3" w:rsidR="00D33C3A"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color w:val="000000"/>
          <w:sz w:val="20"/>
          <w:szCs w:val="20"/>
        </w:rPr>
      </w:pPr>
      <w:bookmarkStart w:id="1" w:name="_Hlk177025090"/>
      <w:r w:rsidRPr="00042C98">
        <w:rPr>
          <w:rFonts w:eastAsia="Calibri"/>
          <w:b/>
          <w:color w:val="000000"/>
          <w:sz w:val="20"/>
          <w:szCs w:val="20"/>
        </w:rPr>
        <w:t>OBJETO E CONDIÇÕES GERAIS DA CONTRATAÇÃO</w:t>
      </w:r>
    </w:p>
    <w:p w14:paraId="6C3711D6" w14:textId="6EF63753" w:rsidR="00042C98" w:rsidRDefault="00042C98" w:rsidP="00042C98">
      <w:pPr>
        <w:widowControl/>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color w:val="000000"/>
          <w:sz w:val="20"/>
          <w:szCs w:val="20"/>
        </w:rPr>
      </w:pPr>
    </w:p>
    <w:p w14:paraId="76B55A7E" w14:textId="77777777" w:rsidR="00042C98" w:rsidRPr="00042C98" w:rsidRDefault="00042C98" w:rsidP="00042C98">
      <w:pPr>
        <w:widowControl/>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color w:val="000000"/>
          <w:sz w:val="20"/>
          <w:szCs w:val="20"/>
        </w:rPr>
      </w:pPr>
    </w:p>
    <w:p w14:paraId="6F399089" w14:textId="77777777" w:rsidR="003A1462" w:rsidRPr="00042C98" w:rsidRDefault="003A1462" w:rsidP="00D33C3A">
      <w:pPr>
        <w:jc w:val="both"/>
        <w:rPr>
          <w:rFonts w:eastAsia="Calibri"/>
          <w:sz w:val="20"/>
          <w:szCs w:val="20"/>
        </w:rPr>
      </w:pPr>
      <w:bookmarkStart w:id="2" w:name="_Hlk177025073"/>
    </w:p>
    <w:p w14:paraId="34005C60" w14:textId="74F7F5B2" w:rsidR="003A1462" w:rsidRPr="00042C98" w:rsidRDefault="003A1462" w:rsidP="00D33C3A">
      <w:pPr>
        <w:jc w:val="both"/>
        <w:rPr>
          <w:rFonts w:eastAsia="Calibri"/>
          <w:sz w:val="20"/>
          <w:szCs w:val="20"/>
        </w:rPr>
      </w:pPr>
      <w:bookmarkStart w:id="3" w:name="_Hlk209793012"/>
      <w:r w:rsidRPr="00042C98">
        <w:rPr>
          <w:rFonts w:eastAsia="Calibri"/>
          <w:sz w:val="20"/>
          <w:szCs w:val="20"/>
        </w:rPr>
        <w:t xml:space="preserve">Contratação de empresa </w:t>
      </w:r>
      <w:r w:rsidR="005912D2" w:rsidRPr="00042C98">
        <w:rPr>
          <w:rFonts w:eastAsia="Calibri"/>
          <w:sz w:val="20"/>
          <w:szCs w:val="20"/>
        </w:rPr>
        <w:t xml:space="preserve">confecção de </w:t>
      </w:r>
      <w:r w:rsidR="0089093B">
        <w:rPr>
          <w:rFonts w:eastAsia="Calibri"/>
          <w:sz w:val="20"/>
          <w:szCs w:val="20"/>
        </w:rPr>
        <w:t>coletes</w:t>
      </w:r>
      <w:r w:rsidR="005912D2" w:rsidRPr="00042C98">
        <w:rPr>
          <w:rFonts w:eastAsia="Calibri"/>
          <w:sz w:val="20"/>
          <w:szCs w:val="20"/>
        </w:rPr>
        <w:t xml:space="preserve"> conforme layout constante no anexo I</w:t>
      </w:r>
      <w:r w:rsidRPr="00042C98">
        <w:rPr>
          <w:rFonts w:eastAsia="Calibri"/>
          <w:sz w:val="20"/>
          <w:szCs w:val="20"/>
        </w:rPr>
        <w:t>. A contratação se dará por Dispensa de Licitação, fundamentada no Art. 75, inciso II, da Lei Federal nº 14.133/2021.</w:t>
      </w:r>
    </w:p>
    <w:bookmarkEnd w:id="3"/>
    <w:p w14:paraId="7EB44919" w14:textId="259BF668" w:rsidR="000A705B" w:rsidRDefault="000A705B" w:rsidP="00D33C3A">
      <w:pPr>
        <w:jc w:val="both"/>
        <w:rPr>
          <w:rFonts w:eastAsia="Calibri"/>
          <w:sz w:val="20"/>
          <w:szCs w:val="20"/>
        </w:rPr>
      </w:pPr>
    </w:p>
    <w:tbl>
      <w:tblPr>
        <w:tblpPr w:leftFromText="141" w:rightFromText="141" w:vertAnchor="text" w:horzAnchor="margin" w:tblpXSpec="center" w:tblpY="326"/>
        <w:tblW w:w="10731" w:type="dxa"/>
        <w:tblCellMar>
          <w:left w:w="70" w:type="dxa"/>
          <w:right w:w="70" w:type="dxa"/>
        </w:tblCellMar>
        <w:tblLook w:val="04A0" w:firstRow="1" w:lastRow="0" w:firstColumn="1" w:lastColumn="0" w:noHBand="0" w:noVBand="1"/>
      </w:tblPr>
      <w:tblGrid>
        <w:gridCol w:w="763"/>
        <w:gridCol w:w="1256"/>
        <w:gridCol w:w="6969"/>
        <w:gridCol w:w="1743"/>
      </w:tblGrid>
      <w:tr w:rsidR="000D1DEC" w:rsidRPr="00BC65DA" w14:paraId="58EBF991" w14:textId="77777777" w:rsidTr="00B10255">
        <w:trPr>
          <w:trHeight w:val="1175"/>
        </w:trPr>
        <w:tc>
          <w:tcPr>
            <w:tcW w:w="763" w:type="dxa"/>
            <w:tcBorders>
              <w:top w:val="single" w:sz="4" w:space="0" w:color="000000"/>
              <w:left w:val="single" w:sz="4" w:space="0" w:color="000000"/>
              <w:bottom w:val="nil"/>
              <w:right w:val="single" w:sz="4" w:space="0" w:color="000000"/>
            </w:tcBorders>
            <w:shd w:val="clear" w:color="auto" w:fill="auto"/>
            <w:noWrap/>
            <w:vAlign w:val="center"/>
            <w:hideMark/>
          </w:tcPr>
          <w:p w14:paraId="12E4985A" w14:textId="77777777" w:rsidR="000D1DEC" w:rsidRPr="00BC65DA" w:rsidRDefault="000D1DEC" w:rsidP="00B10255">
            <w:pPr>
              <w:widowControl/>
              <w:jc w:val="center"/>
              <w:rPr>
                <w:rFonts w:ascii="Calibri" w:hAnsi="Calibri" w:cs="Calibri"/>
                <w:sz w:val="22"/>
                <w:szCs w:val="22"/>
              </w:rPr>
            </w:pPr>
            <w:r w:rsidRPr="00BC65DA">
              <w:rPr>
                <w:rFonts w:ascii="Calibri" w:hAnsi="Calibri" w:cs="Calibri"/>
                <w:sz w:val="22"/>
                <w:szCs w:val="22"/>
              </w:rPr>
              <w:t>ITEM</w:t>
            </w:r>
          </w:p>
        </w:tc>
        <w:tc>
          <w:tcPr>
            <w:tcW w:w="1256" w:type="dxa"/>
            <w:tcBorders>
              <w:top w:val="single" w:sz="4" w:space="0" w:color="000000"/>
              <w:left w:val="nil"/>
              <w:bottom w:val="nil"/>
              <w:right w:val="single" w:sz="4" w:space="0" w:color="000000"/>
            </w:tcBorders>
            <w:shd w:val="clear" w:color="auto" w:fill="auto"/>
            <w:noWrap/>
            <w:vAlign w:val="center"/>
            <w:hideMark/>
          </w:tcPr>
          <w:p w14:paraId="66B575E2" w14:textId="77777777" w:rsidR="000D1DEC" w:rsidRPr="00BC65DA" w:rsidRDefault="000D1DEC" w:rsidP="00B10255">
            <w:pPr>
              <w:widowControl/>
              <w:jc w:val="center"/>
              <w:rPr>
                <w:rFonts w:ascii="Calibri" w:hAnsi="Calibri" w:cs="Calibri"/>
                <w:sz w:val="22"/>
                <w:szCs w:val="22"/>
              </w:rPr>
            </w:pPr>
            <w:r w:rsidRPr="00BC65DA">
              <w:rPr>
                <w:rFonts w:ascii="Calibri" w:hAnsi="Calibri" w:cs="Calibri"/>
                <w:sz w:val="22"/>
                <w:szCs w:val="22"/>
              </w:rPr>
              <w:t>UNIDADE</w:t>
            </w:r>
          </w:p>
        </w:tc>
        <w:tc>
          <w:tcPr>
            <w:tcW w:w="6969" w:type="dxa"/>
            <w:tcBorders>
              <w:top w:val="single" w:sz="4" w:space="0" w:color="000000"/>
              <w:left w:val="nil"/>
              <w:bottom w:val="nil"/>
              <w:right w:val="single" w:sz="4" w:space="0" w:color="000000"/>
            </w:tcBorders>
            <w:shd w:val="clear" w:color="auto" w:fill="auto"/>
            <w:vAlign w:val="center"/>
            <w:hideMark/>
          </w:tcPr>
          <w:p w14:paraId="5A7839FD" w14:textId="77777777" w:rsidR="000D1DEC" w:rsidRPr="00BC65DA" w:rsidRDefault="000D1DEC" w:rsidP="00B10255">
            <w:pPr>
              <w:widowControl/>
              <w:jc w:val="center"/>
              <w:rPr>
                <w:rFonts w:ascii="Calibri" w:hAnsi="Calibri" w:cs="Calibri"/>
                <w:sz w:val="22"/>
                <w:szCs w:val="22"/>
              </w:rPr>
            </w:pPr>
            <w:r w:rsidRPr="00BC65DA">
              <w:rPr>
                <w:rFonts w:ascii="Calibri" w:hAnsi="Calibri" w:cs="Calibri"/>
                <w:sz w:val="22"/>
                <w:szCs w:val="22"/>
              </w:rPr>
              <w:t>ESPECIFICAÇÃO</w:t>
            </w:r>
          </w:p>
        </w:tc>
        <w:tc>
          <w:tcPr>
            <w:tcW w:w="1743" w:type="dxa"/>
            <w:tcBorders>
              <w:top w:val="single" w:sz="4" w:space="0" w:color="000000"/>
              <w:left w:val="nil"/>
              <w:bottom w:val="nil"/>
              <w:right w:val="single" w:sz="4" w:space="0" w:color="000000"/>
            </w:tcBorders>
            <w:shd w:val="clear" w:color="auto" w:fill="auto"/>
            <w:noWrap/>
            <w:vAlign w:val="center"/>
            <w:hideMark/>
          </w:tcPr>
          <w:p w14:paraId="51558569" w14:textId="77777777" w:rsidR="000D1DEC" w:rsidRPr="00BC65DA" w:rsidRDefault="000D1DEC" w:rsidP="00B10255">
            <w:pPr>
              <w:widowControl/>
              <w:jc w:val="center"/>
              <w:rPr>
                <w:rFonts w:ascii="Calibri" w:hAnsi="Calibri" w:cs="Calibri"/>
                <w:sz w:val="22"/>
                <w:szCs w:val="22"/>
              </w:rPr>
            </w:pPr>
            <w:r w:rsidRPr="00BC65DA">
              <w:rPr>
                <w:rFonts w:ascii="Calibri" w:hAnsi="Calibri" w:cs="Calibri"/>
                <w:sz w:val="22"/>
                <w:szCs w:val="22"/>
              </w:rPr>
              <w:t>QUANTIDADE</w:t>
            </w:r>
          </w:p>
        </w:tc>
      </w:tr>
      <w:tr w:rsidR="000D1DEC" w:rsidRPr="00BC65DA" w14:paraId="7A0116FC" w14:textId="77777777" w:rsidTr="00B10255">
        <w:trPr>
          <w:trHeight w:val="2253"/>
        </w:trPr>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FD20325" w14:textId="77777777" w:rsidR="000D1DEC" w:rsidRPr="00BC65DA" w:rsidRDefault="000D1DEC" w:rsidP="00B10255">
            <w:pPr>
              <w:widowControl/>
              <w:jc w:val="center"/>
              <w:rPr>
                <w:rFonts w:ascii="Calibri" w:hAnsi="Calibri" w:cs="Calibri"/>
                <w:sz w:val="22"/>
                <w:szCs w:val="22"/>
              </w:rPr>
            </w:pPr>
            <w:r w:rsidRPr="00BC65DA">
              <w:rPr>
                <w:rFonts w:ascii="Calibri" w:hAnsi="Calibri" w:cs="Calibri"/>
                <w:sz w:val="22"/>
                <w:szCs w:val="22"/>
              </w:rPr>
              <w:t>1</w:t>
            </w:r>
          </w:p>
        </w:tc>
        <w:tc>
          <w:tcPr>
            <w:tcW w:w="1256" w:type="dxa"/>
            <w:tcBorders>
              <w:top w:val="single" w:sz="4" w:space="0" w:color="000000"/>
              <w:left w:val="nil"/>
              <w:bottom w:val="single" w:sz="4" w:space="0" w:color="000000"/>
              <w:right w:val="single" w:sz="4" w:space="0" w:color="000000"/>
            </w:tcBorders>
            <w:shd w:val="clear" w:color="auto" w:fill="auto"/>
            <w:noWrap/>
            <w:vAlign w:val="center"/>
            <w:hideMark/>
          </w:tcPr>
          <w:p w14:paraId="66CF899E" w14:textId="77777777" w:rsidR="000D1DEC" w:rsidRPr="00BC65DA" w:rsidRDefault="000D1DEC" w:rsidP="00B10255">
            <w:pPr>
              <w:widowControl/>
              <w:jc w:val="center"/>
              <w:rPr>
                <w:rFonts w:ascii="Calibri" w:hAnsi="Calibri" w:cs="Calibri"/>
                <w:sz w:val="22"/>
                <w:szCs w:val="22"/>
              </w:rPr>
            </w:pPr>
            <w:r w:rsidRPr="00BC65DA">
              <w:rPr>
                <w:rFonts w:ascii="Calibri" w:hAnsi="Calibri" w:cs="Calibri"/>
                <w:sz w:val="22"/>
                <w:szCs w:val="22"/>
              </w:rPr>
              <w:t>UND</w:t>
            </w:r>
          </w:p>
        </w:tc>
        <w:tc>
          <w:tcPr>
            <w:tcW w:w="6969" w:type="dxa"/>
            <w:tcBorders>
              <w:top w:val="single" w:sz="4" w:space="0" w:color="000000"/>
              <w:left w:val="nil"/>
              <w:bottom w:val="nil"/>
              <w:right w:val="single" w:sz="4" w:space="0" w:color="000000"/>
            </w:tcBorders>
            <w:shd w:val="clear" w:color="auto" w:fill="auto"/>
            <w:vAlign w:val="center"/>
            <w:hideMark/>
          </w:tcPr>
          <w:p w14:paraId="42DF50E2" w14:textId="77777777" w:rsidR="000D1DEC" w:rsidRPr="009A358E" w:rsidRDefault="000D1DEC" w:rsidP="00B10255">
            <w:pPr>
              <w:widowControl/>
              <w:rPr>
                <w:rFonts w:asciiTheme="majorHAnsi" w:hAnsiTheme="majorHAnsi" w:cs="Calibri"/>
                <w:sz w:val="22"/>
                <w:szCs w:val="22"/>
              </w:rPr>
            </w:pPr>
            <w:r>
              <w:rPr>
                <w:rFonts w:ascii="Arial" w:hAnsi="Arial" w:cs="Arial"/>
                <w:color w:val="000000"/>
                <w:sz w:val="20"/>
                <w:szCs w:val="20"/>
              </w:rPr>
              <w:t>COLETE EM BRIM LEVE, 100% ALGODÃO, GRAMATURA 210 G/M², TAMANHO A DETERMINAR, SEM GOLA E SEM MANGAS, DECOTE EM FORMATO V, ABERTURA FRONTAL, COM FECHAMENTO POR ZÍPER, COSTURA DUPLA E REFORÇADA NOS OMBROS, NOVE (9) BOLSOS FRONTAIS, UMA (1) FAIXA REFLETIVA DE ALTA VISIBILIDADE, NA ALTURA DO PEITO, UMA (1) FAIXA REFLETIVA DE ALTA VISIBILIDADE, NA ALTURA DAS COSTAS, PERSONALIZAÇÃO EM IMPRESSÃO SERIGRÁFICA, CONFORME DETALHE EM ANEXO</w:t>
            </w:r>
            <w:r>
              <w:rPr>
                <w:rFonts w:ascii="Arial" w:hAnsi="Arial" w:cs="Arial"/>
                <w:color w:val="000000"/>
                <w:sz w:val="20"/>
                <w:szCs w:val="20"/>
              </w:rPr>
              <w:br/>
              <w:t xml:space="preserve">Tamanhos: </w:t>
            </w:r>
            <w:r>
              <w:rPr>
                <w:rFonts w:ascii="Arial" w:hAnsi="Arial" w:cs="Arial"/>
                <w:color w:val="000000"/>
                <w:sz w:val="20"/>
                <w:szCs w:val="20"/>
              </w:rPr>
              <w:br/>
              <w:t>P - 07 unidades</w:t>
            </w:r>
            <w:r>
              <w:rPr>
                <w:rFonts w:ascii="Arial" w:hAnsi="Arial" w:cs="Arial"/>
                <w:color w:val="000000"/>
                <w:sz w:val="20"/>
                <w:szCs w:val="20"/>
              </w:rPr>
              <w:br/>
              <w:t>M - 07 unidades</w:t>
            </w:r>
            <w:r>
              <w:rPr>
                <w:rFonts w:ascii="Arial" w:hAnsi="Arial" w:cs="Arial"/>
                <w:color w:val="000000"/>
                <w:sz w:val="20"/>
                <w:szCs w:val="20"/>
              </w:rPr>
              <w:br/>
              <w:t>G - 06 unidades</w:t>
            </w:r>
          </w:p>
        </w:tc>
        <w:tc>
          <w:tcPr>
            <w:tcW w:w="1743" w:type="dxa"/>
            <w:tcBorders>
              <w:top w:val="single" w:sz="4" w:space="0" w:color="000000"/>
              <w:left w:val="nil"/>
              <w:bottom w:val="nil"/>
              <w:right w:val="single" w:sz="4" w:space="0" w:color="000000"/>
            </w:tcBorders>
            <w:shd w:val="clear" w:color="auto" w:fill="auto"/>
            <w:noWrap/>
            <w:vAlign w:val="center"/>
            <w:hideMark/>
          </w:tcPr>
          <w:p w14:paraId="0C2EC9D1" w14:textId="77777777" w:rsidR="000D1DEC" w:rsidRPr="00BC65DA" w:rsidRDefault="000D1DEC" w:rsidP="00B10255">
            <w:pPr>
              <w:widowControl/>
              <w:jc w:val="center"/>
              <w:rPr>
                <w:rFonts w:ascii="Calibri" w:hAnsi="Calibri" w:cs="Calibri"/>
                <w:sz w:val="22"/>
                <w:szCs w:val="22"/>
              </w:rPr>
            </w:pPr>
            <w:r>
              <w:rPr>
                <w:rFonts w:ascii="Arial" w:hAnsi="Arial" w:cs="Arial"/>
                <w:color w:val="000000"/>
                <w:sz w:val="22"/>
                <w:szCs w:val="22"/>
              </w:rPr>
              <w:t>20</w:t>
            </w:r>
          </w:p>
        </w:tc>
      </w:tr>
    </w:tbl>
    <w:p w14:paraId="6B48B916" w14:textId="5FF181DE" w:rsidR="00042C98" w:rsidRDefault="00042C98" w:rsidP="00D33C3A">
      <w:pPr>
        <w:jc w:val="both"/>
        <w:rPr>
          <w:rFonts w:eastAsia="Calibri"/>
          <w:sz w:val="20"/>
          <w:szCs w:val="20"/>
        </w:rPr>
      </w:pPr>
    </w:p>
    <w:p w14:paraId="4F100BAC" w14:textId="359CA026" w:rsidR="00042C98" w:rsidRDefault="00042C98" w:rsidP="00D33C3A">
      <w:pPr>
        <w:jc w:val="both"/>
        <w:rPr>
          <w:rFonts w:eastAsia="Calibri"/>
          <w:sz w:val="20"/>
          <w:szCs w:val="20"/>
        </w:rPr>
      </w:pPr>
    </w:p>
    <w:p w14:paraId="0D122206" w14:textId="77777777" w:rsidR="00042C98" w:rsidRDefault="00042C98" w:rsidP="00D33C3A">
      <w:pPr>
        <w:jc w:val="both"/>
        <w:rPr>
          <w:rFonts w:eastAsia="Calibri"/>
          <w:bCs/>
          <w:sz w:val="20"/>
          <w:szCs w:val="20"/>
        </w:rPr>
      </w:pPr>
    </w:p>
    <w:p w14:paraId="77DE48CE" w14:textId="77777777" w:rsidR="00042C98" w:rsidRDefault="00042C98" w:rsidP="00D33C3A">
      <w:pPr>
        <w:jc w:val="both"/>
        <w:rPr>
          <w:rFonts w:eastAsia="Calibri"/>
          <w:bCs/>
          <w:sz w:val="20"/>
          <w:szCs w:val="20"/>
        </w:rPr>
      </w:pPr>
    </w:p>
    <w:p w14:paraId="4CB36B66" w14:textId="0BAFF1DC" w:rsidR="00D33C3A" w:rsidRPr="00042C98" w:rsidRDefault="003A1462" w:rsidP="00D33C3A">
      <w:pPr>
        <w:jc w:val="both"/>
        <w:rPr>
          <w:rFonts w:eastAsia="Calibri"/>
          <w:bCs/>
          <w:sz w:val="20"/>
          <w:szCs w:val="20"/>
        </w:rPr>
      </w:pPr>
      <w:r w:rsidRPr="00042C98">
        <w:rPr>
          <w:rFonts w:eastAsia="Calibri"/>
          <w:bCs/>
          <w:sz w:val="20"/>
          <w:szCs w:val="20"/>
        </w:rPr>
        <w:t xml:space="preserve">1.2. </w:t>
      </w:r>
      <w:r w:rsidR="00D33C3A" w:rsidRPr="00042C98">
        <w:rPr>
          <w:rFonts w:eastAsia="Calibri"/>
          <w:bCs/>
          <w:sz w:val="20"/>
          <w:szCs w:val="20"/>
        </w:rPr>
        <w:t>O(s) serviço(s) objeto desta contratação é(são) caracterizado(s) como comum(</w:t>
      </w:r>
      <w:proofErr w:type="spellStart"/>
      <w:r w:rsidR="00D33C3A" w:rsidRPr="00042C98">
        <w:rPr>
          <w:rFonts w:eastAsia="Calibri"/>
          <w:bCs/>
          <w:sz w:val="20"/>
          <w:szCs w:val="20"/>
        </w:rPr>
        <w:t>ns</w:t>
      </w:r>
      <w:proofErr w:type="spellEnd"/>
      <w:r w:rsidR="00D33C3A" w:rsidRPr="00042C98">
        <w:rPr>
          <w:rFonts w:eastAsia="Calibri"/>
          <w:bCs/>
          <w:sz w:val="20"/>
          <w:szCs w:val="20"/>
        </w:rPr>
        <w:t>), pois apresenta(m) padrões de desempenho e qualidade objetivamente definidos por meio de especificações usuais de mercado.</w:t>
      </w:r>
    </w:p>
    <w:p w14:paraId="1A2C0066" w14:textId="77777777" w:rsidR="00D33C3A" w:rsidRPr="00042C98" w:rsidRDefault="00D33C3A" w:rsidP="00D33C3A">
      <w:pPr>
        <w:jc w:val="both"/>
        <w:rPr>
          <w:rFonts w:eastAsia="Calibri"/>
          <w:bCs/>
          <w:sz w:val="20"/>
          <w:szCs w:val="20"/>
        </w:rPr>
      </w:pPr>
    </w:p>
    <w:p w14:paraId="4665756C" w14:textId="3AFD1C0C" w:rsidR="003A1462" w:rsidRPr="00042C98" w:rsidRDefault="003A1462" w:rsidP="003A1462">
      <w:pPr>
        <w:jc w:val="both"/>
        <w:rPr>
          <w:rFonts w:eastAsia="Calibri"/>
          <w:bCs/>
          <w:sz w:val="20"/>
          <w:szCs w:val="20"/>
        </w:rPr>
      </w:pPr>
      <w:r w:rsidRPr="00042C98">
        <w:rPr>
          <w:rFonts w:eastAsia="Calibri"/>
          <w:bCs/>
          <w:sz w:val="20"/>
          <w:szCs w:val="20"/>
        </w:rPr>
        <w:t>1.3. O objeto desta contratação não será parcelado por empresa, com fundamento no Art. 40, inciso V, alínea 'b', da Lei nº 14.133/2021, que permite o afastamento do parcelamento quando a divisão for inviável ou resultar em prejuízo ao conjunto do objeto. A contratação de um único fornecedor é a solução técnica e economicamente mais viável e vantajosa para a Administração Pública, garantindo a padronização técnica das 15 unidades e a eficiência na fiscalização contratual.</w:t>
      </w:r>
    </w:p>
    <w:p w14:paraId="64E0257E" w14:textId="77777777" w:rsidR="003A1462" w:rsidRPr="00042C98" w:rsidRDefault="003A1462" w:rsidP="003A1462">
      <w:pPr>
        <w:jc w:val="both"/>
        <w:rPr>
          <w:rFonts w:eastAsia="Calibri"/>
          <w:bCs/>
          <w:sz w:val="20"/>
          <w:szCs w:val="20"/>
        </w:rPr>
      </w:pPr>
    </w:p>
    <w:p w14:paraId="0195A5D1" w14:textId="32BC0D99" w:rsidR="003A1462" w:rsidRPr="00042C98" w:rsidRDefault="003A1462" w:rsidP="003A1462">
      <w:pPr>
        <w:jc w:val="both"/>
        <w:rPr>
          <w:rFonts w:eastAsia="Calibri"/>
          <w:bCs/>
          <w:sz w:val="20"/>
          <w:szCs w:val="20"/>
        </w:rPr>
      </w:pPr>
      <w:r w:rsidRPr="00042C98">
        <w:rPr>
          <w:rFonts w:eastAsia="Calibri"/>
          <w:bCs/>
          <w:sz w:val="20"/>
          <w:szCs w:val="20"/>
        </w:rPr>
        <w:t>1.4. A contratação se enquadra no Art. 75, inciso II, da Lei nº 14.133/2021, pois o valor total estimado de R$</w:t>
      </w:r>
      <w:r w:rsidR="0089093B" w:rsidRPr="0089093B">
        <w:rPr>
          <w:sz w:val="20"/>
          <w:szCs w:val="20"/>
        </w:rPr>
        <w:t>3.398,00</w:t>
      </w:r>
      <w:r w:rsidR="0089093B">
        <w:rPr>
          <w:sz w:val="20"/>
          <w:szCs w:val="20"/>
        </w:rPr>
        <w:t xml:space="preserve"> </w:t>
      </w:r>
      <w:r w:rsidRPr="0089093B">
        <w:rPr>
          <w:rFonts w:eastAsia="Calibri"/>
          <w:bCs/>
          <w:sz w:val="20"/>
          <w:szCs w:val="20"/>
        </w:rPr>
        <w:t>é</w:t>
      </w:r>
      <w:r w:rsidRPr="00042C98">
        <w:rPr>
          <w:rFonts w:eastAsia="Calibri"/>
          <w:bCs/>
          <w:sz w:val="20"/>
          <w:szCs w:val="20"/>
        </w:rPr>
        <w:t xml:space="preserve"> inferior ao limite legal estabelecido para dispensa por valor para 'outros serviços e compras', o que garante a celeridade e a economicidade do procedimento, nos termos do Art. 72, I e 75, II.</w:t>
      </w:r>
    </w:p>
    <w:p w14:paraId="55942A46" w14:textId="77777777" w:rsidR="00D33C3A" w:rsidRPr="00042C98" w:rsidRDefault="00D33C3A" w:rsidP="00D33C3A">
      <w:pPr>
        <w:jc w:val="both"/>
        <w:rPr>
          <w:rFonts w:eastAsia="Calibri"/>
          <w:bCs/>
          <w:sz w:val="20"/>
          <w:szCs w:val="20"/>
        </w:rPr>
      </w:pPr>
    </w:p>
    <w:bookmarkEnd w:id="1"/>
    <w:bookmarkEnd w:id="2"/>
    <w:p w14:paraId="3026A7E2"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bCs/>
          <w:sz w:val="20"/>
          <w:szCs w:val="20"/>
        </w:rPr>
      </w:pPr>
      <w:r w:rsidRPr="00042C98">
        <w:rPr>
          <w:b/>
          <w:bCs/>
          <w:sz w:val="20"/>
          <w:szCs w:val="20"/>
        </w:rPr>
        <w:t>Da Contratação:</w:t>
      </w:r>
    </w:p>
    <w:p w14:paraId="64F1703F" w14:textId="77777777" w:rsidR="003A1462" w:rsidRPr="00042C98" w:rsidRDefault="003A1462"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bCs/>
          <w:sz w:val="20"/>
          <w:szCs w:val="20"/>
        </w:rPr>
      </w:pPr>
      <w:r w:rsidRPr="00042C98">
        <w:rPr>
          <w:sz w:val="20"/>
          <w:szCs w:val="20"/>
        </w:rPr>
        <w:t xml:space="preserve">Será emitida Nota de Empenho em substituição ao Contrato, conforme o disposto no Art. 95, inciso I, da Lei Federal nº 14.133/2021, em razão do valor estimado da contratação. </w:t>
      </w:r>
    </w:p>
    <w:p w14:paraId="56687DBA" w14:textId="77777777" w:rsidR="00D33C3A" w:rsidRPr="00042C98" w:rsidRDefault="00D33C3A" w:rsidP="003A1462">
      <w:pPr>
        <w:rPr>
          <w:rFonts w:eastAsia="Calibri"/>
          <w:b/>
          <w:sz w:val="20"/>
          <w:szCs w:val="20"/>
        </w:rPr>
      </w:pPr>
    </w:p>
    <w:p w14:paraId="01AC397E"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color w:val="000000"/>
          <w:sz w:val="20"/>
          <w:szCs w:val="20"/>
        </w:rPr>
      </w:pPr>
      <w:r w:rsidRPr="00042C98">
        <w:rPr>
          <w:rFonts w:eastAsia="Calibri"/>
          <w:b/>
          <w:color w:val="000000"/>
          <w:sz w:val="20"/>
          <w:szCs w:val="20"/>
        </w:rPr>
        <w:t>FUNDAMENTAÇÃO E DESCRIÇÃO DA NECESSIDADE DA CONTRATAÇÃO</w:t>
      </w:r>
    </w:p>
    <w:p w14:paraId="15BDCD28" w14:textId="6F5713FF" w:rsidR="00A44248" w:rsidRPr="00042C98" w:rsidRDefault="005912D2" w:rsidP="007F1066">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bookmarkStart w:id="4" w:name="_Hlk177025122"/>
      <w:r w:rsidRPr="00042C98">
        <w:rPr>
          <w:rFonts w:eastAsia="Calibri"/>
          <w:bCs/>
          <w:sz w:val="20"/>
          <w:szCs w:val="20"/>
        </w:rPr>
        <w:t xml:space="preserve">A Subsecretaria de Fiscalização formaliza, por meio deste, a solicitação para a contratação de serviço de confecção de </w:t>
      </w:r>
      <w:r w:rsidR="0089093B">
        <w:rPr>
          <w:rFonts w:eastAsia="Calibri"/>
          <w:bCs/>
          <w:sz w:val="20"/>
          <w:szCs w:val="20"/>
        </w:rPr>
        <w:t>coletes</w:t>
      </w:r>
      <w:r w:rsidRPr="00042C98">
        <w:rPr>
          <w:rFonts w:eastAsia="Calibri"/>
          <w:bCs/>
          <w:sz w:val="20"/>
          <w:szCs w:val="20"/>
        </w:rPr>
        <w:t>, visando atender às demandas do Programa Fiscalizar e Educar.</w:t>
      </w:r>
    </w:p>
    <w:p w14:paraId="257D8C07" w14:textId="5C719E91" w:rsidR="005912D2" w:rsidRPr="00042C98" w:rsidRDefault="005912D2" w:rsidP="005912D2">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O objeto desta solicitação destina-se, especificamente, à execução do Programa Fiscalizar e Educar.</w:t>
      </w:r>
    </w:p>
    <w:p w14:paraId="7AAA6EAB" w14:textId="77777777" w:rsidR="005912D2" w:rsidRPr="00042C98" w:rsidRDefault="005912D2" w:rsidP="005912D2">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A contratação justifica-se pela necessidade de desenvolver de forma estruturada as competências legais educativas e preventivas da fiscalização, provendo a estrutura física necessária para a realização de projetos em três vertentes principais:</w:t>
      </w:r>
    </w:p>
    <w:p w14:paraId="0E519E05" w14:textId="77777777" w:rsidR="005912D2" w:rsidRPr="00042C98" w:rsidRDefault="005912D2" w:rsidP="005912D2">
      <w:pPr>
        <w:widowControl/>
        <w:numPr>
          <w:ilvl w:val="2"/>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Conscientização;</w:t>
      </w:r>
    </w:p>
    <w:p w14:paraId="0BAA6D4F" w14:textId="77777777" w:rsidR="005912D2" w:rsidRPr="00042C98" w:rsidRDefault="005912D2" w:rsidP="005912D2">
      <w:pPr>
        <w:widowControl/>
        <w:numPr>
          <w:ilvl w:val="2"/>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Parcerias;</w:t>
      </w:r>
    </w:p>
    <w:p w14:paraId="331859F9" w14:textId="69238017" w:rsidR="005912D2" w:rsidRPr="00042C98" w:rsidRDefault="005912D2" w:rsidP="005912D2">
      <w:pPr>
        <w:widowControl/>
        <w:numPr>
          <w:ilvl w:val="2"/>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Capacitação.</w:t>
      </w:r>
    </w:p>
    <w:p w14:paraId="04E72057" w14:textId="77777777" w:rsidR="005912D2" w:rsidRPr="00042C98" w:rsidRDefault="005912D2" w:rsidP="005912D2">
      <w:pPr>
        <w:pStyle w:val="PargrafodaLista"/>
        <w:numPr>
          <w:ilvl w:val="1"/>
          <w:numId w:val="1"/>
        </w:numPr>
        <w:rPr>
          <w:sz w:val="20"/>
          <w:szCs w:val="20"/>
        </w:rPr>
      </w:pPr>
      <w:r w:rsidRPr="00042C98">
        <w:rPr>
          <w:sz w:val="20"/>
          <w:szCs w:val="20"/>
        </w:rPr>
        <w:t>O material será utilizado, inicialmente, no Projeto Fiscalização nas Escolas.</w:t>
      </w:r>
    </w:p>
    <w:p w14:paraId="79DAC759" w14:textId="2110D9AF" w:rsidR="005912D2" w:rsidRPr="00042C98" w:rsidRDefault="005912D2" w:rsidP="005912D2">
      <w:pPr>
        <w:widowControl/>
        <w:pBdr>
          <w:top w:val="none" w:sz="0" w:space="0" w:color="000000"/>
          <w:left w:val="none" w:sz="0" w:space="0" w:color="000000"/>
          <w:bottom w:val="none" w:sz="0" w:space="0" w:color="000000"/>
          <w:right w:val="none" w:sz="0" w:space="0" w:color="000000"/>
          <w:between w:val="none" w:sz="0" w:space="0" w:color="000000"/>
        </w:pBdr>
        <w:spacing w:after="160" w:line="259" w:lineRule="auto"/>
        <w:ind w:left="792"/>
        <w:rPr>
          <w:sz w:val="20"/>
          <w:szCs w:val="20"/>
        </w:rPr>
      </w:pPr>
    </w:p>
    <w:p w14:paraId="21717CA5" w14:textId="1EF04276" w:rsidR="00D33C3A" w:rsidRPr="00042C98" w:rsidRDefault="00D33C3A" w:rsidP="00A44248">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A Lei 14.133/2021 previu exceções às regras de contratação através das licitações, em caso de sua inviabilidade ou impossibilidade, no artigo 72, inciso I e trouxe suas regras no artigo 75.</w:t>
      </w:r>
    </w:p>
    <w:bookmarkEnd w:id="4"/>
    <w:p w14:paraId="19C7851C" w14:textId="77777777" w:rsidR="00D33C3A" w:rsidRPr="00042C98" w:rsidRDefault="00D33C3A" w:rsidP="00D33C3A">
      <w:pPr>
        <w:rPr>
          <w:sz w:val="20"/>
          <w:szCs w:val="20"/>
        </w:rPr>
      </w:pPr>
    </w:p>
    <w:p w14:paraId="164A3B5F"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sz w:val="20"/>
          <w:szCs w:val="20"/>
        </w:rPr>
      </w:pPr>
      <w:r w:rsidRPr="00042C98">
        <w:rPr>
          <w:rFonts w:eastAsia="Calibri"/>
          <w:b/>
          <w:color w:val="000000"/>
          <w:sz w:val="20"/>
          <w:szCs w:val="20"/>
        </w:rPr>
        <w:t>DESCRIÇÃO DA SOLUÇÃO COMO UM TODO CONSIDERADO O CICLO DE VIDA DO OBJETO:</w:t>
      </w:r>
    </w:p>
    <w:p w14:paraId="4EDAA7AE" w14:textId="1588E22F" w:rsidR="009A096F" w:rsidRPr="00042C98" w:rsidRDefault="009A096F" w:rsidP="009A096F">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sz w:val="20"/>
          <w:szCs w:val="20"/>
        </w:rPr>
      </w:pPr>
      <w:r w:rsidRPr="00042C98">
        <w:rPr>
          <w:rFonts w:eastAsia="Calibri"/>
          <w:sz w:val="20"/>
          <w:szCs w:val="20"/>
        </w:rPr>
        <w:t xml:space="preserve">A solução para a contratação da </w:t>
      </w:r>
      <w:r w:rsidR="005912D2" w:rsidRPr="00042C98">
        <w:rPr>
          <w:rFonts w:eastAsia="Calibri"/>
          <w:sz w:val="20"/>
          <w:szCs w:val="20"/>
        </w:rPr>
        <w:t xml:space="preserve">confecção de </w:t>
      </w:r>
      <w:r w:rsidR="0089093B">
        <w:rPr>
          <w:rFonts w:eastAsia="Calibri"/>
          <w:sz w:val="20"/>
          <w:szCs w:val="20"/>
        </w:rPr>
        <w:t>coletes</w:t>
      </w:r>
      <w:r w:rsidR="005912D2" w:rsidRPr="00042C98">
        <w:rPr>
          <w:rFonts w:eastAsia="Calibri"/>
          <w:sz w:val="20"/>
          <w:szCs w:val="20"/>
        </w:rPr>
        <w:t xml:space="preserve"> para uso </w:t>
      </w:r>
      <w:r w:rsidR="005912D2" w:rsidRPr="00042C98">
        <w:rPr>
          <w:rFonts w:eastAsia="Calibri"/>
          <w:bCs/>
          <w:sz w:val="20"/>
          <w:szCs w:val="20"/>
        </w:rPr>
        <w:t>Programa Fiscalizar e Educar</w:t>
      </w:r>
      <w:r w:rsidR="005912D2" w:rsidRPr="00042C98">
        <w:rPr>
          <w:rFonts w:eastAsia="Calibri"/>
          <w:sz w:val="20"/>
          <w:szCs w:val="20"/>
        </w:rPr>
        <w:t xml:space="preserve"> </w:t>
      </w:r>
      <w:r w:rsidRPr="00042C98">
        <w:rPr>
          <w:rFonts w:eastAsia="Calibri"/>
          <w:sz w:val="20"/>
          <w:szCs w:val="20"/>
        </w:rPr>
        <w:t>será realizada por meio de contratação direta, com dispensa de licitação.</w:t>
      </w:r>
    </w:p>
    <w:p w14:paraId="355F90C8" w14:textId="77777777" w:rsidR="009A096F" w:rsidRPr="00042C98" w:rsidRDefault="009A096F" w:rsidP="009A096F">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sz w:val="20"/>
          <w:szCs w:val="20"/>
        </w:rPr>
      </w:pPr>
      <w:r w:rsidRPr="00042C98">
        <w:rPr>
          <w:rFonts w:eastAsia="Calibri"/>
          <w:sz w:val="20"/>
          <w:szCs w:val="20"/>
        </w:rPr>
        <w:t>A decisão se baseia nos seguintes pontos principais:</w:t>
      </w:r>
    </w:p>
    <w:p w14:paraId="2E4228F1" w14:textId="09D6D034" w:rsidR="009A096F" w:rsidRDefault="009A096F" w:rsidP="009A096F">
      <w:pPr>
        <w:widowControl/>
        <w:numPr>
          <w:ilvl w:val="2"/>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sz w:val="20"/>
          <w:szCs w:val="20"/>
        </w:rPr>
      </w:pPr>
      <w:r w:rsidRPr="00042C98">
        <w:rPr>
          <w:rFonts w:eastAsia="Calibri"/>
          <w:sz w:val="20"/>
          <w:szCs w:val="20"/>
        </w:rPr>
        <w:t>Fundamento Legal: A contratação se enquadra no Art. 75, inciso II, da Lei nº 14.133/2021, que permite a dispensa de licitação para serviços com valor abaixo do limite legal, evitando a burocracia de um processo licitatório completo.</w:t>
      </w:r>
    </w:p>
    <w:p w14:paraId="5D5B1238" w14:textId="77777777" w:rsidR="00042C98" w:rsidRPr="00042C98" w:rsidRDefault="00D33C3A" w:rsidP="00042C98">
      <w:pPr>
        <w:keepNext/>
        <w:keepLines/>
        <w:widowControl/>
        <w:numPr>
          <w:ilvl w:val="0"/>
          <w:numId w:val="1"/>
        </w:numPr>
        <w:pBdr>
          <w:top w:val="nil"/>
          <w:left w:val="nil"/>
          <w:bottom w:val="nil"/>
          <w:right w:val="nil"/>
          <w:between w:val="nil"/>
        </w:pBdr>
        <w:suppressAutoHyphens/>
        <w:spacing w:line="360" w:lineRule="auto"/>
        <w:jc w:val="both"/>
        <w:textAlignment w:val="baseline"/>
        <w:rPr>
          <w:b/>
          <w:sz w:val="20"/>
          <w:szCs w:val="20"/>
        </w:rPr>
      </w:pPr>
      <w:r w:rsidRPr="00042C98">
        <w:rPr>
          <w:rFonts w:eastAsia="Calibri"/>
          <w:b/>
          <w:color w:val="000000"/>
          <w:sz w:val="20"/>
          <w:szCs w:val="20"/>
        </w:rPr>
        <w:lastRenderedPageBreak/>
        <w:t>REQUISITOS DA CONTRATAÇÃO</w:t>
      </w:r>
      <w:r w:rsidR="00042C98" w:rsidRPr="00042C98">
        <w:rPr>
          <w:rFonts w:eastAsia="Calibri"/>
          <w:b/>
          <w:color w:val="000000"/>
          <w:sz w:val="20"/>
          <w:szCs w:val="20"/>
        </w:rPr>
        <w:t xml:space="preserve"> </w:t>
      </w:r>
    </w:p>
    <w:p w14:paraId="083CB679" w14:textId="272BFB79" w:rsidR="00D33C3A" w:rsidRPr="00042C98" w:rsidRDefault="00D33C3A" w:rsidP="00F054E4">
      <w:pPr>
        <w:keepNext/>
        <w:keepLines/>
        <w:widowControl/>
        <w:numPr>
          <w:ilvl w:val="1"/>
          <w:numId w:val="1"/>
        </w:numPr>
        <w:pBdr>
          <w:top w:val="nil"/>
          <w:left w:val="nil"/>
          <w:bottom w:val="nil"/>
          <w:right w:val="nil"/>
          <w:between w:val="nil"/>
        </w:pBdr>
        <w:suppressAutoHyphens/>
        <w:spacing w:line="360" w:lineRule="auto"/>
        <w:jc w:val="both"/>
        <w:textAlignment w:val="baseline"/>
        <w:rPr>
          <w:b/>
          <w:sz w:val="20"/>
          <w:szCs w:val="20"/>
        </w:rPr>
      </w:pPr>
      <w:r w:rsidRPr="00042C98">
        <w:rPr>
          <w:b/>
          <w:sz w:val="20"/>
          <w:szCs w:val="20"/>
        </w:rPr>
        <w:t>Vistoria</w:t>
      </w:r>
    </w:p>
    <w:p w14:paraId="1C30EBCB" w14:textId="77777777" w:rsidR="00D33C3A" w:rsidRPr="00042C98" w:rsidRDefault="00D33C3A" w:rsidP="000A705B">
      <w:pPr>
        <w:keepNext/>
        <w:keepLines/>
        <w:widowControl/>
        <w:numPr>
          <w:ilvl w:val="2"/>
          <w:numId w:val="1"/>
        </w:numPr>
        <w:pBdr>
          <w:top w:val="nil"/>
          <w:left w:val="nil"/>
          <w:bottom w:val="nil"/>
          <w:right w:val="nil"/>
          <w:between w:val="nil"/>
        </w:pBdr>
        <w:suppressAutoHyphens/>
        <w:spacing w:line="360" w:lineRule="auto"/>
        <w:jc w:val="both"/>
        <w:textAlignment w:val="baseline"/>
        <w:rPr>
          <w:b/>
          <w:sz w:val="20"/>
          <w:szCs w:val="20"/>
        </w:rPr>
      </w:pPr>
      <w:r w:rsidRPr="00042C98">
        <w:rPr>
          <w:sz w:val="20"/>
          <w:szCs w:val="20"/>
        </w:rPr>
        <w:t>Não será exigida vistoria prévia</w:t>
      </w:r>
    </w:p>
    <w:p w14:paraId="1BD28831" w14:textId="77777777" w:rsidR="00D33C3A" w:rsidRPr="00042C98" w:rsidRDefault="00D33C3A" w:rsidP="000A705B">
      <w:pPr>
        <w:keepNext/>
        <w:keepLines/>
        <w:widowControl/>
        <w:pBdr>
          <w:top w:val="nil"/>
          <w:left w:val="nil"/>
          <w:bottom w:val="nil"/>
          <w:right w:val="nil"/>
          <w:between w:val="nil"/>
        </w:pBdr>
        <w:suppressAutoHyphens/>
        <w:spacing w:line="360" w:lineRule="auto"/>
        <w:jc w:val="both"/>
        <w:textAlignment w:val="baseline"/>
        <w:rPr>
          <w:b/>
          <w:sz w:val="20"/>
          <w:szCs w:val="20"/>
        </w:rPr>
      </w:pPr>
    </w:p>
    <w:p w14:paraId="76BF712D" w14:textId="77777777" w:rsidR="00D33C3A" w:rsidRPr="00042C98" w:rsidRDefault="00D33C3A" w:rsidP="000A705B">
      <w:pPr>
        <w:keepNext/>
        <w:keepLines/>
        <w:widowControl/>
        <w:numPr>
          <w:ilvl w:val="1"/>
          <w:numId w:val="1"/>
        </w:numPr>
        <w:pBdr>
          <w:top w:val="nil"/>
          <w:left w:val="nil"/>
          <w:bottom w:val="nil"/>
          <w:right w:val="nil"/>
          <w:between w:val="nil"/>
        </w:pBdr>
        <w:suppressAutoHyphens/>
        <w:spacing w:line="360" w:lineRule="auto"/>
        <w:jc w:val="both"/>
        <w:textAlignment w:val="baseline"/>
        <w:rPr>
          <w:b/>
          <w:sz w:val="20"/>
          <w:szCs w:val="20"/>
        </w:rPr>
      </w:pPr>
      <w:r w:rsidRPr="00042C98">
        <w:rPr>
          <w:b/>
          <w:sz w:val="20"/>
          <w:szCs w:val="20"/>
        </w:rPr>
        <w:t>Da Subcontratação</w:t>
      </w:r>
    </w:p>
    <w:p w14:paraId="2965C016"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bCs/>
          <w:color w:val="000000" w:themeColor="text1"/>
          <w:sz w:val="20"/>
          <w:szCs w:val="20"/>
        </w:rPr>
      </w:pPr>
      <w:r w:rsidRPr="00042C98">
        <w:rPr>
          <w:color w:val="000000" w:themeColor="text1"/>
          <w:sz w:val="20"/>
          <w:szCs w:val="20"/>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3F86E5D5" w14:textId="77777777" w:rsidR="00D33C3A" w:rsidRPr="00042C98" w:rsidRDefault="00D33C3A" w:rsidP="000A705B">
      <w:pPr>
        <w:keepNext/>
        <w:keepLines/>
        <w:widowControl/>
        <w:pBdr>
          <w:top w:val="nil"/>
          <w:left w:val="nil"/>
          <w:bottom w:val="nil"/>
          <w:right w:val="nil"/>
          <w:between w:val="nil"/>
        </w:pBdr>
        <w:tabs>
          <w:tab w:val="left" w:pos="284"/>
        </w:tabs>
        <w:suppressAutoHyphens/>
        <w:spacing w:line="360" w:lineRule="auto"/>
        <w:jc w:val="both"/>
        <w:textAlignment w:val="baseline"/>
        <w:rPr>
          <w:color w:val="000000" w:themeColor="text1"/>
          <w:sz w:val="20"/>
          <w:szCs w:val="20"/>
        </w:rPr>
      </w:pPr>
    </w:p>
    <w:p w14:paraId="352BEE0D" w14:textId="77777777" w:rsidR="00D33C3A" w:rsidRPr="00042C98" w:rsidRDefault="00D33C3A" w:rsidP="000A705B">
      <w:pPr>
        <w:keepNext/>
        <w:keepLines/>
        <w:widowControl/>
        <w:numPr>
          <w:ilvl w:val="1"/>
          <w:numId w:val="1"/>
        </w:numPr>
        <w:pBdr>
          <w:top w:val="nil"/>
          <w:left w:val="nil"/>
          <w:bottom w:val="nil"/>
          <w:right w:val="nil"/>
          <w:between w:val="nil"/>
        </w:pBdr>
        <w:tabs>
          <w:tab w:val="left" w:pos="284"/>
        </w:tabs>
        <w:suppressAutoHyphens/>
        <w:spacing w:line="360" w:lineRule="auto"/>
        <w:jc w:val="both"/>
        <w:textAlignment w:val="baseline"/>
        <w:rPr>
          <w:b/>
          <w:sz w:val="20"/>
          <w:szCs w:val="20"/>
        </w:rPr>
      </w:pPr>
      <w:r w:rsidRPr="00042C98">
        <w:rPr>
          <w:b/>
          <w:sz w:val="20"/>
          <w:szCs w:val="20"/>
        </w:rPr>
        <w:t>Da participação de consórcios:</w:t>
      </w:r>
    </w:p>
    <w:p w14:paraId="7158421C"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Style w:val="normaltextrun"/>
          <w:color w:val="000000" w:themeColor="text1"/>
          <w:sz w:val="20"/>
          <w:szCs w:val="20"/>
          <w:shd w:val="clear" w:color="auto" w:fill="FFFFFF"/>
        </w:rPr>
      </w:pPr>
      <w:r w:rsidRPr="00042C98">
        <w:rPr>
          <w:rStyle w:val="normaltextrun"/>
          <w:color w:val="000000" w:themeColor="text1"/>
          <w:sz w:val="20"/>
          <w:szCs w:val="20"/>
          <w:shd w:val="clear" w:color="auto" w:fill="FFFFFF"/>
        </w:rPr>
        <w:t xml:space="preserve">Não será permitida a participação de empresas reunidas em consórcio, em razão da </w:t>
      </w:r>
      <w:r w:rsidRPr="00042C98">
        <w:rPr>
          <w:rStyle w:val="normaltextrun"/>
          <w:color w:val="000000" w:themeColor="text1"/>
          <w:sz w:val="20"/>
          <w:szCs w:val="20"/>
        </w:rPr>
        <w:t>baixa complexidade do serviço a ser prestado, considerando que as empresas que atuam no mercado têm condições de prestar o serviço de forma independente.</w:t>
      </w:r>
    </w:p>
    <w:p w14:paraId="61ED20C2" w14:textId="77777777" w:rsidR="00D33C3A" w:rsidRPr="00042C98" w:rsidRDefault="00D33C3A" w:rsidP="000A705B">
      <w:pPr>
        <w:keepNext/>
        <w:keepLines/>
        <w:widowControl/>
        <w:pBdr>
          <w:top w:val="nil"/>
          <w:left w:val="nil"/>
          <w:bottom w:val="nil"/>
          <w:right w:val="nil"/>
          <w:between w:val="nil"/>
        </w:pBdr>
        <w:tabs>
          <w:tab w:val="left" w:pos="284"/>
        </w:tabs>
        <w:suppressAutoHyphens/>
        <w:spacing w:line="360" w:lineRule="auto"/>
        <w:jc w:val="both"/>
        <w:textAlignment w:val="baseline"/>
        <w:rPr>
          <w:rStyle w:val="eop"/>
          <w:color w:val="000000" w:themeColor="text1"/>
          <w:sz w:val="20"/>
          <w:szCs w:val="20"/>
          <w:shd w:val="clear" w:color="auto" w:fill="FFFFFF"/>
        </w:rPr>
      </w:pPr>
    </w:p>
    <w:p w14:paraId="610EA497" w14:textId="77777777" w:rsidR="00D33C3A" w:rsidRPr="00042C98" w:rsidRDefault="00D33C3A" w:rsidP="000A705B">
      <w:pPr>
        <w:keepNext/>
        <w:keepLines/>
        <w:widowControl/>
        <w:numPr>
          <w:ilvl w:val="1"/>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rFonts w:eastAsia="Arial"/>
          <w:b/>
          <w:sz w:val="20"/>
          <w:szCs w:val="20"/>
        </w:rPr>
        <w:t>Da Garantia da contratação</w:t>
      </w:r>
    </w:p>
    <w:p w14:paraId="09CD2733"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rFonts w:eastAsia="Arial"/>
          <w:color w:val="000000" w:themeColor="text1"/>
          <w:sz w:val="20"/>
          <w:szCs w:val="20"/>
        </w:rPr>
        <w:t xml:space="preserve">Não haverá exigência da garantia da contratação </w:t>
      </w:r>
      <w:r w:rsidRPr="00042C98">
        <w:rPr>
          <w:color w:val="000000" w:themeColor="text1"/>
          <w:sz w:val="20"/>
          <w:szCs w:val="20"/>
        </w:rPr>
        <w:t xml:space="preserve">dos </w:t>
      </w:r>
      <w:hyperlink r:id="rId8" w:anchor="art96">
        <w:r w:rsidRPr="00042C98">
          <w:rPr>
            <w:rStyle w:val="Hyperlink"/>
            <w:color w:val="000000" w:themeColor="text1"/>
            <w:sz w:val="20"/>
            <w:szCs w:val="20"/>
          </w:rPr>
          <w:t>artigos 96 e seguintes da Lei nº 14.133, de 2021</w:t>
        </w:r>
      </w:hyperlink>
      <w:r w:rsidRPr="00042C98">
        <w:rPr>
          <w:color w:val="000000" w:themeColor="text1"/>
          <w:sz w:val="20"/>
          <w:szCs w:val="20"/>
        </w:rPr>
        <w:t xml:space="preserve">, pelas </w:t>
      </w:r>
      <w:r w:rsidRPr="00042C98">
        <w:rPr>
          <w:rFonts w:eastAsia="Arial"/>
          <w:color w:val="000000" w:themeColor="text1"/>
          <w:sz w:val="20"/>
          <w:szCs w:val="20"/>
        </w:rPr>
        <w:t>seguintes razões: Valor da contratação</w:t>
      </w:r>
    </w:p>
    <w:p w14:paraId="1E658A0C" w14:textId="77777777" w:rsidR="00D33C3A" w:rsidRPr="00042C98" w:rsidRDefault="00D33C3A" w:rsidP="000A705B">
      <w:pPr>
        <w:keepNext/>
        <w:keepLines/>
        <w:widowControl/>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p>
    <w:p w14:paraId="386DC2E1" w14:textId="77777777" w:rsidR="00D33C3A" w:rsidRPr="00042C98" w:rsidRDefault="00D33C3A" w:rsidP="000A705B">
      <w:pPr>
        <w:keepNext/>
        <w:keepLines/>
        <w:widowControl/>
        <w:numPr>
          <w:ilvl w:val="1"/>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rFonts w:eastAsia="Arial"/>
          <w:b/>
          <w:sz w:val="20"/>
          <w:szCs w:val="20"/>
        </w:rPr>
        <w:t>Da Forma de pagamento</w:t>
      </w:r>
    </w:p>
    <w:p w14:paraId="65DA0761"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iCs/>
          <w:sz w:val="20"/>
          <w:szCs w:val="20"/>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785A05AD"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rFonts w:eastAsia="Arial"/>
          <w:sz w:val="20"/>
          <w:szCs w:val="20"/>
        </w:rPr>
        <w:t xml:space="preserve">A retenção do imposto de renda deverá ser destacada </w:t>
      </w:r>
      <w:r w:rsidRPr="00042C98">
        <w:rPr>
          <w:rFonts w:eastAsia="Arial"/>
          <w:color w:val="222222"/>
          <w:sz w:val="20"/>
          <w:szCs w:val="20"/>
        </w:rPr>
        <w:t>no corpo do documento fiscal ou equivalente observando os percentuais estabelecidos no ANEXO I da IN RFB Nº 1234 de 2012 de acordo com o artigo 1º, §1º do</w:t>
      </w:r>
      <w:sdt>
        <w:sdtPr>
          <w:rPr>
            <w:sz w:val="20"/>
            <w:szCs w:val="20"/>
          </w:rPr>
          <w:tag w:val="goog_rdk_86"/>
          <w:id w:val="1252161244"/>
        </w:sdtPr>
        <w:sdtEndPr/>
        <w:sdtContent>
          <w:r w:rsidRPr="00042C98">
            <w:rPr>
              <w:sz w:val="20"/>
              <w:szCs w:val="20"/>
            </w:rPr>
            <w:t xml:space="preserve"> </w:t>
          </w:r>
        </w:sdtContent>
      </w:sdt>
      <w:r w:rsidRPr="00042C98">
        <w:rPr>
          <w:rFonts w:eastAsia="Arial"/>
          <w:color w:val="222222"/>
          <w:sz w:val="20"/>
          <w:szCs w:val="20"/>
        </w:rPr>
        <w:t>Decreto Municipal 18.272/23 e Portaria SMFA nº 11/2023 c/c §5º, artigo 2º da IN RFB Nº 1234.</w:t>
      </w:r>
    </w:p>
    <w:p w14:paraId="3098BE33"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rFonts w:eastAsia="Arial"/>
          <w:color w:val="222222"/>
          <w:sz w:val="20"/>
          <w:szCs w:val="20"/>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6EC58A35" w14:textId="77777777" w:rsidR="00D33C3A" w:rsidRPr="00042C98" w:rsidRDefault="00D33C3A" w:rsidP="000A705B">
      <w:pPr>
        <w:keepNext/>
        <w:keepLines/>
        <w:widowControl/>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p>
    <w:p w14:paraId="2B5411BC" w14:textId="77777777" w:rsidR="00D33C3A" w:rsidRPr="00042C98" w:rsidRDefault="00D33C3A" w:rsidP="000A705B">
      <w:pPr>
        <w:keepNext/>
        <w:keepLines/>
        <w:widowControl/>
        <w:numPr>
          <w:ilvl w:val="0"/>
          <w:numId w:val="1"/>
        </w:numPr>
        <w:pBdr>
          <w:top w:val="nil"/>
          <w:left w:val="nil"/>
          <w:bottom w:val="nil"/>
          <w:right w:val="nil"/>
          <w:between w:val="nil"/>
        </w:pBdr>
        <w:tabs>
          <w:tab w:val="left" w:pos="284"/>
        </w:tabs>
        <w:suppressAutoHyphens/>
        <w:spacing w:line="360" w:lineRule="auto"/>
        <w:jc w:val="both"/>
        <w:textAlignment w:val="baseline"/>
        <w:rPr>
          <w:rFonts w:eastAsia="Arial"/>
          <w:color w:val="000000" w:themeColor="text1"/>
          <w:sz w:val="20"/>
          <w:szCs w:val="20"/>
        </w:rPr>
      </w:pPr>
      <w:r w:rsidRPr="00042C98">
        <w:rPr>
          <w:rFonts w:eastAsia="Arial"/>
          <w:b/>
          <w:sz w:val="20"/>
          <w:szCs w:val="20"/>
        </w:rPr>
        <w:t>FORMA E CRITÉRIOS DE SELEÇÃO DO FORNECEDOR</w:t>
      </w:r>
    </w:p>
    <w:p w14:paraId="53392426" w14:textId="77777777" w:rsidR="00D33C3A" w:rsidRPr="00042C98" w:rsidRDefault="00D33C3A" w:rsidP="000A705B">
      <w:pPr>
        <w:keepNext/>
        <w:keepLines/>
        <w:widowControl/>
        <w:numPr>
          <w:ilvl w:val="1"/>
          <w:numId w:val="1"/>
        </w:numPr>
        <w:pBdr>
          <w:top w:val="nil"/>
          <w:left w:val="nil"/>
          <w:bottom w:val="nil"/>
          <w:right w:val="nil"/>
          <w:between w:val="nil"/>
        </w:pBdr>
        <w:tabs>
          <w:tab w:val="left" w:pos="284"/>
        </w:tabs>
        <w:suppressAutoHyphens/>
        <w:spacing w:line="360" w:lineRule="auto"/>
        <w:jc w:val="both"/>
        <w:textAlignment w:val="baseline"/>
        <w:rPr>
          <w:b/>
          <w:sz w:val="20"/>
          <w:szCs w:val="20"/>
        </w:rPr>
      </w:pPr>
      <w:r w:rsidRPr="00042C98">
        <w:rPr>
          <w:b/>
          <w:sz w:val="20"/>
          <w:szCs w:val="20"/>
        </w:rPr>
        <w:t>Da Forma de seleção e critério de julgamento da proposta</w:t>
      </w:r>
    </w:p>
    <w:p w14:paraId="522CB140"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bCs/>
          <w:color w:val="000000" w:themeColor="text1"/>
          <w:sz w:val="20"/>
          <w:szCs w:val="20"/>
        </w:rPr>
      </w:pPr>
      <w:r w:rsidRPr="00042C98">
        <w:rPr>
          <w:rFonts w:eastAsia="Arial"/>
          <w:sz w:val="20"/>
          <w:szCs w:val="20"/>
        </w:rPr>
        <w:t>O fornecedor será selecionado por meio da realização de procedimento de licitação, na modalidade Dispensa, com adoção do critério de julgamento pelo Menor preço</w:t>
      </w:r>
      <w:r w:rsidRPr="00042C98">
        <w:rPr>
          <w:rFonts w:eastAsia="Arial"/>
          <w:color w:val="000000" w:themeColor="text1"/>
          <w:sz w:val="20"/>
          <w:szCs w:val="20"/>
        </w:rPr>
        <w:t>, na hipótese do art. 75, inciso II, nos termos da Lei nº 14.133, de 1º de abril de 2021, da Instrução Normativa SEGES/ME nº 67/2021, do Decreto Municipal n° 18.343/2023 e legislação aplicável.</w:t>
      </w:r>
    </w:p>
    <w:p w14:paraId="1798D039" w14:textId="77777777" w:rsidR="00D33C3A" w:rsidRPr="00042C98" w:rsidRDefault="00D33C3A" w:rsidP="000A705B">
      <w:pPr>
        <w:keepNext/>
        <w:keepLines/>
        <w:widowControl/>
        <w:numPr>
          <w:ilvl w:val="1"/>
          <w:numId w:val="1"/>
        </w:numPr>
        <w:pBdr>
          <w:top w:val="nil"/>
          <w:left w:val="nil"/>
          <w:bottom w:val="nil"/>
          <w:right w:val="nil"/>
          <w:between w:val="nil"/>
        </w:pBdr>
        <w:tabs>
          <w:tab w:val="left" w:pos="284"/>
        </w:tabs>
        <w:suppressAutoHyphens/>
        <w:spacing w:line="360" w:lineRule="auto"/>
        <w:jc w:val="both"/>
        <w:textAlignment w:val="baseline"/>
        <w:rPr>
          <w:bCs/>
          <w:color w:val="000000" w:themeColor="text1"/>
          <w:sz w:val="20"/>
          <w:szCs w:val="20"/>
        </w:rPr>
      </w:pPr>
      <w:r w:rsidRPr="00042C98">
        <w:rPr>
          <w:rFonts w:eastAsia="Arial"/>
          <w:b/>
          <w:sz w:val="20"/>
          <w:szCs w:val="20"/>
        </w:rPr>
        <w:t>Da Exigências de habilitação</w:t>
      </w:r>
    </w:p>
    <w:p w14:paraId="5C78EABB"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bCs/>
          <w:color w:val="000000" w:themeColor="text1"/>
          <w:sz w:val="20"/>
          <w:szCs w:val="20"/>
        </w:rPr>
      </w:pPr>
      <w:r w:rsidRPr="00042C98">
        <w:rPr>
          <w:rFonts w:eastAsia="Arial"/>
          <w:sz w:val="20"/>
          <w:szCs w:val="20"/>
        </w:rPr>
        <w:t>Para fins de habilitação, deverá o licitante comprovar os seguintes requisitos:</w:t>
      </w:r>
    </w:p>
    <w:p w14:paraId="25D1E17A" w14:textId="77777777" w:rsidR="00D33C3A" w:rsidRPr="00042C98" w:rsidRDefault="00D33C3A" w:rsidP="000A705B">
      <w:pPr>
        <w:keepNext/>
        <w:keepLines/>
        <w:widowControl/>
        <w:pBdr>
          <w:top w:val="nil"/>
          <w:left w:val="nil"/>
          <w:bottom w:val="nil"/>
          <w:right w:val="nil"/>
          <w:between w:val="nil"/>
        </w:pBdr>
        <w:tabs>
          <w:tab w:val="left" w:pos="284"/>
        </w:tabs>
        <w:suppressAutoHyphens/>
        <w:spacing w:line="360" w:lineRule="auto"/>
        <w:jc w:val="both"/>
        <w:textAlignment w:val="baseline"/>
        <w:rPr>
          <w:bCs/>
          <w:color w:val="000000" w:themeColor="text1"/>
          <w:sz w:val="20"/>
          <w:szCs w:val="20"/>
        </w:rPr>
      </w:pPr>
    </w:p>
    <w:p w14:paraId="7FC3BB1E" w14:textId="77777777" w:rsidR="00D33C3A" w:rsidRPr="00042C98" w:rsidRDefault="00D33C3A" w:rsidP="000A705B">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bCs/>
          <w:color w:val="000000" w:themeColor="text1"/>
          <w:sz w:val="20"/>
          <w:szCs w:val="20"/>
        </w:rPr>
      </w:pPr>
      <w:r w:rsidRPr="00042C98">
        <w:rPr>
          <w:rFonts w:eastAsia="Arial"/>
          <w:b/>
          <w:sz w:val="20"/>
          <w:szCs w:val="20"/>
        </w:rPr>
        <w:t>Da Habilitação jurídica</w:t>
      </w:r>
      <w:bookmarkStart w:id="5" w:name="_heading=h.2et92p0" w:colFirst="0" w:colLast="0"/>
      <w:bookmarkEnd w:id="5"/>
    </w:p>
    <w:p w14:paraId="12EE57C6"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lastRenderedPageBreak/>
        <w:t>Pessoa física:</w:t>
      </w:r>
      <w:r w:rsidRPr="00042C98">
        <w:rPr>
          <w:rFonts w:eastAsia="Arial"/>
          <w:sz w:val="20"/>
          <w:szCs w:val="20"/>
        </w:rPr>
        <w:t xml:space="preserve"> cédula de identidade (RG) ou documento equivalente que, por força de lei, tenha validade para fins de identificação em todo o território nacional;</w:t>
      </w:r>
    </w:p>
    <w:p w14:paraId="5CAA13BB"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Empresário individual:</w:t>
      </w:r>
      <w:r w:rsidRPr="00042C98">
        <w:rPr>
          <w:rFonts w:eastAsia="Arial"/>
          <w:sz w:val="20"/>
          <w:szCs w:val="20"/>
        </w:rPr>
        <w:t xml:space="preserve"> inscrição no Registro Público de Empresas Mercantis, a cargo da Junta Comercial da respectiva sede; </w:t>
      </w:r>
    </w:p>
    <w:p w14:paraId="03C3CDBF"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Microempreendedor Individual - MEI:</w:t>
      </w:r>
      <w:r w:rsidRPr="00042C98">
        <w:rPr>
          <w:rFonts w:eastAsia="Arial"/>
          <w:sz w:val="20"/>
          <w:szCs w:val="20"/>
        </w:rPr>
        <w:t xml:space="preserve"> Certificado da Condição de Microempreendedor Individual - CCMEI, cuja aceitação ficará condicionada à verificação da autenticidade no sítio </w:t>
      </w:r>
      <w:hyperlink r:id="rId9">
        <w:r w:rsidRPr="00042C98">
          <w:rPr>
            <w:rFonts w:eastAsia="Arial"/>
            <w:sz w:val="20"/>
            <w:szCs w:val="20"/>
            <w:u w:val="single"/>
          </w:rPr>
          <w:t>https://www.gov.br/empresas-e-negocios/pt-br/empreendedor</w:t>
        </w:r>
      </w:hyperlink>
      <w:r w:rsidRPr="00042C98">
        <w:rPr>
          <w:rFonts w:eastAsia="Arial"/>
          <w:sz w:val="20"/>
          <w:szCs w:val="20"/>
        </w:rPr>
        <w:t xml:space="preserve">; </w:t>
      </w:r>
    </w:p>
    <w:p w14:paraId="09B8BF94"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Sociedade empresária, sociedade limitada unipessoal – SLU ou sociedade identificada como empresa individual de responsabilidade limitada - EIRELI:</w:t>
      </w:r>
      <w:r w:rsidRPr="00042C98">
        <w:rPr>
          <w:rFonts w:eastAsia="Arial"/>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0F9A442B"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Sociedade empresária estrangeira:</w:t>
      </w:r>
      <w:r w:rsidRPr="00042C98">
        <w:rPr>
          <w:rFonts w:eastAsia="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
        <w:r w:rsidRPr="00042C98">
          <w:rPr>
            <w:rFonts w:eastAsia="Arial"/>
            <w:sz w:val="20"/>
            <w:szCs w:val="20"/>
            <w:u w:val="single"/>
          </w:rPr>
          <w:t>Normativa DREI/ME n.º 77, de 18 de março de 2020</w:t>
        </w:r>
      </w:hyperlink>
      <w:r w:rsidRPr="00042C98">
        <w:rPr>
          <w:rFonts w:eastAsia="Arial"/>
          <w:sz w:val="20"/>
          <w:szCs w:val="20"/>
        </w:rPr>
        <w:t>.</w:t>
      </w:r>
    </w:p>
    <w:p w14:paraId="2C35F053"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 xml:space="preserve">Sociedade simples: </w:t>
      </w:r>
      <w:r w:rsidRPr="00042C98">
        <w:rPr>
          <w:rFonts w:eastAsia="Arial"/>
          <w:sz w:val="20"/>
          <w:szCs w:val="20"/>
        </w:rPr>
        <w:t>inscrição do ato constitutivo no Registro Civil de Pessoas Jurídicas do local de sua sede, acompanhada de documento comprobatório de seus administradores;</w:t>
      </w:r>
      <w:bookmarkStart w:id="6" w:name="_heading=h.tyjcwt" w:colFirst="0" w:colLast="0"/>
      <w:bookmarkEnd w:id="6"/>
    </w:p>
    <w:p w14:paraId="2C517DAA"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Filial, sucursal ou agência de sociedade simples ou empresária:</w:t>
      </w:r>
      <w:r w:rsidRPr="00042C98">
        <w:rPr>
          <w:rFonts w:eastAsia="Arial"/>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D4EB09C"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Sociedade cooperativa:</w:t>
      </w:r>
      <w:r w:rsidRPr="00042C98">
        <w:rPr>
          <w:rFonts w:eastAsia="Arial"/>
          <w:sz w:val="20"/>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11" w:anchor="art107">
        <w:r w:rsidRPr="00042C98">
          <w:rPr>
            <w:rFonts w:eastAsia="Arial"/>
            <w:sz w:val="20"/>
            <w:szCs w:val="20"/>
            <w:u w:val="single"/>
          </w:rPr>
          <w:t>art. 107 da Lei nº 5.764, de 16 de dezembro 1971</w:t>
        </w:r>
      </w:hyperlink>
      <w:r w:rsidRPr="00042C98">
        <w:rPr>
          <w:rFonts w:eastAsia="Arial"/>
          <w:sz w:val="20"/>
          <w:szCs w:val="20"/>
        </w:rPr>
        <w:t>.</w:t>
      </w:r>
    </w:p>
    <w:p w14:paraId="5EDA1FF2"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Agricultor familiar:</w:t>
      </w:r>
      <w:r w:rsidRPr="00042C98">
        <w:rPr>
          <w:rFonts w:eastAsia="Arial"/>
          <w:sz w:val="20"/>
          <w:szCs w:val="20"/>
        </w:rPr>
        <w:t xml:space="preserve"> Declaração de Aptidão ao Pronaf – DAP ou DAP-P válida, ou, ainda, outros documentos definidos pela Secretaria Especial de Agricultura Familiar e do Desenvolvimento Agrário, nos termos do</w:t>
      </w:r>
      <w:hyperlink r:id="rId12" w:anchor="art4%C2%A72">
        <w:r w:rsidRPr="00042C98">
          <w:rPr>
            <w:rFonts w:eastAsia="Arial"/>
            <w:sz w:val="20"/>
            <w:szCs w:val="20"/>
            <w:u w:val="single"/>
          </w:rPr>
          <w:t xml:space="preserve"> art. 4º, §2º do Decreto nº 10.880, de 2 de dezembro de 2021</w:t>
        </w:r>
      </w:hyperlink>
      <w:r w:rsidRPr="00042C98">
        <w:rPr>
          <w:rFonts w:eastAsia="Arial"/>
          <w:sz w:val="20"/>
          <w:szCs w:val="20"/>
        </w:rPr>
        <w:t>.</w:t>
      </w:r>
    </w:p>
    <w:p w14:paraId="7108677E"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Produtor Rural:</w:t>
      </w:r>
      <w:r w:rsidRPr="00042C98">
        <w:rPr>
          <w:rFonts w:eastAsia="Arial"/>
          <w:sz w:val="20"/>
          <w:szCs w:val="20"/>
        </w:rPr>
        <w:t xml:space="preserve"> matrícula no Cadastro Específico do INSS – CEI, que comprove a qualificação como produtor rural pessoa física, nos termos da </w:t>
      </w:r>
      <w:hyperlink r:id="rId13">
        <w:r w:rsidRPr="00042C98">
          <w:rPr>
            <w:rFonts w:eastAsia="Arial"/>
            <w:sz w:val="20"/>
            <w:szCs w:val="20"/>
            <w:u w:val="single"/>
          </w:rPr>
          <w:t>Instrução Normativa RFB n. 971, de 13 de novembro de 2009</w:t>
        </w:r>
      </w:hyperlink>
      <w:r w:rsidRPr="00042C98">
        <w:rPr>
          <w:rFonts w:eastAsia="Arial"/>
          <w:sz w:val="20"/>
          <w:szCs w:val="20"/>
        </w:rPr>
        <w:t xml:space="preserve"> (</w:t>
      </w:r>
      <w:proofErr w:type="spellStart"/>
      <w:r w:rsidRPr="00042C98">
        <w:rPr>
          <w:rFonts w:eastAsia="Arial"/>
          <w:sz w:val="20"/>
          <w:szCs w:val="20"/>
        </w:rPr>
        <w:t>arts</w:t>
      </w:r>
      <w:proofErr w:type="spellEnd"/>
      <w:r w:rsidRPr="00042C98">
        <w:rPr>
          <w:rFonts w:eastAsia="Arial"/>
          <w:sz w:val="20"/>
          <w:szCs w:val="20"/>
        </w:rPr>
        <w:t>. 17 a 19 e 165).</w:t>
      </w:r>
    </w:p>
    <w:p w14:paraId="6A775225" w14:textId="77777777" w:rsidR="00D33C3A" w:rsidRPr="00042C98" w:rsidRDefault="00D33C3A" w:rsidP="00D33C3A">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Os documentos apresentados deverão estar acompanhados de todas as alterações ou da consolidação respectiva.</w:t>
      </w:r>
    </w:p>
    <w:p w14:paraId="7E973B91" w14:textId="77777777" w:rsidR="00D33C3A" w:rsidRPr="00042C98" w:rsidRDefault="00D33C3A" w:rsidP="00D33C3A">
      <w:pPr>
        <w:keepNext/>
        <w:keepLines/>
        <w:widowControl/>
        <w:pBdr>
          <w:top w:val="nil"/>
          <w:left w:val="nil"/>
          <w:bottom w:val="nil"/>
          <w:right w:val="nil"/>
          <w:between w:val="nil"/>
        </w:pBdr>
        <w:tabs>
          <w:tab w:val="left" w:pos="284"/>
        </w:tabs>
        <w:suppressAutoHyphens/>
        <w:spacing w:line="360" w:lineRule="auto"/>
        <w:jc w:val="both"/>
        <w:textAlignment w:val="baseline"/>
        <w:rPr>
          <w:rFonts w:eastAsia="Arial"/>
          <w:sz w:val="20"/>
          <w:szCs w:val="20"/>
        </w:rPr>
      </w:pPr>
    </w:p>
    <w:p w14:paraId="0AD5199F" w14:textId="77777777" w:rsidR="00D33C3A" w:rsidRPr="00042C98" w:rsidRDefault="00D33C3A" w:rsidP="00D33C3A">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bCs/>
          <w:sz w:val="20"/>
          <w:szCs w:val="20"/>
        </w:rPr>
        <w:t>Da</w:t>
      </w:r>
      <w:r w:rsidRPr="00042C98">
        <w:rPr>
          <w:rFonts w:eastAsia="Arial"/>
          <w:sz w:val="20"/>
          <w:szCs w:val="20"/>
        </w:rPr>
        <w:t xml:space="preserve"> </w:t>
      </w:r>
      <w:r w:rsidRPr="00042C98">
        <w:rPr>
          <w:rFonts w:eastAsia="Arial"/>
          <w:b/>
          <w:sz w:val="20"/>
          <w:szCs w:val="20"/>
        </w:rPr>
        <w:t>Habilitação fiscal, social e trabalhista</w:t>
      </w:r>
    </w:p>
    <w:p w14:paraId="2C44AAA0"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sz w:val="20"/>
          <w:szCs w:val="20"/>
        </w:rPr>
        <w:t xml:space="preserve">Prova de inscrição no Cadastro Nacional de Pessoa Jurídica (CNPJ), ou no Cadastro de Pessoas Físicas, conforme o caso; </w:t>
      </w:r>
    </w:p>
    <w:p w14:paraId="61528900"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sz w:val="20"/>
          <w:szCs w:val="20"/>
        </w:rPr>
        <w:t xml:space="preserve">Prova de inscrição no cadastro de contribuintes estadual e/ou municipal, se houver, relativo ao domicílio ou sede do licitante, pertinente ao seu ramo de atividade e compatível com o objeto contratual; </w:t>
      </w:r>
    </w:p>
    <w:p w14:paraId="365EACC7"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sz w:val="20"/>
          <w:szCs w:val="20"/>
        </w:rPr>
        <w:lastRenderedPageBreak/>
        <w:t>Prova de regularidade para com as Fazendas federal, estadual/distrital e Municipal do domicílio ou sede do licitante, ou outra equivalente, na forma da lei;</w:t>
      </w:r>
    </w:p>
    <w:p w14:paraId="691717B8"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sz w:val="20"/>
          <w:szCs w:val="20"/>
        </w:rPr>
        <w:t xml:space="preserve">Prova de regularidade relativa à Seguridade Social e ao Fundo de Garantia por Tempo de Serviço (FGTS), demonstrando situação regular no cumprimento dos encargos sociais instituídos por lei. </w:t>
      </w:r>
    </w:p>
    <w:p w14:paraId="35F5EE59"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sz w:val="20"/>
          <w:szCs w:val="20"/>
        </w:rPr>
        <w:t xml:space="preserve">Prova de inexistência de débitos inadimplidos perante a Justiça do Trabalho, mediante apresentação de certidão </w:t>
      </w:r>
      <w:r w:rsidRPr="00042C98">
        <w:rPr>
          <w:color w:val="000000" w:themeColor="text1"/>
          <w:sz w:val="20"/>
          <w:szCs w:val="20"/>
        </w:rPr>
        <w:t>negativa ou positiva com efeito de negativa</w:t>
      </w:r>
      <w:r w:rsidRPr="00042C98">
        <w:rPr>
          <w:sz w:val="20"/>
          <w:szCs w:val="20"/>
        </w:rPr>
        <w:t>, nos termos do Título VII-A da Consolidação das Leis do Trabalho, aprovada pelo Decreto-Lei no 5.452, de 1o de maio de 1943.</w:t>
      </w:r>
    </w:p>
    <w:p w14:paraId="36C59384"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sz w:val="20"/>
          <w:szCs w:val="20"/>
        </w:rPr>
        <w:t>Os documentos referidos acima poderão ser substituídos ou supridos, no todo ou em parte, por outros meios hábeis a comprovar a regularidade do licitante, inclusive por meio eletrônico.</w:t>
      </w:r>
    </w:p>
    <w:p w14:paraId="54B8F7DB" w14:textId="77777777" w:rsidR="00D33C3A" w:rsidRPr="00042C98" w:rsidRDefault="00D33C3A" w:rsidP="00D33C3A">
      <w:pPr>
        <w:keepNext/>
        <w:keepLines/>
        <w:widowControl/>
        <w:pBdr>
          <w:top w:val="nil"/>
          <w:left w:val="nil"/>
          <w:bottom w:val="nil"/>
          <w:right w:val="nil"/>
          <w:between w:val="nil"/>
        </w:pBdr>
        <w:tabs>
          <w:tab w:val="left" w:pos="284"/>
        </w:tabs>
        <w:suppressAutoHyphens/>
        <w:spacing w:line="360" w:lineRule="auto"/>
        <w:jc w:val="both"/>
        <w:textAlignment w:val="baseline"/>
        <w:rPr>
          <w:rFonts w:eastAsia="Arial"/>
          <w:sz w:val="20"/>
          <w:szCs w:val="20"/>
        </w:rPr>
      </w:pPr>
    </w:p>
    <w:p w14:paraId="570982A5" w14:textId="77777777" w:rsidR="00D33C3A" w:rsidRPr="00042C98" w:rsidRDefault="00D33C3A" w:rsidP="00D33C3A">
      <w:pPr>
        <w:keepNext/>
        <w:keepLines/>
        <w:widowControl/>
        <w:numPr>
          <w:ilvl w:val="1"/>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b/>
          <w:sz w:val="20"/>
          <w:szCs w:val="20"/>
        </w:rPr>
        <w:t>Dos critérios de aceitabilidade da proposta</w:t>
      </w:r>
    </w:p>
    <w:p w14:paraId="22E5D7F9" w14:textId="77777777" w:rsidR="00D33C3A" w:rsidRPr="00042C98" w:rsidRDefault="00D33C3A" w:rsidP="00D33C3A">
      <w:pPr>
        <w:keepNext/>
        <w:keepLines/>
        <w:widowControl/>
        <w:numPr>
          <w:ilvl w:val="2"/>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A proposta de preços deverá conter:</w:t>
      </w:r>
    </w:p>
    <w:p w14:paraId="669B31BD"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Razão social, n.º do CNPJ, endereço, telefone e endereço eletrônico do licitante;</w:t>
      </w:r>
    </w:p>
    <w:p w14:paraId="6AD00808"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Especificação sucinta do objeto licitado;</w:t>
      </w:r>
    </w:p>
    <w:p w14:paraId="49D11C15" w14:textId="77777777" w:rsidR="00D33C3A" w:rsidRPr="00042C98" w:rsidRDefault="00D33C3A" w:rsidP="00D33C3A">
      <w:pPr>
        <w:keepNext/>
        <w:keepLines/>
        <w:widowControl/>
        <w:numPr>
          <w:ilvl w:val="3"/>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Valor global do serviço;</w:t>
      </w:r>
    </w:p>
    <w:p w14:paraId="762F3129" w14:textId="77777777" w:rsidR="00D33C3A" w:rsidRPr="00042C98" w:rsidRDefault="00D33C3A" w:rsidP="00D33C3A">
      <w:pPr>
        <w:keepNext/>
        <w:keepLines/>
        <w:widowControl/>
        <w:numPr>
          <w:ilvl w:val="4"/>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o valor global deve ser apresentado em moeda corrente nacional, em algarismo e por extenso, com no máximo 02 (duas) casas decimais.</w:t>
      </w:r>
    </w:p>
    <w:p w14:paraId="0B7DE271" w14:textId="77777777" w:rsidR="00D33C3A" w:rsidRPr="00042C98" w:rsidRDefault="00D33C3A" w:rsidP="00D33C3A">
      <w:pPr>
        <w:keepNext/>
        <w:keepLines/>
        <w:widowControl/>
        <w:numPr>
          <w:ilvl w:val="4"/>
          <w:numId w:val="1"/>
        </w:numPr>
        <w:pBdr>
          <w:top w:val="nil"/>
          <w:left w:val="nil"/>
          <w:bottom w:val="nil"/>
          <w:right w:val="nil"/>
          <w:between w:val="nil"/>
        </w:pBdr>
        <w:tabs>
          <w:tab w:val="left" w:pos="284"/>
        </w:tabs>
        <w:suppressAutoHyphens/>
        <w:spacing w:line="360" w:lineRule="auto"/>
        <w:jc w:val="both"/>
        <w:textAlignment w:val="baseline"/>
        <w:rPr>
          <w:rFonts w:eastAsia="Arial"/>
          <w:sz w:val="20"/>
          <w:szCs w:val="20"/>
        </w:rPr>
      </w:pPr>
      <w:r w:rsidRPr="00042C98">
        <w:rPr>
          <w:rFonts w:eastAsia="Arial"/>
          <w:sz w:val="20"/>
          <w:szCs w:val="20"/>
        </w:rPr>
        <w:t>Declaração de validade da proposta de 60 (sessenta) dias, contados da assinatura.</w:t>
      </w:r>
    </w:p>
    <w:p w14:paraId="6DA46418" w14:textId="77777777" w:rsidR="00D33C3A" w:rsidRPr="00042C98" w:rsidRDefault="00D33C3A" w:rsidP="00D33C3A">
      <w:pPr>
        <w:rPr>
          <w:sz w:val="20"/>
          <w:szCs w:val="20"/>
        </w:rPr>
      </w:pPr>
    </w:p>
    <w:p w14:paraId="56A0D7A4"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MODELO DE EXECUÇÃO DO OBJETO</w:t>
      </w:r>
    </w:p>
    <w:p w14:paraId="737D9035"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sz w:val="20"/>
          <w:szCs w:val="20"/>
        </w:rPr>
      </w:pPr>
      <w:r w:rsidRPr="00042C98">
        <w:rPr>
          <w:rFonts w:eastAsia="Calibri"/>
          <w:sz w:val="20"/>
          <w:szCs w:val="20"/>
        </w:rPr>
        <w:t>Regime de execução: empreitada por preço global.</w:t>
      </w:r>
    </w:p>
    <w:p w14:paraId="33123518"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CRITÉRIOS DE PAGAMENTO</w:t>
      </w:r>
    </w:p>
    <w:p w14:paraId="5C8BACAA"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O pagamento será efetuado pela DGFI-PU – Diretoria de Gestão e Finanças</w:t>
      </w:r>
    </w:p>
    <w:p w14:paraId="756BD284"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Considerando que o §7º do artigo 25 da Lei n. 14.133/21 estabelece a obrigatoriedade de previsão de índice de reajustamento de preço apenas para os contratos e que, nesta contratação a entrega é imediata, o mesmo será substituído por instrumento hábil: carta-contrato, nota de empenho de despesa ou autorização de compra. Desta forma não será incluída cláusula de reajuste no Termo de Referência.</w:t>
      </w:r>
    </w:p>
    <w:p w14:paraId="44780D36" w14:textId="77777777" w:rsidR="00D33C3A" w:rsidRPr="00042C98" w:rsidRDefault="00D33C3A" w:rsidP="00D33C3A">
      <w:pPr>
        <w:rPr>
          <w:sz w:val="20"/>
          <w:szCs w:val="20"/>
        </w:rPr>
      </w:pPr>
    </w:p>
    <w:p w14:paraId="4C9FA2D0"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Forma de pagamento</w:t>
      </w:r>
    </w:p>
    <w:p w14:paraId="2335E95E" w14:textId="77777777" w:rsidR="00D33C3A" w:rsidRPr="00042C98" w:rsidRDefault="00D33C3A" w:rsidP="00D33C3A">
      <w:pPr>
        <w:rPr>
          <w:sz w:val="20"/>
          <w:szCs w:val="20"/>
        </w:rPr>
      </w:pPr>
    </w:p>
    <w:p w14:paraId="664692E3"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O pagamento será processado com a emissão de ordem de pagamento física ou eletrônica, ou ainda por transferência eletrônica via sistema de internet banking, com assinaturas legais físicas ou eletrônicas dos titulares das contas bancárias.</w:t>
      </w:r>
    </w:p>
    <w:p w14:paraId="494DBB94" w14:textId="77777777" w:rsidR="00D33C3A" w:rsidRPr="00042C98" w:rsidRDefault="00D33C3A" w:rsidP="00D33C3A">
      <w:pPr>
        <w:rPr>
          <w:sz w:val="20"/>
          <w:szCs w:val="20"/>
        </w:rPr>
      </w:pPr>
    </w:p>
    <w:p w14:paraId="462206DD"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rFonts w:eastAsia="Calibri"/>
          <w:b/>
          <w:color w:val="000000"/>
          <w:sz w:val="20"/>
          <w:szCs w:val="20"/>
        </w:rPr>
      </w:pPr>
      <w:r w:rsidRPr="00042C98">
        <w:rPr>
          <w:rFonts w:eastAsia="Calibri"/>
          <w:b/>
          <w:color w:val="000000"/>
          <w:sz w:val="20"/>
          <w:szCs w:val="20"/>
        </w:rPr>
        <w:t>FORMA E CRITÉRIOS DE SELEÇÃO DO PRESTADOR DE SERVIÇO</w:t>
      </w:r>
    </w:p>
    <w:p w14:paraId="226E2DEB" w14:textId="77777777" w:rsidR="00D33C3A" w:rsidRPr="00042C98" w:rsidRDefault="00D33C3A" w:rsidP="00D33C3A">
      <w:pPr>
        <w:rPr>
          <w:b/>
          <w:sz w:val="20"/>
          <w:szCs w:val="20"/>
        </w:rPr>
      </w:pPr>
    </w:p>
    <w:p w14:paraId="77E45DD8"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Forma de seleção do prestador de serviço</w:t>
      </w:r>
    </w:p>
    <w:p w14:paraId="0EF120A2" w14:textId="77777777" w:rsidR="00D33C3A" w:rsidRPr="00042C98" w:rsidRDefault="00D33C3A" w:rsidP="00D33C3A">
      <w:pPr>
        <w:rPr>
          <w:sz w:val="20"/>
          <w:szCs w:val="20"/>
        </w:rPr>
      </w:pPr>
    </w:p>
    <w:p w14:paraId="537D8F63"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line="259" w:lineRule="auto"/>
        <w:jc w:val="both"/>
        <w:rPr>
          <w:sz w:val="20"/>
          <w:szCs w:val="20"/>
        </w:rPr>
      </w:pPr>
      <w:r w:rsidRPr="00042C98">
        <w:rPr>
          <w:rFonts w:eastAsia="Calibri"/>
          <w:sz w:val="20"/>
          <w:szCs w:val="20"/>
        </w:rPr>
        <w:t xml:space="preserve">O fornecedor foi selecionado a partir de </w:t>
      </w:r>
      <w:r w:rsidRPr="00042C98">
        <w:rPr>
          <w:sz w:val="20"/>
          <w:szCs w:val="20"/>
        </w:rPr>
        <w:t>pesquisa de mercado baseou-se inclusive nas condições de aquisição e pagamento semelhante ao setor privado. (art. 40, inciso I, da Lei n. 14.133/21). Cujo o fornecedor selecionado ofertou o menor preço.</w:t>
      </w:r>
    </w:p>
    <w:p w14:paraId="02E658CB"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lastRenderedPageBreak/>
        <w:t>DAS SANÇÕES ADMINISTRATIVAS</w:t>
      </w:r>
    </w:p>
    <w:p w14:paraId="59E921A3" w14:textId="77777777" w:rsidR="00D33C3A" w:rsidRPr="00042C98" w:rsidRDefault="00D33C3A" w:rsidP="00D33C3A">
      <w:pPr>
        <w:rPr>
          <w:sz w:val="20"/>
          <w:szCs w:val="20"/>
        </w:rPr>
      </w:pPr>
    </w:p>
    <w:p w14:paraId="5FBC4567"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O descumprimento total ou parcial das obrigações assumidas caracterizará a inadimplência do Contratado, sujeitando-o às penalidades previstas no Decreto Municipal nº 18.096, de 2022, sem prejuízo de eventual responsabilidade civil e criminal.</w:t>
      </w:r>
    </w:p>
    <w:p w14:paraId="54BF736F" w14:textId="77777777" w:rsidR="00D33C3A" w:rsidRPr="00042C98" w:rsidRDefault="00D33C3A" w:rsidP="00D33C3A">
      <w:pPr>
        <w:rPr>
          <w:sz w:val="20"/>
          <w:szCs w:val="20"/>
        </w:rPr>
      </w:pPr>
    </w:p>
    <w:p w14:paraId="4FBC3C32"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ESTIMATIVAS DO VALOR DA CONTRATAÇÃO</w:t>
      </w:r>
    </w:p>
    <w:p w14:paraId="035E1FF6" w14:textId="77777777" w:rsidR="00D33C3A" w:rsidRPr="00042C98" w:rsidRDefault="00D33C3A" w:rsidP="00D33C3A">
      <w:pPr>
        <w:rPr>
          <w:sz w:val="20"/>
          <w:szCs w:val="20"/>
        </w:rPr>
      </w:pPr>
    </w:p>
    <w:p w14:paraId="4CFCD305" w14:textId="5F03C840" w:rsidR="00D33C3A" w:rsidRPr="0089093B"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 xml:space="preserve">O custo estimado total da contratação é de </w:t>
      </w:r>
      <w:r w:rsidRPr="0089093B">
        <w:rPr>
          <w:rFonts w:eastAsia="Calibri"/>
          <w:color w:val="000000"/>
          <w:sz w:val="20"/>
          <w:szCs w:val="20"/>
        </w:rPr>
        <w:t>R$</w:t>
      </w:r>
      <w:r w:rsidR="0089093B" w:rsidRPr="0089093B">
        <w:rPr>
          <w:bCs/>
          <w:sz w:val="20"/>
          <w:szCs w:val="20"/>
        </w:rPr>
        <w:t>3.398,00</w:t>
      </w:r>
      <w:r w:rsidR="0089093B" w:rsidRPr="0089093B">
        <w:rPr>
          <w:sz w:val="20"/>
          <w:szCs w:val="20"/>
        </w:rPr>
        <w:t xml:space="preserve"> (três mil, trezentos e noventa e oito)</w:t>
      </w:r>
      <w:r w:rsidRPr="0089093B">
        <w:rPr>
          <w:rFonts w:eastAsia="Calibri"/>
          <w:color w:val="000000"/>
          <w:sz w:val="20"/>
          <w:szCs w:val="20"/>
        </w:rPr>
        <w:t>, conforme valores</w:t>
      </w:r>
      <w:r w:rsidR="009A096F" w:rsidRPr="0089093B">
        <w:rPr>
          <w:rFonts w:eastAsia="Calibri"/>
          <w:color w:val="000000"/>
          <w:sz w:val="20"/>
          <w:szCs w:val="20"/>
        </w:rPr>
        <w:t xml:space="preserve"> de</w:t>
      </w:r>
      <w:r w:rsidRPr="0089093B">
        <w:rPr>
          <w:rFonts w:eastAsia="Calibri"/>
          <w:color w:val="000000"/>
          <w:sz w:val="20"/>
          <w:szCs w:val="20"/>
        </w:rPr>
        <w:t xml:space="preserve"> </w:t>
      </w:r>
      <w:r w:rsidR="009A096F" w:rsidRPr="0089093B">
        <w:rPr>
          <w:rFonts w:eastAsia="Calibri"/>
          <w:color w:val="000000"/>
          <w:sz w:val="20"/>
          <w:szCs w:val="20"/>
        </w:rPr>
        <w:t>pesquisa de mercado.</w:t>
      </w:r>
    </w:p>
    <w:p w14:paraId="771C8FDA" w14:textId="7FD3084D" w:rsidR="00F21054" w:rsidRPr="00042C98" w:rsidRDefault="00F21054"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sz w:val="20"/>
          <w:szCs w:val="20"/>
        </w:rPr>
        <w:t>A pesquisa de mercado baseou-se inclusive nas condições de aquisição e pagamento semelhante ao setor privado. (art. 40, inciso I, da Lei n. 14.133/21)</w:t>
      </w:r>
    </w:p>
    <w:p w14:paraId="1A383891" w14:textId="77777777" w:rsidR="00D33C3A" w:rsidRPr="00042C98" w:rsidRDefault="00D33C3A" w:rsidP="00D33C3A">
      <w:pPr>
        <w:rPr>
          <w:sz w:val="20"/>
          <w:szCs w:val="20"/>
        </w:rPr>
      </w:pPr>
    </w:p>
    <w:p w14:paraId="79DECCAB"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ADEQUAÇÃO ORÇAMENTÁRIA</w:t>
      </w:r>
    </w:p>
    <w:p w14:paraId="735EAC96" w14:textId="77777777" w:rsidR="00D33C3A" w:rsidRPr="00042C98" w:rsidRDefault="00D33C3A" w:rsidP="00D33C3A">
      <w:pPr>
        <w:rPr>
          <w:sz w:val="20"/>
          <w:szCs w:val="20"/>
        </w:rPr>
      </w:pPr>
    </w:p>
    <w:p w14:paraId="120FE910" w14:textId="13A55104"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 xml:space="preserve">As despesas decorrentes do presente procedimento serão acobertadas pela seguinte dotação orçamentária: </w:t>
      </w:r>
      <w:bookmarkStart w:id="7" w:name="_Hlk209776528"/>
      <w:r w:rsidRPr="00042C98">
        <w:rPr>
          <w:rFonts w:eastAsia="Calibri"/>
          <w:color w:val="000000"/>
          <w:sz w:val="20"/>
          <w:szCs w:val="20"/>
        </w:rPr>
        <w:t>3300.</w:t>
      </w:r>
      <w:r w:rsidR="001C7248" w:rsidRPr="00042C98">
        <w:rPr>
          <w:rFonts w:eastAsia="Calibri"/>
          <w:color w:val="000000"/>
          <w:sz w:val="20"/>
          <w:szCs w:val="20"/>
        </w:rPr>
        <w:t>5600.</w:t>
      </w:r>
      <w:r w:rsidRPr="00042C98">
        <w:rPr>
          <w:rFonts w:eastAsia="Calibri"/>
          <w:color w:val="000000"/>
          <w:sz w:val="20"/>
          <w:szCs w:val="20"/>
        </w:rPr>
        <w:t>15.452.059. 28</w:t>
      </w:r>
      <w:r w:rsidR="001C7248" w:rsidRPr="00042C98">
        <w:rPr>
          <w:rFonts w:eastAsia="Calibri"/>
          <w:color w:val="000000"/>
          <w:sz w:val="20"/>
          <w:szCs w:val="20"/>
        </w:rPr>
        <w:t>90</w:t>
      </w:r>
      <w:r w:rsidRPr="00042C98">
        <w:rPr>
          <w:rFonts w:eastAsia="Calibri"/>
          <w:color w:val="000000"/>
          <w:sz w:val="20"/>
          <w:szCs w:val="20"/>
        </w:rPr>
        <w:t>.0001.</w:t>
      </w:r>
      <w:r w:rsidR="00F82631" w:rsidRPr="00F82631">
        <w:t xml:space="preserve"> </w:t>
      </w:r>
      <w:r w:rsidR="00F82631" w:rsidRPr="00F82631">
        <w:rPr>
          <w:sz w:val="20"/>
          <w:szCs w:val="20"/>
        </w:rPr>
        <w:t>339039</w:t>
      </w:r>
      <w:r w:rsidRPr="00042C98">
        <w:rPr>
          <w:rFonts w:eastAsia="Calibri"/>
          <w:color w:val="000000"/>
          <w:sz w:val="20"/>
          <w:szCs w:val="20"/>
        </w:rPr>
        <w:t>.</w:t>
      </w:r>
      <w:r w:rsidR="00F82631">
        <w:rPr>
          <w:rFonts w:eastAsia="Calibri"/>
          <w:color w:val="000000"/>
          <w:sz w:val="20"/>
          <w:szCs w:val="20"/>
        </w:rPr>
        <w:t>48</w:t>
      </w:r>
      <w:r w:rsidRPr="00042C98">
        <w:rPr>
          <w:rFonts w:eastAsia="Calibri"/>
          <w:color w:val="000000"/>
          <w:sz w:val="20"/>
          <w:szCs w:val="20"/>
        </w:rPr>
        <w:t xml:space="preserve">.1.500.000.0000 </w:t>
      </w:r>
      <w:bookmarkEnd w:id="7"/>
    </w:p>
    <w:p w14:paraId="076CB3F4" w14:textId="77777777" w:rsidR="00D33C3A" w:rsidRPr="00042C98" w:rsidRDefault="00D33C3A" w:rsidP="00D33C3A">
      <w:pPr>
        <w:widowControl/>
        <w:pBdr>
          <w:top w:val="none" w:sz="0" w:space="0" w:color="000000"/>
          <w:left w:val="none" w:sz="0" w:space="0" w:color="000000"/>
          <w:bottom w:val="none" w:sz="0" w:space="0" w:color="000000"/>
          <w:right w:val="none" w:sz="0" w:space="0" w:color="000000"/>
          <w:between w:val="none" w:sz="0" w:space="0" w:color="000000"/>
        </w:pBdr>
        <w:spacing w:after="160" w:line="259" w:lineRule="auto"/>
        <w:ind w:left="792"/>
        <w:rPr>
          <w:sz w:val="20"/>
          <w:szCs w:val="20"/>
        </w:rPr>
      </w:pPr>
      <w:bookmarkStart w:id="8" w:name="_GoBack"/>
      <w:bookmarkEnd w:id="8"/>
    </w:p>
    <w:p w14:paraId="70404066" w14:textId="77777777" w:rsidR="00D33C3A" w:rsidRPr="00042C98" w:rsidRDefault="00D33C3A" w:rsidP="00D33C3A">
      <w:pPr>
        <w:rPr>
          <w:sz w:val="20"/>
          <w:szCs w:val="20"/>
        </w:rPr>
      </w:pPr>
    </w:p>
    <w:p w14:paraId="6BF38210" w14:textId="77777777" w:rsidR="00D33C3A" w:rsidRPr="00042C98" w:rsidRDefault="00D33C3A" w:rsidP="00D33C3A">
      <w:pPr>
        <w:widowControl/>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b/>
          <w:color w:val="000000"/>
          <w:sz w:val="20"/>
          <w:szCs w:val="20"/>
        </w:rPr>
        <w:t>UNIDADE RESPONSÁVEL PELO ACOMPANHAMENTO/FISCALIZAÇÃO:</w:t>
      </w:r>
    </w:p>
    <w:p w14:paraId="77D18723" w14:textId="77777777" w:rsidR="00D33C3A" w:rsidRPr="00042C98" w:rsidRDefault="00D33C3A" w:rsidP="00D33C3A">
      <w:pPr>
        <w:rPr>
          <w:sz w:val="20"/>
          <w:szCs w:val="20"/>
        </w:rPr>
      </w:pPr>
    </w:p>
    <w:p w14:paraId="3C3A3623" w14:textId="77777777" w:rsidR="00D33C3A" w:rsidRPr="00042C98" w:rsidRDefault="00D33C3A" w:rsidP="00D33C3A">
      <w:pPr>
        <w:widowControl/>
        <w:numPr>
          <w:ilvl w:val="1"/>
          <w:numId w:val="1"/>
        </w:numPr>
        <w:pBdr>
          <w:top w:val="none" w:sz="0" w:space="0" w:color="000000"/>
          <w:left w:val="none" w:sz="0" w:space="0" w:color="000000"/>
          <w:bottom w:val="none" w:sz="0" w:space="0" w:color="000000"/>
          <w:right w:val="none" w:sz="0" w:space="0" w:color="000000"/>
          <w:between w:val="none" w:sz="0" w:space="0" w:color="000000"/>
        </w:pBdr>
        <w:spacing w:after="160" w:line="259" w:lineRule="auto"/>
        <w:rPr>
          <w:sz w:val="20"/>
          <w:szCs w:val="20"/>
        </w:rPr>
      </w:pPr>
      <w:r w:rsidRPr="00042C98">
        <w:rPr>
          <w:rFonts w:eastAsia="Calibri"/>
          <w:color w:val="000000"/>
          <w:sz w:val="20"/>
          <w:szCs w:val="20"/>
        </w:rPr>
        <w:t>DGFI-PU – Diretoria de Gestão e Finanças</w:t>
      </w:r>
    </w:p>
    <w:p w14:paraId="203BB043" w14:textId="77777777" w:rsidR="00D33C3A" w:rsidRPr="00042C98" w:rsidRDefault="00D33C3A" w:rsidP="00D33C3A">
      <w:pPr>
        <w:rPr>
          <w:sz w:val="20"/>
          <w:szCs w:val="20"/>
        </w:rPr>
      </w:pPr>
    </w:p>
    <w:p w14:paraId="0554F98E" w14:textId="77777777" w:rsidR="00D33C3A" w:rsidRPr="00042C98" w:rsidRDefault="00D33C3A" w:rsidP="00D33C3A">
      <w:pPr>
        <w:rPr>
          <w:sz w:val="20"/>
          <w:szCs w:val="20"/>
        </w:rPr>
      </w:pPr>
    </w:p>
    <w:p w14:paraId="27F66B58" w14:textId="77777777" w:rsidR="00D33C3A" w:rsidRPr="00042C98" w:rsidRDefault="00D33C3A" w:rsidP="00D33C3A">
      <w:pPr>
        <w:rPr>
          <w:sz w:val="20"/>
          <w:szCs w:val="20"/>
        </w:rPr>
      </w:pPr>
    </w:p>
    <w:p w14:paraId="3380CFA2" w14:textId="19D43F9D" w:rsidR="00D33C3A" w:rsidRPr="00042C98" w:rsidRDefault="00D33C3A" w:rsidP="00D33C3A">
      <w:pPr>
        <w:rPr>
          <w:sz w:val="20"/>
          <w:szCs w:val="20"/>
        </w:rPr>
      </w:pPr>
      <w:r w:rsidRPr="00042C98">
        <w:rPr>
          <w:sz w:val="20"/>
          <w:szCs w:val="20"/>
        </w:rPr>
        <w:t xml:space="preserve">Belo horizonte, </w:t>
      </w:r>
      <w:r w:rsidR="00865F0E">
        <w:rPr>
          <w:sz w:val="20"/>
          <w:szCs w:val="20"/>
        </w:rPr>
        <w:t>01</w:t>
      </w:r>
      <w:r w:rsidR="009A096F" w:rsidRPr="00042C98">
        <w:rPr>
          <w:sz w:val="20"/>
          <w:szCs w:val="20"/>
        </w:rPr>
        <w:t xml:space="preserve"> de </w:t>
      </w:r>
      <w:r w:rsidR="00865F0E">
        <w:rPr>
          <w:sz w:val="20"/>
          <w:szCs w:val="20"/>
        </w:rPr>
        <w:t>outubro</w:t>
      </w:r>
      <w:r w:rsidR="009A096F" w:rsidRPr="00042C98">
        <w:rPr>
          <w:sz w:val="20"/>
          <w:szCs w:val="20"/>
        </w:rPr>
        <w:t xml:space="preserve"> de 2025</w:t>
      </w:r>
    </w:p>
    <w:p w14:paraId="6FAA4A52" w14:textId="1C98DBBE" w:rsidR="00D33C3A" w:rsidRPr="00042C98" w:rsidRDefault="00D33C3A" w:rsidP="00D33C3A">
      <w:pPr>
        <w:rPr>
          <w:sz w:val="20"/>
          <w:szCs w:val="20"/>
        </w:rPr>
      </w:pPr>
    </w:p>
    <w:p w14:paraId="2F32BECC" w14:textId="48CE697B" w:rsidR="007815F9" w:rsidRPr="00042C98" w:rsidRDefault="007815F9" w:rsidP="00D33C3A">
      <w:pPr>
        <w:rPr>
          <w:sz w:val="20"/>
          <w:szCs w:val="20"/>
        </w:rPr>
      </w:pPr>
    </w:p>
    <w:p w14:paraId="31B17790" w14:textId="77777777" w:rsidR="007815F9" w:rsidRPr="00042C98" w:rsidRDefault="007815F9" w:rsidP="00D33C3A">
      <w:pPr>
        <w:rPr>
          <w:sz w:val="20"/>
          <w:szCs w:val="20"/>
        </w:rPr>
      </w:pPr>
    </w:p>
    <w:p w14:paraId="72F22F23" w14:textId="77777777" w:rsidR="00D33C3A" w:rsidRPr="00042C98" w:rsidRDefault="00D33C3A" w:rsidP="00D33C3A">
      <w:pPr>
        <w:rPr>
          <w:sz w:val="20"/>
          <w:szCs w:val="20"/>
        </w:rPr>
      </w:pPr>
    </w:p>
    <w:p w14:paraId="2E51F95E" w14:textId="77777777" w:rsidR="007815F9" w:rsidRPr="00042C98" w:rsidRDefault="007815F9" w:rsidP="007815F9">
      <w:pPr>
        <w:jc w:val="center"/>
        <w:rPr>
          <w:rFonts w:eastAsia="Arial"/>
          <w:sz w:val="20"/>
          <w:szCs w:val="20"/>
        </w:rPr>
      </w:pPr>
      <w:r w:rsidRPr="00042C98">
        <w:rPr>
          <w:rFonts w:eastAsia="Arial"/>
          <w:sz w:val="20"/>
          <w:szCs w:val="20"/>
        </w:rPr>
        <w:t>Leonardo Amaral Castro</w:t>
      </w:r>
    </w:p>
    <w:p w14:paraId="0C19EE54" w14:textId="0044AE07" w:rsidR="00166DBA" w:rsidRPr="00042C98" w:rsidRDefault="007815F9" w:rsidP="007815F9">
      <w:pPr>
        <w:jc w:val="center"/>
        <w:rPr>
          <w:rFonts w:eastAsia="Arial"/>
          <w:sz w:val="20"/>
          <w:szCs w:val="20"/>
        </w:rPr>
      </w:pPr>
      <w:r w:rsidRPr="00042C98">
        <w:rPr>
          <w:rFonts w:eastAsia="Arial"/>
          <w:sz w:val="20"/>
          <w:szCs w:val="20"/>
        </w:rPr>
        <w:t>Secretário Municipal de Política Urbana</w:t>
      </w:r>
    </w:p>
    <w:p w14:paraId="65D4E66F" w14:textId="33990A64" w:rsidR="007815F9" w:rsidRPr="00042C98" w:rsidRDefault="007815F9" w:rsidP="007815F9">
      <w:pPr>
        <w:jc w:val="center"/>
        <w:rPr>
          <w:rFonts w:eastAsia="Arial"/>
          <w:sz w:val="20"/>
          <w:szCs w:val="20"/>
        </w:rPr>
      </w:pPr>
    </w:p>
    <w:p w14:paraId="11306CEE" w14:textId="09CFAEB2" w:rsidR="007815F9" w:rsidRPr="00042C98" w:rsidRDefault="007815F9" w:rsidP="007815F9">
      <w:pPr>
        <w:jc w:val="center"/>
        <w:rPr>
          <w:rFonts w:eastAsia="Arial"/>
          <w:sz w:val="20"/>
          <w:szCs w:val="20"/>
        </w:rPr>
      </w:pPr>
    </w:p>
    <w:p w14:paraId="7F6D9A08" w14:textId="0EBC5F44" w:rsidR="007815F9" w:rsidRPr="00042C98" w:rsidRDefault="007815F9" w:rsidP="007815F9">
      <w:pPr>
        <w:jc w:val="center"/>
        <w:rPr>
          <w:rFonts w:eastAsia="Arial"/>
          <w:sz w:val="20"/>
          <w:szCs w:val="20"/>
        </w:rPr>
      </w:pPr>
    </w:p>
    <w:p w14:paraId="6B9F5A5D" w14:textId="5B5AA2FF" w:rsidR="007815F9" w:rsidRPr="00042C98" w:rsidRDefault="007815F9" w:rsidP="007815F9">
      <w:pPr>
        <w:jc w:val="center"/>
        <w:rPr>
          <w:rFonts w:eastAsia="Arial"/>
          <w:sz w:val="20"/>
          <w:szCs w:val="20"/>
        </w:rPr>
      </w:pPr>
    </w:p>
    <w:p w14:paraId="3F2C06F3" w14:textId="77777777" w:rsidR="007815F9" w:rsidRPr="00042C98" w:rsidRDefault="007815F9" w:rsidP="007815F9">
      <w:pPr>
        <w:jc w:val="center"/>
        <w:rPr>
          <w:rFonts w:eastAsia="Arial"/>
          <w:sz w:val="20"/>
          <w:szCs w:val="20"/>
        </w:rPr>
      </w:pPr>
    </w:p>
    <w:p w14:paraId="35E2398E" w14:textId="13952440" w:rsidR="007815F9" w:rsidRPr="00042C98" w:rsidRDefault="007815F9" w:rsidP="007815F9">
      <w:pPr>
        <w:jc w:val="center"/>
        <w:rPr>
          <w:rFonts w:eastAsia="Arial"/>
          <w:sz w:val="20"/>
          <w:szCs w:val="20"/>
        </w:rPr>
      </w:pPr>
    </w:p>
    <w:p w14:paraId="5B9C69D0" w14:textId="1A94441B" w:rsidR="007815F9" w:rsidRPr="00042C98" w:rsidRDefault="007815F9" w:rsidP="007815F9">
      <w:pPr>
        <w:jc w:val="center"/>
        <w:rPr>
          <w:rFonts w:eastAsia="Arial"/>
          <w:sz w:val="20"/>
          <w:szCs w:val="20"/>
        </w:rPr>
      </w:pPr>
    </w:p>
    <w:p w14:paraId="0491AF75" w14:textId="77777777" w:rsidR="007815F9" w:rsidRPr="00042C98" w:rsidRDefault="007815F9" w:rsidP="007815F9">
      <w:pPr>
        <w:jc w:val="center"/>
        <w:rPr>
          <w:rFonts w:eastAsia="Arial"/>
          <w:sz w:val="20"/>
          <w:szCs w:val="20"/>
        </w:rPr>
        <w:sectPr w:rsidR="007815F9" w:rsidRPr="00042C98">
          <w:headerReference w:type="default" r:id="rId14"/>
          <w:footerReference w:type="default" r:id="rId15"/>
          <w:headerReference w:type="first" r:id="rId16"/>
          <w:footerReference w:type="first" r:id="rId17"/>
          <w:pgSz w:w="11906" w:h="16838"/>
          <w:pgMar w:top="1440" w:right="1133" w:bottom="1440" w:left="1133" w:header="396" w:footer="396" w:gutter="0"/>
          <w:pgNumType w:start="1"/>
          <w:cols w:space="720"/>
          <w:titlePg/>
        </w:sectPr>
      </w:pPr>
    </w:p>
    <w:p w14:paraId="4FB3E57F" w14:textId="37D514F4" w:rsidR="007815F9" w:rsidRPr="00042C98" w:rsidRDefault="007815F9" w:rsidP="007815F9">
      <w:pPr>
        <w:jc w:val="center"/>
        <w:rPr>
          <w:rFonts w:eastAsia="Arial"/>
          <w:sz w:val="20"/>
          <w:szCs w:val="20"/>
        </w:rPr>
      </w:pPr>
      <w:r w:rsidRPr="00042C98">
        <w:rPr>
          <w:rFonts w:eastAsia="Arial"/>
          <w:sz w:val="20"/>
          <w:szCs w:val="20"/>
        </w:rPr>
        <w:t>Ricardo Coutinho Camilo – 35227-X</w:t>
      </w:r>
    </w:p>
    <w:p w14:paraId="450576BB" w14:textId="2F0F970C" w:rsidR="007815F9" w:rsidRPr="00042C98" w:rsidRDefault="007815F9" w:rsidP="007815F9">
      <w:pPr>
        <w:jc w:val="center"/>
        <w:rPr>
          <w:rFonts w:eastAsia="Arial"/>
          <w:sz w:val="20"/>
          <w:szCs w:val="20"/>
        </w:rPr>
      </w:pPr>
      <w:r w:rsidRPr="00042C98">
        <w:rPr>
          <w:rFonts w:eastAsia="Arial"/>
          <w:sz w:val="20"/>
          <w:szCs w:val="20"/>
        </w:rPr>
        <w:t>Diretor de Gestão e Finanças – DGFI-PU</w:t>
      </w:r>
    </w:p>
    <w:p w14:paraId="60C3C947" w14:textId="6404D4AC" w:rsidR="007815F9" w:rsidRPr="00042C98" w:rsidRDefault="007815F9" w:rsidP="007815F9">
      <w:pPr>
        <w:jc w:val="center"/>
        <w:rPr>
          <w:rFonts w:eastAsia="Arial"/>
          <w:sz w:val="20"/>
          <w:szCs w:val="20"/>
        </w:rPr>
      </w:pPr>
    </w:p>
    <w:p w14:paraId="65C5C443" w14:textId="6FEAB099" w:rsidR="007815F9" w:rsidRPr="00042C98" w:rsidRDefault="007815F9" w:rsidP="007815F9">
      <w:pPr>
        <w:jc w:val="center"/>
        <w:rPr>
          <w:rFonts w:eastAsia="Arial"/>
          <w:sz w:val="20"/>
          <w:szCs w:val="20"/>
        </w:rPr>
      </w:pPr>
    </w:p>
    <w:p w14:paraId="1985DA7D" w14:textId="77777777" w:rsidR="007422BD" w:rsidRPr="00042C98" w:rsidRDefault="007422BD" w:rsidP="007815F9">
      <w:pPr>
        <w:jc w:val="center"/>
        <w:rPr>
          <w:rFonts w:eastAsia="Arial"/>
          <w:sz w:val="20"/>
          <w:szCs w:val="20"/>
        </w:rPr>
      </w:pPr>
    </w:p>
    <w:p w14:paraId="035BF328" w14:textId="798BF0E9" w:rsidR="007815F9" w:rsidRPr="00042C98" w:rsidRDefault="007815F9" w:rsidP="007815F9">
      <w:pPr>
        <w:jc w:val="center"/>
        <w:rPr>
          <w:rFonts w:eastAsia="Arial"/>
          <w:sz w:val="20"/>
          <w:szCs w:val="20"/>
        </w:rPr>
      </w:pPr>
    </w:p>
    <w:p w14:paraId="08A6215F" w14:textId="685ADD66" w:rsidR="007815F9" w:rsidRPr="00042C98" w:rsidRDefault="007815F9" w:rsidP="007815F9">
      <w:pPr>
        <w:jc w:val="center"/>
        <w:rPr>
          <w:rFonts w:eastAsia="Arial"/>
          <w:sz w:val="20"/>
          <w:szCs w:val="20"/>
        </w:rPr>
      </w:pPr>
    </w:p>
    <w:p w14:paraId="00EC927C" w14:textId="77777777" w:rsidR="007815F9" w:rsidRPr="00042C98" w:rsidRDefault="007815F9" w:rsidP="007815F9">
      <w:pPr>
        <w:jc w:val="center"/>
        <w:rPr>
          <w:rFonts w:eastAsia="Arial"/>
          <w:sz w:val="20"/>
          <w:szCs w:val="20"/>
        </w:rPr>
      </w:pPr>
    </w:p>
    <w:p w14:paraId="6D2DDD71" w14:textId="77777777" w:rsidR="007815F9" w:rsidRPr="00042C98" w:rsidRDefault="007815F9" w:rsidP="007815F9">
      <w:pPr>
        <w:jc w:val="center"/>
        <w:rPr>
          <w:rFonts w:eastAsia="Arial"/>
          <w:sz w:val="20"/>
          <w:szCs w:val="20"/>
        </w:rPr>
      </w:pPr>
    </w:p>
    <w:p w14:paraId="69E1859A" w14:textId="0BCF5498" w:rsidR="007815F9" w:rsidRPr="00042C98" w:rsidRDefault="007815F9" w:rsidP="007815F9">
      <w:pPr>
        <w:jc w:val="center"/>
        <w:rPr>
          <w:rFonts w:eastAsia="Arial"/>
          <w:sz w:val="20"/>
          <w:szCs w:val="20"/>
        </w:rPr>
      </w:pPr>
    </w:p>
    <w:p w14:paraId="2BECF10F" w14:textId="3BE89BE0" w:rsidR="007815F9" w:rsidRPr="00042C98" w:rsidRDefault="007815F9" w:rsidP="007815F9">
      <w:pPr>
        <w:jc w:val="center"/>
        <w:rPr>
          <w:rFonts w:eastAsia="Arial"/>
          <w:sz w:val="20"/>
          <w:szCs w:val="20"/>
        </w:rPr>
      </w:pPr>
    </w:p>
    <w:p w14:paraId="03F8C9C7" w14:textId="5D26EFA9" w:rsidR="007815F9" w:rsidRPr="00042C98" w:rsidRDefault="007815F9" w:rsidP="007815F9">
      <w:pPr>
        <w:jc w:val="center"/>
        <w:rPr>
          <w:rFonts w:eastAsia="Arial"/>
          <w:sz w:val="20"/>
          <w:szCs w:val="20"/>
        </w:rPr>
      </w:pPr>
      <w:r w:rsidRPr="00042C98">
        <w:rPr>
          <w:rFonts w:eastAsia="Arial"/>
          <w:sz w:val="20"/>
          <w:szCs w:val="20"/>
        </w:rPr>
        <w:t xml:space="preserve">Leilane </w:t>
      </w:r>
      <w:r w:rsidR="004C27A3" w:rsidRPr="00042C98">
        <w:rPr>
          <w:rFonts w:eastAsia="Arial"/>
          <w:sz w:val="20"/>
          <w:szCs w:val="20"/>
        </w:rPr>
        <w:t>Cândida</w:t>
      </w:r>
      <w:r w:rsidRPr="00042C98">
        <w:rPr>
          <w:rFonts w:eastAsia="Arial"/>
          <w:sz w:val="20"/>
          <w:szCs w:val="20"/>
        </w:rPr>
        <w:t xml:space="preserve"> Ramos - 88.383-6</w:t>
      </w:r>
    </w:p>
    <w:p w14:paraId="65B0A887" w14:textId="29D53B93" w:rsidR="007815F9" w:rsidRPr="00042C98" w:rsidRDefault="007815F9" w:rsidP="007815F9">
      <w:pPr>
        <w:jc w:val="center"/>
        <w:rPr>
          <w:rFonts w:eastAsia="Arial"/>
          <w:sz w:val="20"/>
          <w:szCs w:val="20"/>
        </w:rPr>
      </w:pPr>
      <w:r w:rsidRPr="00042C98">
        <w:rPr>
          <w:rFonts w:eastAsia="Arial"/>
          <w:sz w:val="20"/>
          <w:szCs w:val="20"/>
        </w:rPr>
        <w:t>Gerente de Finanças - GDFIN-PU</w:t>
      </w:r>
    </w:p>
    <w:p w14:paraId="745B487C" w14:textId="6CF8A994" w:rsidR="007422BD" w:rsidRPr="00042C98" w:rsidRDefault="007422BD" w:rsidP="007815F9">
      <w:pPr>
        <w:jc w:val="center"/>
        <w:rPr>
          <w:rFonts w:eastAsia="Arial"/>
          <w:sz w:val="20"/>
          <w:szCs w:val="20"/>
        </w:rPr>
      </w:pPr>
    </w:p>
    <w:p w14:paraId="1A8E83FC" w14:textId="686A1FB4" w:rsidR="007422BD" w:rsidRPr="00042C98" w:rsidRDefault="007422BD" w:rsidP="007815F9">
      <w:pPr>
        <w:jc w:val="center"/>
        <w:rPr>
          <w:rFonts w:eastAsia="Arial"/>
          <w:sz w:val="20"/>
          <w:szCs w:val="20"/>
        </w:rPr>
      </w:pPr>
    </w:p>
    <w:p w14:paraId="4A4F2F55" w14:textId="5AD79BC8" w:rsidR="007422BD" w:rsidRPr="00042C98" w:rsidRDefault="007422BD" w:rsidP="007815F9">
      <w:pPr>
        <w:jc w:val="center"/>
        <w:rPr>
          <w:rFonts w:eastAsia="Arial"/>
          <w:sz w:val="20"/>
          <w:szCs w:val="20"/>
        </w:rPr>
      </w:pPr>
    </w:p>
    <w:p w14:paraId="1C802193" w14:textId="7A94B6AD" w:rsidR="007422BD" w:rsidRPr="00042C98" w:rsidRDefault="007422BD" w:rsidP="007815F9">
      <w:pPr>
        <w:jc w:val="center"/>
        <w:rPr>
          <w:rFonts w:eastAsia="Arial"/>
          <w:sz w:val="20"/>
          <w:szCs w:val="20"/>
        </w:rPr>
      </w:pPr>
    </w:p>
    <w:p w14:paraId="3631067B" w14:textId="11D26B70" w:rsidR="007422BD" w:rsidRPr="00042C98" w:rsidRDefault="007422BD" w:rsidP="007815F9">
      <w:pPr>
        <w:jc w:val="center"/>
        <w:rPr>
          <w:rFonts w:eastAsia="Arial"/>
          <w:sz w:val="20"/>
          <w:szCs w:val="20"/>
        </w:rPr>
      </w:pPr>
    </w:p>
    <w:p w14:paraId="5070577E" w14:textId="00D95245" w:rsidR="007422BD" w:rsidRPr="00042C98" w:rsidRDefault="007422BD" w:rsidP="007815F9">
      <w:pPr>
        <w:jc w:val="center"/>
        <w:rPr>
          <w:rFonts w:eastAsia="Arial"/>
          <w:sz w:val="20"/>
          <w:szCs w:val="20"/>
        </w:rPr>
      </w:pPr>
    </w:p>
    <w:p w14:paraId="2C35DE36" w14:textId="299A797D" w:rsidR="007422BD" w:rsidRPr="00042C98" w:rsidRDefault="007422BD" w:rsidP="007815F9">
      <w:pPr>
        <w:jc w:val="center"/>
        <w:rPr>
          <w:rFonts w:eastAsia="Arial"/>
          <w:sz w:val="20"/>
          <w:szCs w:val="20"/>
        </w:rPr>
      </w:pPr>
    </w:p>
    <w:p w14:paraId="26337469" w14:textId="1F05A09F" w:rsidR="007422BD" w:rsidRPr="00042C98" w:rsidRDefault="007422BD" w:rsidP="007815F9">
      <w:pPr>
        <w:jc w:val="center"/>
        <w:rPr>
          <w:rFonts w:eastAsia="Arial"/>
          <w:sz w:val="20"/>
          <w:szCs w:val="20"/>
        </w:rPr>
      </w:pPr>
    </w:p>
    <w:p w14:paraId="35EFC5FF" w14:textId="432D898F" w:rsidR="007422BD" w:rsidRPr="00042C98" w:rsidRDefault="007422BD">
      <w:pPr>
        <w:rPr>
          <w:rFonts w:eastAsia="Arial"/>
          <w:sz w:val="20"/>
          <w:szCs w:val="20"/>
        </w:rPr>
      </w:pPr>
      <w:r w:rsidRPr="00042C98">
        <w:rPr>
          <w:rFonts w:eastAsia="Arial"/>
          <w:sz w:val="20"/>
          <w:szCs w:val="20"/>
        </w:rPr>
        <w:br w:type="page"/>
      </w:r>
    </w:p>
    <w:p w14:paraId="63CDE485" w14:textId="77777777" w:rsidR="007422BD" w:rsidRPr="00042C98" w:rsidRDefault="007422BD" w:rsidP="007815F9">
      <w:pPr>
        <w:jc w:val="center"/>
        <w:rPr>
          <w:rFonts w:eastAsia="Arial"/>
          <w:sz w:val="20"/>
          <w:szCs w:val="20"/>
        </w:rPr>
        <w:sectPr w:rsidR="007422BD" w:rsidRPr="00042C98" w:rsidSect="007815F9">
          <w:type w:val="continuous"/>
          <w:pgSz w:w="11906" w:h="16838"/>
          <w:pgMar w:top="1440" w:right="1133" w:bottom="1440" w:left="1133" w:header="396" w:footer="396" w:gutter="0"/>
          <w:pgNumType w:start="1"/>
          <w:cols w:num="2" w:space="720"/>
          <w:titlePg/>
        </w:sectPr>
      </w:pPr>
    </w:p>
    <w:p w14:paraId="45030ED0" w14:textId="2F777A6E" w:rsidR="007422BD" w:rsidRPr="00042C98" w:rsidRDefault="007422BD" w:rsidP="007815F9">
      <w:pPr>
        <w:jc w:val="center"/>
        <w:rPr>
          <w:rFonts w:eastAsia="Arial"/>
          <w:b/>
          <w:bCs/>
          <w:sz w:val="20"/>
          <w:szCs w:val="20"/>
        </w:rPr>
      </w:pPr>
      <w:r w:rsidRPr="00042C98">
        <w:rPr>
          <w:rFonts w:eastAsia="Arial"/>
          <w:b/>
          <w:bCs/>
          <w:sz w:val="20"/>
          <w:szCs w:val="20"/>
        </w:rPr>
        <w:lastRenderedPageBreak/>
        <w:t>Anexo I</w:t>
      </w:r>
    </w:p>
    <w:p w14:paraId="6C05831B" w14:textId="3EFEA683" w:rsidR="007422BD" w:rsidRPr="00042C98" w:rsidRDefault="00E602A3" w:rsidP="007815F9">
      <w:pPr>
        <w:jc w:val="center"/>
        <w:rPr>
          <w:rFonts w:eastAsia="Arial"/>
          <w:sz w:val="20"/>
          <w:szCs w:val="20"/>
        </w:rPr>
      </w:pPr>
      <w:r w:rsidRPr="00E602A3">
        <w:rPr>
          <w:rFonts w:eastAsia="Arial"/>
          <w:sz w:val="20"/>
          <w:szCs w:val="20"/>
        </w:rPr>
        <w:drawing>
          <wp:inline distT="0" distB="0" distL="0" distR="0" wp14:anchorId="75627FA7" wp14:editId="15F53D1C">
            <wp:extent cx="6121400" cy="3481070"/>
            <wp:effectExtent l="0" t="0" r="0" b="508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1400" cy="3481070"/>
                    </a:xfrm>
                    <a:prstGeom prst="rect">
                      <a:avLst/>
                    </a:prstGeom>
                  </pic:spPr>
                </pic:pic>
              </a:graphicData>
            </a:graphic>
          </wp:inline>
        </w:drawing>
      </w:r>
      <w:r w:rsidR="00410F65" w:rsidRPr="00410F65">
        <w:rPr>
          <w:rFonts w:eastAsia="Arial"/>
          <w:sz w:val="20"/>
          <w:szCs w:val="20"/>
        </w:rPr>
        <w:drawing>
          <wp:inline distT="0" distB="0" distL="0" distR="0" wp14:anchorId="5E8C6BAD" wp14:editId="0723F4DF">
            <wp:extent cx="6121400" cy="366014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1400" cy="3660140"/>
                    </a:xfrm>
                    <a:prstGeom prst="rect">
                      <a:avLst/>
                    </a:prstGeom>
                  </pic:spPr>
                </pic:pic>
              </a:graphicData>
            </a:graphic>
          </wp:inline>
        </w:drawing>
      </w:r>
      <w:r w:rsidR="00410F65" w:rsidRPr="00410F65">
        <w:rPr>
          <w:rFonts w:eastAsia="Arial"/>
          <w:sz w:val="20"/>
          <w:szCs w:val="20"/>
        </w:rPr>
        <w:lastRenderedPageBreak/>
        <w:drawing>
          <wp:inline distT="0" distB="0" distL="0" distR="0" wp14:anchorId="4A46B5B9" wp14:editId="15B654A6">
            <wp:extent cx="4315427" cy="5477639"/>
            <wp:effectExtent l="0" t="0" r="9525" b="889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15427" cy="5477639"/>
                    </a:xfrm>
                    <a:prstGeom prst="rect">
                      <a:avLst/>
                    </a:prstGeom>
                  </pic:spPr>
                </pic:pic>
              </a:graphicData>
            </a:graphic>
          </wp:inline>
        </w:drawing>
      </w:r>
    </w:p>
    <w:sectPr w:rsidR="007422BD" w:rsidRPr="00042C98" w:rsidSect="007422BD">
      <w:type w:val="continuous"/>
      <w:pgSz w:w="11906" w:h="16838"/>
      <w:pgMar w:top="1440" w:right="1133" w:bottom="1440" w:left="1133" w:header="396" w:footer="39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4945B" w14:textId="77777777" w:rsidR="003A515C" w:rsidRDefault="003A515C">
      <w:r>
        <w:separator/>
      </w:r>
    </w:p>
  </w:endnote>
  <w:endnote w:type="continuationSeparator" w:id="0">
    <w:p w14:paraId="16BB841D" w14:textId="77777777" w:rsidR="003A515C" w:rsidRDefault="003A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re Franklin Medium">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095DC" w14:textId="77777777" w:rsidR="00166DBA" w:rsidRDefault="003A515C">
    <w:pPr>
      <w:widowControl/>
      <w:spacing w:line="360" w:lineRule="auto"/>
      <w:jc w:val="center"/>
      <w:rPr>
        <w:rFonts w:ascii="Arial" w:eastAsia="Arial" w:hAnsi="Arial" w:cs="Arial"/>
        <w:sz w:val="22"/>
        <w:szCs w:val="22"/>
      </w:rPr>
    </w:pPr>
    <w:r>
      <w:pict w14:anchorId="30D2C58D">
        <v:rect id="_x0000_i1026" style="width:0;height:1.5pt" o:hralign="center" o:hrstd="t" o:hr="t" fillcolor="#a0a0a0" stroked="f"/>
      </w:pict>
    </w:r>
  </w:p>
  <w:p w14:paraId="48A1EBB8" w14:textId="77777777" w:rsidR="00166DBA" w:rsidRDefault="00CA0D4A">
    <w:pPr>
      <w:widowControl/>
      <w:jc w:val="center"/>
      <w:rPr>
        <w:rFonts w:ascii="Arial" w:eastAsia="Arial" w:hAnsi="Arial" w:cs="Arial"/>
        <w:sz w:val="22"/>
        <w:szCs w:val="22"/>
      </w:rPr>
    </w:pPr>
    <w:r>
      <w:rPr>
        <w:rFonts w:ascii="Arial" w:eastAsia="Arial" w:hAnsi="Arial" w:cs="Arial"/>
        <w:sz w:val="22"/>
        <w:szCs w:val="22"/>
      </w:rPr>
      <w:t xml:space="preserve">Avenida Álvares Cabral, n° 217 - 6º Andar - Centro - Belo Horizonte/MG - 30170-000 </w:t>
    </w:r>
  </w:p>
  <w:p w14:paraId="06DCC0AC" w14:textId="750FBB31" w:rsidR="00166DBA" w:rsidRDefault="00CA0D4A">
    <w:pPr>
      <w:widowControl/>
      <w:ind w:left="2970"/>
      <w:rPr>
        <w:rFonts w:ascii="Arial" w:eastAsia="Arial" w:hAnsi="Arial" w:cs="Arial"/>
        <w:sz w:val="22"/>
        <w:szCs w:val="22"/>
      </w:rPr>
    </w:pPr>
    <w:r>
      <w:rPr>
        <w:rFonts w:ascii="Arial" w:eastAsia="Arial" w:hAnsi="Arial" w:cs="Arial"/>
        <w:sz w:val="22"/>
        <w:szCs w:val="22"/>
      </w:rPr>
      <w:t xml:space="preserve">Tel.: (31) 3246-0090 | </w:t>
    </w:r>
    <w:r>
      <w:rPr>
        <w:rFonts w:ascii="Arial" w:eastAsia="Arial" w:hAnsi="Arial" w:cs="Arial"/>
        <w:color w:val="222222"/>
        <w:sz w:val="22"/>
        <w:szCs w:val="22"/>
        <w:highlight w:val="white"/>
      </w:rPr>
      <w:t>smpu@pbh.gov.br</w:t>
    </w:r>
    <w:r>
      <w:rPr>
        <w:rFonts w:ascii="Arial" w:eastAsia="Arial" w:hAnsi="Arial" w:cs="Arial"/>
        <w:sz w:val="22"/>
        <w:szCs w:val="22"/>
      </w:rPr>
      <w:t xml:space="preserve">                                    </w:t>
    </w:r>
    <w:r>
      <w:rPr>
        <w:rFonts w:ascii="Arial" w:eastAsia="Arial" w:hAnsi="Arial" w:cs="Arial"/>
        <w:sz w:val="18"/>
        <w:szCs w:val="18"/>
      </w:rPr>
      <w:t xml:space="preserv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2D02B1">
      <w:rPr>
        <w:rFonts w:ascii="Arial" w:eastAsia="Arial" w:hAnsi="Arial" w:cs="Arial"/>
        <w:noProof/>
        <w:sz w:val="18"/>
        <w:szCs w:val="18"/>
      </w:rPr>
      <w:t>2</w:t>
    </w:r>
    <w:r>
      <w:rPr>
        <w:rFonts w:ascii="Arial" w:eastAsia="Arial" w:hAnsi="Arial" w:cs="Arial"/>
        <w:sz w:val="18"/>
        <w:szCs w:val="18"/>
      </w:rPr>
      <w:fldChar w:fldCharType="end"/>
    </w:r>
    <w:r>
      <w:rPr>
        <w:rFonts w:ascii="Arial" w:eastAsia="Arial" w:hAnsi="Arial" w:cs="Arial"/>
        <w:sz w:val="18"/>
        <w:szCs w:val="18"/>
      </w:rPr>
      <w:t xml:space="preserve"> /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sidR="002D02B1">
      <w:rPr>
        <w:rFonts w:ascii="Arial" w:eastAsia="Arial" w:hAnsi="Arial" w:cs="Arial"/>
        <w:noProof/>
        <w:sz w:val="18"/>
        <w:szCs w:val="18"/>
      </w:rPr>
      <w:t>2</w:t>
    </w:r>
    <w:r>
      <w:rPr>
        <w:rFonts w:ascii="Arial" w:eastAsia="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121E9" w14:textId="77777777" w:rsidR="00166DBA" w:rsidRDefault="003A515C">
    <w:pPr>
      <w:widowControl/>
      <w:spacing w:line="360" w:lineRule="auto"/>
      <w:jc w:val="center"/>
      <w:rPr>
        <w:rFonts w:ascii="Arial" w:eastAsia="Arial" w:hAnsi="Arial" w:cs="Arial"/>
        <w:sz w:val="22"/>
        <w:szCs w:val="22"/>
      </w:rPr>
    </w:pPr>
    <w:r>
      <w:pict w14:anchorId="3FE61DFA">
        <v:rect id="_x0000_i1028" style="width:0;height:1.5pt" o:hralign="center" o:hrstd="t" o:hr="t" fillcolor="#a0a0a0" stroked="f"/>
      </w:pict>
    </w:r>
  </w:p>
  <w:p w14:paraId="5A9ED005" w14:textId="77777777" w:rsidR="00166DBA" w:rsidRDefault="00CA0D4A">
    <w:pPr>
      <w:widowControl/>
      <w:jc w:val="center"/>
      <w:rPr>
        <w:rFonts w:ascii="Arial" w:eastAsia="Arial" w:hAnsi="Arial" w:cs="Arial"/>
        <w:sz w:val="22"/>
        <w:szCs w:val="22"/>
      </w:rPr>
    </w:pPr>
    <w:r>
      <w:rPr>
        <w:rFonts w:ascii="Arial" w:eastAsia="Arial" w:hAnsi="Arial" w:cs="Arial"/>
        <w:sz w:val="22"/>
        <w:szCs w:val="22"/>
      </w:rPr>
      <w:t xml:space="preserve">Avenida Álvares Cabral, n° 217 - 6º Andar - Centro - Belo Horizonte/MG - 30170-000 </w:t>
    </w:r>
  </w:p>
  <w:p w14:paraId="199F2AA2" w14:textId="77777777" w:rsidR="00166DBA" w:rsidRDefault="00CA0D4A">
    <w:pPr>
      <w:widowControl/>
      <w:ind w:left="2970"/>
      <w:rPr>
        <w:rFonts w:ascii="Arial" w:eastAsia="Arial" w:hAnsi="Arial" w:cs="Arial"/>
        <w:sz w:val="18"/>
        <w:szCs w:val="18"/>
      </w:rPr>
    </w:pPr>
    <w:r>
      <w:rPr>
        <w:rFonts w:ascii="Arial" w:eastAsia="Arial" w:hAnsi="Arial" w:cs="Arial"/>
        <w:sz w:val="22"/>
        <w:szCs w:val="22"/>
      </w:rPr>
      <w:t xml:space="preserve">Tel.: (31) 3246-0090 | </w:t>
    </w:r>
    <w:r>
      <w:rPr>
        <w:rFonts w:ascii="Arial" w:eastAsia="Arial" w:hAnsi="Arial" w:cs="Arial"/>
        <w:color w:val="222222"/>
        <w:sz w:val="22"/>
        <w:szCs w:val="22"/>
        <w:highlight w:val="white"/>
      </w:rPr>
      <w:t>smpu@pbh.gov.br</w:t>
    </w:r>
    <w:r>
      <w:rPr>
        <w:rFonts w:ascii="Arial" w:eastAsia="Arial" w:hAnsi="Arial" w:cs="Arial"/>
        <w:sz w:val="22"/>
        <w:szCs w:val="22"/>
      </w:rPr>
      <w:t xml:space="preserve">                                    </w:t>
    </w:r>
    <w:r>
      <w:rPr>
        <w:rFonts w:ascii="Arial" w:eastAsia="Arial" w:hAnsi="Arial" w:cs="Arial"/>
        <w:sz w:val="18"/>
        <w:szCs w:val="18"/>
      </w:rPr>
      <w:t xml:space="preserv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2C5A00">
      <w:rPr>
        <w:rFonts w:ascii="Arial" w:eastAsia="Arial" w:hAnsi="Arial" w:cs="Arial"/>
        <w:noProof/>
        <w:sz w:val="18"/>
        <w:szCs w:val="18"/>
      </w:rPr>
      <w:t>1</w:t>
    </w:r>
    <w:r>
      <w:rPr>
        <w:rFonts w:ascii="Arial" w:eastAsia="Arial" w:hAnsi="Arial" w:cs="Arial"/>
        <w:sz w:val="18"/>
        <w:szCs w:val="18"/>
      </w:rPr>
      <w:fldChar w:fldCharType="end"/>
    </w:r>
    <w:r>
      <w:rPr>
        <w:rFonts w:ascii="Arial" w:eastAsia="Arial" w:hAnsi="Arial" w:cs="Arial"/>
        <w:sz w:val="18"/>
        <w:szCs w:val="18"/>
      </w:rPr>
      <w:t xml:space="preserve"> /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sidR="002C5A00">
      <w:rPr>
        <w:rFonts w:ascii="Arial" w:eastAsia="Arial" w:hAnsi="Arial" w:cs="Arial"/>
        <w:noProof/>
        <w:sz w:val="18"/>
        <w:szCs w:val="18"/>
      </w:rPr>
      <w:t>1</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8FBCA" w14:textId="77777777" w:rsidR="003A515C" w:rsidRDefault="003A515C">
      <w:r>
        <w:separator/>
      </w:r>
    </w:p>
  </w:footnote>
  <w:footnote w:type="continuationSeparator" w:id="0">
    <w:p w14:paraId="753F3A58" w14:textId="77777777" w:rsidR="003A515C" w:rsidRDefault="003A5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2FF7B" w14:textId="77777777" w:rsidR="00166DBA" w:rsidRDefault="00166DBA">
    <w:pPr>
      <w:spacing w:line="276" w:lineRule="auto"/>
      <w:rPr>
        <w:rFonts w:ascii="Arial" w:eastAsia="Arial" w:hAnsi="Arial" w:cs="Arial"/>
        <w:sz w:val="10"/>
        <w:szCs w:val="10"/>
      </w:rPr>
    </w:pPr>
  </w:p>
  <w:tbl>
    <w:tblPr>
      <w:tblStyle w:val="a"/>
      <w:tblW w:w="9881" w:type="dxa"/>
      <w:tblInd w:w="-108" w:type="dxa"/>
      <w:tblLayout w:type="fixed"/>
      <w:tblLook w:val="0000" w:firstRow="0" w:lastRow="0" w:firstColumn="0" w:lastColumn="0" w:noHBand="0" w:noVBand="0"/>
    </w:tblPr>
    <w:tblGrid>
      <w:gridCol w:w="3061"/>
      <w:gridCol w:w="1109"/>
      <w:gridCol w:w="5711"/>
    </w:tblGrid>
    <w:tr w:rsidR="00166DBA" w14:paraId="7658001D" w14:textId="77777777">
      <w:trPr>
        <w:trHeight w:val="937"/>
      </w:trPr>
      <w:tc>
        <w:tcPr>
          <w:tcW w:w="3061" w:type="dxa"/>
          <w:shd w:val="clear" w:color="auto" w:fill="auto"/>
          <w:tcMar>
            <w:top w:w="0" w:type="dxa"/>
            <w:left w:w="108" w:type="dxa"/>
            <w:bottom w:w="0" w:type="dxa"/>
            <w:right w:w="108" w:type="dxa"/>
          </w:tcMar>
          <w:vAlign w:val="center"/>
        </w:tcPr>
        <w:p w14:paraId="590FFCC1" w14:textId="77777777" w:rsidR="00166DBA" w:rsidRDefault="00CA0D4A">
          <w:pPr>
            <w:widowControl/>
            <w:spacing w:line="288" w:lineRule="auto"/>
            <w:rPr>
              <w:sz w:val="20"/>
              <w:szCs w:val="20"/>
            </w:rPr>
          </w:pPr>
          <w:r>
            <w:rPr>
              <w:rFonts w:ascii="Arial" w:eastAsia="Arial" w:hAnsi="Arial" w:cs="Arial"/>
              <w:b/>
              <w:noProof/>
              <w:sz w:val="22"/>
              <w:szCs w:val="22"/>
            </w:rPr>
            <w:drawing>
              <wp:inline distT="0" distB="0" distL="114300" distR="114300" wp14:anchorId="0F2C5E85" wp14:editId="3432D8BA">
                <wp:extent cx="1582649" cy="504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82649" cy="504000"/>
                        </a:xfrm>
                        <a:prstGeom prst="rect">
                          <a:avLst/>
                        </a:prstGeom>
                        <a:ln/>
                      </pic:spPr>
                    </pic:pic>
                  </a:graphicData>
                </a:graphic>
              </wp:inline>
            </w:drawing>
          </w:r>
        </w:p>
      </w:tc>
      <w:tc>
        <w:tcPr>
          <w:tcW w:w="1109" w:type="dxa"/>
          <w:shd w:val="clear" w:color="auto" w:fill="auto"/>
          <w:tcMar>
            <w:top w:w="0" w:type="dxa"/>
            <w:left w:w="108" w:type="dxa"/>
            <w:bottom w:w="0" w:type="dxa"/>
            <w:right w:w="108" w:type="dxa"/>
          </w:tcMar>
          <w:vAlign w:val="center"/>
        </w:tcPr>
        <w:p w14:paraId="5560679B" w14:textId="77777777" w:rsidR="00166DBA" w:rsidRDefault="00166DBA">
          <w:pPr>
            <w:widowControl/>
            <w:jc w:val="center"/>
            <w:rPr>
              <w:rFonts w:ascii="Arial" w:eastAsia="Arial" w:hAnsi="Arial" w:cs="Arial"/>
              <w:b/>
              <w:i/>
              <w:sz w:val="20"/>
              <w:szCs w:val="20"/>
            </w:rPr>
          </w:pPr>
        </w:p>
      </w:tc>
      <w:tc>
        <w:tcPr>
          <w:tcW w:w="5711" w:type="dxa"/>
          <w:shd w:val="clear" w:color="auto" w:fill="auto"/>
          <w:tcMar>
            <w:top w:w="0" w:type="dxa"/>
            <w:left w:w="108" w:type="dxa"/>
            <w:bottom w:w="0" w:type="dxa"/>
            <w:right w:w="108" w:type="dxa"/>
          </w:tcMar>
          <w:vAlign w:val="center"/>
        </w:tcPr>
        <w:p w14:paraId="6E7389EF" w14:textId="77777777" w:rsidR="00166DBA" w:rsidRDefault="00CA0D4A">
          <w:pPr>
            <w:widowControl/>
            <w:tabs>
              <w:tab w:val="center" w:pos="3324"/>
            </w:tabs>
            <w:spacing w:before="200"/>
            <w:jc w:val="right"/>
            <w:rPr>
              <w:rFonts w:ascii="Arial" w:eastAsia="Arial" w:hAnsi="Arial" w:cs="Arial"/>
              <w:b/>
              <w:sz w:val="22"/>
              <w:szCs w:val="22"/>
            </w:rPr>
          </w:pPr>
          <w:r>
            <w:rPr>
              <w:rFonts w:ascii="Arial" w:eastAsia="Arial" w:hAnsi="Arial" w:cs="Arial"/>
              <w:b/>
              <w:sz w:val="22"/>
              <w:szCs w:val="22"/>
            </w:rPr>
            <w:t xml:space="preserve"> </w:t>
          </w:r>
        </w:p>
        <w:p w14:paraId="617F93DA" w14:textId="77777777" w:rsidR="00166DBA" w:rsidRDefault="00CA0D4A">
          <w:pPr>
            <w:widowControl/>
            <w:tabs>
              <w:tab w:val="center" w:pos="3324"/>
            </w:tabs>
            <w:spacing w:after="200"/>
            <w:ind w:right="-22"/>
            <w:jc w:val="right"/>
            <w:rPr>
              <w:rFonts w:ascii="Arial" w:eastAsia="Arial" w:hAnsi="Arial" w:cs="Arial"/>
              <w:b/>
              <w:sz w:val="22"/>
              <w:szCs w:val="22"/>
            </w:rPr>
          </w:pPr>
          <w:r>
            <w:rPr>
              <w:rFonts w:ascii="Arial" w:eastAsia="Arial" w:hAnsi="Arial" w:cs="Arial"/>
              <w:b/>
              <w:sz w:val="22"/>
              <w:szCs w:val="22"/>
            </w:rPr>
            <w:t>Secretaria Municipal de Política Urbana</w:t>
          </w:r>
        </w:p>
      </w:tc>
    </w:tr>
  </w:tbl>
  <w:p w14:paraId="29094449" w14:textId="77777777" w:rsidR="00166DBA" w:rsidRDefault="003A515C">
    <w:pPr>
      <w:keepNext/>
      <w:keepLines/>
      <w:spacing w:line="408" w:lineRule="auto"/>
      <w:ind w:right="-149"/>
      <w:rPr>
        <w:rFonts w:ascii="Arial" w:eastAsia="Arial" w:hAnsi="Arial" w:cs="Arial"/>
        <w:sz w:val="10"/>
        <w:szCs w:val="10"/>
      </w:rPr>
    </w:pPr>
    <w:r>
      <w:pict w14:anchorId="1DB12B31">
        <v:rect id="_x0000_i1025" style="width:0;height:1.5pt" o:hralign="center" o:hrstd="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2DE59" w14:textId="77777777" w:rsidR="00166DBA" w:rsidRDefault="00166DBA">
    <w:pPr>
      <w:spacing w:line="276" w:lineRule="auto"/>
      <w:rPr>
        <w:rFonts w:ascii="Arial" w:eastAsia="Arial" w:hAnsi="Arial" w:cs="Arial"/>
        <w:sz w:val="10"/>
        <w:szCs w:val="10"/>
      </w:rPr>
    </w:pPr>
  </w:p>
  <w:tbl>
    <w:tblPr>
      <w:tblStyle w:val="a0"/>
      <w:tblW w:w="9881" w:type="dxa"/>
      <w:tblInd w:w="-108" w:type="dxa"/>
      <w:tblLayout w:type="fixed"/>
      <w:tblLook w:val="0000" w:firstRow="0" w:lastRow="0" w:firstColumn="0" w:lastColumn="0" w:noHBand="0" w:noVBand="0"/>
    </w:tblPr>
    <w:tblGrid>
      <w:gridCol w:w="3061"/>
      <w:gridCol w:w="1109"/>
      <w:gridCol w:w="5711"/>
    </w:tblGrid>
    <w:tr w:rsidR="00166DBA" w14:paraId="516A77EF" w14:textId="77777777">
      <w:trPr>
        <w:trHeight w:val="937"/>
      </w:trPr>
      <w:tc>
        <w:tcPr>
          <w:tcW w:w="3061" w:type="dxa"/>
          <w:shd w:val="clear" w:color="auto" w:fill="auto"/>
          <w:tcMar>
            <w:top w:w="0" w:type="dxa"/>
            <w:left w:w="108" w:type="dxa"/>
            <w:bottom w:w="0" w:type="dxa"/>
            <w:right w:w="108" w:type="dxa"/>
          </w:tcMar>
          <w:vAlign w:val="center"/>
        </w:tcPr>
        <w:p w14:paraId="2808E037" w14:textId="77777777" w:rsidR="00166DBA" w:rsidRDefault="00CA0D4A">
          <w:pPr>
            <w:widowControl/>
            <w:spacing w:line="288" w:lineRule="auto"/>
            <w:rPr>
              <w:sz w:val="20"/>
              <w:szCs w:val="20"/>
            </w:rPr>
          </w:pPr>
          <w:r>
            <w:rPr>
              <w:rFonts w:ascii="Arial" w:eastAsia="Arial" w:hAnsi="Arial" w:cs="Arial"/>
              <w:b/>
              <w:noProof/>
              <w:sz w:val="22"/>
              <w:szCs w:val="22"/>
            </w:rPr>
            <w:drawing>
              <wp:inline distT="0" distB="0" distL="114300" distR="114300" wp14:anchorId="20F18864" wp14:editId="6D0A39D2">
                <wp:extent cx="1582649" cy="504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82649" cy="504000"/>
                        </a:xfrm>
                        <a:prstGeom prst="rect">
                          <a:avLst/>
                        </a:prstGeom>
                        <a:ln/>
                      </pic:spPr>
                    </pic:pic>
                  </a:graphicData>
                </a:graphic>
              </wp:inline>
            </w:drawing>
          </w:r>
        </w:p>
      </w:tc>
      <w:tc>
        <w:tcPr>
          <w:tcW w:w="1109" w:type="dxa"/>
          <w:shd w:val="clear" w:color="auto" w:fill="auto"/>
          <w:tcMar>
            <w:top w:w="0" w:type="dxa"/>
            <w:left w:w="108" w:type="dxa"/>
            <w:bottom w:w="0" w:type="dxa"/>
            <w:right w:w="108" w:type="dxa"/>
          </w:tcMar>
          <w:vAlign w:val="center"/>
        </w:tcPr>
        <w:p w14:paraId="778E5653" w14:textId="77777777" w:rsidR="00166DBA" w:rsidRDefault="00166DBA">
          <w:pPr>
            <w:widowControl/>
            <w:jc w:val="center"/>
            <w:rPr>
              <w:rFonts w:ascii="Arial" w:eastAsia="Arial" w:hAnsi="Arial" w:cs="Arial"/>
              <w:b/>
              <w:i/>
              <w:sz w:val="20"/>
              <w:szCs w:val="20"/>
            </w:rPr>
          </w:pPr>
        </w:p>
      </w:tc>
      <w:tc>
        <w:tcPr>
          <w:tcW w:w="5711" w:type="dxa"/>
          <w:shd w:val="clear" w:color="auto" w:fill="auto"/>
          <w:tcMar>
            <w:top w:w="0" w:type="dxa"/>
            <w:left w:w="108" w:type="dxa"/>
            <w:bottom w:w="0" w:type="dxa"/>
            <w:right w:w="108" w:type="dxa"/>
          </w:tcMar>
          <w:vAlign w:val="center"/>
        </w:tcPr>
        <w:p w14:paraId="2A929EC5" w14:textId="77777777" w:rsidR="00166DBA" w:rsidRDefault="00CA0D4A">
          <w:pPr>
            <w:widowControl/>
            <w:tabs>
              <w:tab w:val="center" w:pos="3324"/>
            </w:tabs>
            <w:spacing w:before="200"/>
            <w:jc w:val="right"/>
            <w:rPr>
              <w:rFonts w:ascii="Arial" w:eastAsia="Arial" w:hAnsi="Arial" w:cs="Arial"/>
              <w:b/>
              <w:sz w:val="22"/>
              <w:szCs w:val="22"/>
            </w:rPr>
          </w:pPr>
          <w:r>
            <w:rPr>
              <w:rFonts w:ascii="Arial" w:eastAsia="Arial" w:hAnsi="Arial" w:cs="Arial"/>
              <w:b/>
              <w:sz w:val="22"/>
              <w:szCs w:val="22"/>
            </w:rPr>
            <w:t xml:space="preserve"> </w:t>
          </w:r>
        </w:p>
        <w:p w14:paraId="55E1C5B4" w14:textId="77777777" w:rsidR="00166DBA" w:rsidRDefault="00CA0D4A">
          <w:pPr>
            <w:widowControl/>
            <w:tabs>
              <w:tab w:val="center" w:pos="3324"/>
            </w:tabs>
            <w:spacing w:after="200"/>
            <w:ind w:right="-22"/>
            <w:jc w:val="right"/>
            <w:rPr>
              <w:rFonts w:ascii="Arial" w:eastAsia="Arial" w:hAnsi="Arial" w:cs="Arial"/>
              <w:b/>
              <w:sz w:val="22"/>
              <w:szCs w:val="22"/>
            </w:rPr>
          </w:pPr>
          <w:r>
            <w:rPr>
              <w:rFonts w:ascii="Arial" w:eastAsia="Arial" w:hAnsi="Arial" w:cs="Arial"/>
              <w:b/>
              <w:sz w:val="22"/>
              <w:szCs w:val="22"/>
            </w:rPr>
            <w:t>Secretaria Municipal de Política Urbana</w:t>
          </w:r>
        </w:p>
      </w:tc>
    </w:tr>
  </w:tbl>
  <w:p w14:paraId="7C87FB17" w14:textId="77777777" w:rsidR="00166DBA" w:rsidRDefault="003A515C">
    <w:pPr>
      <w:keepNext/>
      <w:keepLines/>
      <w:spacing w:line="408" w:lineRule="auto"/>
      <w:ind w:right="-149"/>
      <w:rPr>
        <w:rFonts w:ascii="Arial" w:eastAsia="Arial" w:hAnsi="Arial" w:cs="Arial"/>
        <w:sz w:val="10"/>
        <w:szCs w:val="10"/>
      </w:rPr>
    </w:pPr>
    <w:r>
      <w:pict w14:anchorId="3C5910CB">
        <v:rect id="_x0000_i1027"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B5B0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CE4613"/>
    <w:multiLevelType w:val="multilevel"/>
    <w:tmpl w:val="F1B8C8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DBA"/>
    <w:rsid w:val="000068F4"/>
    <w:rsid w:val="00042C98"/>
    <w:rsid w:val="000A705B"/>
    <w:rsid w:val="000D1DEC"/>
    <w:rsid w:val="000D3C42"/>
    <w:rsid w:val="00166DBA"/>
    <w:rsid w:val="001C7248"/>
    <w:rsid w:val="002C5A00"/>
    <w:rsid w:val="002D02B1"/>
    <w:rsid w:val="002F167D"/>
    <w:rsid w:val="00352D5C"/>
    <w:rsid w:val="00395CAF"/>
    <w:rsid w:val="003A1462"/>
    <w:rsid w:val="003A515C"/>
    <w:rsid w:val="00410F65"/>
    <w:rsid w:val="004C27A3"/>
    <w:rsid w:val="004D7C33"/>
    <w:rsid w:val="005011AA"/>
    <w:rsid w:val="00537262"/>
    <w:rsid w:val="00573D3B"/>
    <w:rsid w:val="005912D2"/>
    <w:rsid w:val="006343FD"/>
    <w:rsid w:val="007422BD"/>
    <w:rsid w:val="007815F9"/>
    <w:rsid w:val="007834AF"/>
    <w:rsid w:val="007E388D"/>
    <w:rsid w:val="008208A8"/>
    <w:rsid w:val="00861D33"/>
    <w:rsid w:val="00865F0E"/>
    <w:rsid w:val="0089093B"/>
    <w:rsid w:val="008E003E"/>
    <w:rsid w:val="00967361"/>
    <w:rsid w:val="009A096F"/>
    <w:rsid w:val="009D11DD"/>
    <w:rsid w:val="009E325F"/>
    <w:rsid w:val="00A44248"/>
    <w:rsid w:val="00A863BB"/>
    <w:rsid w:val="00BC0B4C"/>
    <w:rsid w:val="00BF5D7B"/>
    <w:rsid w:val="00C16DC7"/>
    <w:rsid w:val="00CA0D4A"/>
    <w:rsid w:val="00D209EC"/>
    <w:rsid w:val="00D33C3A"/>
    <w:rsid w:val="00DC29A4"/>
    <w:rsid w:val="00E602A3"/>
    <w:rsid w:val="00E67C60"/>
    <w:rsid w:val="00F21054"/>
    <w:rsid w:val="00F24648"/>
    <w:rsid w:val="00F826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39167"/>
  <w15:docId w15:val="{8D02EE8A-C654-46A9-A8D9-E5AFB4823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widowControl/>
      <w:pBdr>
        <w:top w:val="nil"/>
        <w:left w:val="nil"/>
        <w:bottom w:val="nil"/>
        <w:right w:val="nil"/>
        <w:between w:val="nil"/>
      </w:pBdr>
      <w:outlineLvl w:val="0"/>
    </w:pPr>
    <w:rPr>
      <w:rFonts w:ascii="Libre Franklin Medium" w:eastAsia="Libre Franklin Medium" w:hAnsi="Libre Franklin Medium" w:cs="Libre Franklin Medium"/>
      <w:color w:val="000000"/>
    </w:rPr>
  </w:style>
  <w:style w:type="paragraph" w:styleId="Ttulo2">
    <w:name w:val="heading 2"/>
    <w:basedOn w:val="Normal"/>
    <w:next w:val="Normal"/>
    <w:uiPriority w:val="9"/>
    <w:semiHidden/>
    <w:unhideWhenUsed/>
    <w:qFormat/>
    <w:pPr>
      <w:keepNext/>
      <w:widowControl/>
      <w:pBdr>
        <w:top w:val="nil"/>
        <w:left w:val="nil"/>
        <w:bottom w:val="nil"/>
        <w:right w:val="nil"/>
        <w:between w:val="nil"/>
      </w:pBdr>
      <w:outlineLvl w:val="1"/>
    </w:pPr>
    <w:rPr>
      <w:rFonts w:ascii="Arial" w:eastAsia="Arial" w:hAnsi="Arial" w:cs="Arial"/>
      <w:b/>
      <w:color w:val="000000"/>
    </w:rPr>
  </w:style>
  <w:style w:type="paragraph" w:styleId="Ttulo3">
    <w:name w:val="heading 3"/>
    <w:basedOn w:val="Normal"/>
    <w:next w:val="Normal"/>
    <w:uiPriority w:val="9"/>
    <w:semiHidden/>
    <w:unhideWhenUsed/>
    <w:qFormat/>
    <w:pPr>
      <w:keepNext/>
      <w:widowControl/>
      <w:pBdr>
        <w:top w:val="nil"/>
        <w:left w:val="nil"/>
        <w:bottom w:val="nil"/>
        <w:right w:val="nil"/>
        <w:between w:val="nil"/>
      </w:pBdr>
      <w:jc w:val="both"/>
      <w:outlineLvl w:val="2"/>
    </w:pPr>
    <w:rPr>
      <w:rFonts w:ascii="Arial" w:eastAsia="Arial" w:hAnsi="Arial" w:cs="Arial"/>
      <w:color w:val="00000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widowControl/>
      <w:pBdr>
        <w:top w:val="nil"/>
        <w:left w:val="nil"/>
        <w:bottom w:val="nil"/>
        <w:right w:val="nil"/>
        <w:between w:val="nil"/>
      </w:pBdr>
      <w:spacing w:before="240" w:after="120"/>
    </w:pPr>
    <w:rPr>
      <w:rFonts w:ascii="Arial" w:eastAsia="Arial" w:hAnsi="Arial" w:cs="Arial"/>
      <w:color w:val="000000"/>
      <w:sz w:val="28"/>
      <w:szCs w:val="28"/>
    </w:rPr>
  </w:style>
  <w:style w:type="paragraph" w:styleId="Subttulo">
    <w:name w:val="Subtitle"/>
    <w:basedOn w:val="Normal"/>
    <w:next w:val="Normal"/>
    <w:uiPriority w:val="11"/>
    <w:qFormat/>
    <w:pPr>
      <w:keepNext/>
      <w:widowControl/>
      <w:pBdr>
        <w:top w:val="nil"/>
        <w:left w:val="nil"/>
        <w:bottom w:val="nil"/>
        <w:right w:val="nil"/>
        <w:between w:val="nil"/>
      </w:pBdr>
      <w:spacing w:before="240" w:after="120"/>
      <w:jc w:val="center"/>
    </w:pPr>
    <w:rPr>
      <w:rFonts w:ascii="Arial" w:eastAsia="Arial" w:hAnsi="Arial" w:cs="Arial"/>
      <w:i/>
      <w:color w:val="000000"/>
      <w:sz w:val="28"/>
      <w:szCs w:val="2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paragraph" w:styleId="Cabealho">
    <w:name w:val="header"/>
    <w:basedOn w:val="Normal"/>
    <w:link w:val="CabealhoChar"/>
    <w:uiPriority w:val="99"/>
    <w:unhideWhenUsed/>
    <w:rsid w:val="002D02B1"/>
    <w:pPr>
      <w:tabs>
        <w:tab w:val="center" w:pos="4252"/>
        <w:tab w:val="right" w:pos="8504"/>
      </w:tabs>
    </w:pPr>
  </w:style>
  <w:style w:type="character" w:customStyle="1" w:styleId="CabealhoChar">
    <w:name w:val="Cabeçalho Char"/>
    <w:basedOn w:val="Fontepargpadro"/>
    <w:link w:val="Cabealho"/>
    <w:uiPriority w:val="99"/>
    <w:rsid w:val="002D02B1"/>
  </w:style>
  <w:style w:type="paragraph" w:styleId="Rodap">
    <w:name w:val="footer"/>
    <w:basedOn w:val="Normal"/>
    <w:link w:val="RodapChar"/>
    <w:uiPriority w:val="99"/>
    <w:unhideWhenUsed/>
    <w:rsid w:val="002D02B1"/>
    <w:pPr>
      <w:tabs>
        <w:tab w:val="center" w:pos="4252"/>
        <w:tab w:val="right" w:pos="8504"/>
      </w:tabs>
    </w:pPr>
  </w:style>
  <w:style w:type="character" w:customStyle="1" w:styleId="RodapChar">
    <w:name w:val="Rodapé Char"/>
    <w:basedOn w:val="Fontepargpadro"/>
    <w:link w:val="Rodap"/>
    <w:uiPriority w:val="99"/>
    <w:rsid w:val="002D02B1"/>
  </w:style>
  <w:style w:type="character" w:styleId="Hyperlink">
    <w:name w:val="Hyperlink"/>
    <w:uiPriority w:val="99"/>
    <w:rsid w:val="00D33C3A"/>
    <w:rPr>
      <w:color w:val="0000FF"/>
      <w:u w:val="single"/>
    </w:rPr>
  </w:style>
  <w:style w:type="character" w:customStyle="1" w:styleId="normaltextrun">
    <w:name w:val="normaltextrun"/>
    <w:basedOn w:val="Fontepargpadro"/>
    <w:rsid w:val="00D33C3A"/>
  </w:style>
  <w:style w:type="character" w:customStyle="1" w:styleId="eop">
    <w:name w:val="eop"/>
    <w:basedOn w:val="Fontepargpadro"/>
    <w:rsid w:val="00D33C3A"/>
  </w:style>
  <w:style w:type="paragraph" w:styleId="PargrafodaLista">
    <w:name w:val="List Paragraph"/>
    <w:basedOn w:val="Normal"/>
    <w:uiPriority w:val="34"/>
    <w:qFormat/>
    <w:rsid w:val="00A44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3245">
      <w:bodyDiv w:val="1"/>
      <w:marLeft w:val="0"/>
      <w:marRight w:val="0"/>
      <w:marTop w:val="0"/>
      <w:marBottom w:val="0"/>
      <w:divBdr>
        <w:top w:val="none" w:sz="0" w:space="0" w:color="auto"/>
        <w:left w:val="none" w:sz="0" w:space="0" w:color="auto"/>
        <w:bottom w:val="none" w:sz="0" w:space="0" w:color="auto"/>
        <w:right w:val="none" w:sz="0" w:space="0" w:color="auto"/>
      </w:divBdr>
    </w:div>
    <w:div w:id="66344950">
      <w:bodyDiv w:val="1"/>
      <w:marLeft w:val="0"/>
      <w:marRight w:val="0"/>
      <w:marTop w:val="0"/>
      <w:marBottom w:val="0"/>
      <w:divBdr>
        <w:top w:val="none" w:sz="0" w:space="0" w:color="auto"/>
        <w:left w:val="none" w:sz="0" w:space="0" w:color="auto"/>
        <w:bottom w:val="none" w:sz="0" w:space="0" w:color="auto"/>
        <w:right w:val="none" w:sz="0" w:space="0" w:color="auto"/>
      </w:divBdr>
    </w:div>
    <w:div w:id="151334292">
      <w:bodyDiv w:val="1"/>
      <w:marLeft w:val="0"/>
      <w:marRight w:val="0"/>
      <w:marTop w:val="0"/>
      <w:marBottom w:val="0"/>
      <w:divBdr>
        <w:top w:val="none" w:sz="0" w:space="0" w:color="auto"/>
        <w:left w:val="none" w:sz="0" w:space="0" w:color="auto"/>
        <w:bottom w:val="none" w:sz="0" w:space="0" w:color="auto"/>
        <w:right w:val="none" w:sz="0" w:space="0" w:color="auto"/>
      </w:divBdr>
    </w:div>
    <w:div w:id="890195498">
      <w:bodyDiv w:val="1"/>
      <w:marLeft w:val="0"/>
      <w:marRight w:val="0"/>
      <w:marTop w:val="0"/>
      <w:marBottom w:val="0"/>
      <w:divBdr>
        <w:top w:val="none" w:sz="0" w:space="0" w:color="auto"/>
        <w:left w:val="none" w:sz="0" w:space="0" w:color="auto"/>
        <w:bottom w:val="none" w:sz="0" w:space="0" w:color="auto"/>
        <w:right w:val="none" w:sz="0" w:space="0" w:color="auto"/>
      </w:divBdr>
    </w:div>
    <w:div w:id="1469585290">
      <w:bodyDiv w:val="1"/>
      <w:marLeft w:val="0"/>
      <w:marRight w:val="0"/>
      <w:marTop w:val="0"/>
      <w:marBottom w:val="0"/>
      <w:divBdr>
        <w:top w:val="none" w:sz="0" w:space="0" w:color="auto"/>
        <w:left w:val="none" w:sz="0" w:space="0" w:color="auto"/>
        <w:bottom w:val="none" w:sz="0" w:space="0" w:color="auto"/>
        <w:right w:val="none" w:sz="0" w:space="0" w:color="auto"/>
      </w:divBdr>
    </w:div>
    <w:div w:id="1693143704">
      <w:bodyDiv w:val="1"/>
      <w:marLeft w:val="0"/>
      <w:marRight w:val="0"/>
      <w:marTop w:val="0"/>
      <w:marBottom w:val="0"/>
      <w:divBdr>
        <w:top w:val="none" w:sz="0" w:space="0" w:color="auto"/>
        <w:left w:val="none" w:sz="0" w:space="0" w:color="auto"/>
        <w:bottom w:val="none" w:sz="0" w:space="0" w:color="auto"/>
        <w:right w:val="none" w:sz="0" w:space="0" w:color="auto"/>
      </w:divBdr>
    </w:div>
    <w:div w:id="1783304977">
      <w:bodyDiv w:val="1"/>
      <w:marLeft w:val="0"/>
      <w:marRight w:val="0"/>
      <w:marTop w:val="0"/>
      <w:marBottom w:val="0"/>
      <w:divBdr>
        <w:top w:val="none" w:sz="0" w:space="0" w:color="auto"/>
        <w:left w:val="none" w:sz="0" w:space="0" w:color="auto"/>
        <w:bottom w:val="none" w:sz="0" w:space="0" w:color="auto"/>
        <w:right w:val="none" w:sz="0" w:space="0" w:color="auto"/>
      </w:divBdr>
    </w:div>
    <w:div w:id="1870143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trabalho-e-previdencia/pt-br/servicos/empregador/programa-de-alimentacao-do-trabalhador-pat/arquivos-legislacao/instrucoes-normativas/pat_in_971_2009.pdf"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_ato2019-2022/2021/decreto/d10880.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br/economia/pt-br/assuntos/drei/legislacao/arquivos/legislacoes-federais/indrei772020.pdf"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B7EB1-2084-4DAC-AAB1-3B693E5CD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8</Pages>
  <Words>2052</Words>
  <Characters>11083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LEILANE CANDIDA RAMOS PR088383</dc:creator>
  <cp:lastModifiedBy>MIRELLA EDUARDA CASSIMIRO RAMOS PRPS407187</cp:lastModifiedBy>
  <cp:revision>4</cp:revision>
  <cp:lastPrinted>2025-09-26T13:19:00Z</cp:lastPrinted>
  <dcterms:created xsi:type="dcterms:W3CDTF">2025-10-01T13:59:00Z</dcterms:created>
  <dcterms:modified xsi:type="dcterms:W3CDTF">2025-10-03T12:31:00Z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lpwstr>2.125116301E9</vt:lpwstr>
  </property>
</Properties>
</file>