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36837" w14:textId="77777777" w:rsidR="005646AA" w:rsidRDefault="005646AA" w:rsidP="005646A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</w:p>
    <w:p w14:paraId="5A970668" w14:textId="2A2EEA8D" w:rsidR="00EC17F6" w:rsidRPr="00EC17F6" w:rsidRDefault="00EC17F6" w:rsidP="00EC17F6">
      <w:pPr>
        <w:spacing w:line="23" w:lineRule="atLeast"/>
        <w:jc w:val="center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AVISO DE RETIFICAÇÃO</w:t>
      </w:r>
    </w:p>
    <w:p w14:paraId="6EDDB66B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4AAC23A0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CONCORRÊNCIA ELETRÔNICA Nº 09/2026</w:t>
      </w:r>
    </w:p>
    <w:p w14:paraId="48DF9B99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PROCESSO ADMINISTRATIVO Nº 73/2026</w:t>
      </w:r>
    </w:p>
    <w:p w14:paraId="45611AB1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3949D789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AVISO DE RETIFICAÇÃO DO EDITAL E DE SEUS ANEXOS</w:t>
      </w:r>
    </w:p>
    <w:p w14:paraId="60DE7770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5198E744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 xml:space="preserve">O Município de Betim/MG, por intermédio da Secretaria Municipal de Compras e Licitações, torna pública a </w:t>
      </w: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RETIFICAÇÃO DO EDITAL DA CONCORRÊNCIA ELETRÔNICA Nº 09/2026 E DE SEUS ANEXOS</w:t>
      </w: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, cujo objeto consiste na contratação de empresa especializada em engenharia e/ou arquitetura para a prestação de serviços referentes à implantação de medidas técnicas, administrativas, jurídicas, urbanísticas, ambientais e sociais necessárias à efetivação da Regularização Fundiária Urbana de Interesse Social – REURB-S em núcleos urbanos informais consolidados situados no Município de Betim/MG.</w:t>
      </w:r>
    </w:p>
    <w:p w14:paraId="71ED04E6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A presente retificação decorre da decisão administrativa proferida em sede de impugnação ao instrumento convocatório e tem por finalidade sanar inconsistências, aperfeiçoar os critérios de julgamento, compatibilizar disposições internas do Edital e de seus anexos e assegurar a observância dos princípios da legalidade, julgamento objetivo, competitividade, vinculação ao instrumento convocatório, proporcionalidade e segurança jurídica.</w:t>
      </w:r>
    </w:p>
    <w:p w14:paraId="2CE1ECA8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Considerando que parte das modificações interfere diretamente na formulação das propostas, o Edital será republicado em versão integral consolidada, com reabertura do prazo mínimo legal aplicável ao julgamento por técnica e preço, nos termos do art. 55, IV e § 1º, da Lei Federal nº 14.133/2021. (</w:t>
      </w:r>
      <w:hyperlink r:id="rId7" w:tooltip="L14133 - Planalto" w:history="1">
        <w:r w:rsidRPr="00EC17F6">
          <w:rPr>
            <w:rFonts w:ascii="Aptos" w:eastAsia="Aptos" w:hAnsi="Aptos" w:cs="Times New Roman"/>
            <w:color w:val="467886"/>
            <w:kern w:val="2"/>
            <w:sz w:val="24"/>
            <w:szCs w:val="24"/>
            <w:u w:val="single"/>
            <w:lang w:eastAsia="en-US"/>
            <w14:ligatures w14:val="standardContextual"/>
          </w:rPr>
          <w:t>Planalto</w:t>
        </w:r>
      </w:hyperlink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)</w:t>
      </w:r>
    </w:p>
    <w:p w14:paraId="7141DC7A" w14:textId="77777777" w:rsid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7240C1AB" w14:textId="0A04B289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Passam a vigorar as seguintes alterações.</w:t>
      </w:r>
    </w:p>
    <w:p w14:paraId="3952B8C1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358692DD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ANEXO ÚNICO AO AVISO DE RETIFICAÇÃO</w:t>
      </w:r>
    </w:p>
    <w:p w14:paraId="06BCFE75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1B7A7DA3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QUADRO CONSOLIDADO DAS ALTERAÇÕES</w:t>
      </w:r>
    </w:p>
    <w:p w14:paraId="4532935B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404BEC4A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I – ALTERAÇÕES NO EDITAL</w:t>
      </w:r>
    </w:p>
    <w:p w14:paraId="3BB4B1BE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1E139E37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1. ITEM 2.6 – TRATAMENTO DAS ME/EPP E MEI</w:t>
      </w:r>
    </w:p>
    <w:p w14:paraId="71A975CD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O item atual faz referência ao “art. 4º, parágrafo único” da Lei nº 14.133/2021.</w:t>
      </w:r>
    </w:p>
    <w:p w14:paraId="0D1920CD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Passa a vigorar:</w:t>
      </w:r>
    </w:p>
    <w:p w14:paraId="180C1E89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23FC1AE1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2.6.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A aplicação do tratamento favorecido às microempresas, empresas de pequeno porte e microempreendedores individuais observará as condições e limitações estabelecidas no art. 4º da Lei Federal nº 14.133/2021 e na Lei Complementar Federal nº 123/2006, consideradas as características, o valor estimado e o período da presente contratação, conforme justificativa constante do Termo de Referência e da fase preparatória.</w:t>
      </w:r>
    </w:p>
    <w:p w14:paraId="199FEA8E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26F601A2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46A97898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6E8449C4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640EC948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2. ITEM 3.1.1 – ORDEM DAS FASES E TESTE DE CONFORMIDADE</w:t>
      </w:r>
    </w:p>
    <w:p w14:paraId="264CAA59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662FCDFB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A redação atual prevê habilitação, análise técnica, julgamento e, por último, teste de conformidade.</w:t>
      </w:r>
    </w:p>
    <w:p w14:paraId="52FDF21F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733E643A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Passa a vigorar:</w:t>
      </w:r>
    </w:p>
    <w:p w14:paraId="3B980486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51F26178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3.1.1.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A presente licitação adotará a inversão das fases prevista no art. 17, § 1º, da Lei Federal nº 14.133/2021, conforme motivação constante da fase preparatória. Inicialmente serão examinados os documentos de habilitação e, em seguida, serão avaliadas e julgadas as Propostas Técnica e de Preço.</w:t>
      </w:r>
    </w:p>
    <w:p w14:paraId="5A921BCC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3.1.1.1.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Após a apuração da classificação provisória decorrente da avaliação das Propostas Técnica e de Preço, o licitante provisoriamente classificado em primeiro lugar será submetido ao Teste de Conformidade da solução tecnológica, nos termos do Anexo II.</w:t>
      </w:r>
    </w:p>
    <w:p w14:paraId="32414DD5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3.1.1.2.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O Teste de Conformidade constitui etapa integrante da fase de julgamento, que somente será considerada encerrada após a conclusão do teste e a consolidação do resultado.</w:t>
      </w:r>
    </w:p>
    <w:p w14:paraId="0E53AD5D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3.1.1.3.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O resultado do Teste de Conformidade integrará a decisão de julgamento e estará sujeito à fase recursal correspondente.</w:t>
      </w:r>
    </w:p>
    <w:p w14:paraId="3B2E791D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00E92D73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0C813513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3. ITEM 3.10.1 – DECLARAÇÃO DE ME/EPP</w:t>
      </w:r>
    </w:p>
    <w:p w14:paraId="53DDD865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00C36C68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 xml:space="preserve">Considerando que o Edital exige declaração de aptidão para usufruir do tratamento favorecido dos </w:t>
      </w:r>
      <w:proofErr w:type="spellStart"/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arts</w:t>
      </w:r>
      <w:proofErr w:type="spellEnd"/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. 42 a 49 da LC nº 123/2006, embora o item 2.6 contenha disciplina restritiva, passa a vigorar:</w:t>
      </w:r>
    </w:p>
    <w:p w14:paraId="64227525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3.10.1.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Que cumpre, quando for o caso, os requisitos de enquadramento previstos no art. 3º da Lei Complementar Federal nº 123/2006, declarando sua condição de microempresa, empresa de pequeno porte ou microempreendedor individual, sem prejuízo da aplicação das limitações previstas no art. 4º da Lei Federal nº 14.133/2021 e das demais condições estabelecidas neste Edital.</w:t>
      </w:r>
    </w:p>
    <w:p w14:paraId="18F50275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0A6C04AB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6CFBD681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4. ITEM 3.13.3 – DEVOLUÇÃO DA GARANTIA DE PROPOSTA</w:t>
      </w:r>
    </w:p>
    <w:p w14:paraId="14611085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6AC38951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 xml:space="preserve">Embora a redação atual não estabeleça marco posterior ao limite legal, recomenda-se sua adequação </w:t>
      </w:r>
      <w:proofErr w:type="spellStart"/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aclaratória</w:t>
      </w:r>
      <w:proofErr w:type="spellEnd"/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. O dispositivo atualmente prevê restituição à vencedora depois da assinatura e às demais após a homologação.</w:t>
      </w:r>
    </w:p>
    <w:p w14:paraId="6A77E1CF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Passa a vigorar:</w:t>
      </w:r>
    </w:p>
    <w:p w14:paraId="141EA5EF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76D06C3B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3.13.3.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A garantia de proposta será restituída aos licitantes nos termos da Lei Federal nº 14.133/2021, observados os marcos previstos neste Edital e, em qualquer hipótese, o prazo máximo legalmente estabelecido.</w:t>
      </w:r>
    </w:p>
    <w:p w14:paraId="34D50C4B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5416ABCD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5. METODOLOGIA DE JULGAMENTO POR TÉCNICA E PREÇO</w:t>
      </w:r>
    </w:p>
    <w:p w14:paraId="04C9C9D1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O anexo III e IV foram devidamente retificados.</w:t>
      </w:r>
    </w:p>
    <w:p w14:paraId="36BA16EF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1C0EA478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6. ITEM 5.9 E ITEM 6.2.4 – PROPOSTAS ACIMA DO ORÇAMENTO</w:t>
      </w:r>
    </w:p>
    <w:p w14:paraId="78C85AAB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394B5279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Deverão ser uniformizadas as disposições relativas à desclassificação e negociação.</w:t>
      </w:r>
    </w:p>
    <w:p w14:paraId="19A7CBA5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O item 6.2.4 atualmente estabelece desclassificação de todas as propostas com preços unitários e total acima dos valores estipulados na planilha.</w:t>
      </w:r>
    </w:p>
    <w:p w14:paraId="553C2AB1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Passa a vigorar:</w:t>
      </w:r>
    </w:p>
    <w:p w14:paraId="003EB986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015FE868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5.9.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Concluídas as avaliações previstas neste capítulo, o Agente de Contratação poderá negociar condições mais vantajosas com o licitante provisoriamente mais bem classificado, observadas as disposições da Lei Federal nº 14.133/2021.</w:t>
      </w:r>
    </w:p>
    <w:p w14:paraId="57637D07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</w:pPr>
    </w:p>
    <w:p w14:paraId="1EC053F1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6.2.4.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Será desclassificada a proposta que, após a negociação cabível, permanecer acima do orçamento máximo admitido para a contratação ou dos preços unitários expressamente definidos como máximos no instrumento convocatório, quando aplicável, observadas as condições previstas na Lei Federal nº 14.133/2021.</w:t>
      </w:r>
    </w:p>
    <w:p w14:paraId="53610DE8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4D5F5073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5C9E3D71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7. ITENS 6.1.1.1 E 6.1.6 – PLANILHAS E COMPOSIÇÕES PRÓPRIAS DA LICITANTE</w:t>
      </w:r>
    </w:p>
    <w:p w14:paraId="3DA806F2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721F4528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O Edital atualmente proíbe alteração da estrutura, fórmulas, campos ou formatação da planilha, ao mesmo tempo em que admite composições próprias da licitante.</w:t>
      </w:r>
    </w:p>
    <w:p w14:paraId="34AD082B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6D1F1E2E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Passam a vigorar:</w:t>
      </w:r>
    </w:p>
    <w:p w14:paraId="5DD5AC44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693E99B9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6.1.1.1.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A Planilha Orçamentária deverá ser apresentada em arquivo eletrônico no formato disponibilizado pela Administração, sendo vedada a alteração dos itens, descrições, unidades, quantitativos, estrutura e fórmulas estruturais definidas pela Administração, ressalvados os campos expressamente destinados ao preenchimento dos preços, composições, coeficientes e demais informações de responsabilidade da licitante.</w:t>
      </w:r>
    </w:p>
    <w:p w14:paraId="219C3310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6.1.6.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Os modelos disponibilizados pela Administração possuem natureza referencial quanto às composições econômicas, cabendo à licitante formular seus próprios preços e composições nos campos editáveis, desde que preservados os itens, unidades, quantitativos, estrutura e demais parâmetros fixos estabelecidos no instrumento convocatório.</w:t>
      </w:r>
    </w:p>
    <w:p w14:paraId="005FB306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7263A838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8. ITENS 6.11 E 6.12 – TESTE DE CONFORMIDADE</w:t>
      </w:r>
    </w:p>
    <w:p w14:paraId="743971A4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5AC98E32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A redação atual situa o teste após o encerramento do julgamento.</w:t>
      </w:r>
    </w:p>
    <w:p w14:paraId="01610A7B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02DBBCE5" w14:textId="06B422B2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Passa a vigorar:</w:t>
      </w:r>
    </w:p>
    <w:p w14:paraId="4714F8BD" w14:textId="77777777" w:rsidR="003A1FD5" w:rsidRDefault="003A1FD5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</w:pPr>
    </w:p>
    <w:p w14:paraId="6AAF9733" w14:textId="77777777" w:rsidR="003A1FD5" w:rsidRDefault="003A1FD5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</w:pPr>
    </w:p>
    <w:p w14:paraId="10EBBF86" w14:textId="77777777" w:rsidR="003A1FD5" w:rsidRDefault="003A1FD5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</w:pPr>
    </w:p>
    <w:p w14:paraId="42EA571D" w14:textId="6D487CE1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6.11.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Após a apuração da classificação provisória das propostas, o licitante provisoriamente classificado em primeiro lugar será convocado para realização do Teste de Conformidade previsto no Anexo II.</w:t>
      </w:r>
    </w:p>
    <w:p w14:paraId="331CC22C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6.11.1.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O Teste de Conformidade integra a fase de julgamento.</w:t>
      </w:r>
    </w:p>
    <w:p w14:paraId="7151D9EA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6.11.2.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O resultado será formalizado por decisão técnica motivada, contendo a identificação dos requisitos examinados e o resultado obtido em cada um deles.</w:t>
      </w:r>
    </w:p>
    <w:p w14:paraId="6C21CE3B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6.12.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Aprovado o Teste de Conformidade, será consolidado o resultado do julgamento. Reprovado o licitante, sua proposta será desclassificada mediante decisão motivada, prosseguindo-se com a convocação do licitante subsequente, segundo a ordem de classificação.</w:t>
      </w:r>
    </w:p>
    <w:p w14:paraId="67F1A0BF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6.12.1.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O julgamento somente será considerado definitivamente encerrado após a conclusão dos procedimentos previstos neste item, ficando seu resultado sujeito à fase recursal prevista no Edital.</w:t>
      </w:r>
    </w:p>
    <w:p w14:paraId="3BB0AE35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0417F389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25E67ECD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9. ITEM 13.3 – SANÇÃO PELA RECUSA EM CONTRATAR</w:t>
      </w:r>
    </w:p>
    <w:p w14:paraId="169B4283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5D534C5E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A redação atual estabelece automaticamente suspensão pelo prazo fixo de três anos.</w:t>
      </w:r>
    </w:p>
    <w:p w14:paraId="5FA59580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Passa a vigorar:</w:t>
      </w:r>
    </w:p>
    <w:p w14:paraId="6E654A28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13.3.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A recusa injustificada do adjudicatário em prestar a garantia exigida ou celebrar o contrato, quando caracterizada infração administrativa, sujeitará o responsável às consequências e sanções previstas na Lei Federal nº 14.133/2021 e neste Edital, mediante o procedimento administrativo legalmente aplicável, assegurados o contraditório e a ampla defesa e observados os critérios legais de dosimetria, vedada a aplicação automática de prazo sancionatório previamente fixado.</w:t>
      </w:r>
    </w:p>
    <w:p w14:paraId="3EDAC7A2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6A29694A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51B93B1C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10. ITENS 20.5, 20.6 E 20.7 – RECEBIMENTO E EXIGÊNCIAS REGISTRAIS</w:t>
      </w:r>
    </w:p>
    <w:p w14:paraId="4A1D8B58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6A779791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A redação atual atribui genericamente à contratada todas as adequações determinadas pelo Registro de Imóveis, sem custo adicional, até a completa conformidade documental.</w:t>
      </w:r>
    </w:p>
    <w:p w14:paraId="08FE8566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Passam a vigorar:</w:t>
      </w:r>
    </w:p>
    <w:p w14:paraId="275046DD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20.5.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O recebimento provisório será formalizado após a conclusão e entrega dos produtos previstos no Termo de Referência e sua validação pela fiscalização, ressalvadas as providências cujo cumprimento dependa exclusivamente de ato de terceiro ou de evento cuja responsabilidade não tenha sido alocada à CONTRATADA.</w:t>
      </w:r>
    </w:p>
    <w:p w14:paraId="4DBB5796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20.5.1.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Caberá à CONTRATADA, sem ônus adicional, corrigir erros, omissões, inconsistências, desconformidades ou insuficiências técnicas diretamente imputáveis aos produtos ou serviços por ela executados.</w:t>
      </w:r>
    </w:p>
    <w:p w14:paraId="271C0463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20.5.2.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Exigências decorrentes de fato superveniente, alteração normativa, ato autônomo de terceiro, conflito dominial preexistente, judicialização, informação ou documento de responsabilidade da CONTRATANTE ou outro evento não imputável à CONTRATADA observarão a alocação estabelecida na Matriz de Riscos.</w:t>
      </w:r>
    </w:p>
    <w:p w14:paraId="78E11D35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lastRenderedPageBreak/>
        <w:t>20.5.3.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A mera emissão de exigência ou nota devolutiva pelo Serviço de Registro de Imóveis não implicará automaticamente atribuição de responsabilidade econômica à CONTRATADA, devendo ser identificada a respectiva causa.</w:t>
      </w:r>
    </w:p>
    <w:p w14:paraId="6F2A72E3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20.6.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As diligências técnicas ou institucionais pendentes somente impedirão o recebimento da parcela ou produto quando relacionadas a obrigação efetivamente atribuída à CONTRATADA e ainda não cumprida, sem prejuízo da aplicação da Matriz de Riscos aos eventos não imputáveis à contratada.</w:t>
      </w:r>
    </w:p>
    <w:p w14:paraId="4A865963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20.7.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A CONTRATADA deverá corrigir, complementar, ajustar ou substituir, no prazo definido pela fiscalização, os serviços ou produtos que apresentarem vícios ou desconformidades a ela imputáveis. A existência de pendência restrita a determinada parcela não impedirá, por si só, o reconhecimento e atesto das parcelas incontroversas regularmente executadas.</w:t>
      </w:r>
    </w:p>
    <w:p w14:paraId="1F200C99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2B90170F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51D16D3F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11. ITEM 24.5 – PREVALÊNCIA E COMPATIBILIZAÇÃO DOS DOCUMENTOS</w:t>
      </w:r>
    </w:p>
    <w:p w14:paraId="6A58D8B6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6D7E9B40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A redação atual estabelece genericamente que qualquer detalhe mencionado em um documento e omitido em outro será considerado especificado e válido.</w:t>
      </w:r>
    </w:p>
    <w:p w14:paraId="2D16DDFD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Passa a vigorar:</w:t>
      </w:r>
    </w:p>
    <w:p w14:paraId="614EF093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24.5.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O Edital, o Termo de Referência e os respectivos anexos são complementares entre si e deverão ser interpretados de forma sistemática.</w:t>
      </w:r>
    </w:p>
    <w:p w14:paraId="2C70240D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24.5.1.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Em caso de divergência entre documentos integrantes da contratação, prevalecerão as disposições do Edital quanto às regras do procedimento licitatório e do Termo de Referência quanto às especificações técnicas do objeto, observado o conteúdo da Matriz de Riscos nas matérias referentes à alocação de responsabilidades.</w:t>
      </w:r>
    </w:p>
    <w:p w14:paraId="6523C8BC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24.5.2.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Persistindo incompatibilidade que possa interferir na formulação da proposta, o interessado deverá solicitar esclarecimento à Administração antes da sessão, não podendo eventual conflito documental ser resolvido mediante criação posterior de condição não expressamente divulgada.</w:t>
      </w:r>
    </w:p>
    <w:p w14:paraId="28D8AF1D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1BC2A4B5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15357DF0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12. ITEM 24.15 – RETENÇÃO DE PAGAMENTO</w:t>
      </w:r>
    </w:p>
    <w:p w14:paraId="402D0CEC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1B557E12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O item atual admite retenção genérica de crédito em razão de demandas judiciais.</w:t>
      </w:r>
    </w:p>
    <w:p w14:paraId="39D24531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Passa a vigorar:</w:t>
      </w:r>
    </w:p>
    <w:p w14:paraId="52B53BAC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</w:pPr>
    </w:p>
    <w:p w14:paraId="0DBF0B48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24.15.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Eventuais glosas, retenções ou compensações de créditos da CONTRATADA somente poderão ocorrer nas hipóteses legal ou contratualmente admitidas, mediante decisão motivada e limitadas à parcela diretamente relacionada à obrigação controvertida, ao dano efetivamente apurado ou ao crédito líquido e exigível passível de compensação.</w:t>
      </w:r>
    </w:p>
    <w:p w14:paraId="75207BCE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24.15.1.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A mera existência de demanda administrativa ou judicial não autorizará, isoladamente, a retenção integral dos créditos decorrentes de serviços regularmente executados.</w:t>
      </w:r>
    </w:p>
    <w:p w14:paraId="7A3A85F1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24.15.2.</w:t>
      </w:r>
      <w:r w:rsidRPr="00EC17F6">
        <w:rPr>
          <w:rFonts w:ascii="Aptos" w:eastAsia="Aptos" w:hAnsi="Aptos" w:cs="Times New Roman"/>
          <w:i/>
          <w:iCs/>
          <w:kern w:val="2"/>
          <w:sz w:val="24"/>
          <w:szCs w:val="24"/>
          <w:lang w:eastAsia="en-US"/>
          <w14:ligatures w14:val="standardContextual"/>
        </w:rPr>
        <w:t xml:space="preserve"> Será assegurado o pagamento da parcela incontroversa dos serviços </w:t>
      </w:r>
    </w:p>
    <w:p w14:paraId="32317559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 xml:space="preserve">    </w:t>
      </w:r>
    </w:p>
    <w:p w14:paraId="2E6FA87B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lastRenderedPageBreak/>
        <w:t xml:space="preserve">Considerando que as alterações promovidas alcançam elementos diretamente relacionados à elaboração, avaliação e classificação das propostas, especialmente a metodologia de julgamento por técnica e preço, os critérios de pontuação técnica, determinadas condições de qualificação e o Teste de Conformidade, </w:t>
      </w: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FICA SEM EFEITO A DATA ANTERIORMENTE DESIGNADA PARA A SESSÃO PÚBLICA</w:t>
      </w: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.</w:t>
      </w:r>
    </w:p>
    <w:p w14:paraId="0C9F45A9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5540291A" w14:textId="59688091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O Edital Retificado e todos os seus anexos consolidados serão novamente divulgados pelos mesmos meios utilizados para publicação do instrumento originário.</w:t>
      </w:r>
    </w:p>
    <w:p w14:paraId="1975B9F1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546B10D1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 xml:space="preserve">Fica reaberto </w:t>
      </w: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integralmente o prazo mínimo de 35 (trinta e cinco) dias úteis para apresentação das propostas</w:t>
      </w: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, contado da nova divulgação, em observância ao art. 55, IV e § 1º, da Lei Federal nº 14.133/2021.</w:t>
      </w:r>
    </w:p>
    <w:p w14:paraId="2A70F998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4B2403A0" w14:textId="75B49236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Nova data limite para apresentação das propostas:</w:t>
      </w: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 xml:space="preserve"> </w:t>
      </w:r>
      <w:r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11</w:t>
      </w: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/</w:t>
      </w:r>
      <w:r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 xml:space="preserve">12 </w:t>
      </w: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 xml:space="preserve">/2026, às </w:t>
      </w:r>
      <w:r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09:59</w:t>
      </w: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h</w:t>
      </w: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.</w:t>
      </w:r>
    </w:p>
    <w:p w14:paraId="3FABEEF0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</w:pPr>
    </w:p>
    <w:p w14:paraId="41FA308C" w14:textId="7E1208C9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b/>
          <w:bCs/>
          <w:kern w:val="2"/>
          <w:sz w:val="24"/>
          <w:szCs w:val="24"/>
          <w:lang w:eastAsia="en-US"/>
          <w14:ligatures w14:val="standardContextual"/>
        </w:rPr>
        <w:t>Nova data da sessão pública:</w:t>
      </w: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 xml:space="preserve">  </w:t>
      </w:r>
      <w:r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11</w:t>
      </w: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/</w:t>
      </w:r>
      <w:r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12</w:t>
      </w: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 xml:space="preserve">/2026, às </w:t>
      </w:r>
      <w:r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10:00</w:t>
      </w:r>
      <w:r w:rsidRPr="00EC17F6">
        <w:rPr>
          <w:rFonts w:ascii="Aptos" w:eastAsia="Aptos" w:hAnsi="Aptos" w:cs="Times New Roman"/>
          <w:b/>
          <w:bCs/>
          <w:i/>
          <w:iCs/>
          <w:kern w:val="2"/>
          <w:sz w:val="24"/>
          <w:szCs w:val="24"/>
          <w:lang w:eastAsia="en-US"/>
          <w14:ligatures w14:val="standardContextual"/>
        </w:rPr>
        <w:t>h</w:t>
      </w: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.</w:t>
      </w:r>
    </w:p>
    <w:p w14:paraId="36255003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</w:p>
    <w:p w14:paraId="507B652C" w14:textId="77777777" w:rsidR="00EC17F6" w:rsidRPr="00EC17F6" w:rsidRDefault="00EC17F6" w:rsidP="00EC17F6">
      <w:pPr>
        <w:spacing w:line="23" w:lineRule="atLeast"/>
        <w:jc w:val="both"/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</w:pPr>
      <w:r w:rsidRPr="00EC17F6">
        <w:rPr>
          <w:rFonts w:ascii="Aptos" w:eastAsia="Aptos" w:hAnsi="Aptos" w:cs="Times New Roman"/>
          <w:kern w:val="2"/>
          <w:sz w:val="24"/>
          <w:szCs w:val="24"/>
          <w:lang w:eastAsia="en-US"/>
          <w14:ligatures w14:val="standardContextual"/>
        </w:rPr>
        <w:t>Permanecem inalteradas as demais disposições do Edital e de seus anexos que não tenham sido expressamente modificadas pelas versões consolidadas ora divulgadas.</w:t>
      </w:r>
    </w:p>
    <w:p w14:paraId="4E52B720" w14:textId="77777777" w:rsidR="00EC17F6" w:rsidRDefault="00EC17F6" w:rsidP="00A71530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B0644E4" w14:textId="77777777" w:rsidR="00EC17F6" w:rsidRDefault="00EC17F6" w:rsidP="00A71530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F7104E0" w14:textId="25F6959C" w:rsidR="00A71530" w:rsidRPr="00A71530" w:rsidRDefault="00A71530" w:rsidP="00A71530">
      <w:pPr>
        <w:spacing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5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Betim/MG, </w:t>
      </w:r>
      <w:r w:rsidR="00EC17F6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Pr="00A71530">
        <w:rPr>
          <w:rFonts w:ascii="Times New Roman" w:eastAsia="Times New Roman" w:hAnsi="Times New Roman" w:cs="Times New Roman"/>
          <w:sz w:val="24"/>
          <w:szCs w:val="24"/>
          <w:lang w:eastAsia="pt-BR"/>
        </w:rPr>
        <w:t>0 de outubro de 2026.</w:t>
      </w:r>
    </w:p>
    <w:p w14:paraId="2DD5038E" w14:textId="77777777" w:rsidR="00A71530" w:rsidRPr="00A71530" w:rsidRDefault="00A71530" w:rsidP="00A7153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3A33B4A" w14:textId="77777777" w:rsidR="00A71530" w:rsidRDefault="00A71530" w:rsidP="00A71530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5FF633ED" w14:textId="19913B78" w:rsidR="00A71530" w:rsidRPr="00A71530" w:rsidRDefault="00A71530" w:rsidP="00A71530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Wesley de Melo Souza</w:t>
      </w:r>
    </w:p>
    <w:p w14:paraId="03330708" w14:textId="77777777" w:rsidR="00A71530" w:rsidRPr="00A71530" w:rsidRDefault="00A71530" w:rsidP="00A71530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7A18204" w14:textId="7F11FBE4" w:rsidR="00A71530" w:rsidRPr="00A71530" w:rsidRDefault="00A71530" w:rsidP="00A71530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1530">
        <w:rPr>
          <w:rFonts w:ascii="Times New Roman" w:eastAsia="Times New Roman" w:hAnsi="Times New Roman" w:cs="Times New Roman"/>
          <w:sz w:val="24"/>
          <w:szCs w:val="24"/>
          <w:lang w:eastAsia="pt-BR"/>
        </w:rPr>
        <w:t>Agente de Contratação</w:t>
      </w:r>
    </w:p>
    <w:p w14:paraId="6A05B190" w14:textId="77777777" w:rsidR="00A71530" w:rsidRPr="00A71530" w:rsidRDefault="00A71530" w:rsidP="00A71530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AEC0E22" w14:textId="55D9A2EE" w:rsidR="00A71530" w:rsidRPr="00A71530" w:rsidRDefault="00A71530" w:rsidP="00A71530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Prefeitura </w:t>
      </w:r>
      <w:r w:rsidRPr="00A71530">
        <w:rPr>
          <w:rFonts w:ascii="Times New Roman" w:eastAsia="Times New Roman" w:hAnsi="Times New Roman" w:cs="Times New Roman"/>
          <w:sz w:val="24"/>
          <w:szCs w:val="24"/>
          <w:lang w:eastAsia="pt-BR"/>
        </w:rPr>
        <w:t>Munic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ipal de </w:t>
      </w:r>
      <w:r w:rsidRPr="00A71530">
        <w:rPr>
          <w:rFonts w:ascii="Times New Roman" w:eastAsia="Times New Roman" w:hAnsi="Times New Roman" w:cs="Times New Roman"/>
          <w:sz w:val="24"/>
          <w:szCs w:val="24"/>
          <w:lang w:eastAsia="pt-BR"/>
        </w:rPr>
        <w:t>Betim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</w:t>
      </w:r>
      <w:r w:rsidRPr="00A71530">
        <w:rPr>
          <w:rFonts w:ascii="Times New Roman" w:eastAsia="Times New Roman" w:hAnsi="Times New Roman" w:cs="Times New Roman"/>
          <w:sz w:val="24"/>
          <w:szCs w:val="24"/>
          <w:lang w:eastAsia="pt-BR"/>
        </w:rPr>
        <w:t>MG</w:t>
      </w:r>
    </w:p>
    <w:p w14:paraId="05B182DF" w14:textId="77777777" w:rsidR="005646AA" w:rsidRPr="00A71530" w:rsidRDefault="005646AA" w:rsidP="00A71530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sectPr w:rsidR="005646AA" w:rsidRPr="00A71530">
      <w:headerReference w:type="default" r:id="rId8"/>
      <w:footerReference w:type="default" r:id="rId9"/>
      <w:pgSz w:w="11909" w:h="16834"/>
      <w:pgMar w:top="1701" w:right="1134" w:bottom="1134" w:left="1701" w:header="28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130CA" w14:textId="77777777" w:rsidR="005D56E9" w:rsidRDefault="005D56E9">
      <w:pPr>
        <w:spacing w:line="240" w:lineRule="auto"/>
      </w:pPr>
      <w:r>
        <w:separator/>
      </w:r>
    </w:p>
  </w:endnote>
  <w:endnote w:type="continuationSeparator" w:id="0">
    <w:p w14:paraId="4F9B9C23" w14:textId="77777777" w:rsidR="005D56E9" w:rsidRDefault="005D56E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DF69E" w14:textId="77777777" w:rsidR="00E41F58" w:rsidRDefault="00E41F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7FD67" w14:textId="77777777" w:rsidR="005D56E9" w:rsidRDefault="005D56E9">
      <w:pPr>
        <w:spacing w:line="240" w:lineRule="auto"/>
      </w:pPr>
      <w:r>
        <w:separator/>
      </w:r>
    </w:p>
  </w:footnote>
  <w:footnote w:type="continuationSeparator" w:id="0">
    <w:p w14:paraId="505C5192" w14:textId="77777777" w:rsidR="005D56E9" w:rsidRDefault="005D56E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CAA0D" w14:textId="77777777" w:rsidR="00E41F58" w:rsidRDefault="00AF4FD1">
    <w:pPr>
      <w:jc w:val="right"/>
      <w:rPr>
        <w:color w:val="666666"/>
        <w:sz w:val="20"/>
        <w:szCs w:val="20"/>
      </w:rPr>
    </w:pPr>
    <w:r>
      <w:rPr>
        <w:noProof/>
      </w:rPr>
      <w:drawing>
        <wp:anchor distT="0" distB="0" distL="114300" distR="114300" simplePos="0" relativeHeight="251658241" behindDoc="1" locked="0" layoutInCell="0" hidden="0" allowOverlap="1" wp14:anchorId="6C95CBEB" wp14:editId="49BCE01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742555" cy="10868025"/>
          <wp:effectExtent l="0" t="0" r="0" b="0"/>
          <wp:wrapNone/>
          <wp:docPr id="1" name="Imagem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1"/>
                  <pic:cNvPicPr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WrN8aR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AAAAAAAAAAAAgAAAAEAAABx////AgAAAAEAAABz////oS8AANtCAAAAAAAA/v///wIA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42555" cy="1086802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</w:p>
  <w:p w14:paraId="5934832C" w14:textId="77777777" w:rsidR="00E41F58" w:rsidRDefault="00AF4FD1">
    <w:pPr>
      <w:jc w:val="right"/>
      <w:rPr>
        <w:color w:val="666666"/>
        <w:sz w:val="16"/>
        <w:szCs w:val="16"/>
      </w:rPr>
    </w:pPr>
    <w:r>
      <w:rPr>
        <w:color w:val="666666"/>
        <w:sz w:val="16"/>
        <w:szCs w:val="16"/>
      </w:rPr>
      <w:t>SECRETARIA MUNICIPAL DE COMPRAS E LICITAÇÕES</w:t>
    </w:r>
  </w:p>
  <w:p w14:paraId="4E990FA4" w14:textId="77777777" w:rsidR="00E41F58" w:rsidRDefault="00AF4FD1">
    <w:pPr>
      <w:jc w:val="right"/>
      <w:rPr>
        <w:color w:val="666666"/>
        <w:sz w:val="20"/>
        <w:szCs w:val="20"/>
      </w:rPr>
    </w:pPr>
    <w:r>
      <w:rPr>
        <w:color w:val="666666"/>
        <w:sz w:val="16"/>
        <w:szCs w:val="16"/>
      </w:rPr>
      <w:t>SUPERINTENDÊNCIA DE COMPRAS E LICITAÇÕES DE OBRAS E SERVIÇOS</w:t>
    </w:r>
    <w:r>
      <w:rPr>
        <w:color w:val="666666"/>
        <w:sz w:val="20"/>
        <w:szCs w:val="20"/>
      </w:rPr>
      <w:t xml:space="preserve"> </w:t>
    </w:r>
  </w:p>
  <w:p w14:paraId="60F9EC8E" w14:textId="77777777" w:rsidR="00E41F58" w:rsidRDefault="00AF4FD1">
    <w:pPr>
      <w:jc w:val="right"/>
      <w:rPr>
        <w:color w:val="666666"/>
        <w:sz w:val="20"/>
        <w:szCs w:val="20"/>
      </w:rPr>
    </w:pPr>
    <w:r>
      <w:rPr>
        <w:color w:val="666666"/>
        <w:sz w:val="20"/>
        <w:szCs w:val="20"/>
      </w:rPr>
      <w:t>Telefone: (31) 3512-3256</w:t>
    </w:r>
  </w:p>
  <w:p w14:paraId="6EF4E597" w14:textId="77777777" w:rsidR="00E41F58" w:rsidRDefault="00AF4FD1">
    <w:pPr>
      <w:jc w:val="right"/>
      <w:rPr>
        <w:color w:val="666666"/>
      </w:rPr>
    </w:pPr>
    <w:r>
      <w:rPr>
        <w:color w:val="666666"/>
        <w:sz w:val="20"/>
        <w:szCs w:val="20"/>
      </w:rPr>
      <w:t>Rua Pará de Minas, 640, Brasiléia, Betim-MG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967C6"/>
    <w:multiLevelType w:val="multilevel"/>
    <w:tmpl w:val="A39AC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671200"/>
    <w:multiLevelType w:val="multilevel"/>
    <w:tmpl w:val="9C423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D13789"/>
    <w:multiLevelType w:val="hybridMultilevel"/>
    <w:tmpl w:val="56A431E8"/>
    <w:lvl w:ilvl="0" w:tplc="0DD875B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B6E047C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B7A6D68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D083FAC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FCA87D68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9F0336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806A71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558C462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7B1EB0D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8436744"/>
    <w:multiLevelType w:val="multilevel"/>
    <w:tmpl w:val="3B98B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034E07"/>
    <w:multiLevelType w:val="multilevel"/>
    <w:tmpl w:val="5C628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E93C2B"/>
    <w:multiLevelType w:val="multilevel"/>
    <w:tmpl w:val="06068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402F38"/>
    <w:multiLevelType w:val="multilevel"/>
    <w:tmpl w:val="5E428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943A89"/>
    <w:multiLevelType w:val="multilevel"/>
    <w:tmpl w:val="B3E61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D4726B"/>
    <w:multiLevelType w:val="multilevel"/>
    <w:tmpl w:val="75C45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71734E"/>
    <w:multiLevelType w:val="multilevel"/>
    <w:tmpl w:val="B5DE8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B40CAC"/>
    <w:multiLevelType w:val="hybridMultilevel"/>
    <w:tmpl w:val="8A1A7BA6"/>
    <w:name w:val="Lista numerada 1"/>
    <w:lvl w:ilvl="0" w:tplc="F754F52A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D2048FB4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7F16090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D3D66808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7D22F1D4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EDDC8EE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EF066A1E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6846B954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6ABAF796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1" w15:restartNumberingAfterBreak="0">
    <w:nsid w:val="366C0400"/>
    <w:multiLevelType w:val="multilevel"/>
    <w:tmpl w:val="4162A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222627"/>
    <w:multiLevelType w:val="multilevel"/>
    <w:tmpl w:val="DD5A5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9F2C40"/>
    <w:multiLevelType w:val="hybridMultilevel"/>
    <w:tmpl w:val="8FF89B1A"/>
    <w:name w:val="Lista numerada 3"/>
    <w:lvl w:ilvl="0" w:tplc="C6AE959E">
      <w:numFmt w:val="bullet"/>
      <w:lvlText w:val=""/>
      <w:lvlJc w:val="left"/>
      <w:pPr>
        <w:ind w:left="360" w:firstLine="0"/>
      </w:pPr>
      <w:rPr>
        <w:rFonts w:ascii="Symbol" w:hAnsi="Symbol"/>
      </w:rPr>
    </w:lvl>
    <w:lvl w:ilvl="1" w:tplc="60D651BE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7C86B168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83BE7902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BF1C32FA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0A9C3F8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32AEAB9A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E466A312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55588FD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14" w15:restartNumberingAfterBreak="0">
    <w:nsid w:val="5122530F"/>
    <w:multiLevelType w:val="multilevel"/>
    <w:tmpl w:val="44665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2A7438"/>
    <w:multiLevelType w:val="multilevel"/>
    <w:tmpl w:val="C136B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19448E"/>
    <w:multiLevelType w:val="multilevel"/>
    <w:tmpl w:val="931E7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6FA7948"/>
    <w:multiLevelType w:val="hybridMultilevel"/>
    <w:tmpl w:val="1A66FDFC"/>
    <w:name w:val="Lista numerada 2"/>
    <w:lvl w:ilvl="0" w:tplc="507ACC64">
      <w:start w:val="1"/>
      <w:numFmt w:val="decimal"/>
      <w:lvlText w:val="%1."/>
      <w:lvlJc w:val="left"/>
      <w:pPr>
        <w:ind w:left="360" w:firstLine="0"/>
      </w:pPr>
    </w:lvl>
    <w:lvl w:ilvl="1" w:tplc="C576B66E">
      <w:start w:val="1"/>
      <w:numFmt w:val="lowerLetter"/>
      <w:lvlText w:val="%2."/>
      <w:lvlJc w:val="left"/>
      <w:pPr>
        <w:ind w:left="1080" w:firstLine="0"/>
      </w:pPr>
    </w:lvl>
    <w:lvl w:ilvl="2" w:tplc="1E8C5CC4">
      <w:start w:val="1"/>
      <w:numFmt w:val="lowerRoman"/>
      <w:lvlText w:val="%3."/>
      <w:lvlJc w:val="left"/>
      <w:pPr>
        <w:ind w:left="1980" w:firstLine="0"/>
      </w:pPr>
    </w:lvl>
    <w:lvl w:ilvl="3" w:tplc="2CECD212">
      <w:start w:val="1"/>
      <w:numFmt w:val="decimal"/>
      <w:lvlText w:val="%4."/>
      <w:lvlJc w:val="left"/>
      <w:pPr>
        <w:ind w:left="2520" w:firstLine="0"/>
      </w:pPr>
    </w:lvl>
    <w:lvl w:ilvl="4" w:tplc="A6F0B576">
      <w:start w:val="1"/>
      <w:numFmt w:val="lowerLetter"/>
      <w:lvlText w:val="%5."/>
      <w:lvlJc w:val="left"/>
      <w:pPr>
        <w:ind w:left="3240" w:firstLine="0"/>
      </w:pPr>
    </w:lvl>
    <w:lvl w:ilvl="5" w:tplc="1A0813D6">
      <w:start w:val="1"/>
      <w:numFmt w:val="lowerRoman"/>
      <w:lvlText w:val="%6."/>
      <w:lvlJc w:val="left"/>
      <w:pPr>
        <w:ind w:left="4140" w:firstLine="0"/>
      </w:pPr>
    </w:lvl>
    <w:lvl w:ilvl="6" w:tplc="812867A6">
      <w:start w:val="1"/>
      <w:numFmt w:val="decimal"/>
      <w:lvlText w:val="%7."/>
      <w:lvlJc w:val="left"/>
      <w:pPr>
        <w:ind w:left="4680" w:firstLine="0"/>
      </w:pPr>
    </w:lvl>
    <w:lvl w:ilvl="7" w:tplc="A52AED18">
      <w:start w:val="1"/>
      <w:numFmt w:val="lowerLetter"/>
      <w:lvlText w:val="%8."/>
      <w:lvlJc w:val="left"/>
      <w:pPr>
        <w:ind w:left="5400" w:firstLine="0"/>
      </w:pPr>
    </w:lvl>
    <w:lvl w:ilvl="8" w:tplc="6246AB40">
      <w:start w:val="1"/>
      <w:numFmt w:val="lowerRoman"/>
      <w:lvlText w:val="%9."/>
      <w:lvlJc w:val="left"/>
      <w:pPr>
        <w:ind w:left="6300" w:firstLine="0"/>
      </w:pPr>
    </w:lvl>
  </w:abstractNum>
  <w:abstractNum w:abstractNumId="18" w15:restartNumberingAfterBreak="0">
    <w:nsid w:val="58B01844"/>
    <w:multiLevelType w:val="multilevel"/>
    <w:tmpl w:val="53CC4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BD6AC8"/>
    <w:multiLevelType w:val="multilevel"/>
    <w:tmpl w:val="8DBA7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230CEA"/>
    <w:multiLevelType w:val="hybridMultilevel"/>
    <w:tmpl w:val="3ABEFF86"/>
    <w:name w:val="Lista numerada 4"/>
    <w:lvl w:ilvl="0" w:tplc="6E8ED8AC">
      <w:numFmt w:val="bullet"/>
      <w:lvlText w:val=""/>
      <w:lvlJc w:val="left"/>
      <w:pPr>
        <w:ind w:left="360" w:firstLine="0"/>
      </w:pPr>
      <w:rPr>
        <w:rFonts w:ascii="Symbol" w:hAnsi="Symbol"/>
        <w:sz w:val="20"/>
      </w:rPr>
    </w:lvl>
    <w:lvl w:ilvl="1" w:tplc="C21C4DF0">
      <w:numFmt w:val="bullet"/>
      <w:lvlText w:val="o"/>
      <w:lvlJc w:val="left"/>
      <w:pPr>
        <w:ind w:left="1080" w:firstLine="0"/>
      </w:pPr>
      <w:rPr>
        <w:rFonts w:ascii="Courier New" w:hAnsi="Courier New"/>
        <w:sz w:val="20"/>
      </w:rPr>
    </w:lvl>
    <w:lvl w:ilvl="2" w:tplc="4DBE0A9E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  <w:sz w:val="20"/>
      </w:rPr>
    </w:lvl>
    <w:lvl w:ilvl="3" w:tplc="985C7618">
      <w:numFmt w:val="bullet"/>
      <w:lvlText w:val=""/>
      <w:lvlJc w:val="left"/>
      <w:pPr>
        <w:ind w:left="2520" w:firstLine="0"/>
      </w:pPr>
      <w:rPr>
        <w:rFonts w:ascii="Wingdings" w:eastAsia="Wingdings" w:hAnsi="Wingdings" w:cs="Wingdings"/>
        <w:sz w:val="20"/>
      </w:rPr>
    </w:lvl>
    <w:lvl w:ilvl="4" w:tplc="D54A0A80">
      <w:numFmt w:val="bullet"/>
      <w:lvlText w:val=""/>
      <w:lvlJc w:val="left"/>
      <w:pPr>
        <w:ind w:left="3240" w:firstLine="0"/>
      </w:pPr>
      <w:rPr>
        <w:rFonts w:ascii="Wingdings" w:eastAsia="Wingdings" w:hAnsi="Wingdings" w:cs="Wingdings"/>
        <w:sz w:val="20"/>
      </w:rPr>
    </w:lvl>
    <w:lvl w:ilvl="5" w:tplc="2D08D616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  <w:sz w:val="20"/>
      </w:rPr>
    </w:lvl>
    <w:lvl w:ilvl="6" w:tplc="A8D2FF30">
      <w:numFmt w:val="bullet"/>
      <w:lvlText w:val=""/>
      <w:lvlJc w:val="left"/>
      <w:pPr>
        <w:ind w:left="4680" w:firstLine="0"/>
      </w:pPr>
      <w:rPr>
        <w:rFonts w:ascii="Wingdings" w:eastAsia="Wingdings" w:hAnsi="Wingdings" w:cs="Wingdings"/>
        <w:sz w:val="20"/>
      </w:rPr>
    </w:lvl>
    <w:lvl w:ilvl="7" w:tplc="6180E170">
      <w:numFmt w:val="bullet"/>
      <w:lvlText w:val=""/>
      <w:lvlJc w:val="left"/>
      <w:pPr>
        <w:ind w:left="5400" w:firstLine="0"/>
      </w:pPr>
      <w:rPr>
        <w:rFonts w:ascii="Wingdings" w:eastAsia="Wingdings" w:hAnsi="Wingdings" w:cs="Wingdings"/>
        <w:sz w:val="20"/>
      </w:rPr>
    </w:lvl>
    <w:lvl w:ilvl="8" w:tplc="41EC7C9A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  <w:sz w:val="20"/>
      </w:rPr>
    </w:lvl>
  </w:abstractNum>
  <w:abstractNum w:abstractNumId="21" w15:restartNumberingAfterBreak="0">
    <w:nsid w:val="69EB39E4"/>
    <w:multiLevelType w:val="multilevel"/>
    <w:tmpl w:val="28B05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AE636F6"/>
    <w:multiLevelType w:val="multilevel"/>
    <w:tmpl w:val="92540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BF111AF"/>
    <w:multiLevelType w:val="multilevel"/>
    <w:tmpl w:val="2BF01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3689498">
    <w:abstractNumId w:val="10"/>
  </w:num>
  <w:num w:numId="2" w16cid:durableId="1794782726">
    <w:abstractNumId w:val="17"/>
  </w:num>
  <w:num w:numId="3" w16cid:durableId="1402798216">
    <w:abstractNumId w:val="13"/>
  </w:num>
  <w:num w:numId="4" w16cid:durableId="818115950">
    <w:abstractNumId w:val="20"/>
  </w:num>
  <w:num w:numId="5" w16cid:durableId="1305544523">
    <w:abstractNumId w:val="2"/>
  </w:num>
  <w:num w:numId="6" w16cid:durableId="1933930674">
    <w:abstractNumId w:val="3"/>
  </w:num>
  <w:num w:numId="7" w16cid:durableId="2008745344">
    <w:abstractNumId w:val="1"/>
  </w:num>
  <w:num w:numId="8" w16cid:durableId="805053365">
    <w:abstractNumId w:val="0"/>
  </w:num>
  <w:num w:numId="9" w16cid:durableId="914975331">
    <w:abstractNumId w:val="5"/>
  </w:num>
  <w:num w:numId="10" w16cid:durableId="1045251307">
    <w:abstractNumId w:val="16"/>
  </w:num>
  <w:num w:numId="11" w16cid:durableId="666323547">
    <w:abstractNumId w:val="4"/>
  </w:num>
  <w:num w:numId="12" w16cid:durableId="1430852274">
    <w:abstractNumId w:val="18"/>
  </w:num>
  <w:num w:numId="13" w16cid:durableId="919488934">
    <w:abstractNumId w:val="19"/>
  </w:num>
  <w:num w:numId="14" w16cid:durableId="625114073">
    <w:abstractNumId w:val="9"/>
  </w:num>
  <w:num w:numId="15" w16cid:durableId="807088028">
    <w:abstractNumId w:val="21"/>
  </w:num>
  <w:num w:numId="16" w16cid:durableId="703136888">
    <w:abstractNumId w:val="12"/>
  </w:num>
  <w:num w:numId="17" w16cid:durableId="1568882488">
    <w:abstractNumId w:val="8"/>
  </w:num>
  <w:num w:numId="18" w16cid:durableId="502935801">
    <w:abstractNumId w:val="14"/>
  </w:num>
  <w:num w:numId="19" w16cid:durableId="1855804817">
    <w:abstractNumId w:val="23"/>
  </w:num>
  <w:num w:numId="20" w16cid:durableId="111286344">
    <w:abstractNumId w:val="15"/>
  </w:num>
  <w:num w:numId="21" w16cid:durableId="1344867150">
    <w:abstractNumId w:val="7"/>
  </w:num>
  <w:num w:numId="22" w16cid:durableId="2103724520">
    <w:abstractNumId w:val="11"/>
  </w:num>
  <w:num w:numId="23" w16cid:durableId="975645561">
    <w:abstractNumId w:val="6"/>
  </w:num>
  <w:num w:numId="24" w16cid:durableId="155164737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F58"/>
    <w:rsid w:val="00005739"/>
    <w:rsid w:val="001802CF"/>
    <w:rsid w:val="001B1120"/>
    <w:rsid w:val="003A1FD5"/>
    <w:rsid w:val="003A6355"/>
    <w:rsid w:val="003B380F"/>
    <w:rsid w:val="003B6F0A"/>
    <w:rsid w:val="003C5025"/>
    <w:rsid w:val="00427ABE"/>
    <w:rsid w:val="00462532"/>
    <w:rsid w:val="004C125D"/>
    <w:rsid w:val="004D5841"/>
    <w:rsid w:val="005115E2"/>
    <w:rsid w:val="005263AD"/>
    <w:rsid w:val="005646AA"/>
    <w:rsid w:val="005D56E9"/>
    <w:rsid w:val="006E3759"/>
    <w:rsid w:val="007271F9"/>
    <w:rsid w:val="007A6C32"/>
    <w:rsid w:val="007D1D90"/>
    <w:rsid w:val="009519AF"/>
    <w:rsid w:val="00A71530"/>
    <w:rsid w:val="00A95EC3"/>
    <w:rsid w:val="00AD0A54"/>
    <w:rsid w:val="00AF4FD1"/>
    <w:rsid w:val="00AF7966"/>
    <w:rsid w:val="00B91AB9"/>
    <w:rsid w:val="00BE022E"/>
    <w:rsid w:val="00C46C6E"/>
    <w:rsid w:val="00C93A7D"/>
    <w:rsid w:val="00CA4826"/>
    <w:rsid w:val="00CC0574"/>
    <w:rsid w:val="00DB0BA0"/>
    <w:rsid w:val="00E41F58"/>
    <w:rsid w:val="00EC17F6"/>
    <w:rsid w:val="00ED2838"/>
    <w:rsid w:val="00EE6341"/>
    <w:rsid w:val="00F1251F"/>
    <w:rsid w:val="00F72A8A"/>
    <w:rsid w:val="00FA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875F6"/>
  <w15:docId w15:val="{73359E3A-1B8C-4CEE-8F54-5EF7DB866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  <w:spacing w:line="240" w:lineRule="auto"/>
    </w:p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Recuodecorpodetexto">
    <w:name w:val="Body Text Indent"/>
    <w:basedOn w:val="Normal"/>
    <w:qFormat/>
    <w:pPr>
      <w:spacing w:line="240" w:lineRule="auto"/>
      <w:ind w:firstLine="1418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qFormat/>
    <w:pPr>
      <w:spacing w:line="240" w:lineRule="auto"/>
      <w:ind w:left="1985"/>
      <w:jc w:val="both"/>
    </w:pPr>
    <w:rPr>
      <w:rFonts w:ascii="Tahoma" w:eastAsia="Times New Roman" w:hAnsi="Tahoma" w:cs="Times New Roman"/>
      <w:i/>
      <w:sz w:val="24"/>
      <w:szCs w:val="20"/>
      <w:lang w:eastAsia="pt-BR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styleId="Forte">
    <w:name w:val="Strong"/>
    <w:basedOn w:val="Fontepargpadro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_ato2019-2022/2021/lei/l14133.htm?utm_source=chatgp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2013</Words>
  <Characters>10875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andrea.paula</dc:creator>
  <cp:keywords/>
  <dc:description/>
  <cp:lastModifiedBy>Wesley de Melo Souza</cp:lastModifiedBy>
  <cp:revision>5</cp:revision>
  <cp:lastPrinted>2026-09-16T13:28:00Z</cp:lastPrinted>
  <dcterms:created xsi:type="dcterms:W3CDTF">2026-10-20T15:40:00Z</dcterms:created>
  <dcterms:modified xsi:type="dcterms:W3CDTF">2026-10-20T15:42:00Z</dcterms:modified>
</cp:coreProperties>
</file>