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header3.xml" ContentType="application/vnd.openxmlformats-officedocument.wordprocessingml.header+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footer3.xml" ContentType="application/vnd.openxmlformats-officedocument.wordprocessingml.footer+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oter2.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ind w:firstLine="567"/>
        <w:contextualSpacing/>
        <w:jc w:val="center"/>
        <w:rPr>
          <w:rFonts w:ascii="Cambria" w:hAnsi="Cambria" w:eastAsia="MS Mincho" w:cs="Arial" w:asciiTheme="minorHAnsi" w:hAnsiTheme="minorHAnsi"/>
          <w:b/>
          <w:sz w:val="22"/>
          <w:szCs w:val="22"/>
        </w:rPr>
      </w:pPr>
      <w:bookmarkStart w:id="0" w:name="_Hlk82471863"/>
      <w:bookmarkEnd w:id="0"/>
      <w:r>
        <w:rPr>
          <w:rFonts w:eastAsia="MS Mincho" w:cs="Arial" w:ascii="Cambria" w:hAnsi="Cambria" w:asciiTheme="minorHAnsi" w:hAnsiTheme="minorHAnsi"/>
          <w:b/>
          <w:sz w:val="22"/>
          <w:szCs w:val="22"/>
        </w:rPr>
        <w:t>MATRIZ DE RISCOS</w:t>
      </w:r>
    </w:p>
    <w:p>
      <w:pPr>
        <w:pStyle w:val="Normal"/>
        <w:spacing w:lineRule="auto" w:line="312" w:before="0" w:after="288"/>
        <w:ind w:firstLine="567"/>
        <w:contextualSpacing/>
        <w:jc w:val="center"/>
        <w:rPr>
          <w:rFonts w:ascii="Cambria" w:hAnsi="Cambria" w:eastAsia="MS Mincho" w:cs="Arial" w:asciiTheme="minorHAnsi" w:hAnsiTheme="minorHAnsi"/>
          <w:sz w:val="22"/>
          <w:szCs w:val="22"/>
        </w:rPr>
      </w:pPr>
      <w:r>
        <w:rPr>
          <w:rFonts w:eastAsia="MS Mincho" w:cs="Arial" w:ascii="Cambria" w:hAnsi="Cambria" w:asciiTheme="minorHAnsi" w:hAnsiTheme="minorHAnsi"/>
          <w:sz w:val="22"/>
          <w:szCs w:val="22"/>
        </w:rPr>
        <w:t>Lei nº 14.133, de 1º de abril de 2021</w:t>
      </w:r>
    </w:p>
    <w:p>
      <w:pPr>
        <w:pStyle w:val="Normal"/>
        <w:spacing w:lineRule="auto" w:line="312" w:before="0" w:after="288"/>
        <w:ind w:firstLine="567"/>
        <w:contextualSpacing/>
        <w:jc w:val="center"/>
        <w:rPr>
          <w:rFonts w:ascii="Cambria" w:hAnsi="Cambria" w:eastAsia="MS Mincho" w:cs="Arial" w:asciiTheme="minorHAnsi" w:hAnsiTheme="minorHAnsi"/>
          <w:sz w:val="22"/>
          <w:szCs w:val="22"/>
        </w:rPr>
      </w:pPr>
      <w:r>
        <w:rPr>
          <w:rFonts w:eastAsia="MS Mincho" w:cs="Arial" w:ascii="Cambria" w:hAnsi="Cambria"/>
          <w:sz w:val="22"/>
          <w:szCs w:val="22"/>
        </w:rPr>
      </w:r>
      <w:bookmarkStart w:id="1" w:name="_Hlk82471863_Copia_1"/>
      <w:bookmarkStart w:id="2" w:name="_Hlk82471863_Copia_1"/>
      <w:bookmarkEnd w:id="2"/>
    </w:p>
    <w:tbl>
      <w:tblPr>
        <w:tblStyle w:val="Tabelacomgrade"/>
        <w:tblW w:w="9066"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3024"/>
        <w:gridCol w:w="3022"/>
        <w:gridCol w:w="3020"/>
      </w:tblGrid>
      <w:tr>
        <w:trPr/>
        <w:tc>
          <w:tcPr>
            <w:tcW w:w="9066" w:type="dxa"/>
            <w:gridSpan w:val="3"/>
            <w:tcBorders/>
            <w:shd w:color="auto" w:fill="76923C" w:themeFill="accent3" w:themeFillShade="bf"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MATRIZ DE RISCOS – OBRAS DE ENGENHARIA</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01</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Definição de exigências desnecessárias, de caráter restritivo no edital, especialmente no que diz respeito à capacitação técnica profissional e técnico operacional da empresa.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72D95D"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Planejamento da Contratação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Possibilidade de impugnação do edital na fase de seleção do fornecedor ou o certame restar deserto ou fracassado.</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início e, consequentemente, para entrega da obra.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Observar o que dispõe o § 1º e o § 2° , art. 67 da Lei 14.133/2021, especialmente no que se refere às parcelas de maior relevância e valor significativo do objeto da licitação.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Em caso de impugnação, republicação do certame, com a revisão dos itens de qualificação técnica.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 Divisão de Licitação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02</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Impugnações do edital de licitação, por motivos diversos, principalmente os relacionados a erros de projetos e/ou orçamento estimativo.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72D95D"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Seleção do Fornecedor</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Possibilidade de impugnação do edital na fase de seleção do fornecedor ou o certame restar deserto ou fracassado.</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início e, consequentemente, para entrega da obra.</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Para os projetos de engenharia elaborados por empresas terceirizadas, acompanhamento sistemático de sua execução por equipe de fiscalização que contenha profissionais técnicos habilitados para a função.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Para os projetos de engenharia elaborados pela equipe técnica do Município, revisão dos projetos e orçamento, de preferência por profissionais diversos daqueles responsáveis pela sua elaboração.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Em caso de impugnação por erros nos documentos técnicos, solicitar aos responsáveis técnicos que procedam com as correções.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Republicação do Edital</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Licitação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03</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O certame licitatório restar deserto, caso nenhuma empresa se interesse por sua execução ou fracassado, caso nenhuma das propostas apresentadas estejam dentro dos parâmetros estimados pela Administração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00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Seleção do Fornecedor</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Necessidade de republicação da licitação ou da realização de dispensa de licitação, impactando no planejamento da Administração.</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início e, consequentemente, para entrega da obra.</w:t>
            </w:r>
          </w:p>
        </w:tc>
      </w:tr>
      <w:tr>
        <w:trPr>
          <w:trHeight w:val="145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Correto planejamento das exigências postas para a contratação.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Verificar junto às empresas do ramo de atividade quais seriam os motivos do desinteresse pelo serviço no caso da licitação deserta ou revisão dos valores estimados no caso de licitação fracassada para a realização de um novo certame.</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Autospacing="1" w:afterAutospacing="1"/>
              <w:jc w:val="center"/>
              <w:rPr>
                <w:rFonts w:ascii="Times New Roman" w:hAnsi="Times New Roman" w:eastAsia="Times New Roman" w:cs="Times New Roman"/>
                <w:color w:themeColor="text1" w:val="000000"/>
              </w:rPr>
            </w:pPr>
            <w:r>
              <w:rPr>
                <w:rFonts w:eastAsia="Times New Roman" w:cs="Times New Roman" w:ascii="Times New Roman" w:hAnsi="Times New Roman"/>
                <w:color w:themeColor="text1" w:val="000000"/>
                <w:kern w:val="0"/>
                <w:lang w:val="pt-BR" w:bidi="ar-SA"/>
              </w:rPr>
              <w:t>Em caso de licitação fracassada, realizar a convocação dos licitantes remanescentes para negociar nos termos do art. 90, § 2º, da Lei 14.133/2021. Subsidiariamente, proceder à revisão do edital e seus anexos para republicação do certame ou, se for o caso e devidamente justificado, instruir processo de dispensa de licitação com base no art. 75, III, da mesma Lei.</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cs="TimesNewRomanPSMT" w:ascii="Cambria" w:hAnsi="Cambria"/>
                <w:sz w:val="22"/>
                <w:szCs w:val="22"/>
                <w:lang w:eastAsia="en-US"/>
              </w:rPr>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04</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 empresa vencedora do certame quando convocada, não assinar o termo de contrato ou não aceitar ou retirar o instrumento equivalente.</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FF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início e, consequentemente, para entrega da obra.</w:t>
            </w:r>
          </w:p>
        </w:tc>
      </w:tr>
      <w:tr>
        <w:trPr>
          <w:trHeight w:val="1541"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Prever, dentre as cláusulas contratuais, sanções que contemplem esta situação.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Observar o prazo de validade da proposta apresentada na fase de</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licitação e enviar o contrato para assinatura dentro do prazo de vigência da proposta.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Licitação</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 xml:space="preserve">Nos termos do </w:t>
            </w:r>
            <w:r>
              <w:rPr>
                <w:rFonts w:eastAsia="ＭＳ 明朝" w:cs="Arial" w:ascii="Cambria" w:hAnsi="Cambria" w:asciiTheme="minorHAnsi" w:hAnsiTheme="minorHAnsi"/>
                <w:color w:val="000000"/>
                <w:kern w:val="0"/>
                <w:sz w:val="22"/>
                <w:szCs w:val="22"/>
                <w:lang w:val="pt-BR" w:bidi="ar-SA"/>
              </w:rPr>
              <w:t>§ 2º</w:t>
            </w:r>
            <w:r>
              <w:rPr>
                <w:rFonts w:eastAsia="ＭＳ 明朝" w:cs="TimesNewRomanPSMT" w:ascii="Cambria" w:hAnsi="Cambria" w:asciiTheme="minorHAnsi" w:hAnsiTheme="minorHAnsi"/>
                <w:kern w:val="0"/>
                <w:sz w:val="22"/>
                <w:szCs w:val="22"/>
                <w:lang w:val="pt-BR" w:eastAsia="en-US" w:bidi="ar-SA"/>
              </w:rPr>
              <w:t>, art. 90 da Lei 14.133/2021, convocar os licitantes remanescentes, na ordem de classificação, para a celebração do contrato nas condições ofertadas pelo licitante vencedor.</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Licitação</w:t>
            </w:r>
          </w:p>
        </w:tc>
      </w:tr>
      <w:tr>
        <w:trPr>
          <w:trHeight w:val="1449"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Aplicar as sanções previstas na contratação.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Gestor do Contrato/Comissão de Processo Administrativo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05</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Atrasos na assinatura do contrato ou na entrega das garantias contratuais.</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início e, consequentemente, para entrega da obra.</w:t>
            </w:r>
          </w:p>
        </w:tc>
      </w:tr>
      <w:tr>
        <w:trPr>
          <w:trHeight w:val="1541"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Prever, dentre as cláusulas contratuais, sanções que contemplem esta situação.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Observar os prazos previstos para entrega do contrato assinado e das</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garantias contratuais e acompanhar a entrega, notificando a contratada caso seja verificada a ocorrência de atrasos.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Licitação/Gestor do Contrato</w:t>
            </w:r>
          </w:p>
          <w:p>
            <w:pPr>
              <w:pStyle w:val="Normal"/>
              <w:widowControl/>
              <w:suppressAutoHyphens w:val="true"/>
              <w:spacing w:before="0" w:after="0"/>
              <w:jc w:val="center"/>
              <w:rPr>
                <w:rFonts w:ascii="Cambria" w:hAnsi="Cambria" w:asciiTheme="minorHAnsi" w:hAnsiTheme="minorHAnsi"/>
                <w:sz w:val="22"/>
                <w:szCs w:val="22"/>
                <w:lang w:eastAsia="en-US"/>
              </w:rPr>
            </w:pPr>
            <w:r>
              <w:rPr>
                <w:rFonts w:asciiTheme="minorHAnsi" w:hAnsiTheme="minorHAnsi" w:ascii="Cambria" w:hAnsi="Cambria"/>
                <w:sz w:val="22"/>
                <w:szCs w:val="22"/>
                <w:lang w:eastAsia="en-US"/>
              </w:rPr>
            </w:r>
          </w:p>
          <w:p>
            <w:pPr>
              <w:pStyle w:val="Normal"/>
              <w:widowControl/>
              <w:suppressAutoHyphens w:val="true"/>
              <w:spacing w:before="0" w:after="0"/>
              <w:jc w:val="center"/>
              <w:rPr>
                <w:rFonts w:ascii="Cambria" w:hAnsi="Cambria" w:asciiTheme="minorHAnsi" w:hAnsiTheme="minorHAnsi"/>
                <w:sz w:val="22"/>
                <w:szCs w:val="22"/>
                <w:lang w:eastAsia="en-US"/>
              </w:rPr>
            </w:pPr>
            <w:r>
              <w:rPr>
                <w:rFonts w:asciiTheme="minorHAnsi" w:hAnsiTheme="minorHAnsi" w:ascii="Cambria" w:hAnsi="Cambria"/>
                <w:sz w:val="22"/>
                <w:szCs w:val="22"/>
                <w:lang w:eastAsia="en-US"/>
              </w:rPr>
            </w:r>
          </w:p>
          <w:p>
            <w:pPr>
              <w:pStyle w:val="Normal"/>
              <w:widowControl/>
              <w:suppressAutoHyphens w:val="true"/>
              <w:spacing w:before="0" w:after="0"/>
              <w:jc w:val="center"/>
              <w:rPr>
                <w:rFonts w:ascii="Cambria" w:hAnsi="Cambria" w:asciiTheme="minorHAnsi" w:hAnsiTheme="minorHAnsi"/>
                <w:sz w:val="22"/>
                <w:szCs w:val="22"/>
                <w:lang w:eastAsia="en-US"/>
              </w:rPr>
            </w:pPr>
            <w:r>
              <w:rPr>
                <w:rFonts w:asciiTheme="minorHAnsi" w:hAnsiTheme="minorHAnsi" w:ascii="Cambria" w:hAnsi="Cambria"/>
                <w:sz w:val="22"/>
                <w:szCs w:val="22"/>
                <w:lang w:eastAsia="en-US"/>
              </w:rPr>
            </w:r>
          </w:p>
          <w:p>
            <w:pPr>
              <w:pStyle w:val="Normal"/>
              <w:widowControl/>
              <w:suppressAutoHyphens w:val="true"/>
              <w:spacing w:before="0" w:after="0"/>
              <w:jc w:val="center"/>
              <w:rPr>
                <w:rFonts w:ascii="Cambria" w:hAnsi="Cambria" w:asciiTheme="minorHAnsi" w:hAnsiTheme="minorHAnsi"/>
                <w:sz w:val="22"/>
                <w:szCs w:val="22"/>
                <w:lang w:eastAsia="en-US"/>
              </w:rPr>
            </w:pPr>
            <w:r>
              <w:rPr>
                <w:rFonts w:asciiTheme="minorHAnsi" w:hAnsiTheme="minorHAnsi" w:ascii="Cambria" w:hAnsi="Cambria"/>
                <w:sz w:val="22"/>
                <w:szCs w:val="22"/>
                <w:lang w:eastAsia="en-US"/>
              </w:rPr>
            </w:r>
          </w:p>
        </w:tc>
      </w:tr>
      <w:tr>
        <w:trPr>
          <w:trHeight w:val="118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Aplicar as sanções previstas no contrato.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Gestor do Contrato/Comissão de Processo Administrativo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06</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Impossibilidade de início da obra, após a emissão da Ordem de Serviço, por restrições da Contratante (liberação do local de implantação, necessidade de execução prévia de outro serviço, interferências com outras atividades etc.).</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FF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início e, consequentemente, para entrega da obra.</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Possibilidade de aumento de custos não previstos, principalmente com mobilização e desmobilização da equipe e de equipamentos, aluguéis de estruturas para abrigar o canteiro de obras, gerenciamento de obras, dentre outros que poderão ser reclamados pela Contratada.</w:t>
            </w:r>
          </w:p>
        </w:tc>
      </w:tr>
      <w:tr>
        <w:trPr>
          <w:trHeight w:val="2251"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Verificar junto ao setor competente, antes da emissão da Ordem de Serviço, se há algum impedimento para início da</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execução dos serviços nos prazos determinados na contratação.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Desenvolvimento Rural, Agricultura e Meio Ambiente</w:t>
            </w:r>
          </w:p>
        </w:tc>
      </w:tr>
      <w:tr>
        <w:trPr>
          <w:trHeight w:val="2023"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Suspender a emissão da Ordem de Serviço, solicitando que a Contratada não realize a mobilização até que os serviços sejam novamente liberados.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w:t>
            </w:r>
          </w:p>
        </w:tc>
      </w:tr>
      <w:tr>
        <w:trPr>
          <w:trHeight w:val="2023"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Verificar a necessidade de alterações contratuais para prorrogação dos prazos de execução e vigência do contrato.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 Gestor do Contrato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07</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Alterações no projeto básico/ executivo inicialmente contratados, por solicitação da Contratante.</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Aumento dos custos inicialmente previstos para a execução do objeto.</w:t>
            </w:r>
          </w:p>
        </w:tc>
      </w:tr>
      <w:tr>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Possibilidade de ocorrências de atrasos para entrega da obra.</w:t>
            </w:r>
          </w:p>
        </w:tc>
      </w:tr>
      <w:tr>
        <w:trPr>
          <w:trHeight w:val="2251"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left"/>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 xml:space="preserve">Elaboração dos projetos de engenharia para pavimentação de forma participativa, fundamentados nas diretrizes técnicas aplicáveis e alinhados às necessidades apresentadas pela Secretaria requisitante. </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 Secretaria Municipal de Desenvolvimento Rural, Agricultura e Meio Ambiente</w:t>
            </w:r>
          </w:p>
        </w:tc>
      </w:tr>
      <w:tr>
        <w:trPr>
          <w:trHeight w:val="2023"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Revisão do escopo da contratação, realizando-se uma alteração contratual de prazo e/ou financeira, a ser analisada no caso concreto.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 Gestor do Contrato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08</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Identificação de falhas ou omissões em qualquer das peças, orçamentos, plantas, especificações ou memoriais que compõe a contratação, que sejam irrelevantes.</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FF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ormal"/>
              <w:widowControl/>
              <w:suppressAutoHyphens w:val="true"/>
              <w:spacing w:before="0" w:after="0"/>
              <w:jc w:val="center"/>
              <w:rPr>
                <w:rFonts w:ascii="Times New Roman" w:hAnsi="Times New Roman" w:eastAsia="Times New Roman" w:cs="Times New Roman"/>
                <w:color w:themeColor="text1" w:val="000000"/>
              </w:rPr>
            </w:pPr>
            <w:r>
              <w:rPr>
                <w:rFonts w:eastAsia="Times New Roman" w:cs="Times New Roman" w:ascii="Times New Roman" w:hAnsi="Times New Roman"/>
                <w:color w:themeColor="text1" w:val="000000"/>
                <w:kern w:val="0"/>
                <w:lang w:val="pt-BR" w:bidi="ar-SA"/>
              </w:rPr>
              <w:t>Compartilhado</w:t>
            </w:r>
          </w:p>
          <w:p>
            <w:pPr>
              <w:pStyle w:val="Nivel2"/>
              <w:widowControl/>
              <w:suppressAutoHyphens w:val="true"/>
              <w:spacing w:before="0" w:after="120"/>
              <w:rPr>
                <w:rFonts w:ascii="Cambria" w:hAnsi="Cambria" w:asciiTheme="minorHAnsi" w:hAnsiTheme="minorHAnsi"/>
                <w:sz w:val="22"/>
                <w:szCs w:val="22"/>
              </w:rPr>
            </w:pPr>
            <w:r>
              <w:rPr>
                <w:rFonts w:asciiTheme="minorHAnsi" w:hAnsiTheme="minorHAnsi"/>
                <w:sz w:val="22"/>
                <w:szCs w:val="22"/>
              </w:rPr>
            </w:r>
          </w:p>
        </w:tc>
      </w:tr>
      <w:tr>
        <w:trPr>
          <w:trHeight w:val="1007"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e/ou prazos inicialmente previstos para execução da obra.</w:t>
            </w:r>
          </w:p>
        </w:tc>
      </w:tr>
      <w:tr>
        <w:trPr>
          <w:trHeight w:val="2251"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Para os projetos de engenharia elaborados por empresas terceirizadas, acompanhamento sistemático de sua execução por equipe de fiscalização que contenha profissionais técnicos</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habilitados para a função.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rHeight w:val="469"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Para os projetos de engenharia elaborados pela equipe técnica do Município, revisão dos projetos e orçamento, de preferência por profissionais diversos daqueles responsáveis pela sua elaboração.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rHeight w:val="1553"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Prever, dentre as cláusulas do contratuais, que tais custos serão absorvidos pela Contratada.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 Procuradoria Jurídica</w:t>
            </w:r>
          </w:p>
        </w:tc>
      </w:tr>
      <w:tr>
        <w:trPr>
          <w:trHeight w:val="1610"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 xml:space="preserve">Caso a Contratada venha requerer valores decorrentes de falhas ou omissões irrelevantes de sua própria responsabilidade, a fiscalização deverá </w:t>
            </w:r>
            <w:r>
              <w:rPr>
                <w:rFonts w:eastAsia="ＭＳ 明朝" w:cs="TimesNewRomanPSMT" w:ascii="Cambria" w:hAnsi="Cambria" w:asciiTheme="minorHAnsi" w:hAnsiTheme="minorHAnsi"/>
                <w:b/>
                <w:bCs/>
                <w:kern w:val="0"/>
                <w:sz w:val="22"/>
                <w:szCs w:val="22"/>
                <w:lang w:val="pt-BR" w:eastAsia="en-US" w:bidi="ar-SA"/>
              </w:rPr>
              <w:t>indeferir o pedido</w:t>
            </w:r>
            <w:r>
              <w:rPr>
                <w:rFonts w:eastAsia="ＭＳ 明朝" w:cs="TimesNewRomanPSMT" w:ascii="Cambria" w:hAnsi="Cambria" w:asciiTheme="minorHAnsi" w:hAnsiTheme="minorHAnsi"/>
                <w:kern w:val="0"/>
                <w:sz w:val="22"/>
                <w:szCs w:val="22"/>
                <w:lang w:val="pt-BR" w:eastAsia="en-US" w:bidi="ar-SA"/>
              </w:rPr>
              <w:t>, nos termos das cláusulas contratuais.</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 xml:space="preserve">Identificada alguma falha, a Fiscalização deverá, </w:t>
            </w:r>
            <w:r>
              <w:rPr>
                <w:rFonts w:eastAsia="ＭＳ 明朝" w:cs="TimesNewRomanPSMT" w:ascii="Cambria" w:hAnsi="Cambria" w:asciiTheme="minorHAnsi" w:hAnsiTheme="minorHAnsi"/>
                <w:b/>
                <w:bCs/>
                <w:kern w:val="0"/>
                <w:sz w:val="22"/>
                <w:szCs w:val="22"/>
                <w:lang w:val="pt-BR" w:eastAsia="en-US" w:bidi="ar-SA"/>
              </w:rPr>
              <w:t>em conjunto com a Contratada</w:t>
            </w:r>
            <w:r>
              <w:rPr>
                <w:rFonts w:eastAsia="ＭＳ 明朝" w:cs="TimesNewRomanPSMT" w:ascii="Cambria" w:hAnsi="Cambria" w:asciiTheme="minorHAnsi" w:hAnsiTheme="minorHAnsi"/>
                <w:kern w:val="0"/>
                <w:sz w:val="22"/>
                <w:szCs w:val="22"/>
                <w:lang w:val="pt-BR" w:eastAsia="en-US" w:bidi="ar-SA"/>
              </w:rPr>
              <w:t xml:space="preserve">, analisar sua repercussão. Caso fique demonstrado que a falha </w:t>
            </w:r>
            <w:r>
              <w:rPr>
                <w:rFonts w:eastAsia="ＭＳ 明朝" w:cs="TimesNewRomanPSMT" w:ascii="Cambria" w:hAnsi="Cambria" w:asciiTheme="minorHAnsi" w:hAnsiTheme="minorHAnsi"/>
                <w:b/>
                <w:bCs/>
                <w:kern w:val="0"/>
                <w:sz w:val="22"/>
                <w:szCs w:val="22"/>
                <w:lang w:val="pt-BR" w:eastAsia="en-US" w:bidi="ar-SA"/>
              </w:rPr>
              <w:t>tem origem no projeto ou documento fornecido pela Contratante</w:t>
            </w:r>
            <w:r>
              <w:rPr>
                <w:rFonts w:eastAsia="ＭＳ 明朝" w:cs="TimesNewRomanPSMT" w:ascii="Cambria" w:hAnsi="Cambria" w:asciiTheme="minorHAnsi" w:hAnsiTheme="minorHAnsi"/>
                <w:kern w:val="0"/>
                <w:sz w:val="22"/>
                <w:szCs w:val="22"/>
                <w:lang w:val="pt-BR" w:eastAsia="en-US" w:bidi="ar-SA"/>
              </w:rPr>
              <w:t xml:space="preserve"> e que dela decorrem custos adicionais, deverá ser formalizado o devido </w:t>
            </w:r>
            <w:r>
              <w:rPr>
                <w:rFonts w:eastAsia="ＭＳ 明朝" w:cs="TimesNewRomanPSMT" w:ascii="Cambria" w:hAnsi="Cambria" w:asciiTheme="minorHAnsi" w:hAnsiTheme="minorHAnsi"/>
                <w:b/>
                <w:bCs/>
                <w:kern w:val="0"/>
                <w:sz w:val="22"/>
                <w:szCs w:val="22"/>
                <w:lang w:val="pt-BR" w:eastAsia="en-US" w:bidi="ar-SA"/>
              </w:rPr>
              <w:t>termo aditivo</w:t>
            </w:r>
            <w:r>
              <w:rPr>
                <w:rFonts w:eastAsia="ＭＳ 明朝" w:cs="TimesNewRomanPSMT" w:ascii="Cambria" w:hAnsi="Cambria" w:asciiTheme="minorHAnsi" w:hAnsiTheme="minorHAnsi"/>
                <w:kern w:val="0"/>
                <w:sz w:val="22"/>
                <w:szCs w:val="22"/>
                <w:lang w:val="pt-BR" w:eastAsia="en-US" w:bidi="ar-SA"/>
              </w:rPr>
              <w:t>, conforme limites legais estabelecidos pelo art. 103 da Lei 14.133/2021.</w:t>
              <w:br/>
              <w:t>Fiscalização Técnica</w:t>
            </w:r>
          </w:p>
          <w:p>
            <w:pPr>
              <w:pStyle w:val="Normal"/>
              <w:widowControl/>
              <w:suppressAutoHyphens w:val="true"/>
              <w:spacing w:before="0" w:after="0"/>
              <w:jc w:val="left"/>
              <w:rPr>
                <w:rFonts w:ascii="Cambria" w:hAnsi="Cambria" w:asciiTheme="minorHAnsi" w:hAnsiTheme="minorHAnsi"/>
                <w:b/>
                <w:color w:val="FF0000"/>
                <w:sz w:val="22"/>
                <w:szCs w:val="22"/>
              </w:rPr>
            </w:pPr>
            <w:r>
              <w:rPr>
                <w:rFonts w:asciiTheme="minorHAnsi" w:hAnsiTheme="minorHAnsi" w:ascii="Cambria" w:hAnsi="Cambria"/>
                <w:b/>
                <w:color w:val="FF0000"/>
                <w:sz w:val="22"/>
                <w:szCs w:val="22"/>
              </w:rPr>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09</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Diferença entre os quantitativos da planilha de orçamento e os quantitativos que serão efetivamente</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executados na obra, devido às incertezas inerentes ao objeto ou a alguns serviços que compõe o objeto.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1007"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e/ou prazos inicialmente previstos para execução da obra.</w:t>
            </w:r>
          </w:p>
        </w:tc>
      </w:tr>
      <w:tr>
        <w:trPr>
          <w:trHeight w:val="2635"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Para os projetos de engenharia elaborados por empresas terceirizadas, acompanhamento sistemático de sua execução por equipe de fiscalização que contenha profissionais técnicos</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habilitados para a função.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rHeight w:val="2635"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Para os projetos de engenharia elaborados pela equipe técnica do Município, revisão dos projetos e orçamento, de preferência por profissionais diversos daqueles responsáveis pela sua elaboração.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w:t>
            </w:r>
          </w:p>
        </w:tc>
      </w:tr>
      <w:tr>
        <w:trPr>
          <w:trHeight w:val="611"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Para as obras contratadas por preço global, a remuneração da contratada será após a execução de cada etapa,</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previamente definida no cronograma físico-financeiro. As medições</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de campo das quantidades realizadas devem ser precisas apenas o suficiente para definir o percentual executado.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10</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Preços de insumos que compõe a execução do objeto abaixo do preço de mercado.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1007"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inicialmente previstos para execução da obra.</w:t>
            </w:r>
          </w:p>
        </w:tc>
      </w:tr>
      <w:tr>
        <w:trPr>
          <w:trHeight w:val="1791"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Arial" w:asciiTheme="minorHAnsi" w:hAnsiTheme="minorHAnsi"/>
                <w:sz w:val="22"/>
                <w:szCs w:val="22"/>
                <w:lang w:eastAsia="en-US"/>
              </w:rPr>
            </w:pPr>
            <w:r>
              <w:rPr>
                <w:rFonts w:eastAsia="ＭＳ 明朝" w:cs="Arial" w:ascii="Cambria" w:hAnsi="Cambria" w:asciiTheme="minorHAnsi" w:hAnsiTheme="minorHAnsi"/>
                <w:kern w:val="0"/>
                <w:sz w:val="22"/>
                <w:szCs w:val="22"/>
                <w:lang w:val="pt-BR" w:eastAsia="en-US" w:bidi="ar-SA"/>
              </w:rPr>
              <w:t>Prever, dentre as cláusulas contratuais, que não será realizada alteração contratual para aumento dos preços fornecidos pela</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Arial" w:ascii="Cambria" w:hAnsi="Cambria" w:asciiTheme="minorHAnsi" w:hAnsiTheme="minorHAnsi"/>
                <w:kern w:val="0"/>
                <w:sz w:val="22"/>
                <w:szCs w:val="22"/>
                <w:lang w:val="pt-BR" w:eastAsia="en-US" w:bidi="ar-SA"/>
              </w:rPr>
              <w:t>Contratada.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w:t>
            </w:r>
          </w:p>
        </w:tc>
      </w:tr>
      <w:tr>
        <w:trPr>
          <w:trHeight w:val="1689"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Caso a Contratada venha requerer tais valores, a alteração contratual deverá ser negada pela fiscalização.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11</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Execução dos serviços com qualidade abaixo da especificada na contratação e/ou em desacordo com normas técnicas e legislações vigentes.</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00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1007"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inicialmente previstos para execução da obra.</w:t>
            </w:r>
          </w:p>
        </w:tc>
      </w:tr>
      <w:tr>
        <w:trPr>
          <w:trHeight w:val="1007"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conclusão da obra decorrentes da necessidade de refazer serviços.</w:t>
            </w:r>
          </w:p>
        </w:tc>
      </w:tr>
      <w:tr>
        <w:trPr>
          <w:trHeight w:val="1122"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 xml:space="preserve">Fiscalizar continuamente a execução dos serviços, realizando visitas </w:t>
            </w:r>
            <w:r>
              <w:rPr>
                <w:rFonts w:eastAsia="ＭＳ 明朝" w:cs="TimesNewRomanPS-ItalicMT" w:ascii="Cambria" w:hAnsi="Cambria" w:asciiTheme="minorHAnsi" w:hAnsiTheme="minorHAnsi"/>
                <w:i/>
                <w:iCs/>
                <w:kern w:val="0"/>
                <w:sz w:val="22"/>
                <w:szCs w:val="22"/>
                <w:lang w:val="pt-BR" w:eastAsia="en-US" w:bidi="ar-SA"/>
              </w:rPr>
              <w:t>in loco</w:t>
            </w:r>
            <w:r>
              <w:rPr>
                <w:rFonts w:eastAsia="ＭＳ 明朝" w:cs="TimesNewRomanPSMT" w:ascii="Cambria" w:hAnsi="Cambria" w:asciiTheme="minorHAnsi" w:hAnsiTheme="minorHAnsi"/>
                <w:kern w:val="0"/>
                <w:sz w:val="22"/>
                <w:szCs w:val="22"/>
                <w:lang w:val="pt-BR" w:eastAsia="en-US" w:bidi="ar-SA"/>
              </w:rPr>
              <w:t>.</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w:t>
            </w:r>
          </w:p>
        </w:tc>
      </w:tr>
      <w:tr>
        <w:trPr>
          <w:trHeight w:val="1141"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Arial"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dentre as cláusulas contratuais, sanções que contemplem esta situação.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1604"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Notificar prontamente a Contratada sempre que verificada a necessidade de correção de algum serviço já executado.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w:t>
            </w:r>
          </w:p>
        </w:tc>
      </w:tr>
      <w:tr>
        <w:trPr>
          <w:trHeight w:val="852"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Aplicação das sanções previstas na contratação.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 Comissão de Processo Administrativo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12</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Alteração da legislação, regulamentos e normas que causem alterações no projeto inicialmente contratado.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rHeight w:val="1043"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e/ou prazos inicialmente previstos para execução da obra.</w:t>
            </w:r>
          </w:p>
        </w:tc>
      </w:tr>
      <w:tr>
        <w:trPr>
          <w:trHeight w:val="1043"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inicialmente previstos para execução da obra.</w:t>
            </w:r>
          </w:p>
        </w:tc>
      </w:tr>
      <w:tr>
        <w:trPr>
          <w:trHeight w:val="1349"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Não identificadas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w:t>
            </w:r>
          </w:p>
        </w:tc>
      </w:tr>
      <w:tr>
        <w:trPr>
          <w:trHeight w:val="160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Revisão do escopo da contratação, realizando-se uma alteração contratual de prazo e/ou financeira, a ser analisada no caso concreto.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 Gestor do Contrato/Divisão de Licitação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13</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Ocorrência de acidentes de trabalho durante a execução dos serviços.</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1043"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cs="TimesNewRomanPSMT" w:ascii="Cambria" w:hAnsi="Cambria" w:asciiTheme="minorHAnsi" w:hAnsiTheme="minorHAnsi"/>
                <w:kern w:val="0"/>
                <w:sz w:val="22"/>
                <w:szCs w:val="22"/>
                <w:lang w:val="pt-BR" w:eastAsia="en-US" w:bidi="ar-SA"/>
              </w:rPr>
              <w:t>Prejuízos ao trabalhador com a ocorrência de lesão corporal ou perturbação funcional que causa a morte, a perda ou redução, permanente ou temporária, da capacidade para o trabalho</w:t>
            </w:r>
            <w:r>
              <w:rPr>
                <w:rFonts w:eastAsia="ＭＳ 明朝" w:ascii="Cambria" w:hAnsi="Cambria" w:asciiTheme="minorHAnsi" w:hAnsiTheme="minorHAnsi"/>
                <w:kern w:val="0"/>
                <w:sz w:val="22"/>
                <w:szCs w:val="22"/>
                <w:lang w:val="pt-BR" w:bidi="ar-SA"/>
              </w:rPr>
              <w:t>.</w:t>
            </w:r>
          </w:p>
        </w:tc>
      </w:tr>
      <w:tr>
        <w:trPr>
          <w:trHeight w:val="734"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Onerar o contrato com a possibilidade de pagamento de indenizações.</w:t>
            </w:r>
          </w:p>
        </w:tc>
      </w:tr>
      <w:tr>
        <w:trPr>
          <w:trHeight w:val="1745"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Prever, dentre as cláusulas do contratuais, que a Contratada deverá responder por qualquer acidente de trabalho na execução dos serviços.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 Procuradoria Jurídica</w:t>
            </w:r>
          </w:p>
        </w:tc>
      </w:tr>
      <w:tr>
        <w:trPr>
          <w:trHeight w:val="1887"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dentre as cláusulas contratuais, que a Contratada deverá cumprir as Normas Regulamentadoras de Segurança no Trabalho.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 Procuradoria Jurídica</w:t>
            </w:r>
          </w:p>
        </w:tc>
      </w:tr>
      <w:tr>
        <w:trPr>
          <w:trHeight w:val="2820"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Avaliar, durante as visitas rotineiras da equipe de fiscalização, as condições do canteiro de obras, verificando a utilização de</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Equipamentos de Proteção Individual e a instalação de</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Equipamentos de Proteção Coletiva.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w:t>
            </w:r>
          </w:p>
        </w:tc>
      </w:tr>
      <w:tr>
        <w:trPr>
          <w:trHeight w:val="169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Notificar a Contratada, caso sejam verificadas irregularidades em</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relação às normas de segurança no trabalho.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w:t>
            </w:r>
          </w:p>
        </w:tc>
      </w:tr>
      <w:tr>
        <w:trPr>
          <w:trHeight w:val="1694"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Em caso de persistência da irregularidade, instaurar processo para aplicação das sanções previstas na contratação.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Contrato/Comissão de Processo Administrativo</w:t>
            </w:r>
          </w:p>
        </w:tc>
      </w:tr>
      <w:tr>
        <w:trPr>
          <w:trHeight w:val="1036"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Em caso de acidentes, solicitar que a Contratada realize os procedimentos administrativos necessários junto aos órgãos competentes e encaminhe à fiscalização a Comunicação de Acidente</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de Trabalho (CAT) registrada junto à Previdência Social.</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14</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Ocorrência de roubos e furtos na obra.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1043"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Prejuízos e aumento dos custos inicialmente previstos para execução da obra.</w:t>
            </w:r>
          </w:p>
        </w:tc>
      </w:tr>
      <w:tr>
        <w:trPr>
          <w:trHeight w:val="217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Prever, dentre as cláusulas contratuais, que a Contratada deverá manter vigilância da obra e se responsaeú</w:t>
            </w:r>
          </w:p>
          <w:p>
            <w:pPr>
              <w:pStyle w:val="Normal"/>
              <w:widowControl/>
              <w:suppressAutoHyphens w:val="true"/>
              <w:spacing w:before="0" w:after="0"/>
              <w:jc w:val="center"/>
              <w:rPr>
                <w:rFonts w:ascii="Cambria" w:hAnsi="Cambria" w:asciiTheme="minorHAnsi" w:hAnsiTheme="minorHAnsi"/>
                <w:b/>
                <w:sz w:val="22"/>
                <w:szCs w:val="22"/>
              </w:rPr>
            </w:pPr>
            <w:r>
              <w:rPr/>
            </w:r>
          </w:p>
          <w:p>
            <w:pPr>
              <w:pStyle w:val="Normal"/>
              <w:widowControl/>
              <w:suppressAutoHyphens w:val="true"/>
              <w:spacing w:before="0" w:after="0"/>
              <w:jc w:val="center"/>
              <w:rPr>
                <w:rFonts w:ascii="Cambria" w:hAnsi="Cambria" w:asciiTheme="minorHAnsi" w:hAnsiTheme="minorHAnsi"/>
                <w:b/>
                <w:sz w:val="22"/>
                <w:szCs w:val="22"/>
              </w:rPr>
            </w:pPr>
            <w:r>
              <w:rPr/>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bilizará pelos danos e prejuízos oriundos de roubos e furtos.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1269"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Não identificadas.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15</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Atrasos da obra decorrentes de chuvas ou outros eventos climáticos e ambientais.</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Compartilhado</w:t>
            </w:r>
          </w:p>
        </w:tc>
      </w:tr>
      <w:tr>
        <w:trPr>
          <w:trHeight w:val="753"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para entrega da obra.</w:t>
            </w:r>
          </w:p>
        </w:tc>
      </w:tr>
      <w:tr>
        <w:trPr>
          <w:trHeight w:val="217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dentre as cláusulas contratuais, que a Contratada arcará com os prejuízos advindos de chuvas ocorridas dentro das médias históricas dos últimos 12 meses, sendo justificável atrasos na</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execução da obra somente se registradas chuvas acima da média histórica.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160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Avaliar, caso seja solicitada prorrogação do prazo de execução do objeto pela Contratada, se as chuvas ocorridas preenchem os</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requisitos de excepcionalidade. Em caso afirmativo, realizar a</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prorrogação do prazo de execução. Caso contrário, avaliar a necessidade de prorrogação da vigência contratual.</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16</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Aumento nos custos de quaisquer dos insumos que compõem a execução da obra, não decorrentes de alterações tributárias ou políticas públicas, ensejando aumentos de custos superiores aos índices de reajuste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753"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inicialmente previstos para execução da obra.</w:t>
            </w:r>
          </w:p>
        </w:tc>
      </w:tr>
      <w:tr>
        <w:trPr>
          <w:trHeight w:val="2977"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dentre as cláusulas contratuais, que a Contratada arcará com aumento nos custos de quaisquer dos insumos que</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compõem a execução da obra, não decorrentes de alterações tributárias ou políticas públicas, ensejando aumentos de custos superiores aos índices de reajuste contratual.</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108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Não identificadas.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17</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Alteração nos custos de quaisquer dos insumos que compõem a execução da obra, decorrentes de alterações tributárias ou políticas públicas, ensejando aumentos ou redução de custos.</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Compartilhado</w:t>
            </w:r>
          </w:p>
        </w:tc>
      </w:tr>
      <w:tr>
        <w:trPr>
          <w:trHeight w:val="753"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inicialmente previstos para execução da obra.</w:t>
            </w:r>
          </w:p>
        </w:tc>
      </w:tr>
      <w:tr>
        <w:trPr>
          <w:trHeight w:val="113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Não identificadas.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w:t>
            </w:r>
          </w:p>
        </w:tc>
      </w:tr>
      <w:tr>
        <w:trPr>
          <w:trHeight w:val="160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Para estes casos, a Contratante procederá a correção dos valores</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pagos, considerando as novas alíquotas vigente.</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18</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Prejuízos decorrentes de incêndios, alagamentos da obra ou outros decorrentes de fenômenos climáticos.</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00B05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753"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Alteração dos custos inicialmente previstos para execução da obra.</w:t>
            </w:r>
          </w:p>
        </w:tc>
      </w:tr>
      <w:tr>
        <w:trPr>
          <w:trHeight w:val="753"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Atrasos na execução do objeto</w:t>
            </w:r>
          </w:p>
        </w:tc>
      </w:tr>
      <w:tr>
        <w:trPr>
          <w:trHeight w:val="1320"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dentre as cláusulas do contrato, que a Contratada arcará com os prejuízos decorrentes de incêndios, alagamentos da</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 xml:space="preserve">obra ou outros decorrentes de fenômenos climáticos, </w:t>
            </w:r>
            <w:r>
              <w:rPr>
                <w:rFonts w:eastAsia="ＭＳ 明朝" w:cs="Arial" w:ascii="Cambria" w:hAnsi="Cambria" w:asciiTheme="minorHAnsi" w:hAnsiTheme="minorHAnsi"/>
                <w:bCs/>
                <w:color w:val="000000"/>
                <w:kern w:val="0"/>
                <w:sz w:val="22"/>
                <w:szCs w:val="22"/>
                <w:lang w:val="pt-BR" w:bidi="ar-SA"/>
              </w:rPr>
              <w:t>desde que resultantes de ação, omissão, falha técnica, negligência, imperícia ou não observância das normas aplicáveis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160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Solicitar que a Contratada providencie os reparos necessários para entrega do objeto nas condições inicialmente previstas na</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contratação.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19</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Risco de inadimplência da Contratante.</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FF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rHeight w:val="753"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cs="TimesNewRomanPSMT" w:ascii="Cambria" w:hAnsi="Cambria" w:asciiTheme="minorHAnsi" w:hAnsiTheme="minorHAnsi"/>
                <w:kern w:val="0"/>
                <w:sz w:val="22"/>
                <w:szCs w:val="22"/>
                <w:lang w:val="pt-BR" w:eastAsia="en-US" w:bidi="ar-SA"/>
              </w:rPr>
              <w:t>Em caso de atraso superior a 90 (noventa) dias dos pagamentos devidos pela Administração, o Contratado poderá optar pela suspensão do cumprimento de suas obrigações até que seja normalizada a situação.</w:t>
            </w:r>
          </w:p>
        </w:tc>
      </w:tr>
      <w:tr>
        <w:trPr>
          <w:trHeight w:val="387"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Atrasos para entrega da obra.</w:t>
            </w:r>
          </w:p>
        </w:tc>
      </w:tr>
      <w:tr>
        <w:trPr>
          <w:trHeight w:val="1320"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Licitação da obra somente com a garantia da disponibilidade do</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recurso orçamentário, indicada pelo setor competente.</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SSecretaria de Desenvolvimento Rural, Agricultura e Meio Ambiente/Secretaria Municipal de Finanças</w:t>
            </w:r>
          </w:p>
        </w:tc>
      </w:tr>
      <w:tr>
        <w:trPr>
          <w:trHeight w:val="1604"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Em caso de dificuldades no repasse de recursos orçamentários pelo</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Governo Estadual, planejamento dos pagamentos para evitar a</w:t>
            </w:r>
          </w:p>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suspensão da execução da obra pela Contratada.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Administrativa/Gestor do Contrato</w:t>
            </w:r>
          </w:p>
        </w:tc>
      </w:tr>
      <w:tr>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20</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Rescisão ou anulação do contrato, por culpa da Contratada.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00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tc>
      </w:tr>
      <w:tr>
        <w:trPr>
          <w:trHeight w:val="543"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cs="TimesNewRomanPSMT" w:ascii="Cambria" w:hAnsi="Cambria" w:asciiTheme="minorHAnsi" w:hAnsiTheme="minorHAnsi"/>
                <w:kern w:val="0"/>
                <w:sz w:val="22"/>
                <w:szCs w:val="22"/>
                <w:lang w:val="pt-BR" w:eastAsia="en-US" w:bidi="ar-SA"/>
              </w:rPr>
              <w:t>Atrasos para entrega da obra.</w:t>
            </w:r>
          </w:p>
        </w:tc>
      </w:tr>
      <w:tr>
        <w:trPr>
          <w:trHeight w:val="753"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Alteração dos custos inicialmente previstos para execução da obra.</w:t>
            </w:r>
          </w:p>
        </w:tc>
      </w:tr>
      <w:tr>
        <w:trPr>
          <w:trHeight w:val="753"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Necessidade de realização de nova licitação ou de contratação de remanescente, impactando no planejamento da Administração.</w:t>
            </w:r>
          </w:p>
        </w:tc>
      </w:tr>
      <w:tr>
        <w:trPr>
          <w:trHeight w:val="1320"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Prever, dentre as cláusulas do Contrato, sanções que contemplem esta situação.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1089"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b/>
                <w:sz w:val="22"/>
                <w:szCs w:val="22"/>
              </w:rPr>
            </w:pPr>
            <w:r>
              <w:rPr>
                <w:rFonts w:eastAsia="ＭＳ 明朝" w:cs="TimesNewRomanPSMT" w:ascii="Cambria" w:hAnsi="Cambria" w:asciiTheme="minorHAnsi" w:hAnsiTheme="minorHAnsi"/>
                <w:kern w:val="0"/>
                <w:sz w:val="22"/>
                <w:szCs w:val="22"/>
                <w:lang w:val="pt-BR" w:eastAsia="en-US" w:bidi="ar-SA"/>
              </w:rPr>
              <w:t>Instaurar processo para aplicação das penalidades à Contratada.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Contrato/Comissão de Processo Administrativo</w:t>
            </w:r>
          </w:p>
        </w:tc>
      </w:tr>
      <w:tr>
        <w:trPr>
          <w:trHeight w:val="1604"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Autospacing="1" w:afterAutospacing="1"/>
              <w:jc w:val="left"/>
              <w:rPr>
                <w:rFonts w:ascii="Times New Roman" w:hAnsi="Times New Roman" w:eastAsia="Times New Roman" w:cs="Times New Roman"/>
                <w:color w:val="FF0000"/>
              </w:rPr>
            </w:pPr>
            <w:r>
              <w:rPr>
                <w:rFonts w:eastAsia="Times New Roman" w:cs="Times New Roman" w:ascii="Times New Roman" w:hAnsi="Times New Roman"/>
                <w:color w:themeColor="text1" w:val="000000"/>
                <w:kern w:val="0"/>
                <w:lang w:val="pt-BR" w:bidi="ar-SA"/>
              </w:rPr>
              <w:t xml:space="preserve">Em caso de rescisão, executar a garantia e convocar os licitantes remanescentes para assumir o contrato nas mesmas condições do primeiro colocado, conforme </w:t>
            </w:r>
            <w:r>
              <w:rPr>
                <w:rFonts w:eastAsia="Times New Roman" w:cs="Times New Roman" w:ascii="Times New Roman" w:hAnsi="Times New Roman"/>
                <w:b/>
                <w:bCs/>
                <w:color w:themeColor="text1" w:val="000000"/>
                <w:kern w:val="0"/>
                <w:lang w:val="pt-BR" w:bidi="ar-SA"/>
              </w:rPr>
              <w:t>art. 90, § 2º, da Lei nº 14.133/2021</w:t>
            </w:r>
            <w:r>
              <w:rPr>
                <w:rFonts w:eastAsia="Times New Roman" w:cs="Times New Roman" w:ascii="Times New Roman" w:hAnsi="Times New Roman"/>
                <w:color w:val="FF0000"/>
                <w:kern w:val="0"/>
                <w:lang w:val="pt-BR" w:bidi="ar-SA"/>
              </w:rPr>
              <w:t>.</w:t>
            </w:r>
          </w:p>
          <w:p>
            <w:pPr>
              <w:pStyle w:val="Normal"/>
              <w:widowControl/>
              <w:suppressAutoHyphens w:val="true"/>
              <w:spacing w:before="0" w:after="0"/>
              <w:jc w:val="center"/>
              <w:rPr>
                <w:rFonts w:ascii="Cambria" w:hAnsi="Cambria" w:asciiTheme="minorHAnsi" w:hAnsiTheme="minorHAnsi"/>
                <w:b/>
                <w:sz w:val="22"/>
                <w:szCs w:val="22"/>
              </w:rPr>
            </w:pPr>
            <w:r>
              <w:rPr>
                <w:rFonts w:asciiTheme="minorHAnsi" w:hAnsiTheme="minorHAnsi" w:ascii="Cambria" w:hAnsi="Cambria"/>
                <w:b/>
                <w:sz w:val="22"/>
                <w:szCs w:val="22"/>
              </w:rPr>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w:t>
            </w:r>
          </w:p>
        </w:tc>
      </w:tr>
      <w:tr>
        <w:trPr>
          <w:trHeight w:val="406" w:hRule="atLeast"/>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21</w:t>
            </w:r>
          </w:p>
        </w:tc>
      </w:tr>
      <w:tr>
        <w:trPr>
          <w:trHeight w:val="562"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Descumprimento das obrigações trabalhistas, previdenciárias e com FGTS pela Contratada.</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Baixa</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FFFF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Contratada</w:t>
            </w:r>
          </w:p>
          <w:p>
            <w:pPr>
              <w:pStyle w:val="Normal"/>
              <w:widowControl/>
              <w:suppressAutoHyphens w:val="true"/>
              <w:spacing w:before="0" w:after="0"/>
              <w:jc w:val="left"/>
              <w:rPr>
                <w:rFonts w:ascii="Cambria" w:hAnsi="Cambria" w:asciiTheme="minorHAnsi" w:hAnsiTheme="minorHAnsi"/>
                <w:sz w:val="22"/>
                <w:szCs w:val="22"/>
              </w:rPr>
            </w:pPr>
            <w:r>
              <w:rPr>
                <w:rFonts w:asciiTheme="minorHAnsi" w:hAnsiTheme="minorHAnsi" w:ascii="Cambria" w:hAnsi="Cambria"/>
                <w:sz w:val="22"/>
                <w:szCs w:val="22"/>
              </w:rPr>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Prejuízo aos trabalhadores alocados na execução do objeto.</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Possibilidade de demandas judiciais trabalhistas contra a Contratante.</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dentre as cláusulas do contrato, a responsabilidade exclusiva da Contratada sobre o pagamento das obrigações</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trabalhistas,   previdenciárias e com o FGTS.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dentre as cláusulas do contrato, sanções que contemplem esta situação.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Prever a possibilidade de rescisão do contrato por ato unilateral e escrito da contratante e a aplicação das penalidades cabíveis para os casos do não pagamento dos salários e demais verbas trabalhistas, bem como pelo não recolhimento das</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contribuições sociais, previdenciárias e para com o Fundo de Garantia do Tempo de Serviço (FGTS), em relação aos  empregados da contratada que efetivamente participarem da execução do contrato.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Divisão de Engenharia e Urbanismo/Divisão de Licitação/Procuradoria Jurídica</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left"/>
              <w:rPr>
                <w:rFonts w:ascii="Times New Roman" w:hAnsi="Times New Roman" w:eastAsia="Times New Roman" w:cs="Times New Roman"/>
                <w:color w:themeColor="text1" w:val="000000"/>
              </w:rPr>
            </w:pPr>
            <w:r>
              <w:rPr>
                <w:rFonts w:eastAsia="Times New Roman" w:cs="Times New Roman" w:ascii="Times New Roman" w:hAnsi="Times New Roman"/>
                <w:color w:themeColor="text1" w:val="000000"/>
                <w:kern w:val="0"/>
                <w:lang w:val="pt-BR" w:bidi="ar-SA"/>
              </w:rPr>
              <w:t>Fiscalização rigorosa do cumprimento das obrigações, com retenção de pagamentos em caso de inadimplência, conforme previsto em contrato e na legislação.</w:t>
            </w:r>
          </w:p>
          <w:p>
            <w:pPr>
              <w:pStyle w:val="Normal"/>
              <w:widowControl/>
              <w:suppressAutoHyphens w:val="true"/>
              <w:spacing w:before="0" w:after="0"/>
              <w:jc w:val="center"/>
              <w:rPr>
                <w:rFonts w:ascii="Cambria" w:hAnsi="Cambria" w:cs="TimesNewRomanPSMT" w:asciiTheme="minorHAnsi" w:hAnsiTheme="minorHAnsi"/>
                <w:color w:themeColor="text1" w:val="000000"/>
                <w:sz w:val="22"/>
                <w:szCs w:val="22"/>
                <w:lang w:eastAsia="en-US"/>
              </w:rPr>
            </w:pPr>
            <w:r>
              <w:rPr>
                <w:rFonts w:cs="TimesNewRomanPSMT" w:ascii="Cambria" w:hAnsi="Cambria"/>
                <w:color w:themeColor="text1" w:val="000000"/>
                <w:sz w:val="22"/>
                <w:szCs w:val="22"/>
                <w:lang w:eastAsia="en-US"/>
              </w:rPr>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Arial" w:asciiTheme="minorHAnsi" w:hAnsiTheme="minorHAnsi"/>
                <w:sz w:val="22"/>
                <w:szCs w:val="22"/>
                <w:lang w:eastAsia="en-US"/>
              </w:rPr>
            </w:pPr>
            <w:r>
              <w:rPr>
                <w:rFonts w:eastAsia="ＭＳ 明朝" w:cs="Arial" w:ascii="Cambria" w:hAnsi="Cambria" w:asciiTheme="minorHAnsi" w:hAnsiTheme="minorHAnsi"/>
                <w:kern w:val="0"/>
                <w:sz w:val="22"/>
                <w:szCs w:val="22"/>
                <w:lang w:val="pt-BR" w:eastAsia="en-US" w:bidi="ar-SA"/>
              </w:rPr>
              <w:t>Reter o pagamento das medições, em valor proporcional ao</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Arial" w:ascii="Cambria" w:hAnsi="Cambria" w:asciiTheme="minorHAnsi" w:hAnsiTheme="minorHAnsi"/>
                <w:kern w:val="0"/>
                <w:sz w:val="22"/>
                <w:szCs w:val="22"/>
                <w:lang w:val="pt-BR" w:eastAsia="en-US" w:bidi="ar-SA"/>
              </w:rPr>
              <w:t>inadimplemento, até que a situação seja regularizada.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Administrativa/Gestor do Contrato</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cs="TimesNewRomanPSMT" w:ascii="Cambria" w:hAnsi="Cambria" w:asciiTheme="minorHAnsi" w:hAnsiTheme="minorHAnsi"/>
                <w:kern w:val="0"/>
                <w:sz w:val="22"/>
                <w:szCs w:val="22"/>
                <w:lang w:val="pt-BR" w:eastAsia="en-US" w:bidi="ar-SA"/>
              </w:rPr>
              <w:t>Rescisão contratual</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Técnica/Gestor do Contrato/ Comissão de Processo Administrativo</w:t>
            </w:r>
          </w:p>
        </w:tc>
      </w:tr>
      <w:tr>
        <w:trPr>
          <w:trHeight w:val="406" w:hRule="atLeast"/>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22</w:t>
            </w:r>
          </w:p>
        </w:tc>
      </w:tr>
      <w:tr>
        <w:trPr>
          <w:trHeight w:val="562"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Escolha inadequada da composição da base</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EE00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rHeight w:val="241"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Afundamentos e trincas precoces</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Perda de capacidade de suporte</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Redução da vida útil do pavimento</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Aumento dos custos de manutenção e operação</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ascii="Cambria" w:hAnsi="Cambria" w:asciiTheme="minorHAnsi" w:hAnsiTheme="minorHAnsi"/>
                <w:kern w:val="0"/>
                <w:sz w:val="22"/>
                <w:szCs w:val="22"/>
                <w:lang w:val="pt-BR" w:bidi="ar-SA"/>
              </w:rPr>
              <w:t>Realizar sondagens e ensaios de caracterização do solo antes do início da obra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Desenvolvimento Rural, Agricultura e Meio Ambiente/Administração Municipal</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ascii="Cambria" w:hAnsi="Cambria" w:asciiTheme="minorHAnsi" w:hAnsiTheme="minorHAnsi"/>
                <w:kern w:val="0"/>
                <w:sz w:val="22"/>
                <w:szCs w:val="22"/>
                <w:lang w:val="pt-BR" w:bidi="ar-SA"/>
              </w:rPr>
              <w:t>Utilizar histórico de obras similares na região.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Desenvolvimento Rural, Agricultura e Meio Ambiente/Administração Municipal</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ascii="Cambria" w:hAnsi="Cambria" w:asciiTheme="minorHAnsi" w:hAnsiTheme="minorHAnsi"/>
                <w:kern w:val="0"/>
                <w:sz w:val="22"/>
                <w:szCs w:val="22"/>
                <w:lang w:val="pt-BR" w:bidi="ar-SA"/>
              </w:rPr>
              <w:t>Reforçar a base com materiais mais resistentes após falhas</w:t>
              <w:br/>
              <w:t>- Intervenções corretivas com reforço estrutural localizado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Desenvolvimento Rural, Agricultura e Meio Ambiente/Administração Municipal</w:t>
            </w:r>
          </w:p>
        </w:tc>
      </w:tr>
      <w:tr>
        <w:trPr>
          <w:trHeight w:val="406" w:hRule="atLeast"/>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23</w:t>
            </w:r>
          </w:p>
        </w:tc>
      </w:tr>
      <w:tr>
        <w:trPr>
          <w:trHeight w:val="562"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Infiltração de água por drenagem inadequada</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EE00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Saturação da base e subleito</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Perda de resistência e surgimento de buracos</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ascii="Cambria" w:hAnsi="Cambria" w:asciiTheme="minorHAnsi" w:hAnsiTheme="minorHAnsi"/>
                <w:kern w:val="0"/>
                <w:sz w:val="22"/>
                <w:szCs w:val="22"/>
                <w:lang w:val="pt-BR" w:bidi="ar-SA"/>
              </w:rPr>
              <w:t>Projeto detalhado de drenagem superficial e profunda</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Obras, Viação e Serviços Públicos.</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ascii="Cambria" w:hAnsi="Cambria" w:asciiTheme="minorHAnsi" w:hAnsiTheme="minorHAnsi"/>
                <w:kern w:val="0"/>
                <w:sz w:val="22"/>
                <w:szCs w:val="22"/>
                <w:lang w:val="pt-BR" w:bidi="ar-SA"/>
              </w:rPr>
              <w:t>Fiscalização rigorosa da execução das valetas e sarjetas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Contratual</w:t>
            </w:r>
          </w:p>
        </w:tc>
      </w:tr>
      <w:tr>
        <w:trPr>
          <w:trHeight w:val="154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ascii="Cambria" w:hAnsi="Cambria" w:asciiTheme="minorHAnsi" w:hAnsiTheme="minorHAnsi"/>
                <w:kern w:val="0"/>
                <w:sz w:val="22"/>
                <w:szCs w:val="22"/>
                <w:lang w:val="pt-BR" w:bidi="ar-SA"/>
              </w:rPr>
              <w:t>- Intervenções emergenciais com reforço de drenagem</w:t>
            </w:r>
          </w:p>
          <w:p>
            <w:pPr>
              <w:pStyle w:val="Normal"/>
              <w:widowControl/>
              <w:suppressAutoHyphens w:val="true"/>
              <w:spacing w:before="0" w:after="0"/>
              <w:jc w:val="center"/>
              <w:rPr>
                <w:rFonts w:ascii="Cambria" w:hAnsi="Cambria" w:asciiTheme="minorHAnsi" w:hAnsiTheme="minorHAnsi"/>
                <w:sz w:val="22"/>
                <w:szCs w:val="22"/>
              </w:rPr>
            </w:pPr>
            <w:r>
              <w:rPr>
                <w:rFonts w:eastAsia="ＭＳ 明朝" w:ascii="Cambria" w:hAnsi="Cambria" w:asciiTheme="minorHAnsi" w:hAnsiTheme="minorHAnsi"/>
                <w:kern w:val="0"/>
                <w:sz w:val="22"/>
                <w:szCs w:val="22"/>
                <w:lang w:val="pt-BR" w:bidi="ar-SA"/>
              </w:rPr>
              <w:br/>
              <w:t>- Reaplicação de camadas danificadas</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cs="TimesNewRomanPSMT" w:ascii="Cambria" w:hAnsi="Cambria"/>
                <w:sz w:val="22"/>
                <w:szCs w:val="22"/>
                <w:lang w:eastAsia="en-US"/>
              </w:rPr>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Desenvolvimento Rural, Agricultura e Meio Ambiente</w:t>
            </w:r>
          </w:p>
        </w:tc>
      </w:tr>
      <w:tr>
        <w:trPr>
          <w:trHeight w:val="154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ascii="Cambria" w:hAnsi="Cambria" w:asciiTheme="minorHAnsi" w:hAnsiTheme="minorHAnsi"/>
                <w:kern w:val="0"/>
                <w:sz w:val="22"/>
                <w:szCs w:val="22"/>
                <w:lang w:val="pt-BR" w:bidi="ar-SA"/>
              </w:rPr>
              <w:t xml:space="preserve">- </w:t>
            </w:r>
            <w:r>
              <w:rPr>
                <w:rFonts w:eastAsia="ＭＳ 明朝" w:cs="TimesNewRomanPSMT" w:ascii="Cambria" w:hAnsi="Cambria" w:asciiTheme="minorHAnsi" w:hAnsiTheme="minorHAnsi"/>
                <w:kern w:val="0"/>
                <w:sz w:val="22"/>
                <w:szCs w:val="22"/>
                <w:lang w:val="pt-BR" w:eastAsia="en-US" w:bidi="ar-SA"/>
              </w:rPr>
              <w:t>Prever, dentre as cláusulas contratuais, sanções que contemplem esta situação (Caso seja verificado Falha do CONTRATADO)</w:t>
            </w:r>
          </w:p>
          <w:p>
            <w:pPr>
              <w:pStyle w:val="Normal"/>
              <w:widowControl/>
              <w:suppressAutoHyphens w:val="true"/>
              <w:spacing w:before="0" w:after="0"/>
              <w:jc w:val="center"/>
              <w:rPr>
                <w:rFonts w:ascii="Cambria" w:hAnsi="Cambria" w:asciiTheme="minorHAnsi" w:hAnsiTheme="minorHAnsi"/>
                <w:sz w:val="22"/>
                <w:szCs w:val="22"/>
              </w:rPr>
            </w:pPr>
            <w:r>
              <w:rPr>
                <w:rFonts w:asciiTheme="minorHAnsi" w:hAnsiTheme="minorHAnsi" w:ascii="Cambria" w:hAnsi="Cambria"/>
                <w:sz w:val="22"/>
                <w:szCs w:val="22"/>
              </w:rPr>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Desenvolvimento Rural, Agricultura e Meio Ambiente/Divisão de Licitações/Procuradoria Jurídica</w:t>
            </w:r>
          </w:p>
        </w:tc>
      </w:tr>
      <w:tr>
        <w:trPr>
          <w:trHeight w:val="406" w:hRule="atLeast"/>
        </w:trPr>
        <w:tc>
          <w:tcPr>
            <w:tcW w:w="9066" w:type="dxa"/>
            <w:gridSpan w:val="3"/>
            <w:tcBorders/>
            <w:shd w:color="auto" w:fill="D6E3BC" w:themeFill="accent3" w:themeFillTint="66"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 24</w:t>
            </w:r>
          </w:p>
        </w:tc>
      </w:tr>
      <w:tr>
        <w:trPr>
          <w:trHeight w:val="562"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Sobrecarga por tráfego não previsto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PROBABILIDADE:</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Média</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IMPACTO: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NÍVEL DE RISCO:</w:t>
            </w:r>
          </w:p>
        </w:tc>
        <w:tc>
          <w:tcPr>
            <w:tcW w:w="6042" w:type="dxa"/>
            <w:gridSpan w:val="2"/>
            <w:tcBorders/>
            <w:shd w:color="auto" w:fill="EE0000" w:val="clear"/>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Alto</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FASE DO PROCESSO DE CONTRATAÇÃO: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Execução Contratual</w:t>
            </w:r>
          </w:p>
        </w:tc>
      </w:tr>
      <w:tr>
        <w:trPr>
          <w:trHeight w:val="32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ALOCAÇÃO DO RISCO:</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Contratante</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DANOS:</w:t>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Degradação acelerada do pavimento</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6042" w:type="dxa"/>
            <w:gridSpan w:val="2"/>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Rachaduras e afundamentos</w:t>
            </w:r>
          </w:p>
        </w:tc>
      </w:tr>
      <w:tr>
        <w:trPr>
          <w:trHeight w:val="328" w:hRule="atLeast"/>
        </w:trPr>
        <w:tc>
          <w:tcPr>
            <w:tcW w:w="3024" w:type="dxa"/>
            <w:vMerge w:val="restart"/>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PREVENTIVAS/SETOR RESPONSÁVEL</w:t>
            </w:r>
          </w:p>
        </w:tc>
        <w:tc>
          <w:tcPr>
            <w:tcW w:w="3022" w:type="dxa"/>
            <w:tcBorders/>
            <w:vAlign w:val="center"/>
          </w:tcPr>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ascii="Cambria" w:hAnsi="Cambria" w:asciiTheme="minorHAnsi" w:hAnsiTheme="minorHAnsi"/>
                <w:kern w:val="0"/>
                <w:sz w:val="22"/>
                <w:szCs w:val="22"/>
                <w:lang w:val="pt-BR" w:bidi="ar-SA"/>
              </w:rPr>
              <w:t>Estimativa de tráfego com base em dados regionais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Secretaria de Obras, Viação e Serviços Públicos.</w:t>
            </w:r>
          </w:p>
        </w:tc>
      </w:tr>
      <w:tr>
        <w:trPr>
          <w:trHeight w:val="328" w:hRule="atLeast"/>
        </w:trPr>
        <w:tc>
          <w:tcPr>
            <w:tcW w:w="3024" w:type="dxa"/>
            <w:vMerge w:val="continue"/>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asciiTheme="minorHAnsi" w:hAnsiTheme="minorHAnsi"/>
                <w:sz w:val="22"/>
                <w:szCs w:val="22"/>
              </w:rPr>
            </w:r>
          </w:p>
        </w:tc>
        <w:tc>
          <w:tcPr>
            <w:tcW w:w="3022" w:type="dxa"/>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ascii="Cambria" w:hAnsi="Cambria" w:asciiTheme="minorHAnsi" w:hAnsiTheme="minorHAnsi"/>
                <w:kern w:val="0"/>
                <w:sz w:val="22"/>
                <w:szCs w:val="22"/>
                <w:lang w:val="pt-BR" w:bidi="ar-SA"/>
              </w:rPr>
              <w:t>Prever reforço em trechos críticos (curvas, aclives)</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Fiscalização Contratual</w:t>
            </w:r>
          </w:p>
        </w:tc>
      </w:tr>
      <w:tr>
        <w:trPr>
          <w:trHeight w:val="1548" w:hRule="atLeast"/>
        </w:trPr>
        <w:tc>
          <w:tcPr>
            <w:tcW w:w="3024"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r>
              <w:rPr>
                <w:rFonts w:eastAsia="ＭＳ 明朝"/>
                <w:kern w:val="0"/>
                <w:sz w:val="22"/>
                <w:szCs w:val="22"/>
                <w:lang w:val="pt-BR" w:bidi="ar-SA"/>
              </w:rPr>
              <w:t>AÇÕES DE CONTINGÊNCIAS/SETOR RESPONSÁVEL</w:t>
            </w:r>
          </w:p>
        </w:tc>
        <w:tc>
          <w:tcPr>
            <w:tcW w:w="3022" w:type="dxa"/>
            <w:tcBorders/>
            <w:vAlign w:val="center"/>
          </w:tcPr>
          <w:p>
            <w:pPr>
              <w:pStyle w:val="Normal"/>
              <w:widowControl/>
              <w:suppressAutoHyphens w:val="true"/>
              <w:spacing w:before="0" w:after="0"/>
              <w:jc w:val="center"/>
              <w:rPr>
                <w:rFonts w:ascii="Cambria" w:hAnsi="Cambria" w:asciiTheme="minorHAnsi" w:hAnsiTheme="minorHAnsi"/>
                <w:sz w:val="22"/>
                <w:szCs w:val="22"/>
              </w:rPr>
            </w:pPr>
            <w:r>
              <w:rPr>
                <w:rFonts w:eastAsia="ＭＳ 明朝" w:ascii="Cambria" w:hAnsi="Cambria" w:asciiTheme="minorHAnsi" w:hAnsiTheme="minorHAnsi"/>
                <w:kern w:val="0"/>
                <w:sz w:val="22"/>
                <w:szCs w:val="22"/>
                <w:lang w:val="pt-BR" w:bidi="ar-SA"/>
              </w:rPr>
              <w:t>Restrição de tráfego pesado</w:t>
              <w:br/>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ascii="Cambria" w:hAnsi="Cambria" w:asciiTheme="minorHAnsi" w:hAnsiTheme="minorHAnsi"/>
                <w:kern w:val="0"/>
                <w:sz w:val="22"/>
                <w:szCs w:val="22"/>
                <w:lang w:val="pt-BR" w:bidi="ar-SA"/>
              </w:rPr>
              <w:t>Reforço estrutural com recapeamento ou adição de camadas</w:t>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cs="TimesNewRomanPSMT" w:ascii="Cambria" w:hAnsi="Cambria"/>
                <w:sz w:val="22"/>
                <w:szCs w:val="22"/>
                <w:lang w:eastAsia="en-US"/>
              </w:rPr>
            </w:r>
          </w:p>
          <w:p>
            <w:pPr>
              <w:pStyle w:val="Normal"/>
              <w:widowControl/>
              <w:suppressAutoHyphens w:val="true"/>
              <w:spacing w:before="0" w:after="0"/>
              <w:jc w:val="center"/>
              <w:rPr>
                <w:rFonts w:ascii="Cambria" w:hAnsi="Cambria" w:cs="TimesNewRomanPSMT" w:asciiTheme="minorHAnsi" w:hAnsiTheme="minorHAnsi"/>
                <w:sz w:val="22"/>
                <w:szCs w:val="22"/>
                <w:lang w:eastAsia="en-US"/>
              </w:rPr>
            </w:pPr>
            <w:r>
              <w:rPr>
                <w:rFonts w:eastAsia="ＭＳ 明朝" w:ascii="Cambria" w:hAnsi="Cambria" w:asciiTheme="minorHAnsi" w:hAnsiTheme="minorHAnsi"/>
                <w:kern w:val="0"/>
                <w:sz w:val="22"/>
                <w:szCs w:val="22"/>
                <w:lang w:val="pt-BR" w:bidi="ar-SA"/>
              </w:rPr>
              <w:t>Restrição de tráfego em horários de pico</w:t>
            </w:r>
          </w:p>
        </w:tc>
        <w:tc>
          <w:tcPr>
            <w:tcW w:w="3020" w:type="dxa"/>
            <w:tcBorders/>
            <w:vAlign w:val="center"/>
          </w:tcPr>
          <w:p>
            <w:pPr>
              <w:pStyle w:val="Nivel2"/>
              <w:widowControl/>
              <w:suppressAutoHyphens w:val="true"/>
              <w:spacing w:before="0" w:after="120"/>
              <w:jc w:val="center"/>
              <w:rPr>
                <w:rFonts w:ascii="Cambria" w:hAnsi="Cambria" w:asciiTheme="minorHAnsi" w:hAnsiTheme="minorHAnsi"/>
                <w:sz w:val="22"/>
                <w:szCs w:val="22"/>
              </w:rPr>
            </w:pPr>
            <w:bookmarkStart w:id="3" w:name="__DdeLink__4571_326887568"/>
            <w:r>
              <w:rPr>
                <w:rFonts w:eastAsia="ＭＳ 明朝"/>
                <w:kern w:val="0"/>
                <w:sz w:val="22"/>
                <w:szCs w:val="22"/>
                <w:lang w:val="pt-BR" w:bidi="ar-SA"/>
              </w:rPr>
              <w:t>Secretaria de Desenvolvimento Rural, Agricultura e Meio Ambiente</w:t>
            </w:r>
            <w:bookmarkEnd w:id="3"/>
          </w:p>
        </w:tc>
      </w:tr>
      <w:tr>
        <w:trPr>
          <w:trHeight w:val="1548" w:hRule="atLeast"/>
        </w:trPr>
        <w:tc>
          <w:tcPr>
            <w:tcW w:w="9066" w:type="dxa"/>
            <w:gridSpan w:val="3"/>
            <w:tcBorders/>
            <w:vAlign w:val="center"/>
          </w:tcPr>
          <w:p>
            <w:pPr>
              <w:pStyle w:val="Normal"/>
              <w:widowControl/>
              <w:suppressAutoHyphens w:val="true"/>
              <w:spacing w:before="0" w:after="0"/>
              <w:jc w:val="center"/>
              <w:rPr>
                <w:rFonts w:ascii="Cambria" w:hAnsi="Cambria" w:cs="TimesNewRomanPS-BoldMT" w:asciiTheme="minorHAnsi" w:hAnsiTheme="minorHAnsi"/>
                <w:b/>
                <w:bCs/>
                <w:sz w:val="22"/>
                <w:szCs w:val="22"/>
                <w:lang w:eastAsia="en-US"/>
              </w:rPr>
            </w:pPr>
            <w:r>
              <w:rPr>
                <w:rFonts w:cs="TimesNewRomanPS-BoldMT" w:ascii="Cambria" w:hAnsi="Cambria"/>
                <w:b/>
                <w:bCs/>
                <w:sz w:val="22"/>
                <w:szCs w:val="22"/>
                <w:lang w:eastAsia="en-US"/>
              </w:rPr>
            </w:r>
          </w:p>
          <w:p>
            <w:pPr>
              <w:pStyle w:val="Normal"/>
              <w:widowControl/>
              <w:suppressAutoHyphens w:val="true"/>
              <w:spacing w:before="0" w:after="0"/>
              <w:jc w:val="center"/>
              <w:rPr>
                <w:rFonts w:ascii="Cambria" w:hAnsi="Cambria" w:cs="TimesNewRomanPS-BoldMT" w:asciiTheme="minorHAnsi" w:hAnsiTheme="minorHAnsi"/>
                <w:b/>
                <w:bCs/>
                <w:sz w:val="22"/>
                <w:szCs w:val="22"/>
                <w:lang w:eastAsia="en-US"/>
              </w:rPr>
            </w:pPr>
            <w:r>
              <w:rPr>
                <w:rFonts w:eastAsia="ＭＳ 明朝" w:cs="TimesNewRomanPS-BoldMT" w:ascii="Cambria" w:hAnsi="Cambria" w:asciiTheme="minorHAnsi" w:hAnsiTheme="minorHAnsi"/>
                <w:b/>
                <w:bCs/>
                <w:kern w:val="0"/>
                <w:sz w:val="22"/>
                <w:szCs w:val="22"/>
                <w:lang w:val="pt-BR" w:eastAsia="en-US" w:bidi="ar-SA"/>
              </w:rPr>
              <w:t>DEFINIÇÕES:</w:t>
            </w:r>
          </w:p>
          <w:p>
            <w:pPr>
              <w:pStyle w:val="Normal"/>
              <w:widowControl/>
              <w:suppressAutoHyphens w:val="true"/>
              <w:spacing w:before="0" w:after="0"/>
              <w:jc w:val="center"/>
              <w:rPr>
                <w:rFonts w:ascii="Cambria" w:hAnsi="Cambria" w:cs="TimesNewRomanPS-BoldMT" w:asciiTheme="minorHAnsi" w:hAnsiTheme="minorHAnsi"/>
                <w:b/>
                <w:bCs/>
                <w:sz w:val="22"/>
                <w:szCs w:val="22"/>
                <w:lang w:eastAsia="en-US"/>
              </w:rPr>
            </w:pPr>
            <w:r>
              <w:rPr>
                <w:rFonts w:cs="TimesNewRomanPS-BoldMT" w:ascii="Cambria" w:hAnsi="Cambria"/>
                <w:b/>
                <w:bCs/>
                <w:sz w:val="22"/>
                <w:szCs w:val="22"/>
                <w:lang w:eastAsia="en-US"/>
              </w:rPr>
            </w:r>
          </w:p>
          <w:p>
            <w:pPr>
              <w:pStyle w:val="Normal"/>
              <w:widowControl/>
              <w:suppressAutoHyphens w:val="true"/>
              <w:spacing w:before="0" w:after="0"/>
              <w:jc w:val="both"/>
              <w:rPr>
                <w:rFonts w:ascii="Cambria" w:hAnsi="Cambria" w:cs="TimesNewRomanPSMT" w:asciiTheme="minorHAnsi" w:hAnsiTheme="minorHAnsi"/>
                <w:sz w:val="22"/>
                <w:szCs w:val="22"/>
                <w:lang w:eastAsia="en-US"/>
              </w:rPr>
            </w:pPr>
            <w:r>
              <w:rPr>
                <w:rFonts w:eastAsia="ＭＳ 明朝" w:cs="TimesNewRomanPS-BoldMT" w:ascii="Cambria" w:hAnsi="Cambria" w:asciiTheme="minorHAnsi" w:hAnsiTheme="minorHAnsi"/>
                <w:b/>
                <w:bCs/>
                <w:kern w:val="0"/>
                <w:sz w:val="22"/>
                <w:szCs w:val="22"/>
                <w:lang w:val="pt-BR" w:eastAsia="en-US" w:bidi="ar-SA"/>
              </w:rPr>
              <w:t>Probabilidade</w:t>
            </w:r>
            <w:r>
              <w:rPr>
                <w:rFonts w:eastAsia="ＭＳ 明朝" w:cs="TimesNewRomanPSMT" w:ascii="Cambria" w:hAnsi="Cambria" w:asciiTheme="minorHAnsi" w:hAnsiTheme="minorHAnsi"/>
                <w:kern w:val="0"/>
                <w:sz w:val="22"/>
                <w:szCs w:val="22"/>
                <w:lang w:val="pt-BR" w:eastAsia="en-US" w:bidi="ar-SA"/>
              </w:rPr>
              <w:t>: chance de algo acontecer, não importando se definida, medida ou determinada objetiva ou subjetivamente, qualitativa ou quantitativamente, ou se descrita utilizando-se termos gerais ou matemáticos.</w:t>
            </w:r>
          </w:p>
          <w:p>
            <w:pPr>
              <w:pStyle w:val="Normal"/>
              <w:widowControl/>
              <w:suppressAutoHyphens w:val="true"/>
              <w:spacing w:before="0" w:after="0"/>
              <w:jc w:val="both"/>
              <w:rPr>
                <w:rFonts w:ascii="Cambria" w:hAnsi="Cambria" w:cs="TimesNewRomanPSMT" w:asciiTheme="minorHAnsi" w:hAnsiTheme="minorHAnsi"/>
                <w:sz w:val="22"/>
                <w:szCs w:val="22"/>
                <w:lang w:eastAsia="en-US"/>
              </w:rPr>
            </w:pPr>
            <w:r>
              <w:rPr>
                <w:rFonts w:cs="TimesNewRomanPSMT" w:ascii="Cambria" w:hAnsi="Cambria"/>
                <w:sz w:val="22"/>
                <w:szCs w:val="22"/>
                <w:lang w:eastAsia="en-US"/>
              </w:rPr>
            </w:r>
          </w:p>
          <w:p>
            <w:pPr>
              <w:pStyle w:val="Normal"/>
              <w:widowControl/>
              <w:suppressAutoHyphens w:val="true"/>
              <w:spacing w:before="0" w:after="0"/>
              <w:jc w:val="both"/>
              <w:rPr>
                <w:rFonts w:ascii="Cambria" w:hAnsi="Cambria" w:cs="TimesNewRomanPSMT" w:asciiTheme="minorHAnsi" w:hAnsiTheme="minorHAnsi"/>
                <w:sz w:val="22"/>
                <w:szCs w:val="22"/>
                <w:lang w:eastAsia="en-US"/>
              </w:rPr>
            </w:pPr>
            <w:r>
              <w:rPr>
                <w:rFonts w:eastAsia="ＭＳ 明朝" w:cs="TimesNewRomanPS-BoldMT" w:ascii="Cambria" w:hAnsi="Cambria" w:asciiTheme="minorHAnsi" w:hAnsiTheme="minorHAnsi"/>
                <w:b/>
                <w:bCs/>
                <w:kern w:val="0"/>
                <w:sz w:val="22"/>
                <w:szCs w:val="22"/>
                <w:lang w:val="pt-BR" w:eastAsia="en-US" w:bidi="ar-SA"/>
              </w:rPr>
              <w:t>Impacto</w:t>
            </w:r>
            <w:r>
              <w:rPr>
                <w:rFonts w:eastAsia="ＭＳ 明朝" w:cs="TimesNewRomanPSMT" w:ascii="Cambria" w:hAnsi="Cambria" w:asciiTheme="minorHAnsi" w:hAnsiTheme="minorHAnsi"/>
                <w:kern w:val="0"/>
                <w:sz w:val="22"/>
                <w:szCs w:val="22"/>
                <w:lang w:val="pt-BR" w:eastAsia="en-US" w:bidi="ar-SA"/>
              </w:rPr>
              <w:t>: resultado de um evento que afeta os objetivos.</w:t>
            </w:r>
          </w:p>
          <w:p>
            <w:pPr>
              <w:pStyle w:val="Normal"/>
              <w:widowControl/>
              <w:suppressAutoHyphens w:val="true"/>
              <w:spacing w:before="0" w:after="0"/>
              <w:jc w:val="both"/>
              <w:rPr>
                <w:rFonts w:ascii="Cambria" w:hAnsi="Cambria" w:cs="TimesNewRomanPSMT" w:asciiTheme="minorHAnsi" w:hAnsiTheme="minorHAnsi"/>
                <w:sz w:val="22"/>
                <w:szCs w:val="22"/>
                <w:lang w:eastAsia="en-US"/>
              </w:rPr>
            </w:pPr>
            <w:r>
              <w:rPr>
                <w:rFonts w:cs="TimesNewRomanPSMT" w:ascii="Cambria" w:hAnsi="Cambria"/>
                <w:sz w:val="22"/>
                <w:szCs w:val="22"/>
                <w:lang w:eastAsia="en-US"/>
              </w:rPr>
            </w:r>
          </w:p>
          <w:p>
            <w:pPr>
              <w:pStyle w:val="Nivel2"/>
              <w:widowControl/>
              <w:suppressAutoHyphens w:val="true"/>
              <w:spacing w:before="0" w:after="120"/>
              <w:ind w:hanging="0"/>
              <w:rPr>
                <w:rFonts w:ascii="Cambria" w:hAnsi="Cambria" w:asciiTheme="minorHAnsi" w:hAnsiTheme="minorHAnsi"/>
                <w:sz w:val="22"/>
                <w:szCs w:val="22"/>
              </w:rPr>
            </w:pPr>
            <w:r>
              <w:rPr>
                <w:rFonts w:eastAsia="ＭＳ 明朝" w:cs="TimesNewRomanPS-BoldMT"/>
                <w:b/>
                <w:kern w:val="0"/>
                <w:sz w:val="22"/>
                <w:szCs w:val="22"/>
                <w:lang w:val="pt-BR" w:bidi="ar-SA"/>
              </w:rPr>
              <w:t>Nível de Risco</w:t>
            </w:r>
            <w:r>
              <w:rPr>
                <w:rFonts w:eastAsia="ＭＳ 明朝"/>
                <w:kern w:val="0"/>
                <w:sz w:val="22"/>
                <w:szCs w:val="22"/>
                <w:lang w:val="pt-BR" w:bidi="ar-SA"/>
              </w:rPr>
              <w:t>: magnitude de um risco ou combinação de riscos, expressa em termos da combinação das consequências e de suas probabilidades</w:t>
            </w:r>
          </w:p>
        </w:tc>
      </w:tr>
    </w:tbl>
    <w:p>
      <w:pPr>
        <w:pStyle w:val="Normal"/>
        <w:rPr>
          <w:rFonts w:ascii="Cambria" w:hAnsi="Cambria" w:asciiTheme="minorHAnsi" w:hAnsiTheme="minorHAnsi"/>
          <w:b/>
          <w:bCs/>
          <w:sz w:val="22"/>
          <w:szCs w:val="22"/>
        </w:rPr>
      </w:pPr>
      <w:r>
        <w:rPr>
          <w:rFonts w:asciiTheme="minorHAnsi" w:hAnsiTheme="minorHAnsi" w:ascii="Cambria" w:hAnsi="Cambria"/>
          <w:b/>
          <w:bCs/>
          <w:sz w:val="22"/>
          <w:szCs w:val="22"/>
        </w:rPr>
      </w:r>
    </w:p>
    <w:p>
      <w:pPr>
        <w:pStyle w:val="Normal"/>
        <w:rPr>
          <w:rFonts w:ascii="Cambria" w:hAnsi="Cambria" w:asciiTheme="minorHAnsi" w:hAnsiTheme="minorHAnsi"/>
          <w:b/>
          <w:bCs/>
          <w:sz w:val="22"/>
          <w:szCs w:val="22"/>
        </w:rPr>
      </w:pPr>
      <w:r>
        <w:rPr>
          <w:rFonts w:asciiTheme="minorHAnsi" w:hAnsiTheme="minorHAnsi" w:ascii="Cambria" w:hAnsi="Cambria"/>
          <w:b/>
          <w:bCs/>
          <w:sz w:val="22"/>
          <w:szCs w:val="22"/>
        </w:rPr>
      </w:r>
    </w:p>
    <w:p>
      <w:pPr>
        <w:pStyle w:val="BodyText"/>
        <w:tabs>
          <w:tab w:val="clear" w:pos="708"/>
          <w:tab w:val="center" w:pos="4536" w:leader="none"/>
        </w:tabs>
        <w:spacing w:beforeAutospacing="0" w:before="0" w:afterAutospacing="0" w:after="0"/>
        <w:jc w:val="center"/>
        <w:rPr>
          <w:rFonts w:ascii="Cambria" w:hAnsi="Cambria" w:cs="Arial" w:asciiTheme="minorHAnsi" w:hAnsiTheme="minorHAnsi"/>
          <w:b/>
          <w:sz w:val="22"/>
          <w:szCs w:val="22"/>
        </w:rPr>
      </w:pPr>
      <w:r>
        <w:rPr>
          <w:rFonts w:cs="Arial" w:ascii="Cambria" w:hAnsi="Cambria" w:asciiTheme="minorHAnsi" w:hAnsiTheme="minorHAnsi"/>
          <w:b/>
          <w:sz w:val="22"/>
          <w:szCs w:val="22"/>
        </w:rPr>
        <w:t>____________________________________</w:t>
      </w:r>
    </w:p>
    <w:p>
      <w:pPr>
        <w:pStyle w:val="BodyText"/>
        <w:tabs>
          <w:tab w:val="clear" w:pos="708"/>
          <w:tab w:val="left" w:pos="5580" w:leader="none"/>
          <w:tab w:val="left" w:pos="7365" w:leader="none"/>
        </w:tabs>
        <w:spacing w:beforeAutospacing="0" w:before="0" w:afterAutospacing="0" w:after="0"/>
        <w:jc w:val="center"/>
        <w:rPr>
          <w:rFonts w:ascii="Cambria" w:hAnsi="Cambria" w:cs="Arial" w:asciiTheme="minorHAnsi" w:hAnsiTheme="minorHAnsi"/>
          <w:bCs/>
          <w:sz w:val="22"/>
          <w:szCs w:val="22"/>
        </w:rPr>
      </w:pPr>
      <w:r>
        <w:rPr>
          <w:rFonts w:cs="Arial" w:ascii="Cambria" w:hAnsi="Cambria" w:asciiTheme="minorHAnsi" w:hAnsiTheme="minorHAnsi"/>
          <w:bCs/>
          <w:sz w:val="22"/>
          <w:szCs w:val="22"/>
        </w:rPr>
        <w:t>Lucas Tenório da Silva</w:t>
      </w:r>
    </w:p>
    <w:p>
      <w:pPr>
        <w:pStyle w:val="BodyText"/>
        <w:tabs>
          <w:tab w:val="clear" w:pos="708"/>
          <w:tab w:val="left" w:pos="5580" w:leader="none"/>
          <w:tab w:val="left" w:pos="7365" w:leader="none"/>
        </w:tabs>
        <w:spacing w:beforeAutospacing="0" w:before="0" w:afterAutospacing="0" w:after="0"/>
        <w:jc w:val="center"/>
        <w:rPr>
          <w:rFonts w:ascii="Cambria" w:hAnsi="Cambria" w:cs="Arial" w:asciiTheme="minorHAnsi" w:hAnsiTheme="minorHAnsi"/>
          <w:bCs/>
          <w:sz w:val="22"/>
          <w:szCs w:val="22"/>
        </w:rPr>
      </w:pPr>
      <w:r>
        <w:rPr>
          <w:rFonts w:cs="Arial" w:ascii="Cambria" w:hAnsi="Cambria" w:asciiTheme="minorHAnsi" w:hAnsiTheme="minorHAnsi"/>
          <w:bCs/>
          <w:sz w:val="22"/>
          <w:szCs w:val="22"/>
        </w:rPr>
        <w:t>Matrícula 3530</w:t>
      </w:r>
    </w:p>
    <w:p>
      <w:pPr>
        <w:pStyle w:val="BodyText"/>
        <w:spacing w:beforeAutospacing="0" w:before="0" w:afterAutospacing="0" w:after="0"/>
        <w:jc w:val="center"/>
        <w:rPr>
          <w:rFonts w:ascii="Cambria" w:hAnsi="Cambria" w:cs="Arial" w:asciiTheme="minorHAnsi" w:hAnsiTheme="minorHAnsi"/>
          <w:bCs/>
          <w:sz w:val="22"/>
          <w:szCs w:val="22"/>
        </w:rPr>
      </w:pPr>
      <w:r>
        <w:rPr>
          <w:rFonts w:cs="Arial" w:ascii="Cambria" w:hAnsi="Cambria" w:asciiTheme="minorHAnsi" w:hAnsiTheme="minorHAnsi"/>
          <w:bCs/>
          <w:sz w:val="22"/>
          <w:szCs w:val="22"/>
        </w:rPr>
        <w:t>Responsável pela elaboração da Matriz de Riscos</w:t>
      </w:r>
    </w:p>
    <w:p>
      <w:pPr>
        <w:pStyle w:val="BodyText"/>
        <w:spacing w:beforeAutospacing="0" w:before="0" w:afterAutospacing="0" w:after="0"/>
        <w:jc w:val="center"/>
        <w:rPr>
          <w:rFonts w:ascii="Cambria" w:hAnsi="Cambria" w:cs="Arial" w:asciiTheme="minorHAnsi" w:hAnsiTheme="minorHAnsi"/>
          <w:bCs/>
          <w:sz w:val="22"/>
          <w:szCs w:val="22"/>
        </w:rPr>
      </w:pPr>
      <w:r>
        <w:rPr>
          <w:rFonts w:cs="Arial" w:ascii="Cambria" w:hAnsi="Cambria"/>
          <w:bCs/>
          <w:sz w:val="22"/>
          <w:szCs w:val="22"/>
        </w:rPr>
      </w:r>
    </w:p>
    <w:p>
      <w:pPr>
        <w:pStyle w:val="Normal"/>
        <w:jc w:val="center"/>
        <w:rPr>
          <w:rFonts w:ascii="Cambria" w:hAnsi="Cambria" w:cs="Arial" w:asciiTheme="minorHAnsi" w:hAnsiTheme="minorHAnsi"/>
          <w:b/>
          <w:color w:val="FF0000"/>
          <w:sz w:val="22"/>
          <w:szCs w:val="22"/>
        </w:rPr>
      </w:pPr>
      <w:r>
        <w:rPr>
          <w:rFonts w:cs="Arial" w:ascii="Cambria" w:hAnsi="Cambria"/>
          <w:b/>
          <w:color w:val="FF0000"/>
          <w:sz w:val="22"/>
          <w:szCs w:val="22"/>
        </w:rPr>
      </w:r>
    </w:p>
    <w:p>
      <w:pPr>
        <w:pStyle w:val="Normal"/>
        <w:jc w:val="center"/>
        <w:rPr>
          <w:rFonts w:ascii="Cambria" w:hAnsi="Cambria" w:cs="Arial" w:asciiTheme="minorHAnsi" w:hAnsiTheme="minorHAnsi"/>
          <w:b/>
          <w:color w:val="FF0000"/>
          <w:sz w:val="22"/>
          <w:szCs w:val="22"/>
        </w:rPr>
      </w:pPr>
      <w:r>
        <w:rPr>
          <w:rFonts w:cs="Arial" w:ascii="Cambria" w:hAnsi="Cambria"/>
          <w:b/>
          <w:color w:val="FF0000"/>
          <w:sz w:val="22"/>
          <w:szCs w:val="22"/>
        </w:rPr>
      </w:r>
    </w:p>
    <w:tbl>
      <w:tblPr>
        <w:tblW w:w="8614" w:type="dxa"/>
        <w:jc w:val="left"/>
        <w:tblInd w:w="508" w:type="dxa"/>
        <w:tblLayout w:type="fixed"/>
        <w:tblCellMar>
          <w:top w:w="0" w:type="dxa"/>
          <w:left w:w="70" w:type="dxa"/>
          <w:bottom w:w="0" w:type="dxa"/>
          <w:right w:w="70" w:type="dxa"/>
        </w:tblCellMar>
        <w:tblLook w:noVBand="0" w:val="0000" w:noHBand="0" w:lastColumn="0" w:firstColumn="0" w:lastRow="0" w:firstRow="0"/>
      </w:tblPr>
      <w:tblGrid>
        <w:gridCol w:w="8614"/>
      </w:tblGrid>
      <w:tr>
        <w:trPr>
          <w:trHeight w:val="1194" w:hRule="atLeast"/>
        </w:trPr>
        <w:tc>
          <w:tcPr>
            <w:tcW w:w="8614" w:type="dxa"/>
            <w:tcBorders>
              <w:top w:val="single" w:sz="4" w:space="0" w:color="000000"/>
              <w:left w:val="single" w:sz="4" w:space="0" w:color="000000"/>
              <w:bottom w:val="single" w:sz="4" w:space="0" w:color="000000"/>
              <w:right w:val="single" w:sz="4" w:space="0" w:color="000000"/>
            </w:tcBorders>
          </w:tcPr>
          <w:p>
            <w:pPr>
              <w:pStyle w:val="BodyTextIndent3"/>
              <w:tabs>
                <w:tab w:val="clear" w:pos="708"/>
                <w:tab w:val="left" w:pos="14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s>
              <w:spacing w:before="0" w:after="240"/>
              <w:ind w:hanging="70" w:left="80"/>
              <w:jc w:val="both"/>
              <w:rPr>
                <w:rFonts w:ascii="Cambria" w:hAnsi="Cambria" w:cs="Arial" w:asciiTheme="minorHAnsi" w:hAnsiTheme="minorHAnsi"/>
                <w:bCs/>
                <w:sz w:val="22"/>
                <w:szCs w:val="22"/>
              </w:rPr>
            </w:pPr>
            <w:r>
              <w:rPr>
                <w:rFonts w:cs="Arial" w:ascii="Cambria" w:hAnsi="Cambria" w:asciiTheme="minorHAnsi" w:hAnsiTheme="minorHAnsi"/>
                <w:bCs/>
                <w:sz w:val="22"/>
                <w:szCs w:val="22"/>
              </w:rPr>
              <w:t xml:space="preserve"> </w:t>
            </w:r>
            <w:r>
              <w:rPr>
                <w:rFonts w:cs="Arial" w:ascii="Cambria" w:hAnsi="Cambria" w:asciiTheme="minorHAnsi" w:hAnsiTheme="minorHAnsi"/>
                <w:bCs/>
                <w:sz w:val="22"/>
                <w:szCs w:val="22"/>
              </w:rPr>
              <w:t>APROVO ESTA MATRIZ DE RISCO E DECLARO QUE TENHO CONHECIMENTO DE TODAS AS SUAS CARACTERÍSTICAS, RATIFICANDO, NESTE ATO, O SEU INTEGRAL CONTEÚDO.</w:t>
            </w:r>
          </w:p>
          <w:p>
            <w:pPr>
              <w:pStyle w:val="Normal"/>
              <w:numPr>
                <w:ilvl w:val="0"/>
                <w:numId w:val="0"/>
              </w:numPr>
              <w:spacing w:before="0" w:after="120"/>
              <w:ind w:hanging="0" w:left="80"/>
              <w:outlineLvl w:val="0"/>
              <w:rPr>
                <w:rFonts w:ascii="Cambria" w:hAnsi="Cambria" w:cs="Arial" w:asciiTheme="minorHAnsi" w:hAnsiTheme="minorHAnsi"/>
                <w:bCs/>
                <w:sz w:val="22"/>
                <w:szCs w:val="22"/>
              </w:rPr>
            </w:pPr>
            <w:r>
              <w:rPr>
                <w:rFonts w:cs="Arial" w:ascii="Cambria" w:hAnsi="Cambria" w:asciiTheme="minorHAnsi" w:hAnsiTheme="minorHAnsi"/>
                <w:bCs/>
                <w:sz w:val="22"/>
                <w:szCs w:val="22"/>
              </w:rPr>
              <w:t xml:space="preserve">Bueno Brandão, </w:t>
            </w:r>
            <w:r>
              <w:rPr>
                <w:rFonts w:ascii="Cambria" w:hAnsi="Cambria" w:asciiTheme="minorHAnsi" w:hAnsiTheme="minorHAnsi"/>
                <w:sz w:val="22"/>
                <w:szCs w:val="22"/>
              </w:rPr>
              <w:t>26 de novembro de 2025.</w:t>
            </w:r>
          </w:p>
          <w:p>
            <w:pPr>
              <w:pStyle w:val="Normal"/>
              <w:numPr>
                <w:ilvl w:val="0"/>
                <w:numId w:val="0"/>
              </w:numPr>
              <w:spacing w:before="0" w:after="120"/>
              <w:ind w:hanging="0" w:left="80"/>
              <w:outlineLvl w:val="0"/>
              <w:rPr>
                <w:rFonts w:ascii="Cambria" w:hAnsi="Cambria" w:cs="Arial" w:asciiTheme="minorHAnsi" w:hAnsiTheme="minorHAnsi"/>
                <w:bCs/>
                <w:sz w:val="22"/>
                <w:szCs w:val="22"/>
              </w:rPr>
            </w:pPr>
            <w:r>
              <w:rPr>
                <w:rFonts w:cs="Arial" w:ascii="Cambria" w:hAnsi="Cambria"/>
                <w:bCs/>
                <w:sz w:val="22"/>
                <w:szCs w:val="22"/>
              </w:rPr>
            </w:r>
          </w:p>
          <w:p>
            <w:pPr>
              <w:pStyle w:val="BodyText"/>
              <w:tabs>
                <w:tab w:val="clear" w:pos="708"/>
                <w:tab w:val="center" w:pos="4536" w:leader="none"/>
              </w:tabs>
              <w:spacing w:beforeAutospacing="0" w:before="0" w:afterAutospacing="0" w:after="0"/>
              <w:jc w:val="center"/>
              <w:rPr>
                <w:rFonts w:ascii="Cambria" w:hAnsi="Cambria" w:cs="Arial" w:asciiTheme="minorHAnsi" w:hAnsiTheme="minorHAnsi"/>
                <w:b/>
                <w:sz w:val="22"/>
                <w:szCs w:val="22"/>
              </w:rPr>
            </w:pPr>
            <w:r>
              <w:rPr>
                <w:rFonts w:cs="Arial" w:ascii="Cambria" w:hAnsi="Cambria" w:asciiTheme="minorHAnsi" w:hAnsiTheme="minorHAnsi"/>
                <w:b/>
                <w:sz w:val="22"/>
                <w:szCs w:val="22"/>
              </w:rPr>
              <w:t>______________________________________</w:t>
            </w:r>
          </w:p>
          <w:p>
            <w:pPr>
              <w:pStyle w:val="BodyText"/>
              <w:tabs>
                <w:tab w:val="clear" w:pos="708"/>
                <w:tab w:val="left" w:pos="5580" w:leader="none"/>
                <w:tab w:val="left" w:pos="7365" w:leader="none"/>
              </w:tabs>
              <w:spacing w:beforeAutospacing="0" w:before="0" w:afterAutospacing="0" w:after="0"/>
              <w:jc w:val="center"/>
              <w:rPr>
                <w:rFonts w:ascii="Cambria" w:hAnsi="Cambria" w:cs="Arial" w:asciiTheme="minorHAnsi" w:hAnsiTheme="minorHAnsi"/>
                <w:b/>
                <w:sz w:val="22"/>
                <w:szCs w:val="22"/>
              </w:rPr>
            </w:pPr>
            <w:r>
              <w:rPr>
                <w:rFonts w:cs="Arial" w:ascii="Cambria" w:hAnsi="Cambria" w:asciiTheme="minorHAnsi" w:hAnsiTheme="minorHAnsi"/>
                <w:b/>
                <w:sz w:val="22"/>
                <w:szCs w:val="22"/>
              </w:rPr>
              <w:t>Lourival Cavini Junior</w:t>
            </w:r>
          </w:p>
          <w:p>
            <w:pPr>
              <w:pStyle w:val="BodyText"/>
              <w:tabs>
                <w:tab w:val="clear" w:pos="708"/>
                <w:tab w:val="left" w:pos="5580" w:leader="none"/>
                <w:tab w:val="left" w:pos="7365" w:leader="none"/>
              </w:tabs>
              <w:spacing w:beforeAutospacing="0" w:before="0" w:afterAutospacing="0" w:after="0"/>
              <w:jc w:val="center"/>
              <w:rPr>
                <w:rFonts w:ascii="Cambria" w:hAnsi="Cambria" w:cs="Arial" w:asciiTheme="minorHAnsi" w:hAnsiTheme="minorHAnsi"/>
                <w:b/>
                <w:sz w:val="22"/>
                <w:szCs w:val="22"/>
              </w:rPr>
            </w:pPr>
            <w:r>
              <w:rPr>
                <w:rFonts w:cs="Arial" w:ascii="Cambria" w:hAnsi="Cambria" w:asciiTheme="minorHAnsi" w:hAnsiTheme="minorHAnsi"/>
                <w:b/>
                <w:sz w:val="22"/>
                <w:szCs w:val="22"/>
              </w:rPr>
              <w:t>Prefeito Municipal</w:t>
            </w:r>
          </w:p>
          <w:p>
            <w:pPr>
              <w:pStyle w:val="BodyText"/>
              <w:tabs>
                <w:tab w:val="clear" w:pos="708"/>
                <w:tab w:val="left" w:pos="5580" w:leader="none"/>
                <w:tab w:val="left" w:pos="7365" w:leader="none"/>
              </w:tabs>
              <w:spacing w:beforeAutospacing="0" w:before="0" w:afterAutospacing="0" w:after="0"/>
              <w:jc w:val="center"/>
              <w:rPr>
                <w:rFonts w:ascii="Cambria" w:hAnsi="Cambria" w:cs="Arial" w:asciiTheme="minorHAnsi" w:hAnsiTheme="minorHAnsi"/>
                <w:b/>
                <w:sz w:val="22"/>
                <w:szCs w:val="22"/>
              </w:rPr>
            </w:pPr>
            <w:r>
              <w:rPr>
                <w:rFonts w:cs="Arial" w:ascii="Cambria" w:hAnsi="Cambria"/>
                <w:b/>
                <w:sz w:val="22"/>
                <w:szCs w:val="22"/>
              </w:rPr>
            </w:r>
          </w:p>
        </w:tc>
      </w:tr>
    </w:tbl>
    <w:p>
      <w:pPr>
        <w:pStyle w:val="Normal"/>
        <w:spacing w:lineRule="auto" w:line="312" w:before="0" w:after="288"/>
        <w:ind w:firstLine="567"/>
        <w:jc w:val="center"/>
        <w:rPr>
          <w:rFonts w:ascii="Cambria" w:hAnsi="Cambria" w:eastAsia="Arial" w:cs="Arial" w:asciiTheme="minorHAnsi" w:hAnsiTheme="minorHAnsi"/>
          <w:sz w:val="22"/>
          <w:szCs w:val="22"/>
        </w:rPr>
      </w:pPr>
      <w:r>
        <w:rPr>
          <w:rFonts w:eastAsia="Arial" w:cs="Arial" w:ascii="Cambria" w:hAnsi="Cambria"/>
          <w:sz w:val="22"/>
          <w:szCs w:val="22"/>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9" w:top="1418" w:footer="709" w:bottom="1418"/>
      <w:paperSrc w:first="0" w:oth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1"/>
    <w:family w:val="roman"/>
    <w:pitch w:val="variable"/>
  </w:font>
  <w:font w:name="Times New Roman">
    <w:charset w:val="01"/>
    <w:family w:val="roman"/>
    <w:pitch w:val="variable"/>
  </w:font>
  <w:font w:name="Ecofont_Spranq_eco_Sans">
    <w:charset w:val="01"/>
    <w:family w:val="swiss"/>
    <w:pitch w:val="variable"/>
  </w:font>
  <w:font w:name="Tahoma">
    <w:charset w:val="01"/>
    <w:family w:val="swiss"/>
    <w:pitch w:val="variable"/>
  </w:font>
  <w:font w:name="Arial">
    <w:charset w:val="01"/>
    <w:family w:val="swiss"/>
    <w:pitch w:val="variable"/>
  </w:font>
  <w:font w:name="Cambria">
    <w:charset w:val="01"/>
    <w:family w:val="roman"/>
    <w:pitch w:val="variable"/>
  </w:font>
  <w:font w:name="Liberation Serif">
    <w:altName w:val="Times New Roman"/>
    <w:charset w:val="01"/>
    <w:family w:val="roman"/>
    <w:pitch w:val="variable"/>
  </w:font>
  <w:font w:name="Arial">
    <w:altName w:val="Tahoma"/>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Arial" w:hAnsi="Arial" w:cs="Arial"/>
        <w:color w:themeColor="text1" w:themeTint="80" w:val="7F7F7F"/>
        <w:sz w:val="18"/>
        <w:szCs w:val="18"/>
      </w:rPr>
    </w:pPr>
    <w:r>
      <w:rPr>
        <w:color w:themeColor="text1" w:themeTint="80" w:val="7F7F7F"/>
        <w:spacing w:val="60"/>
        <w:sz w:val="22"/>
        <w:szCs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21</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21</w:t>
    </w:r>
    <w:r>
      <w:rPr>
        <w:sz w:val="18"/>
        <w:szCs w:val="18"/>
        <w:rFonts w:cs="Arial" w:ascii="Arial" w:hAnsi="Arial"/>
        <w:color w:themeColor="text1" w:themeTint="a6" w:val="595959"/>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Arial" w:hAnsi="Arial" w:cs="Arial"/>
        <w:color w:themeColor="text1" w:themeTint="80" w:val="7F7F7F"/>
        <w:sz w:val="18"/>
        <w:szCs w:val="18"/>
      </w:rPr>
    </w:pPr>
    <w:r>
      <w:rPr>
        <w:color w:themeColor="text1" w:themeTint="80" w:val="7F7F7F"/>
        <w:spacing w:val="60"/>
        <w:sz w:val="22"/>
        <w:szCs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21</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21</w:t>
    </w:r>
    <w:r>
      <w:rPr>
        <w:sz w:val="18"/>
        <w:szCs w:val="18"/>
        <w:rFonts w:cs="Arial" w:ascii="Arial" w:hAnsi="Arial"/>
        <w:color w:themeColor="text1" w:themeTint="a6" w:val="595959"/>
      </w:rPr>
      <w:fldChar w:fldCharType="end"/>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enter" w:pos="4252" w:leader="none"/>
        <w:tab w:val="center" w:pos="4961" w:leader="none"/>
        <w:tab w:val="right" w:pos="8504" w:leader="none"/>
      </w:tabs>
      <w:rPr/>
    </w:pPr>
    <w:r>
      <w:drawing>
        <wp:anchor behindDoc="1" distT="0" distB="0" distL="0" distR="0" simplePos="0" locked="0" layoutInCell="1" allowOverlap="1" relativeHeight="22">
          <wp:simplePos x="0" y="0"/>
          <wp:positionH relativeFrom="column">
            <wp:posOffset>324485</wp:posOffset>
          </wp:positionH>
          <wp:positionV relativeFrom="paragraph">
            <wp:posOffset>-20955</wp:posOffset>
          </wp:positionV>
          <wp:extent cx="752475" cy="76200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752475" cy="762000"/>
                  </a:xfrm>
                  <a:prstGeom prst="rect">
                    <a:avLst/>
                  </a:prstGeom>
                </pic:spPr>
              </pic:pic>
            </a:graphicData>
          </a:graphic>
        </wp:anchor>
      </w:drawing>
      <mc:AlternateContent>
        <mc:Choice Requires="wps">
          <w:drawing>
            <wp:anchor behindDoc="1" distT="0" distB="0" distL="0" distR="0" simplePos="0" locked="0" layoutInCell="1" allowOverlap="1" relativeHeight="64" wp14:anchorId="6F885101">
              <wp:simplePos x="0" y="0"/>
              <wp:positionH relativeFrom="column">
                <wp:posOffset>1329690</wp:posOffset>
              </wp:positionH>
              <wp:positionV relativeFrom="paragraph">
                <wp:posOffset>-8255</wp:posOffset>
              </wp:positionV>
              <wp:extent cx="4777740" cy="937260"/>
              <wp:effectExtent l="0" t="0" r="0" b="0"/>
              <wp:wrapNone/>
              <wp:docPr id="2" name="Text Box 6"/>
              <a:graphic xmlns:a="http://schemas.openxmlformats.org/drawingml/2006/main">
                <a:graphicData uri="http://schemas.microsoft.com/office/word/2010/wordprocessingShape">
                  <wps:wsp>
                    <wps:cNvSpPr/>
                    <wps:spPr>
                      <a:xfrm>
                        <a:off x="0" y="0"/>
                        <a:ext cx="4777920" cy="937440"/>
                      </a:xfrm>
                      <a:prstGeom prst="rect">
                        <a:avLst/>
                      </a:prstGeom>
                      <a:solidFill>
                        <a:srgbClr val="ffffff"/>
                      </a:solidFill>
                      <a:ln w="0">
                        <a:noFill/>
                      </a:ln>
                    </wps:spPr>
                    <wps:style>
                      <a:lnRef idx="0"/>
                      <a:fillRef idx="0"/>
                      <a:effectRef idx="0"/>
                      <a:fontRef idx="minor"/>
                    </wps:style>
                    <wps:txbx>
                      <w:txbxContent>
                        <w:p>
                          <w:pPr>
                            <w:pStyle w:val="Header"/>
                            <w:tabs>
                              <w:tab w:val="center" w:pos="4252" w:leader="none"/>
                              <w:tab w:val="right" w:pos="8504" w:leader="none"/>
                              <w:tab w:val="right" w:pos="8931" w:leader="none"/>
                            </w:tabs>
                            <w:jc w:val="center"/>
                            <w:rPr>
                              <w:rFonts w:ascii="Cambria" w:hAnsi="Cambria" w:cs="Arial" w:asciiTheme="minorHAnsi" w:hAnsiTheme="minorHAnsi"/>
                              <w:b/>
                              <w:bCs/>
                              <w:sz w:val="28"/>
                              <w:szCs w:val="28"/>
                            </w:rPr>
                          </w:pPr>
                          <w:r>
                            <w:rPr>
                              <w:rFonts w:cs="Arial" w:ascii="Cambria" w:hAnsi="Cambria" w:asciiTheme="minorHAnsi" w:hAnsiTheme="minorHAnsi"/>
                              <w:b/>
                              <w:bCs/>
                              <w:color w:val="000000"/>
                              <w:sz w:val="28"/>
                              <w:szCs w:val="28"/>
                            </w:rPr>
                            <w:t>PREFEITURA MUNICIPAL DE BUENO BRANDÃO</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ESTÂNCIA CLIMÁTICA E HIDROMINERAL</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CNPJ: 18.940.098/0001-22</w:t>
                          </w:r>
                        </w:p>
                        <w:p>
                          <w:pPr>
                            <w:pStyle w:val="Contedodoquadro"/>
                            <w:jc w:val="center"/>
                            <w:rPr>
                              <w:color w:val="000000"/>
                            </w:rPr>
                          </w:pPr>
                          <w:r>
                            <w:rPr>
                              <w:color w:val="000000"/>
                            </w:rPr>
                          </w:r>
                        </w:p>
                      </w:txbxContent>
                    </wps:txbx>
                    <wps:bodyPr anchor="t" upright="1">
                      <a:noAutofit/>
                    </wps:bodyPr>
                  </wps:wsp>
                </a:graphicData>
              </a:graphic>
            </wp:anchor>
          </w:drawing>
        </mc:Choice>
        <mc:Fallback>
          <w:pict>
            <v:rect id="shape_0" ID="Text Box 6" path="m0,0l-2147483645,0l-2147483645,-2147483646l0,-2147483646xe" fillcolor="white" stroked="f" o:allowincell="f" style="position:absolute;margin-left:104.7pt;margin-top:-0.65pt;width:376.15pt;height:73.75pt;mso-wrap-style:square;v-text-anchor:top" wp14:anchorId="6F885101">
              <v:fill o:detectmouseclick="t" type="solid" color2="black"/>
              <v:stroke color="#3465a4" joinstyle="round" endcap="flat"/>
              <v:textbox>
                <w:txbxContent>
                  <w:p>
                    <w:pPr>
                      <w:pStyle w:val="Header"/>
                      <w:tabs>
                        <w:tab w:val="center" w:pos="4252" w:leader="none"/>
                        <w:tab w:val="right" w:pos="8504" w:leader="none"/>
                        <w:tab w:val="right" w:pos="8931" w:leader="none"/>
                      </w:tabs>
                      <w:jc w:val="center"/>
                      <w:rPr>
                        <w:rFonts w:ascii="Cambria" w:hAnsi="Cambria" w:cs="Arial" w:asciiTheme="minorHAnsi" w:hAnsiTheme="minorHAnsi"/>
                        <w:b/>
                        <w:bCs/>
                        <w:sz w:val="28"/>
                        <w:szCs w:val="28"/>
                      </w:rPr>
                    </w:pPr>
                    <w:r>
                      <w:rPr>
                        <w:rFonts w:cs="Arial" w:ascii="Cambria" w:hAnsi="Cambria" w:asciiTheme="minorHAnsi" w:hAnsiTheme="minorHAnsi"/>
                        <w:b/>
                        <w:bCs/>
                        <w:color w:val="000000"/>
                        <w:sz w:val="28"/>
                        <w:szCs w:val="28"/>
                      </w:rPr>
                      <w:t>PREFEITURA MUNICIPAL DE BUENO BRANDÃO</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ESTÂNCIA CLIMÁTICA E HIDROMINERAL</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CNPJ: 18.940.098/0001-22</w:t>
                    </w:r>
                  </w:p>
                  <w:p>
                    <w:pPr>
                      <w:pStyle w:val="Contedodoquadro"/>
                      <w:jc w:val="center"/>
                      <w:rPr>
                        <w:color w:val="000000"/>
                      </w:rPr>
                    </w:pPr>
                    <w:r>
                      <w:rPr>
                        <w:color w:val="000000"/>
                      </w:rPr>
                    </w:r>
                  </w:p>
                </w:txbxContent>
              </v:textbox>
              <w10:wrap type="none"/>
            </v:rect>
          </w:pict>
        </mc:Fallback>
      </mc:AlternateContent>
    </w:r>
    <w:r>
      <w:rPr/>
      <w:tab/>
    </w:r>
  </w:p>
  <w:p>
    <w:pPr>
      <w:pStyle w:val="Header"/>
      <w:tabs>
        <w:tab w:val="center" w:pos="4252" w:leader="none"/>
        <w:tab w:val="center" w:pos="4961" w:leader="none"/>
        <w:tab w:val="right" w:pos="8504" w:leader="none"/>
      </w:tabs>
      <w:rPr/>
    </w:pPr>
    <w:r>
      <w:rPr/>
    </w:r>
  </w:p>
  <w:p>
    <w:pPr>
      <w:pStyle w:val="Header"/>
      <w:tabs>
        <w:tab w:val="center" w:pos="4252" w:leader="none"/>
        <w:tab w:val="center" w:pos="4961" w:leader="none"/>
        <w:tab w:val="right" w:pos="8504" w:leader="none"/>
      </w:tabs>
      <w:rPr/>
    </w:pPr>
    <w:r>
      <w:rPr/>
    </w:r>
  </w:p>
  <w:p>
    <w:pPr>
      <w:pStyle w:val="Header"/>
      <w:tabs>
        <w:tab w:val="center" w:pos="4252" w:leader="none"/>
        <w:tab w:val="center" w:pos="4961" w:leader="none"/>
        <w:tab w:val="right" w:pos="8504" w:leader="none"/>
      </w:tabs>
      <w:rPr>
        <w:rFonts w:ascii="Arial" w:hAnsi="Arial" w:cs="Arial"/>
        <w:b/>
      </w:rPr>
    </w:pPr>
    <w:r>
      <w:rPr>
        <w:rFonts w:cs="Arial" w:ascii="Arial" w:hAnsi="Arial"/>
        <w:b/>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enter" w:pos="4252" w:leader="none"/>
        <w:tab w:val="center" w:pos="4961" w:leader="none"/>
        <w:tab w:val="right" w:pos="8504" w:leader="none"/>
      </w:tabs>
      <w:rPr/>
    </w:pPr>
    <w:r>
      <w:drawing>
        <wp:anchor behindDoc="1" distT="0" distB="0" distL="0" distR="0" simplePos="0" locked="0" layoutInCell="1" allowOverlap="1" relativeHeight="22">
          <wp:simplePos x="0" y="0"/>
          <wp:positionH relativeFrom="column">
            <wp:posOffset>324485</wp:posOffset>
          </wp:positionH>
          <wp:positionV relativeFrom="paragraph">
            <wp:posOffset>-20955</wp:posOffset>
          </wp:positionV>
          <wp:extent cx="752475" cy="762000"/>
          <wp:effectExtent l="0" t="0" r="0" b="0"/>
          <wp:wrapNone/>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1"/>
                  <a:stretch>
                    <a:fillRect/>
                  </a:stretch>
                </pic:blipFill>
                <pic:spPr bwMode="auto">
                  <a:xfrm>
                    <a:off x="0" y="0"/>
                    <a:ext cx="752475" cy="762000"/>
                  </a:xfrm>
                  <a:prstGeom prst="rect">
                    <a:avLst/>
                  </a:prstGeom>
                </pic:spPr>
              </pic:pic>
            </a:graphicData>
          </a:graphic>
        </wp:anchor>
      </w:drawing>
      <mc:AlternateContent>
        <mc:Choice Requires="wps">
          <w:drawing>
            <wp:anchor behindDoc="1" distT="0" distB="0" distL="0" distR="0" simplePos="0" locked="0" layoutInCell="1" allowOverlap="1" relativeHeight="64" wp14:anchorId="6F885101">
              <wp:simplePos x="0" y="0"/>
              <wp:positionH relativeFrom="column">
                <wp:posOffset>1329690</wp:posOffset>
              </wp:positionH>
              <wp:positionV relativeFrom="paragraph">
                <wp:posOffset>-8255</wp:posOffset>
              </wp:positionV>
              <wp:extent cx="4777740" cy="937260"/>
              <wp:effectExtent l="0" t="0" r="0" b="0"/>
              <wp:wrapNone/>
              <wp:docPr id="4" name="Text Box 6"/>
              <a:graphic xmlns:a="http://schemas.openxmlformats.org/drawingml/2006/main">
                <a:graphicData uri="http://schemas.microsoft.com/office/word/2010/wordprocessingShape">
                  <wps:wsp>
                    <wps:cNvSpPr/>
                    <wps:spPr>
                      <a:xfrm>
                        <a:off x="0" y="0"/>
                        <a:ext cx="4777920" cy="937440"/>
                      </a:xfrm>
                      <a:prstGeom prst="rect">
                        <a:avLst/>
                      </a:prstGeom>
                      <a:solidFill>
                        <a:srgbClr val="ffffff"/>
                      </a:solidFill>
                      <a:ln w="0">
                        <a:noFill/>
                      </a:ln>
                    </wps:spPr>
                    <wps:style>
                      <a:lnRef idx="0"/>
                      <a:fillRef idx="0"/>
                      <a:effectRef idx="0"/>
                      <a:fontRef idx="minor"/>
                    </wps:style>
                    <wps:txbx>
                      <w:txbxContent>
                        <w:p>
                          <w:pPr>
                            <w:pStyle w:val="Header"/>
                            <w:tabs>
                              <w:tab w:val="center" w:pos="4252" w:leader="none"/>
                              <w:tab w:val="right" w:pos="8504" w:leader="none"/>
                              <w:tab w:val="right" w:pos="8931" w:leader="none"/>
                            </w:tabs>
                            <w:jc w:val="center"/>
                            <w:rPr>
                              <w:rFonts w:ascii="Cambria" w:hAnsi="Cambria" w:cs="Arial" w:asciiTheme="minorHAnsi" w:hAnsiTheme="minorHAnsi"/>
                              <w:b/>
                              <w:bCs/>
                              <w:sz w:val="28"/>
                              <w:szCs w:val="28"/>
                            </w:rPr>
                          </w:pPr>
                          <w:r>
                            <w:rPr>
                              <w:rFonts w:cs="Arial" w:ascii="Cambria" w:hAnsi="Cambria" w:asciiTheme="minorHAnsi" w:hAnsiTheme="minorHAnsi"/>
                              <w:b/>
                              <w:bCs/>
                              <w:color w:val="000000"/>
                              <w:sz w:val="28"/>
                              <w:szCs w:val="28"/>
                            </w:rPr>
                            <w:t>PREFEITURA MUNICIPAL DE BUENO BRANDÃO</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ESTÂNCIA CLIMÁTICA E HIDROMINERAL</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CNPJ: 18.940.098/0001-22</w:t>
                          </w:r>
                        </w:p>
                        <w:p>
                          <w:pPr>
                            <w:pStyle w:val="Contedodoquadro"/>
                            <w:jc w:val="center"/>
                            <w:rPr>
                              <w:color w:val="000000"/>
                            </w:rPr>
                          </w:pPr>
                          <w:r>
                            <w:rPr>
                              <w:color w:val="000000"/>
                            </w:rPr>
                          </w:r>
                        </w:p>
                      </w:txbxContent>
                    </wps:txbx>
                    <wps:bodyPr anchor="t" upright="1">
                      <a:noAutofit/>
                    </wps:bodyPr>
                  </wps:wsp>
                </a:graphicData>
              </a:graphic>
            </wp:anchor>
          </w:drawing>
        </mc:Choice>
        <mc:Fallback>
          <w:pict>
            <v:rect id="shape_0" ID="Text Box 6" path="m0,0l-2147483645,0l-2147483645,-2147483646l0,-2147483646xe" fillcolor="white" stroked="f" o:allowincell="f" style="position:absolute;margin-left:104.7pt;margin-top:-0.65pt;width:376.15pt;height:73.75pt;mso-wrap-style:square;v-text-anchor:top" wp14:anchorId="6F885101">
              <v:fill o:detectmouseclick="t" type="solid" color2="black"/>
              <v:stroke color="#3465a4" joinstyle="round" endcap="flat"/>
              <v:textbox>
                <w:txbxContent>
                  <w:p>
                    <w:pPr>
                      <w:pStyle w:val="Header"/>
                      <w:tabs>
                        <w:tab w:val="center" w:pos="4252" w:leader="none"/>
                        <w:tab w:val="right" w:pos="8504" w:leader="none"/>
                        <w:tab w:val="right" w:pos="8931" w:leader="none"/>
                      </w:tabs>
                      <w:jc w:val="center"/>
                      <w:rPr>
                        <w:rFonts w:ascii="Cambria" w:hAnsi="Cambria" w:cs="Arial" w:asciiTheme="minorHAnsi" w:hAnsiTheme="minorHAnsi"/>
                        <w:b/>
                        <w:bCs/>
                        <w:sz w:val="28"/>
                        <w:szCs w:val="28"/>
                      </w:rPr>
                    </w:pPr>
                    <w:r>
                      <w:rPr>
                        <w:rFonts w:cs="Arial" w:ascii="Cambria" w:hAnsi="Cambria" w:asciiTheme="minorHAnsi" w:hAnsiTheme="minorHAnsi"/>
                        <w:b/>
                        <w:bCs/>
                        <w:color w:val="000000"/>
                        <w:sz w:val="28"/>
                        <w:szCs w:val="28"/>
                      </w:rPr>
                      <w:t>PREFEITURA MUNICIPAL DE BUENO BRANDÃO</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ESTÂNCIA CLIMÁTICA E HIDROMINERAL</w:t>
                    </w:r>
                  </w:p>
                  <w:p>
                    <w:pPr>
                      <w:pStyle w:val="Header"/>
                      <w:jc w:val="center"/>
                      <w:rPr>
                        <w:rFonts w:ascii="Cambria" w:hAnsi="Cambria" w:cs="Arial" w:asciiTheme="minorHAnsi" w:hAnsiTheme="minorHAnsi"/>
                        <w:b/>
                        <w:bCs/>
                      </w:rPr>
                    </w:pPr>
                    <w:r>
                      <w:rPr>
                        <w:rFonts w:cs="Arial" w:ascii="Cambria" w:hAnsi="Cambria" w:asciiTheme="minorHAnsi" w:hAnsiTheme="minorHAnsi"/>
                        <w:b/>
                        <w:bCs/>
                        <w:color w:val="000000"/>
                      </w:rPr>
                      <w:t>CNPJ: 18.940.098/0001-22</w:t>
                    </w:r>
                  </w:p>
                  <w:p>
                    <w:pPr>
                      <w:pStyle w:val="Contedodoquadro"/>
                      <w:jc w:val="center"/>
                      <w:rPr>
                        <w:color w:val="000000"/>
                      </w:rPr>
                    </w:pPr>
                    <w:r>
                      <w:rPr>
                        <w:color w:val="000000"/>
                      </w:rPr>
                    </w:r>
                  </w:p>
                </w:txbxContent>
              </v:textbox>
              <w10:wrap type="none"/>
            </v:rect>
          </w:pict>
        </mc:Fallback>
      </mc:AlternateContent>
    </w:r>
    <w:r>
      <w:rPr/>
      <w:tab/>
    </w:r>
  </w:p>
  <w:p>
    <w:pPr>
      <w:pStyle w:val="Header"/>
      <w:tabs>
        <w:tab w:val="center" w:pos="4252" w:leader="none"/>
        <w:tab w:val="center" w:pos="4961" w:leader="none"/>
        <w:tab w:val="right" w:pos="8504" w:leader="none"/>
      </w:tabs>
      <w:rPr/>
    </w:pPr>
    <w:r>
      <w:rPr/>
    </w:r>
  </w:p>
  <w:p>
    <w:pPr>
      <w:pStyle w:val="Header"/>
      <w:tabs>
        <w:tab w:val="center" w:pos="4252" w:leader="none"/>
        <w:tab w:val="center" w:pos="4961" w:leader="none"/>
        <w:tab w:val="right" w:pos="8504" w:leader="none"/>
      </w:tabs>
      <w:rPr/>
    </w:pPr>
    <w:r>
      <w:rPr/>
    </w:r>
  </w:p>
  <w:p>
    <w:pPr>
      <w:pStyle w:val="Header"/>
      <w:tabs>
        <w:tab w:val="center" w:pos="4252" w:leader="none"/>
        <w:tab w:val="center" w:pos="4961" w:leader="none"/>
        <w:tab w:val="right" w:pos="8504" w:leader="none"/>
      </w:tabs>
      <w:rPr>
        <w:rFonts w:ascii="Arial" w:hAnsi="Arial" w:cs="Arial"/>
        <w:b/>
      </w:rPr>
    </w:pPr>
    <w:r>
      <w:rPr>
        <w:rFonts w:cs="Arial" w:ascii="Arial" w:hAnsi="Arial"/>
        <w:b/>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1"/>
      <w:numFmt w:val="decimal"/>
      <w:lvlText w:val="%1.%2."/>
      <w:lvlJc w:val="left"/>
      <w:pPr>
        <w:tabs>
          <w:tab w:val="num" w:pos="0"/>
        </w:tabs>
        <w:ind w:left="999" w:hanging="432"/>
      </w:pPr>
      <w:rPr>
        <w:rFonts w:ascii="Arial,Tahoma,ＭＳ 明朝" w:hAnsi="Arial,Tahoma,ＭＳ 明朝"/>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701" w:hanging="432"/>
      </w:pPr>
      <w:rPr>
        <w:dstrike w:val="false"/>
        <w:strike w:val="false"/>
        <w:sz w:val="20"/>
        <w:i w:val="false"/>
        <w:u w:val="none"/>
        <w:b/>
        <w:szCs w:val="20"/>
        <w:color w:val="auto"/>
      </w:rPr>
    </w:lvl>
    <w:lvl w:ilvl="2">
      <w:start w:val="1"/>
      <w:numFmt w:val="decimal"/>
      <w:lvlText w:val="%1.%2.%3."/>
      <w:lvlJc w:val="left"/>
      <w:pPr>
        <w:tabs>
          <w:tab w:val="num" w:pos="0"/>
        </w:tabs>
        <w:ind w:left="1638" w:hanging="504"/>
      </w:pPr>
      <w:rPr>
        <w:dstrike w:val="false"/>
        <w:strike w:val="false"/>
        <w:sz w:val="20"/>
        <w:i w:val="false"/>
        <w:b/>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qFormat="1"/>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qFormat="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63896"/>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InternetLink">
    <w:name w:val="Internet Link"/>
    <w:qFormat/>
    <w:rsid w:val="00bf1a7f"/>
    <w:rPr>
      <w:color w:val="000080"/>
      <w:u w:val="single"/>
    </w:rPr>
  </w:style>
  <w:style w:type="character" w:styleId="CitaoChar" w:customStyle="1">
    <w:name w:val="Citação Char"/>
    <w:link w:val="Quote"/>
    <w:uiPriority w:val="29"/>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5c284d"/>
    <w:rPr>
      <w:rFonts w:ascii="Arial" w:hAnsi="Arial" w:eastAsia=""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ec49e9"/>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63896"/>
    <w:rPr>
      <w:rFonts w:ascii="Cambria" w:hAnsi="Cambria" w:cs="TimesNewRomanPSMT"/>
      <w:bCs/>
      <w:color w:themeColor="text1" w:val="000000"/>
      <w:sz w:val="24"/>
      <w:szCs w:val="24"/>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eb73ed"/>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e44d80"/>
    <w:rPr>
      <w:rFonts w:ascii="Arial" w:hAnsi="Arial" w:cs="Arial"/>
      <w:bCs/>
      <w:iCs/>
      <w:color w:themeColor="text1" w:val="000000"/>
      <w:sz w:val="24"/>
      <w:szCs w:val="24"/>
    </w:rPr>
  </w:style>
  <w:style w:type="character" w:styleId="Nivel3Char" w:customStyle="1">
    <w:name w:val="Nivel 3 Char"/>
    <w:basedOn w:val="DefaultParagraphFont"/>
    <w:link w:val="Nivel3"/>
    <w:qFormat/>
    <w:rsid w:val="00b83d49"/>
    <w:rPr>
      <w:rFonts w:ascii="Arial" w:hAnsi="Arial" w:cs="Arial"/>
      <w:color w:val="000000"/>
    </w:rPr>
  </w:style>
  <w:style w:type="character" w:styleId="Nvel3-RChar" w:customStyle="1">
    <w:name w:val="Nível 3-R Char"/>
    <w:basedOn w:val="Nivel3Char"/>
    <w:link w:val="Nvel3-R"/>
    <w:qFormat/>
    <w:rsid w:val="00d42afb"/>
    <w:rPr>
      <w:rFonts w:ascii="Arial" w:hAnsi="Arial" w:cs="Arial"/>
      <w:i/>
      <w:iCs/>
      <w:color w:val="FF0000"/>
      <w:lang w:eastAsia="pt-BR"/>
    </w:rPr>
  </w:style>
  <w:style w:type="character" w:styleId="Nvel4-RChar" w:customStyle="1">
    <w:name w:val="Nível 4-R Char"/>
    <w:basedOn w:val="Nivel4Char"/>
    <w:link w:val="Nvel4-R"/>
    <w:qFormat/>
    <w:rsid w:val="004b3bd3"/>
    <w:rPr>
      <w:rFonts w:ascii="Arial" w:hAnsi="Arial" w:cs="Arial"/>
      <w:i/>
      <w:iCs/>
      <w:color w:val="FF0000"/>
      <w:lang w:eastAsia="pt-BR"/>
    </w:rPr>
  </w:style>
  <w:style w:type="character" w:styleId="InternetLink1" w:customStyle="1">
    <w:name w:val="Internet Link1"/>
    <w:basedOn w:val="DefaultParagraphFont"/>
    <w:uiPriority w:val="99"/>
    <w:unhideWhenUsed/>
    <w:qFormat/>
    <w:rsid w:val="00dc41dd"/>
    <w:rPr>
      <w:color w:themeColor="hyperlink" w:val="0000FF"/>
      <w:u w:val="single"/>
    </w:rPr>
  </w:style>
  <w:style w:type="character" w:styleId="Nvel1-SemNumChar" w:customStyle="1">
    <w:name w:val="Nível 1-Sem Num Char"/>
    <w:basedOn w:val="Nivel01Char"/>
    <w:link w:val="Nvel1-SemNum"/>
    <w:qFormat/>
    <w:rsid w:val="00616a4e"/>
    <w:rPr>
      <w:rFonts w:ascii="Arial" w:hAnsi="Arial" w:eastAsia="" w:cs="Arial" w:eastAsiaTheme="majorEastAsia"/>
      <w:b/>
      <w:bCs/>
      <w:color w:themeColor="text1" w:val="00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citao2Char" w:customStyle="1">
    <w:name w:val="citação 2 Char"/>
    <w:basedOn w:val="CitaoChar"/>
    <w:link w:val="citao2"/>
    <w:qFormat/>
    <w:rsid w:val="00ff2673"/>
    <w:rPr>
      <w:rFonts w:ascii="Arial" w:hAnsi="Arial" w:eastAsia="Calibri" w:cs="Tahoma"/>
      <w:i/>
      <w:iCs/>
      <w:color w:val="000000"/>
      <w:szCs w:val="24"/>
      <w:shd w:fill="FFFFCC" w:val="clear"/>
    </w:rPr>
  </w:style>
  <w:style w:type="character" w:styleId="MenoPendente5" w:customStyle="1">
    <w:name w:val="Menção Pendente5"/>
    <w:basedOn w:val="DefaultParagraphFont"/>
    <w:uiPriority w:val="99"/>
    <w:semiHidden/>
    <w:unhideWhenUsed/>
    <w:qFormat/>
    <w:rsid w:val="00400869"/>
    <w:rPr>
      <w:color w:val="605E5C"/>
      <w:shd w:fill="E1DFDD" w:val="clear"/>
    </w:rPr>
  </w:style>
  <w:style w:type="character" w:styleId="Mentionnonrsolue1" w:customStyle="1">
    <w:name w:val="Mention non résolue1"/>
    <w:basedOn w:val="DefaultParagraphFont"/>
    <w:uiPriority w:val="99"/>
    <w:semiHidden/>
    <w:unhideWhenUsed/>
    <w:qFormat/>
    <w:rsid w:val="000905ea"/>
    <w:rPr>
      <w:color w:val="605E5C"/>
      <w:shd w:fill="E1DFDD" w:val="clear"/>
    </w:rPr>
  </w:style>
  <w:style w:type="character" w:styleId="MenoPendente6" w:customStyle="1">
    <w:name w:val="Menção Pendente6"/>
    <w:basedOn w:val="DefaultParagraphFont"/>
    <w:uiPriority w:val="99"/>
    <w:semiHidden/>
    <w:unhideWhenUsed/>
    <w:qFormat/>
    <w:rsid w:val="00694e6b"/>
    <w:rPr>
      <w:color w:val="605E5C"/>
      <w:shd w:fill="E1DFDD" w:val="clear"/>
    </w:rPr>
  </w:style>
  <w:style w:type="character" w:styleId="Nivel3-erroChar" w:customStyle="1">
    <w:name w:val="Nivel 3-erro Char"/>
    <w:basedOn w:val="DefaultParagraphFont"/>
    <w:link w:val="Nivel3-erro"/>
    <w:uiPriority w:val="1"/>
    <w:qFormat/>
    <w:rsid w:val="6408ee53"/>
    <w:rPr>
      <w:rFonts w:ascii="Arial" w:hAnsi="Arial" w:eastAsia="" w:cs="Tahoma" w:eastAsiaTheme="minorEastAsia"/>
      <w:lang w:eastAsia="pt-BR"/>
    </w:rPr>
  </w:style>
  <w:style w:type="character" w:styleId="Nvel1-SemBlackChar" w:customStyle="1">
    <w:name w:val="Nível 1-Sem Black Char"/>
    <w:basedOn w:val="Nvel1-SemNumChar"/>
    <w:link w:val="Nvel1-SemBlack"/>
    <w:qFormat/>
    <w:rsid w:val="00c841be"/>
    <w:rPr>
      <w:rFonts w:ascii="Arial" w:hAnsi="Arial" w:eastAsia="" w:cs="Arial" w:eastAsiaTheme="majorEastAsia"/>
      <w:b/>
      <w:bCs/>
      <w:color w:themeColor="text1" w:val="FF0000"/>
      <w:spacing w:val="5"/>
      <w:kern w:val="2"/>
      <w:sz w:val="52"/>
      <w:szCs w:val="52"/>
      <w:lang w:eastAsia="pt-BR"/>
    </w:rPr>
  </w:style>
  <w:style w:type="character" w:styleId="Recuodecorpodetexto3Char" w:customStyle="1">
    <w:name w:val="Recuo de corpo de texto 3 Char"/>
    <w:basedOn w:val="DefaultParagraphFont"/>
    <w:link w:val="BodyTextIndent3"/>
    <w:qFormat/>
    <w:rsid w:val="00a105ae"/>
    <w:rPr>
      <w:rFonts w:eastAsia="Times New Roman"/>
      <w:sz w:val="16"/>
      <w:szCs w:val="16"/>
      <w:lang w:eastAsia="pt-BR"/>
    </w:rPr>
  </w:style>
  <w:style w:type="paragraph" w:styleId="Ttulo">
    <w:name w:val="Título"/>
    <w:basedOn w:val="Normal"/>
    <w:next w:val="BodyText"/>
    <w:qFormat/>
    <w:pPr>
      <w:keepNext w:val="true"/>
      <w:spacing w:before="240" w:after="120"/>
    </w:pPr>
    <w:rPr>
      <w:rFonts w:ascii="Calibri" w:hAnsi="Calibri" w:eastAsia="Tahoma" w:cs="Noto Sans"/>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Noto Sans"/>
    </w:rPr>
  </w:style>
  <w:style w:type="paragraph" w:styleId="Caption">
    <w:name w:val="Caption"/>
    <w:basedOn w:val="Normal"/>
    <w:qFormat/>
    <w:pPr>
      <w:suppressLineNumbers/>
      <w:spacing w:before="120" w:after="120"/>
    </w:pPr>
    <w:rPr>
      <w:rFonts w:cs="Noto Sans"/>
      <w:i/>
      <w:iCs/>
      <w:sz w:val="24"/>
      <w:szCs w:val="24"/>
    </w:rPr>
  </w:style>
  <w:style w:type="paragraph" w:styleId="ndice">
    <w:name w:val="Índice"/>
    <w:basedOn w:val="Normal"/>
    <w:qFormat/>
    <w:pPr>
      <w:suppressLineNumbers/>
    </w:pPr>
    <w:rPr>
      <w:rFonts w:cs="Noto Sans"/>
    </w:rPr>
  </w:style>
  <w:style w:type="paragraph" w:styleId="ListParagraph">
    <w:name w:val="List Paragraph"/>
    <w:basedOn w:val="Normal"/>
    <w:link w:val="PargrafodaListaChar"/>
    <w:uiPriority w:val="34"/>
    <w:qFormat/>
    <w:rsid w:val="004773fc"/>
    <w:pPr>
      <w:spacing w:before="0" w:after="0"/>
      <w:ind w:lef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3"/>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HeaderandFooter">
    <w:name w:val="Header and Footer"/>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Heading1"/>
    <w:next w:val="Normal"/>
    <w:link w:val="Nivel01Char"/>
    <w:autoRedefine/>
    <w:qFormat/>
    <w:rsid w:val="005c284d"/>
    <w:pPr>
      <w:numPr>
        <w:ilvl w:val="0"/>
        <w:numId w:val="2"/>
      </w:numPr>
      <w:tabs>
        <w:tab w:val="clear" w:pos="708"/>
        <w:tab w:val="left" w:pos="567" w:leader="none"/>
      </w:tabs>
      <w:spacing w:lineRule="auto" w:line="276" w:before="240" w:after="120"/>
      <w:ind w:hanging="0" w:left="0"/>
      <w:jc w:val="both"/>
    </w:pPr>
    <w:rPr>
      <w:rFonts w:ascii="Arial" w:hAnsi="Arial" w:cs="Arial"/>
      <w:color w:themeColor="accent1" w:themeShade="bf" w:val="auto"/>
      <w:sz w:val="20"/>
      <w:szCs w:val="20"/>
      <w:lang w:eastAsia="en-US"/>
    </w:rPr>
  </w:style>
  <w:style w:type="paragraph" w:styleId="Nivel01Titulo" w:customStyle="1">
    <w:name w:val="Nivel_01_Titulo"/>
    <w:basedOn w:val="Nivel01"/>
    <w:link w:val="Nivel01TituloChar"/>
    <w:qFormat/>
    <w:rsid w:val="00e967ea"/>
    <w:pPr>
      <w:jc w:val="lef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left="720"/>
    </w:pPr>
    <w:rPr>
      <w:rFonts w:eastAsia="Times New Roman" w:cs="Ecofont_Spranq_eco_Sans"/>
    </w:rPr>
  </w:style>
  <w:style w:type="paragraph" w:styleId="Nivel2" w:customStyle="1">
    <w:name w:val="Nivel 2"/>
    <w:basedOn w:val="Normal"/>
    <w:link w:val="Nivel2Char"/>
    <w:autoRedefine/>
    <w:qFormat/>
    <w:rsid w:val="00863896"/>
    <w:pPr>
      <w:spacing w:lineRule="auto" w:line="276" w:before="0" w:after="120"/>
      <w:ind w:firstLine="117"/>
      <w:jc w:val="both"/>
    </w:pPr>
    <w:rPr>
      <w:rFonts w:ascii="Cambria" w:hAnsi="Cambria" w:cs="TimesNewRomanPSMT"/>
      <w:bCs/>
      <w:color w:themeColor="text1" w:val="000000"/>
      <w:lang w:eastAsia="en-US"/>
    </w:rPr>
  </w:style>
  <w:style w:type="paragraph" w:styleId="Nivel11" w:customStyle="1">
    <w:name w:val="Nivel 1"/>
    <w:basedOn w:val="Nivel2"/>
    <w:next w:val="Nivel2"/>
    <w:qFormat/>
    <w:rsid w:val="003629e4"/>
    <w:pPr>
      <w:ind w:hanging="360" w:left="360"/>
    </w:pPr>
    <w:rPr>
      <w:b/>
    </w:rPr>
  </w:style>
  <w:style w:type="paragraph" w:styleId="Nivel3" w:customStyle="1">
    <w:name w:val="Nivel 3"/>
    <w:basedOn w:val="Normal"/>
    <w:link w:val="Nivel3Char"/>
    <w:autoRedefine/>
    <w:qFormat/>
    <w:rsid w:val="00b83d49"/>
    <w:pPr>
      <w:numPr>
        <w:ilvl w:val="2"/>
        <w:numId w:val="2"/>
      </w:numPr>
      <w:spacing w:lineRule="auto" w:line="276" w:before="120" w:after="120"/>
      <w:ind w:hanging="0" w:left="0"/>
      <w:jc w:val="both"/>
    </w:pPr>
    <w:rPr>
      <w:rFonts w:ascii="Arial" w:hAnsi="Arial" w:cs="Arial"/>
      <w:color w:val="000000"/>
      <w:sz w:val="20"/>
      <w:szCs w:val="20"/>
      <w:lang w:eastAsia="en-US"/>
    </w:rPr>
  </w:style>
  <w:style w:type="paragraph" w:styleId="Nivel4" w:customStyle="1">
    <w:name w:val="Nivel 4"/>
    <w:basedOn w:val="Nivel3"/>
    <w:link w:val="Nivel4Char"/>
    <w:autoRedefine/>
    <w:qFormat/>
    <w:rsid w:val="00ec49e9"/>
    <w:pPr>
      <w:ind w:hanging="0" w:left="567"/>
    </w:pPr>
    <w:rPr>
      <w:color w:val="auto"/>
    </w:rPr>
  </w:style>
  <w:style w:type="paragraph" w:styleId="Nivel5" w:customStyle="1">
    <w:name w:val="Nivel 5"/>
    <w:basedOn w:val="Nivel4"/>
    <w:autoRedefine/>
    <w:qFormat/>
    <w:rsid w:val="004b3bd3"/>
    <w:pPr>
      <w:ind w:hanging="1077" w:left="1928"/>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ind w:hanging="432" w:left="432"/>
    </w:pPr>
    <w:rPr>
      <w:rFonts w:eastAsia="Times New Roman"/>
      <w:i/>
      <w:color w:themeColor="text1"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autoRedefine/>
    <w:qFormat/>
    <w:rsid w:val="00eb73ed"/>
    <w:pPr>
      <w:spacing w:lineRule="auto" w:line="312" w:before="120" w:after="288"/>
      <w:ind w:firstLine="567" w:left="0"/>
      <w:contextualSpacing w:val="false"/>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autoRedefine/>
    <w:qFormat/>
    <w:rsid w:val="00e44d80"/>
    <w:pPr/>
    <w:rPr>
      <w:iCs/>
    </w:rPr>
  </w:style>
  <w:style w:type="paragraph" w:styleId="Nvel3-R" w:customStyle="1">
    <w:name w:val="Nível 3-R"/>
    <w:basedOn w:val="Nivel3"/>
    <w:link w:val="Nvel3-RChar"/>
    <w:qFormat/>
    <w:rsid w:val="00d42afb"/>
    <w:pPr/>
    <w:rPr>
      <w:i/>
      <w:iCs/>
      <w:color w:val="FF0000"/>
    </w:rPr>
  </w:style>
  <w:style w:type="paragraph" w:styleId="Nvel4-R" w:customStyle="1">
    <w:name w:val="Nível 4-R"/>
    <w:basedOn w:val="Nivel4"/>
    <w:link w:val="Nvel4-RChar"/>
    <w:autoRedefine/>
    <w:qFormat/>
    <w:rsid w:val="004b3bd3"/>
    <w:pPr/>
    <w:rPr>
      <w:i/>
      <w:iCs/>
      <w:color w:val="FF0000"/>
    </w:rPr>
  </w:style>
  <w:style w:type="paragraph" w:styleId="Nvel1-SemNum" w:customStyle="1">
    <w:name w:val="Nível 1-Sem Num"/>
    <w:basedOn w:val="Nivel01"/>
    <w:link w:val="Nvel1-SemNumChar"/>
    <w:autoRedefine/>
    <w:qFormat/>
    <w:rsid w:val="00616a4e"/>
    <w:pPr>
      <w:numPr>
        <w:ilvl w:val="0"/>
        <w:numId w:val="0"/>
      </w:numPr>
      <w:ind w:hanging="0" w:left="0"/>
      <w:outlineLvl w:val="1"/>
    </w:pPr>
    <w:rPr>
      <w:color w:themeColor="text1" w:val="000000"/>
    </w:rPr>
  </w:style>
  <w:style w:type="paragraph" w:styleId="citao2" w:customStyle="1">
    <w:name w:val="citação 2"/>
    <w:basedOn w:val="Quote"/>
    <w:link w:val="citao2Char"/>
    <w:qFormat/>
    <w:rsid w:val="00dc41dd"/>
    <w:pPr>
      <w:overflowPunct w:val="false"/>
    </w:pPr>
    <w:rPr>
      <w:szCs w:val="20"/>
    </w:rPr>
  </w:style>
  <w:style w:type="paragraph" w:styleId="Prembulo" w:customStyle="1">
    <w:name w:val="Preâmbulo"/>
    <w:basedOn w:val="Normal"/>
    <w:link w:val="PrembuloChar"/>
    <w:qFormat/>
    <w:rsid w:val="00bb19e4"/>
    <w:pPr>
      <w:spacing w:lineRule="auto" w:line="360" w:before="480" w:after="120"/>
      <w:ind w:left="4253" w:right="-17"/>
      <w:jc w:val="both"/>
    </w:pPr>
    <w:rPr>
      <w:rFonts w:ascii="Arial" w:hAnsi="Arial" w:eastAsia="Arial" w:cs="Arial"/>
      <w:bCs/>
      <w:sz w:val="20"/>
      <w:szCs w:val="20"/>
    </w:rPr>
  </w:style>
  <w:style w:type="paragraph" w:styleId="Nivel3-erro" w:customStyle="1">
    <w:name w:val="Nivel 3-erro"/>
    <w:basedOn w:val="Normal"/>
    <w:link w:val="Nivel3-erroChar"/>
    <w:uiPriority w:val="1"/>
    <w:qFormat/>
    <w:rsid w:val="6408ee53"/>
    <w:pPr>
      <w:numPr>
        <w:ilvl w:val="2"/>
        <w:numId w:val="1"/>
      </w:numPr>
      <w:spacing w:before="120" w:after="120"/>
      <w:ind w:hanging="0" w:left="425"/>
      <w:jc w:val="both"/>
    </w:pPr>
    <w:rPr>
      <w:rFonts w:ascii="Arial" w:hAnsi="Arial"/>
      <w:sz w:val="20"/>
      <w:szCs w:val="20"/>
    </w:rPr>
  </w:style>
  <w:style w:type="paragraph" w:styleId="Nvel1-SemBlack" w:customStyle="1">
    <w:name w:val="Nível 1-Sem Black"/>
    <w:basedOn w:val="Nvel1-SemNum"/>
    <w:link w:val="Nvel1-SemBlackChar"/>
    <w:qFormat/>
    <w:rsid w:val="00c841be"/>
    <w:pPr/>
    <w:rPr>
      <w:color w:themeColor="text1" w:val="auto"/>
    </w:rPr>
  </w:style>
  <w:style w:type="paragraph" w:styleId="BodyTextIndent3">
    <w:name w:val="Body Text Indent 3"/>
    <w:basedOn w:val="Normal"/>
    <w:link w:val="Recuodecorpodetexto3Char"/>
    <w:qFormat/>
    <w:rsid w:val="00a105ae"/>
    <w:pPr>
      <w:spacing w:before="0" w:after="120"/>
      <w:ind w:left="283"/>
    </w:pPr>
    <w:rPr>
      <w:rFonts w:ascii="Times New Roman" w:hAnsi="Times New Roman" w:eastAsia="Times New Roman" w:cs="Times New Roman"/>
      <w:sz w:val="16"/>
      <w:szCs w:val="16"/>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C13D5-51BF-4EFB-A185-2CDF0E896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Application>Collabora_Office/24.04.6.1$Linux_X86_64 LibreOffice_project/cd7968a4dd2965f3e44fa29f528007aa4a54dc97</Application>
  <AppVersion>15.0000</AppVersion>
  <Pages>21</Pages>
  <Words>3612</Words>
  <Characters>23332</Characters>
  <CharactersWithSpaces>26331</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2024-03-14T16:25:00Z</dcterms:created>
  <dc:creator/>
  <dc:description/>
  <dc:language>pt-BR</dc:language>
  <cp:lastModifiedBy/>
  <cp:lastPrinted>2025-11-26T19:04:00Z</cp:lastPrinted>
  <dcterms:modified xsi:type="dcterms:W3CDTF">2026-03-16T11:43:04Z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