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94FFAB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7830A489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5EBEB172" w14:textId="08BBDDE1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</w:pPr>
      <w:r>
        <w:object w:dxaOrig="8235" w:dyaOrig="2025" w14:anchorId="3EC7A7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75pt;height:101.25pt" o:ole="">
            <v:imagedata r:id="rId7" o:title=""/>
          </v:shape>
          <o:OLEObject Type="Embed" ProgID="PBrush" ShapeID="_x0000_i1025" DrawAspect="Content" ObjectID="_1773470980" r:id="rId8"/>
        </w:object>
      </w:r>
    </w:p>
    <w:p w14:paraId="06CCD591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</w:pPr>
    </w:p>
    <w:p w14:paraId="0F7B2BA5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3E211219" w14:textId="15E3E31E" w:rsidR="004A7D22" w:rsidRPr="000A5F78" w:rsidRDefault="00000000">
      <w:pPr>
        <w:tabs>
          <w:tab w:val="left" w:pos="709"/>
        </w:tabs>
        <w:spacing w:line="288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bookmarkStart w:id="0" w:name="_Hlk158268820"/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SEÇÃO DE  LICITAÇÕES E CONTRATOS </w:t>
      </w:r>
    </w:p>
    <w:p w14:paraId="15C00DCB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271"/>
        <w:rPr>
          <w:rFonts w:ascii="Arial" w:eastAsia="Arial" w:hAnsi="Arial" w:cs="Arial"/>
          <w:b/>
          <w:color w:val="000000"/>
          <w:sz w:val="26"/>
          <w:szCs w:val="26"/>
          <w:lang w:val="pt-BR"/>
        </w:rPr>
      </w:pPr>
    </w:p>
    <w:p w14:paraId="03DDEDE1" w14:textId="75DB688E" w:rsidR="004A7D22" w:rsidRPr="000A5F78" w:rsidRDefault="00000000">
      <w:pPr>
        <w:tabs>
          <w:tab w:val="left" w:pos="709"/>
        </w:tabs>
        <w:spacing w:before="164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COTAÇÃO ELETRÔNICA Nº </w:t>
      </w:r>
      <w:r w:rsidR="0056198C" w:rsidRPr="00CD1426">
        <w:rPr>
          <w:rFonts w:ascii="Arial" w:eastAsia="Arial" w:hAnsi="Arial" w:cs="Arial"/>
          <w:b/>
          <w:sz w:val="24"/>
          <w:szCs w:val="24"/>
          <w:lang w:val="pt-BR"/>
        </w:rPr>
        <w:t>0</w:t>
      </w:r>
      <w:r w:rsidR="00431F72" w:rsidRPr="00CD1426">
        <w:rPr>
          <w:rFonts w:ascii="Arial" w:eastAsia="Arial" w:hAnsi="Arial" w:cs="Arial"/>
          <w:b/>
          <w:sz w:val="24"/>
          <w:szCs w:val="24"/>
          <w:lang w:val="pt-BR"/>
        </w:rPr>
        <w:t>22</w:t>
      </w:r>
      <w:r w:rsidR="007A5484" w:rsidRPr="00CD1426">
        <w:rPr>
          <w:rFonts w:ascii="Arial" w:eastAsia="Arial" w:hAnsi="Arial" w:cs="Arial"/>
          <w:b/>
          <w:sz w:val="24"/>
          <w:szCs w:val="24"/>
          <w:lang w:val="pt-BR"/>
        </w:rPr>
        <w:t>/2024</w:t>
      </w:r>
    </w:p>
    <w:p w14:paraId="73FB8F00" w14:textId="5D11F9D0" w:rsidR="004A7D22" w:rsidRPr="000A5F78" w:rsidRDefault="00000000">
      <w:pPr>
        <w:tabs>
          <w:tab w:val="left" w:pos="709"/>
        </w:tabs>
        <w:spacing w:before="54" w:line="573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Processo </w:t>
      </w:r>
      <w:r w:rsidR="00EC665D" w:rsidRPr="000A5F78">
        <w:rPr>
          <w:rFonts w:ascii="Arial" w:eastAsia="Arial" w:hAnsi="Arial" w:cs="Arial"/>
          <w:b/>
          <w:sz w:val="24"/>
          <w:szCs w:val="24"/>
          <w:lang w:val="pt-BR"/>
        </w:rPr>
        <w:t>Administrativ</w:t>
      </w:r>
      <w:r w:rsidR="00BB65F7">
        <w:rPr>
          <w:rFonts w:ascii="Arial" w:eastAsia="Arial" w:hAnsi="Arial" w:cs="Arial"/>
          <w:b/>
          <w:sz w:val="24"/>
          <w:szCs w:val="24"/>
          <w:lang w:val="pt-BR"/>
        </w:rPr>
        <w:t>o</w:t>
      </w: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="008916CD"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n. </w:t>
      </w:r>
      <w:r w:rsidR="008916CD" w:rsidRPr="00CD1426">
        <w:rPr>
          <w:rFonts w:ascii="Arial" w:eastAsia="Arial" w:hAnsi="Arial" w:cs="Arial"/>
          <w:b/>
          <w:sz w:val="24"/>
          <w:szCs w:val="24"/>
          <w:lang w:val="pt-BR"/>
        </w:rPr>
        <w:t>º</w:t>
      </w:r>
      <w:r w:rsidRPr="00CD1426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="0056198C" w:rsidRPr="00CD1426">
        <w:rPr>
          <w:rFonts w:ascii="Arial" w:eastAsia="Arial" w:hAnsi="Arial" w:cs="Arial"/>
          <w:b/>
          <w:sz w:val="24"/>
          <w:szCs w:val="24"/>
          <w:lang w:val="pt-BR"/>
        </w:rPr>
        <w:t>0</w:t>
      </w:r>
      <w:r w:rsidR="00431F72" w:rsidRPr="00CD1426">
        <w:rPr>
          <w:rFonts w:ascii="Arial" w:eastAsia="Arial" w:hAnsi="Arial" w:cs="Arial"/>
          <w:b/>
          <w:sz w:val="24"/>
          <w:szCs w:val="24"/>
          <w:lang w:val="pt-BR"/>
        </w:rPr>
        <w:t>2</w:t>
      </w:r>
      <w:r w:rsidR="00BB65F7">
        <w:rPr>
          <w:rFonts w:ascii="Arial" w:eastAsia="Arial" w:hAnsi="Arial" w:cs="Arial"/>
          <w:b/>
          <w:sz w:val="24"/>
          <w:szCs w:val="24"/>
          <w:lang w:val="pt-BR"/>
        </w:rPr>
        <w:t>9</w:t>
      </w:r>
      <w:r w:rsidR="007A5484" w:rsidRPr="00CD1426">
        <w:rPr>
          <w:rFonts w:ascii="Arial" w:eastAsia="Arial" w:hAnsi="Arial" w:cs="Arial"/>
          <w:b/>
          <w:sz w:val="24"/>
          <w:szCs w:val="24"/>
          <w:lang w:val="pt-BR"/>
        </w:rPr>
        <w:t>/2024</w:t>
      </w:r>
    </w:p>
    <w:p w14:paraId="14A9F108" w14:textId="77777777" w:rsidR="004A7D22" w:rsidRPr="000A5F78" w:rsidRDefault="00000000">
      <w:pPr>
        <w:tabs>
          <w:tab w:val="left" w:pos="709"/>
        </w:tabs>
        <w:spacing w:before="54" w:line="573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TERMO DE REFERÊNCIA</w:t>
      </w:r>
    </w:p>
    <w:p w14:paraId="56908776" w14:textId="77777777" w:rsidR="004A7D22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90"/>
          <w:tab w:val="left" w:pos="709"/>
        </w:tabs>
        <w:spacing w:before="151"/>
        <w:ind w:left="0" w:firstLine="0"/>
        <w:jc w:val="both"/>
        <w:rPr>
          <w:color w:val="000000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DO OBJETO</w:t>
      </w:r>
    </w:p>
    <w:p w14:paraId="01A9A59E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74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Aquisição dos itens relacionados de acordo com tabela abaixo</w:t>
      </w:r>
      <w:r w:rsidRPr="000A5F78">
        <w:rPr>
          <w:rFonts w:ascii="Arial" w:eastAsia="Arial" w:hAnsi="Arial" w:cs="Arial"/>
          <w:b/>
          <w:color w:val="000000"/>
          <w:sz w:val="24"/>
          <w:szCs w:val="24"/>
          <w:lang w:val="pt-BR"/>
        </w:rPr>
        <w:t xml:space="preserve">,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conforme condições, quantidades e exigências estabelecidas neste instrumento:</w:t>
      </w:r>
    </w:p>
    <w:p w14:paraId="64435984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1"/>
        <w:rPr>
          <w:rFonts w:ascii="Arial" w:eastAsia="Arial" w:hAnsi="Arial" w:cs="Arial"/>
          <w:color w:val="000000"/>
          <w:sz w:val="8"/>
          <w:szCs w:val="8"/>
          <w:lang w:val="pt-BR"/>
        </w:rPr>
      </w:pPr>
    </w:p>
    <w:tbl>
      <w:tblPr>
        <w:tblStyle w:val="Tabelacomgrade"/>
        <w:tblW w:w="8075" w:type="dxa"/>
        <w:tblLook w:val="04A0" w:firstRow="1" w:lastRow="0" w:firstColumn="1" w:lastColumn="0" w:noHBand="0" w:noVBand="1"/>
      </w:tblPr>
      <w:tblGrid>
        <w:gridCol w:w="988"/>
        <w:gridCol w:w="1417"/>
        <w:gridCol w:w="3977"/>
        <w:gridCol w:w="1693"/>
      </w:tblGrid>
      <w:tr w:rsidR="00094560" w14:paraId="13F356A1" w14:textId="77777777" w:rsidTr="00094560">
        <w:tc>
          <w:tcPr>
            <w:tcW w:w="988" w:type="dxa"/>
          </w:tcPr>
          <w:p w14:paraId="5FC70C14" w14:textId="66770F98" w:rsidR="00094560" w:rsidRPr="00AB579D" w:rsidRDefault="00094560" w:rsidP="0009456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AB579D">
              <w:rPr>
                <w:b/>
                <w:bCs/>
              </w:rPr>
              <w:t>ITEM</w:t>
            </w:r>
          </w:p>
        </w:tc>
        <w:tc>
          <w:tcPr>
            <w:tcW w:w="1417" w:type="dxa"/>
          </w:tcPr>
          <w:p w14:paraId="7227571F" w14:textId="009E37E1" w:rsidR="00094560" w:rsidRPr="00AB579D" w:rsidRDefault="00094560" w:rsidP="0009456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AB579D">
              <w:rPr>
                <w:b/>
                <w:bCs/>
              </w:rPr>
              <w:t>UNIDADE</w:t>
            </w:r>
          </w:p>
        </w:tc>
        <w:tc>
          <w:tcPr>
            <w:tcW w:w="3977" w:type="dxa"/>
          </w:tcPr>
          <w:p w14:paraId="6A4623C4" w14:textId="50D2574D" w:rsidR="00094560" w:rsidRPr="00AB579D" w:rsidRDefault="00094560" w:rsidP="0009456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AB579D">
              <w:rPr>
                <w:b/>
                <w:bCs/>
              </w:rPr>
              <w:t>DESCRIÇÃO</w:t>
            </w:r>
          </w:p>
        </w:tc>
        <w:tc>
          <w:tcPr>
            <w:tcW w:w="1693" w:type="dxa"/>
          </w:tcPr>
          <w:p w14:paraId="1FD6F870" w14:textId="306C1764" w:rsidR="00094560" w:rsidRPr="00AB579D" w:rsidRDefault="00094560" w:rsidP="0009456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AB579D">
              <w:rPr>
                <w:b/>
                <w:bCs/>
              </w:rPr>
              <w:t>QUANTIDADE</w:t>
            </w:r>
          </w:p>
        </w:tc>
      </w:tr>
      <w:tr w:rsidR="00BE1C00" w14:paraId="1ED82B8C" w14:textId="77777777" w:rsidTr="00094560">
        <w:tc>
          <w:tcPr>
            <w:tcW w:w="988" w:type="dxa"/>
          </w:tcPr>
          <w:p w14:paraId="12D27845" w14:textId="3DCA2448" w:rsidR="00BE1C00" w:rsidRPr="00AB579D" w:rsidRDefault="00BE1C00" w:rsidP="00BE1C0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AB579D">
              <w:t>01</w:t>
            </w:r>
          </w:p>
        </w:tc>
        <w:tc>
          <w:tcPr>
            <w:tcW w:w="1417" w:type="dxa"/>
          </w:tcPr>
          <w:p w14:paraId="2F5C9A87" w14:textId="0EDEA68A" w:rsidR="00BE1C00" w:rsidRPr="00AB579D" w:rsidRDefault="00BE1C00" w:rsidP="00BE1C0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AB579D">
              <w:t>UNID.</w:t>
            </w:r>
          </w:p>
        </w:tc>
        <w:tc>
          <w:tcPr>
            <w:tcW w:w="3977" w:type="dxa"/>
          </w:tcPr>
          <w:p w14:paraId="5BC98658" w14:textId="77777777" w:rsidR="00AB579D" w:rsidRPr="00CF6BC3" w:rsidRDefault="00AB579D" w:rsidP="00AB579D">
            <w:pPr>
              <w:jc w:val="both"/>
              <w:rPr>
                <w:rFonts w:cs="Arial"/>
                <w:szCs w:val="20"/>
              </w:rPr>
            </w:pPr>
            <w:r w:rsidRPr="00CF6BC3">
              <w:rPr>
                <w:rFonts w:cs="Arial"/>
                <w:szCs w:val="20"/>
              </w:rPr>
              <w:t xml:space="preserve">Cadeira Gamer Giratória Reclinável, composta por um assento ergonômico, encosto macio, apoio para os braços, regulagem de altura e rodízios, estofamento em espuma com revestimento de couro sintético. Revestimento: Material sintético – Estrutura Interna: Aço – Medida do encosto: 82cm </w:t>
            </w:r>
          </w:p>
          <w:p w14:paraId="5D33D661" w14:textId="77777777" w:rsidR="00AB579D" w:rsidRPr="00CF6BC3" w:rsidRDefault="00AB579D" w:rsidP="00AB579D">
            <w:pPr>
              <w:rPr>
                <w:rFonts w:cs="Arial"/>
                <w:szCs w:val="20"/>
              </w:rPr>
            </w:pPr>
            <w:r w:rsidRPr="00CF6BC3">
              <w:rPr>
                <w:rFonts w:cs="Arial"/>
                <w:szCs w:val="20"/>
              </w:rPr>
              <w:t>-</w:t>
            </w:r>
            <w:r>
              <w:rPr>
                <w:rFonts w:cs="Arial"/>
                <w:szCs w:val="20"/>
              </w:rPr>
              <w:t xml:space="preserve"> </w:t>
            </w:r>
            <w:r w:rsidRPr="00CF6BC3">
              <w:rPr>
                <w:rFonts w:cs="Arial"/>
                <w:szCs w:val="20"/>
              </w:rPr>
              <w:t xml:space="preserve">Altura mínima(chão+assento): 50x66x41cm </w:t>
            </w:r>
          </w:p>
          <w:p w14:paraId="28B41D1C" w14:textId="77777777" w:rsidR="00AB579D" w:rsidRPr="00CF6BC3" w:rsidRDefault="00AB579D" w:rsidP="00AB579D">
            <w:pPr>
              <w:rPr>
                <w:rFonts w:cs="Arial"/>
                <w:szCs w:val="20"/>
              </w:rPr>
            </w:pPr>
            <w:r w:rsidRPr="00CF6BC3">
              <w:rPr>
                <w:rFonts w:cs="Arial"/>
                <w:szCs w:val="20"/>
              </w:rPr>
              <w:t xml:space="preserve">- Altura máxima(chão+assento): 60x66x41cm </w:t>
            </w:r>
          </w:p>
          <w:p w14:paraId="20CD74CB" w14:textId="77777777" w:rsidR="00AB579D" w:rsidRPr="00CF6BC3" w:rsidRDefault="00AB579D" w:rsidP="00AB579D">
            <w:pPr>
              <w:rPr>
                <w:rFonts w:cs="Arial"/>
                <w:szCs w:val="20"/>
              </w:rPr>
            </w:pPr>
            <w:r w:rsidRPr="00CF6BC3">
              <w:rPr>
                <w:rFonts w:cs="Arial"/>
                <w:szCs w:val="20"/>
              </w:rPr>
              <w:t xml:space="preserve">- Altura mínima(chão+encosto): 125x66x41cm </w:t>
            </w:r>
          </w:p>
          <w:p w14:paraId="0EA0EE02" w14:textId="05065D60" w:rsidR="00BE1C00" w:rsidRPr="00920784" w:rsidRDefault="00AB579D" w:rsidP="00AB579D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  <w:highlight w:val="yellow"/>
              </w:rPr>
            </w:pPr>
            <w:r w:rsidRPr="00CF6BC3">
              <w:rPr>
                <w:rFonts w:ascii="Arial" w:hAnsi="Arial" w:cs="Arial"/>
                <w:szCs w:val="20"/>
              </w:rPr>
              <w:t>- Altura máxima(chão+encosto): 135x66x41cm</w:t>
            </w:r>
          </w:p>
        </w:tc>
        <w:tc>
          <w:tcPr>
            <w:tcW w:w="1693" w:type="dxa"/>
          </w:tcPr>
          <w:p w14:paraId="4ED788B6" w14:textId="01F30B0B" w:rsidR="00BE1C00" w:rsidRPr="00AB579D" w:rsidRDefault="00AB579D" w:rsidP="00BE1C00">
            <w:pPr>
              <w:tabs>
                <w:tab w:val="left" w:pos="709"/>
              </w:tabs>
              <w:spacing w:before="4"/>
              <w:jc w:val="center"/>
              <w:rPr>
                <w:rFonts w:ascii="Arial" w:eastAsia="Arial" w:hAnsi="Arial" w:cs="Arial"/>
                <w:color w:val="000000"/>
                <w:highlight w:val="yellow"/>
              </w:rPr>
            </w:pPr>
            <w:r w:rsidRPr="00AB579D">
              <w:rPr>
                <w:rFonts w:ascii="Arial" w:hAnsi="Arial" w:cs="Arial"/>
                <w:color w:val="000000"/>
              </w:rPr>
              <w:t>02</w:t>
            </w:r>
          </w:p>
        </w:tc>
      </w:tr>
    </w:tbl>
    <w:p w14:paraId="75B471BA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"/>
        <w:rPr>
          <w:rFonts w:ascii="Arial" w:eastAsia="Arial" w:hAnsi="Arial" w:cs="Arial"/>
          <w:color w:val="000000"/>
          <w:sz w:val="31"/>
          <w:szCs w:val="31"/>
        </w:rPr>
      </w:pPr>
    </w:p>
    <w:p w14:paraId="267BD9E5" w14:textId="77777777" w:rsidR="004A7D22" w:rsidRPr="00AB579D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"/>
        <w:ind w:left="0" w:firstLine="0"/>
        <w:rPr>
          <w:lang w:val="pt-BR"/>
        </w:rPr>
      </w:pPr>
      <w:r w:rsidRPr="00AB579D">
        <w:rPr>
          <w:rFonts w:ascii="Arial" w:eastAsia="Arial" w:hAnsi="Arial" w:cs="Arial"/>
          <w:lang w:val="pt-BR"/>
        </w:rPr>
        <w:t>JUSTIFICATIVA E OBJETIVO DA CONTRATAÇÃO</w:t>
      </w:r>
    </w:p>
    <w:p w14:paraId="7862DA43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4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Justificativa e objetivo da aquisição tem por finalidade atender a demanda do setor requisitante, conforme descrição detalhada, visando manter o pleno funcionamento das atividades administrativas, dando suporte às tarefas e ações operacionais, nas atividades desenvolvidas pelo setor.</w:t>
      </w:r>
    </w:p>
    <w:p w14:paraId="035C45C3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5ED026A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6"/>
        <w:ind w:left="0" w:firstLine="0"/>
      </w:pPr>
      <w:r>
        <w:rPr>
          <w:rFonts w:ascii="Arial" w:eastAsia="Arial" w:hAnsi="Arial" w:cs="Arial"/>
        </w:rPr>
        <w:t>CLASSIFICAÇÃO DOS BENS COMUNS</w:t>
      </w:r>
    </w:p>
    <w:p w14:paraId="7082554D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Consideram-se bens e serviços comuns, para os fins e efeitos do art. 1º da Lei nº 1</w:t>
      </w:r>
      <w:hyperlink r:id="rId9">
        <w:r w:rsidRPr="000A5F78">
          <w:rPr>
            <w:rFonts w:ascii="Arial" w:eastAsia="Arial" w:hAnsi="Arial" w:cs="Arial"/>
            <w:color w:val="000000"/>
            <w:sz w:val="24"/>
            <w:szCs w:val="24"/>
            <w:lang w:val="pt-BR"/>
          </w:rPr>
          <w:t>0.520, de 17 de julho de 2002</w:t>
        </w:r>
      </w:hyperlink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, aqueles cujos padrões de desempenho e qualidade possam ser objetivamente definidos no Termo de Referência, por meio de especificações usuais no mercado.</w:t>
      </w:r>
    </w:p>
    <w:p w14:paraId="530F5F09" w14:textId="77777777" w:rsidR="004A7D22" w:rsidRPr="000A5F78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84"/>
        <w:ind w:left="0" w:firstLine="0"/>
        <w:rPr>
          <w:lang w:val="pt-BR"/>
        </w:rPr>
      </w:pPr>
      <w:r w:rsidRPr="000A5F78">
        <w:rPr>
          <w:rFonts w:ascii="Arial" w:eastAsia="Arial" w:hAnsi="Arial" w:cs="Arial"/>
          <w:lang w:val="pt-BR"/>
        </w:rPr>
        <w:t>ENTREGA E CRITÉRIOS DE ACEITAÇÃO DO OBJETO.</w:t>
      </w:r>
    </w:p>
    <w:p w14:paraId="0FBDC40C" w14:textId="3C74823F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prazo de entrega dos bens é de </w:t>
      </w:r>
      <w:r w:rsidR="000A507D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03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A507D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três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dias, contados do(a) recebimento da nota de empenho, em remessa única a ser definida pelo contratante, no seguinte endereço: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Rua Doutor Monteiro,185, centro  Arroio Grande RS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, dentro do horário de expediente, de segunda-feira a 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sexta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-feira, das 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7hs às 13hs.</w:t>
      </w:r>
    </w:p>
    <w:p w14:paraId="7E16C9C9" w14:textId="6A0D1B56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3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Os bens poderão ser rejeitados, no todo ou em parte, quando em desacordo com as especificações constantes neste Termo de Referência e na proposta, devendo ser substituídos no prazo de 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05 (cinco)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dias, a contar da notificação da contratada, às suas custas, sem prejuízo da aplicação das penalidades.</w:t>
      </w:r>
    </w:p>
    <w:p w14:paraId="4B482485" w14:textId="140D9D8C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5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Os bens serão recebidos definitivamente no prazo de 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03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três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dias corridos ou de acordo com a necessidade do contratante, contados do recebimento provisório, após a verificação da qualidade e quantidade do material e consequente aceitação mediante termo circunstanciado.</w:t>
      </w:r>
    </w:p>
    <w:p w14:paraId="29ADEFF0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1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Na hipótese de a verificação a que se refere o subitem anterior não ser procedida dentro do prazo fixado, reputar-se-á como realizada, consumando-se o recebimento definitivo no dia do esgotamento do prazo.</w:t>
      </w:r>
    </w:p>
    <w:p w14:paraId="10DA9A10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recebimento provisório ou definitivo do objeto não exclui a responsabilidade da contratada pelos prejuízos resultantes da incorreta execução do serviço.</w:t>
      </w:r>
    </w:p>
    <w:p w14:paraId="2D55236B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363C7DEA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9"/>
        <w:ind w:left="0" w:firstLine="0"/>
      </w:pPr>
      <w:r>
        <w:rPr>
          <w:rFonts w:ascii="Arial" w:eastAsia="Arial" w:hAnsi="Arial" w:cs="Arial"/>
        </w:rPr>
        <w:t>OBRIGAÇÕES DA CONTRATANTE</w:t>
      </w:r>
    </w:p>
    <w:p w14:paraId="49B73CC5" w14:textId="77777777" w:rsidR="004A7D22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/>
        <w:ind w:left="0" w:firstLine="0"/>
        <w:jc w:val="both"/>
        <w:rPr>
          <w:color w:val="000000"/>
        </w:rPr>
      </w:pPr>
      <w:r>
        <w:rPr>
          <w:rFonts w:ascii="Arial" w:eastAsia="Arial" w:hAnsi="Arial" w:cs="Arial"/>
          <w:color w:val="000000"/>
          <w:sz w:val="24"/>
          <w:szCs w:val="24"/>
        </w:rPr>
        <w:t>São obrigações da Contratante:</w:t>
      </w:r>
    </w:p>
    <w:p w14:paraId="15A32557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receber o objeto no prazo e condições estabelecidas no Termo de Referência e seus anexos;</w:t>
      </w:r>
    </w:p>
    <w:p w14:paraId="2EDC30EE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verificar minuciosamente, no prazo fixado, a conformidade dos bens recebidos provisoriamente com as especificações constantes do Termo de Referência e da proposta, para fins de aceitação e recebimento definitivo;</w:t>
      </w:r>
    </w:p>
    <w:p w14:paraId="504DE863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1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comunicar à Contratada, por escrito, sobre imperfeições, falhas ou irregularidades verificadas no objeto fornecido, para que seja substituído,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reparado ou corrigido;</w:t>
      </w:r>
    </w:p>
    <w:p w14:paraId="57D8F435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acompanhar e fiscalizar o cumprimento das obrigações da Contratada, através de comissão/servidor especialmente designado;</w:t>
      </w:r>
    </w:p>
    <w:p w14:paraId="391D71B7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efetuar o pagamento à Contratada no valor correspondente ao fornecimento do objeto, no prazo e forma estabelecidos no Termo de Referência e seus anexos;</w:t>
      </w:r>
    </w:p>
    <w:p w14:paraId="39A058DD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64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Administração não responderá por quaisquer compromissos assumidos pela Contratada com terceiros, ainda que vinculados à execução do presente Termo de Referência, bem como por qualquer dano causado a terceiros em decorrência de ato da Contratada, de seus empregados, prepostos ou subordinados.</w:t>
      </w:r>
    </w:p>
    <w:p w14:paraId="577DF8E4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16C21E2B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6"/>
        <w:ind w:left="0" w:firstLine="0"/>
      </w:pPr>
      <w:r>
        <w:rPr>
          <w:rFonts w:ascii="Arial" w:eastAsia="Arial" w:hAnsi="Arial" w:cs="Arial"/>
        </w:rPr>
        <w:t>OBRIGAÇÕES DA CONTRATADA</w:t>
      </w:r>
    </w:p>
    <w:p w14:paraId="300C1B35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Contratada deve cumprir todas as obrigações constantes no Termo de Referência, seus anexos e sua proposta, assumindo como exclusivamente seus os riscos e as despesas decorrentes da boa e perfeita execução do objeto e, ainda:</w:t>
      </w:r>
    </w:p>
    <w:p w14:paraId="5B7C93F3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efetuar a entrega do objeto em perfeitas condições, conforme especificações, prazo e local constantes no Termo de Referência e seus anexos, acompanhado da respectiva nota fiscal, na qual constarão as indicações referentes a: </w:t>
      </w:r>
      <w:r w:rsidRPr="000A5F78">
        <w:rPr>
          <w:rFonts w:ascii="Arial" w:eastAsia="Arial" w:hAnsi="Arial" w:cs="Arial"/>
          <w:i/>
          <w:color w:val="000000"/>
          <w:sz w:val="24"/>
          <w:szCs w:val="24"/>
          <w:lang w:val="pt-BR"/>
        </w:rPr>
        <w:t>marca, fabricante, modelo, procedência e prazo de garantia ou validade;</w:t>
      </w:r>
    </w:p>
    <w:p w14:paraId="5544A6FF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5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responsabilizar-se pelos vícios e danos decorrentes do objeto, de acordo com os artigos 12, 13 e 17 a 27, do Código de Defesa do Consumidor (Lei nº 8.078, de 1990);</w:t>
      </w:r>
    </w:p>
    <w:p w14:paraId="45C756AF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substituir, reparar ou corrigir, às suas expensas, no prazo fixado neste Termo de Referência, o objeto com avarias ou defeitos;</w:t>
      </w:r>
    </w:p>
    <w:p w14:paraId="0B554D72" w14:textId="263DEE2F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comunicar à Contratante, no prazo máximo de 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48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quarenta e oito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horas que antecede a data da entrega, os motivos que impossibilitem o cumprimento do prazo previsto, com a devida comprovação;</w:t>
      </w:r>
    </w:p>
    <w:p w14:paraId="6288C808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manter, durante toda a execução do serviço, em compatibilidade com as obrigações assumidas, todas as condições de habilitação e qualificação exigidas na licitação;</w:t>
      </w:r>
    </w:p>
    <w:p w14:paraId="346ECEE5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indicar preposto para representá-la durante a execução do serviço.</w:t>
      </w:r>
    </w:p>
    <w:p w14:paraId="1A0407ED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27B0D5AF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46025219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DA SUBCONTRATAÇÃO</w:t>
      </w:r>
    </w:p>
    <w:p w14:paraId="62145369" w14:textId="77777777" w:rsidR="004A7D22" w:rsidRPr="000A5F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569"/>
        </w:tabs>
        <w:spacing w:before="174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7.1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ab/>
        <w:t>Não será admitida a subcontratação do objeto licitatório.</w:t>
      </w:r>
    </w:p>
    <w:p w14:paraId="40D0C42D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2402D4CE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1BAAB03D" w14:textId="77777777" w:rsidR="004A7D22" w:rsidRPr="000A5F78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  <w:rPr>
          <w:lang w:val="pt-BR"/>
        </w:rPr>
      </w:pPr>
      <w:r w:rsidRPr="000A5F78">
        <w:rPr>
          <w:rFonts w:ascii="Arial" w:eastAsia="Arial" w:hAnsi="Arial" w:cs="Arial"/>
          <w:lang w:val="pt-BR"/>
        </w:rPr>
        <w:t>DO CONTROLE E FISCALIZAÇÃO DA EXECUÇÃO</w:t>
      </w:r>
    </w:p>
    <w:p w14:paraId="7E37DFFC" w14:textId="13C7175D" w:rsidR="004A7D22" w:rsidRPr="000A5F78" w:rsidRDefault="00064D32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Será designado o Diretor Geral para acompanhar e fiscalizar a entrega dos bens, anotando em registro próprio todas as ocorrências relacionadas com a execução e determinando o que for necessário à regularização de falhas ou defeitos observados.</w:t>
      </w:r>
    </w:p>
    <w:p w14:paraId="4098BFDB" w14:textId="77777777" w:rsidR="004A7D22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64" w:line="288" w:lineRule="auto"/>
        <w:ind w:left="0" w:right="214" w:firstLine="0"/>
        <w:jc w:val="both"/>
        <w:rPr>
          <w:color w:val="000000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A fiscalização de que trata este item não exclui nem reduz a responsabilidade da Contratada, inclusive perante terceiros, por qualquer irregularidade, ainda que resultante de imperfeições técnicas ou vícios redibitórios, </w:t>
      </w:r>
      <w:r w:rsidRPr="000A5F78">
        <w:rPr>
          <w:rFonts w:ascii="Arial" w:eastAsia="Arial" w:hAnsi="Arial" w:cs="Arial"/>
          <w:color w:val="000000"/>
          <w:lang w:val="pt-BR"/>
        </w:rPr>
        <w:t xml:space="preserve">e, na ocorrência desta, não implica em corresponsabilidade da Administração ou de seus agentes e prepostos, de conformidade com o art. </w:t>
      </w:r>
      <w:r>
        <w:rPr>
          <w:rFonts w:ascii="Arial" w:eastAsia="Arial" w:hAnsi="Arial" w:cs="Arial"/>
          <w:color w:val="000000"/>
        </w:rPr>
        <w:t>XXXXX.</w:t>
      </w:r>
    </w:p>
    <w:p w14:paraId="3F051165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representante da Administração anotará em registro próprio todas as ocorrências relacionadas com a execução do serviço, indicando dia, mês e ano, bem como o nome dos funcionários eventualmente envolvidos, determinando o que for necessário à regularização das falhas ou defeitos observados e encaminhando os apontamentos à autoridade competente para as providências cabíveis.</w:t>
      </w:r>
    </w:p>
    <w:p w14:paraId="40792B8E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388B497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5"/>
        <w:ind w:left="0" w:firstLine="0"/>
      </w:pPr>
      <w:r>
        <w:rPr>
          <w:rFonts w:ascii="Arial" w:eastAsia="Arial" w:hAnsi="Arial" w:cs="Arial"/>
        </w:rPr>
        <w:t>DO PAGAMENTO</w:t>
      </w:r>
    </w:p>
    <w:p w14:paraId="2E84BBB4" w14:textId="343E21A9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pagamento será realizado no prazo máximo de até 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05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cinco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dias, contados a partir do recebimento da Nota Fiscal ou Fatura, através de ordem bancária, para crédito em banco, agência e conta-corrente indicados pelo contratado.</w:t>
      </w:r>
    </w:p>
    <w:p w14:paraId="3521C0BB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Considera-se ocorrido o recebimento da nota fiscal ou fatura no momento em que o órgão contratante atestar a execução do objeto do serviço.</w:t>
      </w:r>
    </w:p>
    <w:p w14:paraId="6AEBA5B1" w14:textId="0BF98EC3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300"/>
        </w:tabs>
        <w:spacing w:before="118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Nota Fiscal ou Fatura deverá ser obrigatoriamente acompanhada da comprovação da regularidade fiscal, constatada por meio de consulta on-line , mediante consulta aos sítios eletrônicos oficiais</w:t>
      </w:r>
      <w:r w:rsidR="00056BC4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</w:p>
    <w:p w14:paraId="6D405662" w14:textId="44E2FEB8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5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Constatando-se,  a situação de irregularidade do fornecedor contratado, deverão ser tomadas as providências previstas no art. 31 da Instrução Normativa nº 3, de 26 de abril de 2018.</w:t>
      </w:r>
    </w:p>
    <w:p w14:paraId="583EDAC5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7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7E5BAA6E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20"/>
        </w:tabs>
        <w:spacing w:before="112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Será considerada data do pagamento o dia em que constar como emitida a ordem bancária para pagamento.</w:t>
      </w:r>
    </w:p>
    <w:p w14:paraId="1DA62943" w14:textId="027CD613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Antes de cada pagamento à contratada, será realizada consulta a</w:t>
      </w:r>
      <w:r w:rsidR="001E1521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condições de habilitação exigidas no Termo de Referência.</w:t>
      </w:r>
    </w:p>
    <w:p w14:paraId="0A89A704" w14:textId="2EB3FEC1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8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Constatando-se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 w14:paraId="5DD8F65B" w14:textId="6D042AFE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5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Previamente à emissão de nota de empenho e a cada pagamento, a Administração deverá realizar consulta para identificar possível suspensão temporária de </w:t>
      </w:r>
      <w:r w:rsidRPr="000A5F78">
        <w:rPr>
          <w:rFonts w:ascii="Arial" w:eastAsia="Arial" w:hAnsi="Arial" w:cs="Arial"/>
          <w:color w:val="000000"/>
          <w:lang w:val="pt-BR"/>
        </w:rPr>
        <w:t>participação em licitação, no âmbito do órgão ou entidade, proibição de contratar com o Poder Público, bem como ocorrências impeditivas indiretas, observado o disposto no art. 29, da Instrução Normativa nº 3, de 26 de abril de 2018.</w:t>
      </w:r>
    </w:p>
    <w:p w14:paraId="676FD9D9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7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Não havendo regularização ou sendo a defesa considerada improcedente, a contratante deverá comunicar aos órgãos responsáveis pela fiscalização da regularidade fiscal quanto à inadimplência da contratada, bem como quanto à existência de pagamento a ser efetuado, para que sejam acionados os meios pertinentes e necessários para garantir o recebimento de seus créditos.</w:t>
      </w:r>
    </w:p>
    <w:p w14:paraId="49053D09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4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Persistindo a irregularidade, a contratante deverá adotar as medidas necessárias à rescisão contratual nos autos do processo administrativo correspondente, assegurada à contratada a ampla defesa.</w:t>
      </w:r>
    </w:p>
    <w:p w14:paraId="69036EFD" w14:textId="70FE1473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6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Havendo a efetiva execução do objeto, os pagamentos serão realizados normalmente, até que se decida pela não execução do serviço, caso a contratada não regularize sua situação</w:t>
      </w:r>
      <w:r w:rsidR="00873813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</w:p>
    <w:p w14:paraId="43C5CF41" w14:textId="72BB12F7" w:rsidR="004A7D22" w:rsidRPr="000A5F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17" w:line="288" w:lineRule="auto"/>
        <w:ind w:right="211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10.11.1.   Será interrompido o serviço em execução com a contratada inadimplente, salvo por motivo de economicidade, segurança nacional ou outro de interesse público de alta relevância, devidamente justificado, em qualquer caso, pela máxima autoridade da contratante.</w:t>
      </w:r>
    </w:p>
    <w:p w14:paraId="16ACC74F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5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Quando do pagamento, será efetuada a retenção tributária prevista na legislação aplicável.</w:t>
      </w:r>
    </w:p>
    <w:p w14:paraId="7D66DB3E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840"/>
        </w:tabs>
        <w:spacing w:before="118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6DF5C68B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360"/>
        </w:tabs>
        <w:spacing w:before="113" w:line="288" w:lineRule="auto"/>
        <w:ind w:left="0" w:right="21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Nos casos de eventuais atrasos de pagamento, desde que a Contratada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não tenha concorrido, de alguma forma, para tanto, fica convencionado que a taxa de compensação financeira devida pela Contratante, entre a data do vencimento e o efetivo adimplemento da parcela, é calculada mediante a aplicação da seguinte fórmula:</w:t>
      </w:r>
    </w:p>
    <w:p w14:paraId="08CEA76E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360"/>
        </w:tabs>
        <w:spacing w:before="113" w:line="288" w:lineRule="auto"/>
        <w:ind w:right="218"/>
        <w:rPr>
          <w:rFonts w:ascii="Arial" w:eastAsia="Arial" w:hAnsi="Arial" w:cs="Arial"/>
          <w:color w:val="000000"/>
          <w:sz w:val="24"/>
          <w:szCs w:val="24"/>
          <w:lang w:val="pt-BR"/>
        </w:rPr>
      </w:pPr>
    </w:p>
    <w:p w14:paraId="7AF9CDD8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5C5AE216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DO REAJUSTE</w:t>
      </w:r>
    </w:p>
    <w:p w14:paraId="25A04155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before="174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Os preços são fixos e irreajustáveis no prazo de um ano contado da data limite para a apresentação das propostas.</w:t>
      </w:r>
    </w:p>
    <w:p w14:paraId="0FF71D78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163231EE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9"/>
        <w:ind w:left="0" w:firstLine="0"/>
      </w:pPr>
      <w:r>
        <w:rPr>
          <w:rFonts w:ascii="Arial" w:eastAsia="Arial" w:hAnsi="Arial" w:cs="Arial"/>
        </w:rPr>
        <w:t>DAS SANÇÕES ADMINISTRATIVAS</w:t>
      </w:r>
    </w:p>
    <w:p w14:paraId="1EB226D1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before="174" w:line="288" w:lineRule="auto"/>
        <w:ind w:left="0" w:right="21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Comete infração administrativa nos termos da Lei nº 10.520, de 2002, a Contratada que:</w:t>
      </w:r>
    </w:p>
    <w:p w14:paraId="3387F1F9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inexecutar total ou parcialmente qualquer das obrigações assumidas em decorrência da contratação;</w:t>
      </w:r>
    </w:p>
    <w:p w14:paraId="015AB354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ensejar o retardamento da execução do objeto;</w:t>
      </w:r>
    </w:p>
    <w:p w14:paraId="0F9E5724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falhar ou fraudar na execução do serviço;</w:t>
      </w:r>
    </w:p>
    <w:p w14:paraId="4881A757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comportar-se de modo inidôneo;</w:t>
      </w:r>
    </w:p>
    <w:p w14:paraId="30FDA0D7" w14:textId="77777777" w:rsidR="004A7D22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</w:rPr>
      </w:pPr>
      <w:r>
        <w:rPr>
          <w:rFonts w:ascii="Arial" w:eastAsia="Arial" w:hAnsi="Arial" w:cs="Arial"/>
          <w:color w:val="000000"/>
          <w:sz w:val="24"/>
          <w:szCs w:val="24"/>
        </w:rPr>
        <w:t>cometer fraude fiscal;</w:t>
      </w:r>
    </w:p>
    <w:p w14:paraId="0D102D61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</w:rPr>
      </w:pPr>
    </w:p>
    <w:p w14:paraId="40A98A7A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3"/>
        <w:rPr>
          <w:rFonts w:ascii="Arial" w:eastAsia="Arial" w:hAnsi="Arial" w:cs="Arial"/>
          <w:color w:val="000000"/>
          <w:sz w:val="28"/>
          <w:szCs w:val="28"/>
        </w:rPr>
      </w:pPr>
    </w:p>
    <w:p w14:paraId="4332328D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line="288" w:lineRule="auto"/>
        <w:ind w:left="0" w:right="18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Pela inexecução </w:t>
      </w:r>
      <w:r w:rsidRPr="000A5F78">
        <w:rPr>
          <w:rFonts w:ascii="Arial" w:eastAsia="Arial" w:hAnsi="Arial" w:cs="Arial"/>
          <w:color w:val="000000"/>
          <w:sz w:val="24"/>
          <w:szCs w:val="24"/>
          <w:u w:val="single"/>
          <w:lang w:val="pt-BR"/>
        </w:rPr>
        <w:t>total ou parcial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do serviço, a Administração pode aplicar à CONTRATADA as seguintes sanções:</w:t>
      </w:r>
    </w:p>
    <w:p w14:paraId="77CA28F4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2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Advertência, por faltas leves, assim entendidas aquelas que não acarretem prejuízos significativos para a Contratante;</w:t>
      </w:r>
    </w:p>
    <w:p w14:paraId="219221C3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multa moratória de 1% (um por cento) por dia de atraso injustificado sobre o valor da parcela inadimplida, até o limite de 30 (trinta) dias;</w:t>
      </w:r>
    </w:p>
    <w:p w14:paraId="7E25F8E6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multa compensatória de 10% (dez por cento) sobre o valor total do serviço, no caso de inexecução total do objeto;</w:t>
      </w:r>
    </w:p>
    <w:p w14:paraId="11CA7F33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em caso de inexecução parcial, a multa compensatória, no mesmo percentual do subitem acima, será aplicada de forma proporcional à obrigação inadimplida;</w:t>
      </w:r>
    </w:p>
    <w:p w14:paraId="207E93E2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suspensão de licitar e impedimento de contratar com o órgão, entidade ou unidade administrativa pela qual a Administração Pública opera e atua concretamente, pelo prazo de até dois anos;</w:t>
      </w:r>
    </w:p>
    <w:p w14:paraId="32FBFC1A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2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impedimento de licitar e contratar com órgãos e entidades da União com o consequente descredenciamento no SICAF pelo prazo de até cinco anos;</w:t>
      </w:r>
    </w:p>
    <w:p w14:paraId="0803315D" w14:textId="77777777" w:rsidR="004A7D22" w:rsidRPr="000A5F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64" w:line="288" w:lineRule="auto"/>
        <w:ind w:right="183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11.2.6.1.1. A sanção de impedimento de licitar e contratar prevista neste subitem também é aplicável em quaisquer das hipóteses previstas como infração administrativa no subitem 16.1 deste Termo de Referência.</w:t>
      </w:r>
    </w:p>
    <w:p w14:paraId="7D896DEF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5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declaração de inidoneidade para licitar ou contratar com a Administração Pública, enquanto perdurarem os motivos determinantes da punição ou até que seja promovida a reabilitação perante a própria autoridade que aplicou a penalidade, que será concedida sempre que a Contratada ressarcir a Contratante pelos prejuízos causados;</w:t>
      </w:r>
    </w:p>
    <w:p w14:paraId="1C4B7006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4" w:line="288" w:lineRule="auto"/>
        <w:ind w:left="0" w:right="18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As sanções previstas nos subitens 16.2.1, 16.2.5, 16.2.6 e 16.2.7 poderão ser aplicadas à CONTRATADA acompanhada de as de multa, descontando-a dos pagamentos a serem efetuados.</w:t>
      </w:r>
    </w:p>
    <w:p w14:paraId="151555F2" w14:textId="1083A95D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95"/>
        </w:tabs>
        <w:spacing w:before="117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Também ficam sujeitas às penalidades</w:t>
      </w:r>
      <w:r w:rsidR="00CD0798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as empresas ou profissionais que:</w:t>
      </w:r>
    </w:p>
    <w:p w14:paraId="6E8EEE7E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tenham sofrido condenação definitiva por praticar, por meio dolosos, fraude fiscal no recolhimento de quaisquer tributos;</w:t>
      </w:r>
    </w:p>
    <w:p w14:paraId="7C603FD8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tenham praticado atos ilícitos visando a frustrar os objetivos da licitação;</w:t>
      </w:r>
    </w:p>
    <w:p w14:paraId="137E4D37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7"/>
        <w:rPr>
          <w:rFonts w:ascii="Arial" w:eastAsia="Arial" w:hAnsi="Arial" w:cs="Arial"/>
          <w:color w:val="000000"/>
          <w:sz w:val="25"/>
          <w:szCs w:val="25"/>
          <w:lang w:val="pt-BR"/>
        </w:rPr>
      </w:pPr>
    </w:p>
    <w:p w14:paraId="6F64E150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demonstrem não possuir idoneidade para contratar com a Administração em virtude de atos ilícitos praticados.</w:t>
      </w:r>
    </w:p>
    <w:p w14:paraId="0C24ABF5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7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aplicação de qualquer das penalidades previstas realizar-se-á em processo administrativo que assegurará o contraditório e a ampla defesa à Contratada, observando-se o procedimento previsto na Lei nº 14133, e subsidiariamente a Lei nº 9.784, de 1999.</w:t>
      </w:r>
    </w:p>
    <w:p w14:paraId="75E58D13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17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As multas devidas e/ou prejuízos causados à Contratante serão deduzidos dos valores a serem pagos, ou recolhidos em favor da União, ou deduzidos da garantia, ou ainda, quando for o caso, serão inscritos na Dívida Ativa da União e cobrados judicialmente.</w:t>
      </w:r>
    </w:p>
    <w:p w14:paraId="0261FF27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5" w:line="288" w:lineRule="auto"/>
        <w:ind w:left="0" w:right="18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Caso o valor da multa não seja suficiente para cobrir os prejuízos causados pela conduta do licitante, a União ou Entidade poderá cobrar o valor remanescente judicialmente, conforme artigo 419 do Código Civil.</w:t>
      </w:r>
    </w:p>
    <w:p w14:paraId="0486285B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7" w:line="288" w:lineRule="auto"/>
        <w:ind w:left="0" w:right="18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autoridade competente, na aplicação das sanções, levará em consideração a gravidade da conduta do infrator, o caráter educativo da pena, bem como o dano causado à Administração, observado o princípio da proporcionalidade.</w:t>
      </w:r>
    </w:p>
    <w:p w14:paraId="16B224C8" w14:textId="77777777" w:rsidR="00AB579D" w:rsidRPr="000A5F78" w:rsidRDefault="00000000" w:rsidP="00AB579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64" w:line="288" w:lineRule="auto"/>
        <w:ind w:right="217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Se, durante o processo de aplicação de penalidade, se houver indícios de prática de infração administrativa tipificada pela Lei nº 12.846, de 1º de agosto de 2013, como ato lesivo à administração pública nacional ou estrangeira, cópias dos processos administrativos necessários à apuração da responsabilidade da empresa deverão ser remetidas à autoridade competente,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 xml:space="preserve">com despacho fundamentado, para ciência </w:t>
      </w:r>
      <w:r w:rsidR="00AB579D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decisão sobre a eventual instauração de investigação preliminar ou Processo Administrative de Responsabilização – PAR.</w:t>
      </w:r>
    </w:p>
    <w:p w14:paraId="4B39BAA9" w14:textId="77777777" w:rsidR="00AB579D" w:rsidRPr="000A5F78" w:rsidRDefault="00AB579D" w:rsidP="00AB579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before="118" w:line="288" w:lineRule="auto"/>
        <w:ind w:right="22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apuração e o julgamento das demais infrações administrativas não consideradas como ato lesivo à Administração Pública nacional ou estrangeira nos termos da Lei nº 12.846, de 1º de agosto de 2013, seguirão seu rito normal na unidade administrativa.</w:t>
      </w:r>
    </w:p>
    <w:p w14:paraId="00BAD378" w14:textId="77777777" w:rsidR="00AB579D" w:rsidRPr="000A5F78" w:rsidRDefault="00AB579D" w:rsidP="00AB579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6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processamento do PAR não interfere no seguimento regular dos processos administrativos específicos para apuração da ocorrência de danos e prejuízos à Administração Pública Federal resultantes de ato lesivo cometido por pessoa jurídica, com ou sem a participação de agente público.</w:t>
      </w:r>
    </w:p>
    <w:p w14:paraId="1A4F4F8E" w14:textId="77777777" w:rsidR="00AB579D" w:rsidRPr="000A5F78" w:rsidRDefault="00AB579D" w:rsidP="00AB579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6FABAD76" w14:textId="77777777" w:rsidR="00AB579D" w:rsidRPr="000A5F78" w:rsidRDefault="00AB579D" w:rsidP="00AB579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3"/>
        <w:rPr>
          <w:rFonts w:ascii="Arial" w:eastAsia="Arial" w:hAnsi="Arial" w:cs="Arial"/>
          <w:color w:val="000000"/>
          <w:sz w:val="28"/>
          <w:szCs w:val="28"/>
          <w:lang w:val="pt-BR"/>
        </w:rPr>
      </w:pPr>
    </w:p>
    <w:p w14:paraId="282A7A06" w14:textId="77777777" w:rsidR="00AB579D" w:rsidRPr="000A5F78" w:rsidRDefault="00AB579D" w:rsidP="00AB579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097F480" w14:textId="77777777" w:rsidR="00AB579D" w:rsidRPr="000A5F78" w:rsidRDefault="00AB579D" w:rsidP="00AB579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3"/>
        <w:rPr>
          <w:rFonts w:ascii="Arial" w:eastAsia="Arial" w:hAnsi="Arial" w:cs="Arial"/>
          <w:color w:val="000000"/>
          <w:sz w:val="28"/>
          <w:szCs w:val="28"/>
          <w:lang w:val="pt-BR"/>
        </w:rPr>
      </w:pPr>
    </w:p>
    <w:p w14:paraId="608B8E71" w14:textId="77777777" w:rsidR="00AB579D" w:rsidRDefault="00AB579D" w:rsidP="00AB579D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DESPACHO DO ORDENADOR DE DESPESAS</w:t>
      </w:r>
    </w:p>
    <w:p w14:paraId="64E46AE1" w14:textId="77777777" w:rsidR="00AB579D" w:rsidRPr="000A5F78" w:rsidRDefault="00AB579D" w:rsidP="00AB579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74" w:line="288" w:lineRule="auto"/>
        <w:ind w:right="213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documento apresentado descreve de maneira adequada o planejamento da contratação, permitindo a avaliação de custos e demandas, e possui anexo os orçamentos e planilhas de preços de mercado, definindo a sistemática de suprimento, critérios de aceitação do objeto, deveres do Licitante e da Administração, procedimentos de fiscalização e gerenciamento, prazos de entrega e a possibilidade de sanções administrativas, de forma clara, concisa e objetiva.</w:t>
      </w:r>
    </w:p>
    <w:p w14:paraId="29E51946" w14:textId="77777777" w:rsidR="00AB579D" w:rsidRPr="000A5F78" w:rsidRDefault="00AB579D" w:rsidP="00AB579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"/>
        <w:rPr>
          <w:rFonts w:ascii="Arial" w:eastAsia="Arial" w:hAnsi="Arial" w:cs="Arial"/>
          <w:color w:val="000000"/>
          <w:sz w:val="28"/>
          <w:szCs w:val="28"/>
          <w:lang w:val="pt-BR"/>
        </w:rPr>
      </w:pPr>
    </w:p>
    <w:p w14:paraId="55075C9C" w14:textId="77777777" w:rsidR="00AB579D" w:rsidRPr="000A5F78" w:rsidRDefault="00AB579D" w:rsidP="00AB579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88" w:lineRule="auto"/>
        <w:ind w:right="215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Dessa forma, aprovo o presente Termo de Referência.</w:t>
      </w:r>
    </w:p>
    <w:p w14:paraId="16789FC5" w14:textId="77777777" w:rsidR="00AB579D" w:rsidRPr="000A5F78" w:rsidRDefault="00AB579D" w:rsidP="00AB579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2C960CE7" w14:textId="77777777" w:rsidR="00AB579D" w:rsidRPr="000A5F78" w:rsidRDefault="00AB579D" w:rsidP="00AB579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1379C693" w14:textId="77777777" w:rsidR="00AB579D" w:rsidRPr="000A5F78" w:rsidRDefault="00AB579D" w:rsidP="00AB579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41C3A1E9" w14:textId="77777777" w:rsidR="00AB579D" w:rsidRPr="000A5F78" w:rsidRDefault="00AB579D" w:rsidP="00AB579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9273D71" w14:textId="77777777" w:rsidR="00AB579D" w:rsidRPr="000A5F78" w:rsidRDefault="00AB579D" w:rsidP="00AB579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416CCAB4" w14:textId="77777777" w:rsidR="00AB579D" w:rsidRPr="000A5F78" w:rsidRDefault="00AB579D" w:rsidP="00AB579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5A92D24" w14:textId="77777777" w:rsidR="00AB579D" w:rsidRPr="000A5F78" w:rsidRDefault="00AB579D" w:rsidP="00AB579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46357813" w14:textId="77777777" w:rsidR="00AB579D" w:rsidRPr="000A5F78" w:rsidRDefault="00AB579D" w:rsidP="00AB579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C4C3B03" w14:textId="162D229D" w:rsidR="00AB579D" w:rsidRPr="000A5F78" w:rsidRDefault="00AB579D" w:rsidP="00AB579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  <w:r w:rsidRPr="00604B26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Arroio Grande, </w:t>
      </w:r>
      <w:r w:rsidR="00604B26" w:rsidRPr="00604B26">
        <w:rPr>
          <w:rFonts w:ascii="Arial" w:eastAsia="Arial" w:hAnsi="Arial" w:cs="Arial"/>
          <w:color w:val="000000"/>
          <w:sz w:val="26"/>
          <w:szCs w:val="26"/>
          <w:lang w:val="pt-BR"/>
        </w:rPr>
        <w:t>12</w:t>
      </w:r>
      <w:r w:rsidRPr="00604B26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de março de 2024.</w:t>
      </w:r>
    </w:p>
    <w:p w14:paraId="638087DA" w14:textId="77777777" w:rsidR="00AB579D" w:rsidRPr="000A5F78" w:rsidRDefault="00AB579D" w:rsidP="00AB579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6390801F" w14:textId="77777777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66652128" w14:textId="77777777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6C3FFE3D" w14:textId="77777777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79C6A904" w14:textId="77777777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504D5EA4" w14:textId="77777777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5E7AD183" w14:textId="77777777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1387E2E2" w14:textId="77777777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bookmarkEnd w:id="0"/>
    <w:p w14:paraId="34F2CCF6" w14:textId="77777777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sectPr w:rsidR="00A56875" w:rsidRPr="000A5F78">
      <w:headerReference w:type="default" r:id="rId10"/>
      <w:footerReference w:type="default" r:id="rId11"/>
      <w:pgSz w:w="11920" w:h="16840"/>
      <w:pgMar w:top="1417" w:right="1701" w:bottom="1417" w:left="1701" w:header="0" w:footer="9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AC9DD7" w14:textId="77777777" w:rsidR="00230B67" w:rsidRDefault="00230B67">
      <w:r>
        <w:separator/>
      </w:r>
    </w:p>
  </w:endnote>
  <w:endnote w:type="continuationSeparator" w:id="0">
    <w:p w14:paraId="05994E68" w14:textId="77777777" w:rsidR="00230B67" w:rsidRDefault="00230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A3496" w14:textId="77777777" w:rsidR="004A7D22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pict w14:anchorId="7EE88217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-6.55pt;margin-top:783.65pt;width:233.15pt;height:23.75pt;z-index:-15844864;mso-position-horizontal:absolute;mso-position-horizontal-relative:margin;mso-position-vertical:absolute;mso-position-vertical-relative:text" filled="f" stroked="f">
          <v:textbox style="mso-next-textbox:#docshape1" inset="0,0,0,0">
            <w:txbxContent>
              <w:p w14:paraId="2CAF2EC4" w14:textId="77777777" w:rsidR="000679CB" w:rsidRDefault="000679CB">
                <w:pPr>
                  <w:spacing w:before="16" w:line="261" w:lineRule="auto"/>
                  <w:ind w:left="20"/>
                  <w:rPr>
                    <w:rFonts w:ascii="Arial" w:hAnsi="Arial"/>
                    <w:sz w:val="12"/>
                  </w:rPr>
                </w:pPr>
              </w:p>
            </w:txbxContent>
          </v:textbox>
          <w10:wrap anchorx="margin"/>
        </v:shape>
      </w:pict>
    </w:r>
    <w:r>
      <w:pict w14:anchorId="38D3B40D">
        <v:line id="_x0000_s1026" style="position:absolute;z-index:-15845376;mso-position-horizontal:absolute;mso-position-horizontal-relative:margin;mso-position-vertical:absolute;mso-position-vertical-relative:text" from="-6.05pt,783.85pt" to="333.8pt,783.85pt" strokeweight=".4pt">
          <w10:wrap anchorx="margin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289629" w14:textId="77777777" w:rsidR="00230B67" w:rsidRDefault="00230B67">
      <w:r>
        <w:separator/>
      </w:r>
    </w:p>
  </w:footnote>
  <w:footnote w:type="continuationSeparator" w:id="0">
    <w:p w14:paraId="29F81128" w14:textId="77777777" w:rsidR="00230B67" w:rsidRDefault="00230B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BA864" w14:textId="587E085A" w:rsidR="004A7D22" w:rsidRDefault="004A7D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134" w:hanging="142"/>
      <w:rPr>
        <w:color w:val="000000"/>
      </w:rPr>
    </w:pPr>
  </w:p>
  <w:p w14:paraId="4D67F372" w14:textId="77777777" w:rsidR="004A7D22" w:rsidRDefault="004A7D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993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6A4F31"/>
    <w:multiLevelType w:val="multilevel"/>
    <w:tmpl w:val="987C7164"/>
    <w:lvl w:ilvl="0">
      <w:start w:val="1"/>
      <w:numFmt w:val="decimal"/>
      <w:lvlText w:val="%1."/>
      <w:lvlJc w:val="left"/>
      <w:pPr>
        <w:ind w:left="490" w:hanging="36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850" w:hanging="435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70" w:hanging="72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3">
      <w:numFmt w:val="bullet"/>
      <w:lvlText w:val="•"/>
      <w:lvlJc w:val="left"/>
      <w:pPr>
        <w:ind w:left="840" w:hanging="720"/>
      </w:pPr>
    </w:lvl>
    <w:lvl w:ilvl="4">
      <w:numFmt w:val="bullet"/>
      <w:lvlText w:val="•"/>
      <w:lvlJc w:val="left"/>
      <w:pPr>
        <w:ind w:left="860" w:hanging="720"/>
      </w:pPr>
    </w:lvl>
    <w:lvl w:ilvl="5">
      <w:numFmt w:val="bullet"/>
      <w:lvlText w:val="•"/>
      <w:lvlJc w:val="left"/>
      <w:pPr>
        <w:ind w:left="1120" w:hanging="720"/>
      </w:pPr>
    </w:lvl>
    <w:lvl w:ilvl="6">
      <w:numFmt w:val="bullet"/>
      <w:lvlText w:val="•"/>
      <w:lvlJc w:val="left"/>
      <w:pPr>
        <w:ind w:left="1280" w:hanging="720"/>
      </w:pPr>
    </w:lvl>
    <w:lvl w:ilvl="7">
      <w:numFmt w:val="bullet"/>
      <w:lvlText w:val="•"/>
      <w:lvlJc w:val="left"/>
      <w:pPr>
        <w:ind w:left="3340" w:hanging="720"/>
      </w:pPr>
    </w:lvl>
    <w:lvl w:ilvl="8">
      <w:numFmt w:val="bullet"/>
      <w:lvlText w:val="•"/>
      <w:lvlJc w:val="left"/>
      <w:pPr>
        <w:ind w:left="5400" w:hanging="720"/>
      </w:pPr>
    </w:lvl>
  </w:abstractNum>
  <w:num w:numId="1" w16cid:durableId="1105729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D22"/>
    <w:rsid w:val="00056BC4"/>
    <w:rsid w:val="00064D32"/>
    <w:rsid w:val="000679CB"/>
    <w:rsid w:val="00094560"/>
    <w:rsid w:val="000A507D"/>
    <w:rsid w:val="000A5F78"/>
    <w:rsid w:val="000D6308"/>
    <w:rsid w:val="0011259E"/>
    <w:rsid w:val="00175DE7"/>
    <w:rsid w:val="001B7117"/>
    <w:rsid w:val="001C0369"/>
    <w:rsid w:val="001D5558"/>
    <w:rsid w:val="001E1521"/>
    <w:rsid w:val="0023080A"/>
    <w:rsid w:val="00230B67"/>
    <w:rsid w:val="002D68B9"/>
    <w:rsid w:val="002D69E0"/>
    <w:rsid w:val="003E3343"/>
    <w:rsid w:val="00405853"/>
    <w:rsid w:val="0041451B"/>
    <w:rsid w:val="00431F72"/>
    <w:rsid w:val="004A7D22"/>
    <w:rsid w:val="00533379"/>
    <w:rsid w:val="005463F5"/>
    <w:rsid w:val="00556B93"/>
    <w:rsid w:val="0056198C"/>
    <w:rsid w:val="005917A6"/>
    <w:rsid w:val="00604B26"/>
    <w:rsid w:val="006204A0"/>
    <w:rsid w:val="00623DD1"/>
    <w:rsid w:val="00642FB7"/>
    <w:rsid w:val="006C02AB"/>
    <w:rsid w:val="00773084"/>
    <w:rsid w:val="007A5484"/>
    <w:rsid w:val="007C77BF"/>
    <w:rsid w:val="008151AE"/>
    <w:rsid w:val="008219DF"/>
    <w:rsid w:val="00857F07"/>
    <w:rsid w:val="00861360"/>
    <w:rsid w:val="00873813"/>
    <w:rsid w:val="008916CD"/>
    <w:rsid w:val="00920784"/>
    <w:rsid w:val="009335BF"/>
    <w:rsid w:val="00981184"/>
    <w:rsid w:val="00A27785"/>
    <w:rsid w:val="00A56875"/>
    <w:rsid w:val="00AB579D"/>
    <w:rsid w:val="00AF6EC6"/>
    <w:rsid w:val="00B14CD4"/>
    <w:rsid w:val="00B7467D"/>
    <w:rsid w:val="00BB65F7"/>
    <w:rsid w:val="00BE1C00"/>
    <w:rsid w:val="00C24904"/>
    <w:rsid w:val="00C26D2A"/>
    <w:rsid w:val="00CD0798"/>
    <w:rsid w:val="00CD1426"/>
    <w:rsid w:val="00E1163E"/>
    <w:rsid w:val="00E11C45"/>
    <w:rsid w:val="00E80DF2"/>
    <w:rsid w:val="00EC10D2"/>
    <w:rsid w:val="00EC665D"/>
    <w:rsid w:val="00ED0955"/>
    <w:rsid w:val="00FA5957"/>
    <w:rsid w:val="00FC604F"/>
    <w:rsid w:val="00FD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D0B367"/>
  <w15:docId w15:val="{0F0C1C67-0AF0-4C67-9A88-86F14A101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left="490" w:hanging="360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Cabealho">
    <w:name w:val="header"/>
    <w:basedOn w:val="Normal"/>
    <w:link w:val="CabealhoChar"/>
    <w:uiPriority w:val="99"/>
    <w:unhideWhenUsed/>
    <w:rsid w:val="008916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16CD"/>
  </w:style>
  <w:style w:type="paragraph" w:styleId="Rodap">
    <w:name w:val="footer"/>
    <w:basedOn w:val="Normal"/>
    <w:link w:val="RodapChar"/>
    <w:uiPriority w:val="99"/>
    <w:unhideWhenUsed/>
    <w:rsid w:val="008916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916CD"/>
  </w:style>
  <w:style w:type="table" w:styleId="Tabelacomgrade">
    <w:name w:val="Table Grid"/>
    <w:basedOn w:val="Tabelanormal"/>
    <w:uiPriority w:val="39"/>
    <w:rsid w:val="00A56875"/>
    <w:pPr>
      <w:widowControl/>
    </w:pPr>
    <w:rPr>
      <w:rFonts w:asciiTheme="minorHAnsi" w:eastAsiaTheme="minorHAnsi" w:hAnsiTheme="minorHAnsi" w:cstheme="minorBidi"/>
      <w:kern w:val="2"/>
      <w:lang w:val="pt-BR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legislacao.planalto.gov.br/legisla/legislacao.nsf/Viw_Identificacao/lei%2010.520-2002?OpenDocu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2410</Words>
  <Characters>13014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2024-03-06T14:47:00Z</dcterms:created>
  <dcterms:modified xsi:type="dcterms:W3CDTF">2024-04-01T13:03:00Z</dcterms:modified>
</cp:coreProperties>
</file>