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4FFAB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7830A489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5EBEB172" w14:textId="08BBDDE1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  <w:r>
        <w:object w:dxaOrig="8235" w:dyaOrig="2025" w14:anchorId="3EC7A7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101.25pt" o:ole="">
            <v:imagedata r:id="rId7" o:title=""/>
          </v:shape>
          <o:OLEObject Type="Embed" ProgID="PBrush" ShapeID="_x0000_i1025" DrawAspect="Content" ObjectID="_1773810799" r:id="rId8"/>
        </w:object>
      </w:r>
    </w:p>
    <w:p w14:paraId="06CCD591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</w:p>
    <w:p w14:paraId="0F7B2BA5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3E211219" w14:textId="73DC48BE" w:rsidR="004A7D22" w:rsidRPr="000A5F78" w:rsidRDefault="00000000">
      <w:pPr>
        <w:tabs>
          <w:tab w:val="left" w:pos="709"/>
        </w:tabs>
        <w:spacing w:line="288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bookmarkStart w:id="0" w:name="_Hlk158268820"/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SEÇÃO DE LICITAÇÕES E CONTRATOS </w:t>
      </w:r>
    </w:p>
    <w:p w14:paraId="15C00DC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71"/>
        <w:rPr>
          <w:rFonts w:ascii="Arial" w:eastAsia="Arial" w:hAnsi="Arial" w:cs="Arial"/>
          <w:b/>
          <w:color w:val="000000"/>
          <w:sz w:val="26"/>
          <w:szCs w:val="26"/>
          <w:lang w:val="pt-BR"/>
        </w:rPr>
      </w:pPr>
    </w:p>
    <w:p w14:paraId="03DDEDE1" w14:textId="59AC789A" w:rsidR="004A7D22" w:rsidRPr="000A5F78" w:rsidRDefault="00000000">
      <w:pPr>
        <w:tabs>
          <w:tab w:val="left" w:pos="709"/>
        </w:tabs>
        <w:spacing w:before="164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COTAÇÃO ELETRÔNICA Nº </w:t>
      </w:r>
      <w:r w:rsidR="0072707D">
        <w:rPr>
          <w:rFonts w:ascii="Arial" w:eastAsia="Arial" w:hAnsi="Arial" w:cs="Arial"/>
          <w:b/>
          <w:sz w:val="24"/>
          <w:szCs w:val="24"/>
          <w:lang w:val="pt-BR"/>
        </w:rPr>
        <w:t>35</w:t>
      </w:r>
      <w:r w:rsidR="007A5484" w:rsidRPr="008240FC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73FB8F00" w14:textId="3683A84C" w:rsidR="004A7D22" w:rsidRPr="000A5F78" w:rsidRDefault="00000000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Processo </w:t>
      </w:r>
      <w:r w:rsidR="00EC665D" w:rsidRPr="000A5F78">
        <w:rPr>
          <w:rFonts w:ascii="Arial" w:eastAsia="Arial" w:hAnsi="Arial" w:cs="Arial"/>
          <w:b/>
          <w:sz w:val="24"/>
          <w:szCs w:val="24"/>
          <w:lang w:val="pt-BR"/>
        </w:rPr>
        <w:t>Administrativ</w:t>
      </w:r>
      <w:r w:rsidR="00517DC7">
        <w:rPr>
          <w:rFonts w:ascii="Arial" w:eastAsia="Arial" w:hAnsi="Arial" w:cs="Arial"/>
          <w:b/>
          <w:sz w:val="24"/>
          <w:szCs w:val="24"/>
          <w:lang w:val="pt-BR"/>
        </w:rPr>
        <w:t>o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8916CD" w:rsidRPr="000A5F78">
        <w:rPr>
          <w:rFonts w:ascii="Arial" w:eastAsia="Arial" w:hAnsi="Arial" w:cs="Arial"/>
          <w:b/>
          <w:sz w:val="24"/>
          <w:szCs w:val="24"/>
          <w:lang w:val="pt-BR"/>
        </w:rPr>
        <w:t>n. º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8240FC" w:rsidRPr="008240FC">
        <w:rPr>
          <w:rFonts w:ascii="Arial" w:eastAsia="Arial" w:hAnsi="Arial" w:cs="Arial"/>
          <w:b/>
          <w:sz w:val="24"/>
          <w:szCs w:val="24"/>
          <w:lang w:val="pt-BR"/>
        </w:rPr>
        <w:t>35</w:t>
      </w:r>
      <w:r w:rsidR="007A5484" w:rsidRPr="008240FC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14A9F108" w14:textId="77777777" w:rsidR="004A7D22" w:rsidRPr="000A5F78" w:rsidRDefault="00000000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TERMO DE REFERÊNCIA</w:t>
      </w:r>
    </w:p>
    <w:p w14:paraId="56908776" w14:textId="77777777" w:rsidR="004A7D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90"/>
          <w:tab w:val="left" w:pos="709"/>
        </w:tabs>
        <w:spacing w:before="151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DO OBJETO</w:t>
      </w:r>
    </w:p>
    <w:p w14:paraId="01A9A59E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Aquisição dos itens relacionados de acordo com tabela abaixo</w:t>
      </w:r>
      <w:r w:rsidRPr="000A5F78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conforme condições, quantidades e exigências estabelecidas neste instrumento:</w:t>
      </w:r>
    </w:p>
    <w:p w14:paraId="64435984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"/>
        <w:rPr>
          <w:rFonts w:ascii="Arial" w:eastAsia="Arial" w:hAnsi="Arial" w:cs="Arial"/>
          <w:color w:val="000000"/>
          <w:sz w:val="8"/>
          <w:szCs w:val="8"/>
          <w:lang w:val="pt-BR"/>
        </w:rPr>
      </w:pPr>
    </w:p>
    <w:tbl>
      <w:tblPr>
        <w:tblStyle w:val="Tabelacomgrade"/>
        <w:tblW w:w="8075" w:type="dxa"/>
        <w:tblLook w:val="04A0" w:firstRow="1" w:lastRow="0" w:firstColumn="1" w:lastColumn="0" w:noHBand="0" w:noVBand="1"/>
      </w:tblPr>
      <w:tblGrid>
        <w:gridCol w:w="747"/>
        <w:gridCol w:w="1233"/>
        <w:gridCol w:w="4506"/>
        <w:gridCol w:w="1589"/>
      </w:tblGrid>
      <w:tr w:rsidR="00094560" w14:paraId="13F356A1" w14:textId="77777777" w:rsidTr="00CE2389">
        <w:tc>
          <w:tcPr>
            <w:tcW w:w="747" w:type="dxa"/>
          </w:tcPr>
          <w:p w14:paraId="5FC70C14" w14:textId="66770F98" w:rsidR="00094560" w:rsidRPr="00422F36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422F36">
              <w:rPr>
                <w:b/>
                <w:bCs/>
              </w:rPr>
              <w:t>ITEM</w:t>
            </w:r>
          </w:p>
        </w:tc>
        <w:tc>
          <w:tcPr>
            <w:tcW w:w="1233" w:type="dxa"/>
          </w:tcPr>
          <w:p w14:paraId="7227571F" w14:textId="009E37E1" w:rsidR="00094560" w:rsidRPr="00422F36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422F36">
              <w:rPr>
                <w:b/>
                <w:bCs/>
              </w:rPr>
              <w:t>UNIDADE</w:t>
            </w:r>
          </w:p>
        </w:tc>
        <w:tc>
          <w:tcPr>
            <w:tcW w:w="4506" w:type="dxa"/>
          </w:tcPr>
          <w:p w14:paraId="6A4623C4" w14:textId="50D2574D" w:rsidR="00094560" w:rsidRPr="00422F36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422F36">
              <w:rPr>
                <w:b/>
                <w:bCs/>
              </w:rPr>
              <w:t>DESCRIÇÃO</w:t>
            </w:r>
          </w:p>
        </w:tc>
        <w:tc>
          <w:tcPr>
            <w:tcW w:w="1589" w:type="dxa"/>
          </w:tcPr>
          <w:p w14:paraId="1FD6F870" w14:textId="306C1764" w:rsidR="00094560" w:rsidRPr="00422F36" w:rsidRDefault="00094560" w:rsidP="0009456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422F36">
              <w:rPr>
                <w:b/>
                <w:bCs/>
              </w:rPr>
              <w:t>QUANTIDADE</w:t>
            </w:r>
          </w:p>
        </w:tc>
      </w:tr>
      <w:tr w:rsidR="00BE1C00" w14:paraId="1ED82B8C" w14:textId="77777777" w:rsidTr="00CE2389">
        <w:tc>
          <w:tcPr>
            <w:tcW w:w="747" w:type="dxa"/>
          </w:tcPr>
          <w:p w14:paraId="12D27845" w14:textId="3DCA2448" w:rsidR="00BE1C00" w:rsidRPr="00422F36" w:rsidRDefault="00BE1C00" w:rsidP="00BE1C0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422F36">
              <w:t>01</w:t>
            </w:r>
          </w:p>
        </w:tc>
        <w:tc>
          <w:tcPr>
            <w:tcW w:w="1233" w:type="dxa"/>
          </w:tcPr>
          <w:p w14:paraId="2F5C9A87" w14:textId="0EDEA68A" w:rsidR="00BE1C00" w:rsidRPr="00422F36" w:rsidRDefault="00BE1C00" w:rsidP="00BE1C00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</w:rPr>
            </w:pPr>
            <w:r w:rsidRPr="00422F36">
              <w:t>UNID.</w:t>
            </w:r>
          </w:p>
        </w:tc>
        <w:tc>
          <w:tcPr>
            <w:tcW w:w="4506" w:type="dxa"/>
          </w:tcPr>
          <w:p w14:paraId="0FEFF070" w14:textId="77777777" w:rsidR="00CE2389" w:rsidRPr="00CE2389" w:rsidRDefault="00CE2389" w:rsidP="00CE2389">
            <w:pPr>
              <w:suppressAutoHyphens/>
              <w:spacing w:line="276" w:lineRule="auto"/>
              <w:jc w:val="both"/>
              <w:textAlignment w:val="baseline"/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</w:pPr>
            <w:r w:rsidRPr="00CE2389"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  <w:t xml:space="preserve">Impressora multifuncional monocromática com entrada de rede de dados, deve conter no mínimo as seguintes especificações: Impressão, cópia e digitalização; </w:t>
            </w:r>
          </w:p>
          <w:p w14:paraId="02E7B562" w14:textId="77777777" w:rsidR="00CE2389" w:rsidRPr="00CE2389" w:rsidRDefault="00CE2389" w:rsidP="00CE2389">
            <w:pPr>
              <w:suppressAutoHyphens/>
              <w:spacing w:line="276" w:lineRule="auto"/>
              <w:jc w:val="both"/>
              <w:textAlignment w:val="baseline"/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</w:pPr>
            <w:r w:rsidRPr="00CE2389"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  <w:t>Possuir uma velocidade de impressão (carta/A4) de 42/40 páginas ppm (páginas por minuto);</w:t>
            </w:r>
          </w:p>
          <w:p w14:paraId="0E262907" w14:textId="77777777" w:rsidR="00CE2389" w:rsidRPr="00CE2389" w:rsidRDefault="00CE2389" w:rsidP="00CE2389">
            <w:pPr>
              <w:suppressAutoHyphens/>
              <w:spacing w:line="276" w:lineRule="auto"/>
              <w:jc w:val="both"/>
              <w:textAlignment w:val="baseline"/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</w:pPr>
            <w:r w:rsidRPr="00CE2389"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  <w:t>Digitalização ADF 50 folhas com passagem única e leitura simultânea nos dois lados;</w:t>
            </w:r>
          </w:p>
          <w:p w14:paraId="69009C67" w14:textId="77777777" w:rsidR="00CE2389" w:rsidRPr="00CE2389" w:rsidRDefault="00CE2389" w:rsidP="00CE2389">
            <w:pPr>
              <w:suppressAutoHyphens/>
              <w:spacing w:line="276" w:lineRule="auto"/>
              <w:jc w:val="both"/>
              <w:textAlignment w:val="baseline"/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</w:pPr>
            <w:r w:rsidRPr="00CE2389"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  <w:t>Impressão automática frente e verso;</w:t>
            </w:r>
          </w:p>
          <w:p w14:paraId="577D085D" w14:textId="77777777" w:rsidR="00CE2389" w:rsidRPr="00CE2389" w:rsidRDefault="00CE2389" w:rsidP="00CE2389">
            <w:pPr>
              <w:suppressAutoHyphens/>
              <w:spacing w:line="276" w:lineRule="auto"/>
              <w:jc w:val="both"/>
              <w:textAlignment w:val="baseline"/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</w:pPr>
            <w:r w:rsidRPr="00CE2389"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  <w:t xml:space="preserve">Visor de painel de controle tela touchscreen de 2,7 pol.; </w:t>
            </w:r>
          </w:p>
          <w:p w14:paraId="72B6B5AB" w14:textId="77777777" w:rsidR="00CE2389" w:rsidRPr="00CE2389" w:rsidRDefault="00CE2389" w:rsidP="00CE2389">
            <w:pPr>
              <w:suppressAutoHyphens/>
              <w:spacing w:line="276" w:lineRule="auto"/>
              <w:jc w:val="both"/>
              <w:textAlignment w:val="baseline"/>
              <w:rPr>
                <w:rFonts w:ascii="Cambria" w:eastAsia="WenQuanYi Micro Hei" w:hAnsi="Cambria" w:cs="Arial"/>
                <w:sz w:val="20"/>
                <w:szCs w:val="20"/>
                <w:lang w:val="en-US" w:eastAsia="zh-CN" w:bidi="hi-IN"/>
              </w:rPr>
            </w:pPr>
            <w:r w:rsidRPr="00CE2389">
              <w:rPr>
                <w:rFonts w:ascii="Cambria" w:eastAsia="WenQuanYi Micro Hei" w:hAnsi="Cambria" w:cs="Arial"/>
                <w:sz w:val="20"/>
                <w:szCs w:val="20"/>
                <w:lang w:val="en-US" w:eastAsia="zh-CN" w:bidi="hi-IN"/>
              </w:rPr>
              <w:t>Entrada 1 Hi-Speed USB 2.0 1 rear host USB 1 Frontal USB port, conectividade Gigabit Ethernet LAN 10/100/1000BASE-T network 802.3az (EEE) 802.11b/g/n/2.4/5 GHZ Wi-Fi radio + BLE;</w:t>
            </w:r>
          </w:p>
          <w:p w14:paraId="666451D0" w14:textId="77777777" w:rsidR="00CE2389" w:rsidRPr="00CE2389" w:rsidRDefault="00CE2389" w:rsidP="00CE2389">
            <w:pPr>
              <w:suppressAutoHyphens/>
              <w:spacing w:line="276" w:lineRule="auto"/>
              <w:jc w:val="both"/>
              <w:textAlignment w:val="baseline"/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</w:pPr>
            <w:r w:rsidRPr="00CE2389"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  <w:t>Voltagem: 110v 50/6-Hz;</w:t>
            </w:r>
          </w:p>
          <w:p w14:paraId="31A37999" w14:textId="77777777" w:rsidR="00CE2389" w:rsidRPr="00CE2389" w:rsidRDefault="00CE2389" w:rsidP="00CE2389">
            <w:pPr>
              <w:suppressAutoHyphens/>
              <w:spacing w:line="276" w:lineRule="auto"/>
              <w:jc w:val="both"/>
              <w:textAlignment w:val="baseline"/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</w:pPr>
            <w:r w:rsidRPr="00CE2389">
              <w:rPr>
                <w:rFonts w:ascii="Cambria" w:eastAsia="WenQuanYi Micro Hei" w:hAnsi="Cambria" w:cs="Arial"/>
                <w:sz w:val="20"/>
                <w:szCs w:val="20"/>
                <w:lang w:eastAsia="zh-CN" w:bidi="hi-IN"/>
              </w:rPr>
              <w:t>Ser compatível com sistemas operacionais Windows 7 a 11, Windows Server-Android, Novell-macOS 10.15 Catalina, macOS 11 Big Sur e/ou macOS 12 monterey;</w:t>
            </w:r>
          </w:p>
          <w:p w14:paraId="0EA0EE02" w14:textId="677C9EAC" w:rsidR="00BE1C00" w:rsidRPr="00CE2389" w:rsidRDefault="00CE2389" w:rsidP="00CE2389">
            <w:pPr>
              <w:suppressAutoHyphens/>
              <w:spacing w:before="120" w:after="120" w:line="276" w:lineRule="auto"/>
              <w:jc w:val="both"/>
              <w:textAlignment w:val="baseline"/>
              <w:rPr>
                <w:rFonts w:ascii="Arial" w:eastAsia="WenQuanYi Micro Hei" w:hAnsi="Arial" w:cs="Arial"/>
                <w:lang w:eastAsia="zh-CN" w:bidi="hi-IN"/>
              </w:rPr>
            </w:pPr>
            <w:r w:rsidRPr="00CE2389">
              <w:rPr>
                <w:rFonts w:ascii="Cambria" w:eastAsia="Times New Roman" w:hAnsi="Cambria" w:cs="Arial"/>
                <w:kern w:val="0"/>
                <w:sz w:val="20"/>
                <w:szCs w:val="20"/>
                <w:lang w:eastAsia="pt-BR"/>
                <w14:ligatures w14:val="none"/>
              </w:rPr>
              <w:t>Acompanhar: Autotransformador 220v para 110v, mínimo 1000VA.</w:t>
            </w:r>
          </w:p>
        </w:tc>
        <w:tc>
          <w:tcPr>
            <w:tcW w:w="1589" w:type="dxa"/>
          </w:tcPr>
          <w:p w14:paraId="4ED788B6" w14:textId="6D92ADD9" w:rsidR="00BE1C00" w:rsidRPr="00422F36" w:rsidRDefault="00422F36" w:rsidP="00BE1C00">
            <w:pPr>
              <w:tabs>
                <w:tab w:val="left" w:pos="709"/>
              </w:tabs>
              <w:spacing w:before="4"/>
              <w:jc w:val="center"/>
              <w:rPr>
                <w:rFonts w:ascii="Arial" w:eastAsia="Arial" w:hAnsi="Arial" w:cs="Arial"/>
                <w:color w:val="000000"/>
              </w:rPr>
            </w:pPr>
            <w:r w:rsidRPr="00422F36">
              <w:rPr>
                <w:rFonts w:ascii="Arial" w:hAnsi="Arial" w:cs="Arial"/>
                <w:color w:val="000000"/>
              </w:rPr>
              <w:t>0</w:t>
            </w:r>
            <w:r w:rsidR="00CE2389">
              <w:rPr>
                <w:rFonts w:ascii="Arial" w:hAnsi="Arial" w:cs="Arial"/>
                <w:color w:val="000000"/>
              </w:rPr>
              <w:t>1</w:t>
            </w:r>
          </w:p>
        </w:tc>
      </w:tr>
    </w:tbl>
    <w:p w14:paraId="75B471BA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"/>
        <w:rPr>
          <w:rFonts w:ascii="Arial" w:eastAsia="Arial" w:hAnsi="Arial" w:cs="Arial"/>
          <w:color w:val="000000"/>
          <w:sz w:val="31"/>
          <w:szCs w:val="31"/>
        </w:rPr>
      </w:pPr>
    </w:p>
    <w:p w14:paraId="267BD9E5" w14:textId="77777777" w:rsidR="004A7D22" w:rsidRPr="00422F36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"/>
        <w:ind w:left="0" w:firstLine="0"/>
        <w:rPr>
          <w:lang w:val="pt-BR"/>
        </w:rPr>
      </w:pPr>
      <w:r w:rsidRPr="00422F36">
        <w:rPr>
          <w:rFonts w:ascii="Arial" w:eastAsia="Arial" w:hAnsi="Arial" w:cs="Arial"/>
          <w:lang w:val="pt-BR"/>
        </w:rPr>
        <w:t>JUSTIFICATIVA E OBJETIVO DA CONTRATAÇÃO</w:t>
      </w:r>
    </w:p>
    <w:p w14:paraId="7862DA43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4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Justificativa e objetivo da aquisição tem por finalidade atender a demanda do setor requisitante, conforme descrição detalhada, visando manter o pleno funcionamento das atividades administrativas, dando suporte às tarefas e ações operacionais, nas atividades desenvolvidas pelo setor.</w:t>
      </w:r>
    </w:p>
    <w:p w14:paraId="035C45C3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5ED026A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CLASSIFICAÇÃO DOS BENS COMUNS</w:t>
      </w:r>
    </w:p>
    <w:p w14:paraId="7082554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Consideram-se bens e serviços comuns, para os fins e efeitos do art. 1º da Lei nº 1</w:t>
      </w:r>
      <w:hyperlink r:id="rId9">
        <w:r w:rsidRPr="000A5F78">
          <w:rPr>
            <w:rFonts w:ascii="Arial" w:eastAsia="Arial" w:hAnsi="Arial" w:cs="Arial"/>
            <w:color w:val="000000"/>
            <w:sz w:val="24"/>
            <w:szCs w:val="24"/>
            <w:lang w:val="pt-BR"/>
          </w:rPr>
          <w:t>0.520, de 17 de julho de 2002</w:t>
        </w:r>
      </w:hyperlink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aqueles cujos padrões de desempenho e qualidade possam ser objetivamente definidos no Termo de Referência, por meio de especificações usuais no mercado.</w:t>
      </w:r>
    </w:p>
    <w:p w14:paraId="530F5F09" w14:textId="77777777" w:rsidR="004A7D22" w:rsidRPr="000A5F78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84"/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ENTREGA E CRITÉRIOS DE ACEITAÇÃO DO OBJETO.</w:t>
      </w:r>
    </w:p>
    <w:p w14:paraId="0FBDC40C" w14:textId="64DF98C2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prazo de entrega dos bens é de 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contados do(a) recebimento da nota de empenho, em remessa única a ser definida pelo contratante, no seguinte endereço: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Rua Doutor Monteiro,185, centro Arroio Grande RS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, dentro do horário de expediente, de segunda-feira a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sexta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-feira, das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7hs às 13hs.</w:t>
      </w:r>
    </w:p>
    <w:p w14:paraId="7E16C9C9" w14:textId="6A0D1B56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3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poderão ser rejeitados, no todo ou em parte, quando em desacordo com as especificações constantes neste Termo de Referência e na proposta, devendo ser substituídos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 (cinco)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a contar da notificação da contratada, às suas custas, sem prejuízo da aplicação das penalidades.</w:t>
      </w:r>
    </w:p>
    <w:p w14:paraId="4B482485" w14:textId="140D9D8C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serão recebidos definitivamente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 corridos ou de acordo com a necessidade do contratante, contados do recebimento provisório, após a verificação da qualidade e quantidade do material e consequente aceitação mediante termo circunstanciado.</w:t>
      </w:r>
    </w:p>
    <w:p w14:paraId="29ADEFF0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0DA9A10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recebimento provisório ou definitivo do objeto não exclui a responsabilidade da contratada pelos prejuízos resultantes da incorreta execução do serviço.</w:t>
      </w:r>
    </w:p>
    <w:p w14:paraId="2D55236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63C7DEA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OBRIGAÇÕES DA CONTRATANTE</w:t>
      </w:r>
    </w:p>
    <w:p w14:paraId="49B73CC5" w14:textId="77777777" w:rsidR="004A7D22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>São obrigações da Contratante:</w:t>
      </w:r>
    </w:p>
    <w:p w14:paraId="15A3255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receber o objeto no prazo e condições estabelecidas no Termo de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Referência e seus anexos;</w:t>
      </w:r>
    </w:p>
    <w:p w14:paraId="2EDC30E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verificar minuciosamente, no prazo fixado, a conformidade dos bens recebidos provisoriamente com as especificações constantes do Termo de Referência e da proposta, para fins de aceitação e recebimento definitivo;</w:t>
      </w:r>
    </w:p>
    <w:p w14:paraId="504DE86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comunicar à Contratada, por escrito, sobre imperfeições, falhas ou irregularidades verificadas no objeto fornecido, para que seja substituído, reparado ou corrigido;</w:t>
      </w:r>
    </w:p>
    <w:p w14:paraId="57D8F43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acompanhar e fiscalizar o cumprimento das obrigações da Contratada, através de comissão/servidor especialmente designado;</w:t>
      </w:r>
    </w:p>
    <w:p w14:paraId="391D71B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efetuar o pagamento à Contratada no valor correspondente ao fornecimento do objeto, no prazo e forma estabelecidos no Termo de Referência e seus anexos;</w:t>
      </w:r>
    </w:p>
    <w:p w14:paraId="39A058D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6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Administração não responderá por quaisquer compromissos assumidos pela Contratada com terceiros, ainda que vinculados à execução do presente Termo de Referência, bem como por qualquer dano causado a terceiros em decorrência de ato da Contratada, de seus empregados, prepostos ou subordinados.</w:t>
      </w:r>
    </w:p>
    <w:p w14:paraId="577DF8E4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C21E2B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OBRIGAÇÕES DA CONTRATADA</w:t>
      </w:r>
    </w:p>
    <w:p w14:paraId="300C1B3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deve cumprir todas as obrigações constantes no Termo de Referência, seus anexos e sua proposta, assumindo como exclusivamente seus os riscos e as despesas decorrentes da boa e perfeita execução do objeto e, ainda:</w:t>
      </w:r>
    </w:p>
    <w:p w14:paraId="5B7C93F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efetuar a entrega do objeto em perfeitas condições, conforme especificações, prazo e local constantes no Termo de Referência e seus anexos, acompanhado da respectiva nota fiscal, na qual constarão as indicações referentes a: </w:t>
      </w:r>
      <w:r w:rsidRPr="000A5F78">
        <w:rPr>
          <w:rFonts w:ascii="Arial" w:eastAsia="Arial" w:hAnsi="Arial" w:cs="Arial"/>
          <w:i/>
          <w:color w:val="000000"/>
          <w:sz w:val="24"/>
          <w:szCs w:val="24"/>
          <w:lang w:val="pt-BR"/>
        </w:rPr>
        <w:t>marca, fabricante, modelo, procedência e prazo de garantia ou validade;</w:t>
      </w:r>
    </w:p>
    <w:p w14:paraId="5544A6F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responsabilizar-se pelos vícios e danos decorrentes do objeto, de acordo com os artigos 12, 13 e 17 a 27, do Código de Defesa do Consumidor (Lei nº 8.078, de 1990);</w:t>
      </w:r>
    </w:p>
    <w:p w14:paraId="45C756A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substituir, reparar ou corrigir, às suas expensas, no prazo fixado neste Termo de Referência, o objeto com avarias ou defeitos;</w:t>
      </w:r>
    </w:p>
    <w:p w14:paraId="0B554D72" w14:textId="263DEE2F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comunicar à Contratante, no prazo máximo de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48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quarenta e oito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horas que antecede a data da entrega, os motivos que impossibilitem o cumprimento do prazo previsto, com a devida comprovação;</w:t>
      </w:r>
    </w:p>
    <w:p w14:paraId="6288C808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manter, durante toda a execução do serviço, em compatibilidade com as obrigações assumidas, todas as condições de habilitação e qualificação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exigidas na licitação;</w:t>
      </w:r>
    </w:p>
    <w:p w14:paraId="346ECEE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indicar preposto para representá-la durante a execução do serviço.</w:t>
      </w:r>
    </w:p>
    <w:p w14:paraId="1A0407E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7B0D5AF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46025219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DA SUBCONTRATAÇÃO</w:t>
      </w:r>
    </w:p>
    <w:p w14:paraId="62145369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569"/>
        </w:tabs>
        <w:spacing w:before="174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ab/>
        <w:t>Não será admitida a subcontratação do objeto licitatório.</w:t>
      </w:r>
    </w:p>
    <w:p w14:paraId="40D0C42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402D4C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1BAAB03D" w14:textId="77777777" w:rsidR="004A7D22" w:rsidRPr="000A5F78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DO CONTROLE E FISCALIZAÇÃO DA EXECUÇÃO</w:t>
      </w:r>
    </w:p>
    <w:p w14:paraId="7E37DFFC" w14:textId="13C7175D" w:rsidR="004A7D22" w:rsidRPr="000A5F78" w:rsidRDefault="00064D3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designado o Diretor Geral para acompanhar e fiscalizar a entrega dos bens, anotando em registro próprio todas as ocorrências relacionadas com a execução e determinando o que for necessário à regularização de falhas ou defeitos observados.</w:t>
      </w:r>
    </w:p>
    <w:p w14:paraId="4098BFDB" w14:textId="77777777" w:rsidR="004A7D22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64" w:line="288" w:lineRule="auto"/>
        <w:ind w:left="0" w:right="214" w:firstLine="0"/>
        <w:jc w:val="both"/>
        <w:rPr>
          <w:color w:val="000000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fiscalização de que trata este item não exclui nem reduz a responsabilidade da Contratada, inclusive perante terceiros, por qualquer irregularidade, ainda que resultante de imperfeições técnicas ou vícios redibitórios, </w:t>
      </w:r>
      <w:r w:rsidRPr="000A5F78">
        <w:rPr>
          <w:rFonts w:ascii="Arial" w:eastAsia="Arial" w:hAnsi="Arial" w:cs="Arial"/>
          <w:color w:val="000000"/>
          <w:lang w:val="pt-BR"/>
        </w:rPr>
        <w:t xml:space="preserve">e, na ocorrência desta, não implica em corresponsabilidade da Administração ou de seus agentes e prepostos, de conformidade com o art. </w:t>
      </w:r>
      <w:r>
        <w:rPr>
          <w:rFonts w:ascii="Arial" w:eastAsia="Arial" w:hAnsi="Arial" w:cs="Arial"/>
          <w:color w:val="000000"/>
        </w:rPr>
        <w:t>XXXXX.</w:t>
      </w:r>
    </w:p>
    <w:p w14:paraId="3F05116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representante da Administração anotará em registro próprio todas as ocorrências relacionadas com a execução do serviço, indicando dia, mês e ano, bem como o nome dos funcionários eventualmente envolvidos, determinando o que for necessário à regularização das falhas ou defeitos observados e encaminhando os apontamentos à autoridade competente para as providências cabíveis.</w:t>
      </w:r>
    </w:p>
    <w:p w14:paraId="40792B8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388B497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5"/>
        <w:ind w:left="0" w:firstLine="0"/>
      </w:pPr>
      <w:r>
        <w:rPr>
          <w:rFonts w:ascii="Arial" w:eastAsia="Arial" w:hAnsi="Arial" w:cs="Arial"/>
        </w:rPr>
        <w:t>DO PAGAMENTO</w:t>
      </w:r>
    </w:p>
    <w:p w14:paraId="2E84BBB4" w14:textId="343E21A9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pagamento será realizado no prazo máximo de até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cinco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dias, contados a partir do recebimento da Nota Fiscal ou Fatura, através de ordem bancária, para crédito em banco, agência e conta-corrente indicados pelo contratado.</w:t>
      </w:r>
    </w:p>
    <w:p w14:paraId="3521C0B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Considera-se ocorrido o recebimento da nota fiscal ou fatura no momento em que o órgão contratante atestar a execução do objeto do serviço.</w:t>
      </w:r>
    </w:p>
    <w:p w14:paraId="6AEBA5B1" w14:textId="70F42E81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0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Nota Fiscal ou Fatura deverá ser obrigatoriamente acompanhada da comprovação da regularidade fiscal, constatada por meio de consulta on-line, mediante consulta aos sítios eletrônicos oficiais</w:t>
      </w:r>
      <w:r w:rsidR="00056BC4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6D405662" w14:textId="62A8F782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Constatando-se, a situação de irregularidade do fornecedor contratado, deverão ser tomadas as providências previstas no art. 31 da Instrução Normativa nº 3, de 26 de abril de 2018.</w:t>
      </w:r>
    </w:p>
    <w:p w14:paraId="583EDAC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Havendo erro na apresentação da Nota Fiscal ou dos documentos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7E5BAA6E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20"/>
        </w:tabs>
        <w:spacing w:before="112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considerada data do pagamento o dia em que constar como emitida a ordem bancária para pagamento.</w:t>
      </w:r>
    </w:p>
    <w:p w14:paraId="1DA62943" w14:textId="027CD613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Antes de cada pagamento à contratada, será realizada consulta a</w:t>
      </w:r>
      <w:r w:rsidR="001E1521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condições de habilitação exigidas no Termo de Referência.</w:t>
      </w:r>
    </w:p>
    <w:p w14:paraId="0A89A704" w14:textId="2EB3FEC1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8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5DD8F65B" w14:textId="6D042AFE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5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Previamente à emissão de nota de empenho e a cada pagamento, a Administração deverá realizar consulta para identificar possível suspensão temporária de </w:t>
      </w:r>
      <w:r w:rsidRPr="000A5F78">
        <w:rPr>
          <w:rFonts w:ascii="Arial" w:eastAsia="Arial" w:hAnsi="Arial" w:cs="Arial"/>
          <w:color w:val="000000"/>
          <w:lang w:val="pt-BR"/>
        </w:rPr>
        <w:t>participação em 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676FD9D9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</w:t>
      </w:r>
    </w:p>
    <w:p w14:paraId="49053D09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Persistindo a irregularidade, a contratante deverá adotar as medidas necessárias à rescisão contratual nos autos do processo administrativo correspondente, assegurada à contratada a ampla defesa.</w:t>
      </w:r>
    </w:p>
    <w:p w14:paraId="69036EFD" w14:textId="70FE1473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a efetiva execução do objeto, os pagamentos serão realizados normalmente, até que se decida pela não execução do serviço, caso a contratada não regularize sua situação</w:t>
      </w:r>
      <w:r w:rsidR="00873813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</w:p>
    <w:p w14:paraId="43C5CF41" w14:textId="72BB12F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7" w:line="288" w:lineRule="auto"/>
        <w:ind w:right="211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10.11.1.   Será interrompido o serviço em execução com a contratada inadimplente, salvo por motivo de economicidade, segurança nacional ou outro de interesse público de alta relevância, devidamente justificado, em qualquer caso, pela máxima autoridade da contratante.</w:t>
      </w:r>
    </w:p>
    <w:p w14:paraId="16ACC74F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5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Quando do pagamento, será efetuada a retenção tributária prevista na legislação aplicável.</w:t>
      </w:r>
    </w:p>
    <w:p w14:paraId="7D66DB3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840"/>
        </w:tabs>
        <w:spacing w:before="118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Contratada regularmente optante pelo Simples Nacional, nos termos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DF5C68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60"/>
        </w:tabs>
        <w:spacing w:before="113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08CEA76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60"/>
        </w:tabs>
        <w:spacing w:before="113" w:line="288" w:lineRule="auto"/>
        <w:ind w:right="218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7AF9CDD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5C5AE216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DO REAJUSTE</w:t>
      </w:r>
    </w:p>
    <w:p w14:paraId="25A0415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Os preços são fixos e irreajustáveis no prazo de um ano contado da data limite para a apresentação das propostas.</w:t>
      </w:r>
    </w:p>
    <w:p w14:paraId="0FF71D7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3231EE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DAS SANÇÕES ADMINISTRATIVAS</w:t>
      </w:r>
    </w:p>
    <w:p w14:paraId="1EB226D1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Comete infração administrativa nos termos da Lei nº 10.520, de 2002, a Contratada que:</w:t>
      </w:r>
    </w:p>
    <w:p w14:paraId="3387F1F9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inexecutar total ou parcialmente qualquer das obrigações assumidas em decorrência da contratação;</w:t>
      </w:r>
    </w:p>
    <w:p w14:paraId="015AB35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ensejar o retardamento da execução do objeto;</w:t>
      </w:r>
    </w:p>
    <w:p w14:paraId="0F9E572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falhar ou fraudar na execução do serviço;</w:t>
      </w:r>
    </w:p>
    <w:p w14:paraId="4881A75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comportar-se de modo inidôneo;</w:t>
      </w:r>
    </w:p>
    <w:p w14:paraId="30FDA0D7" w14:textId="77777777" w:rsidR="004A7D22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>cometer fraude fiscal;</w:t>
      </w:r>
    </w:p>
    <w:p w14:paraId="0D102D61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</w:rPr>
      </w:pPr>
    </w:p>
    <w:p w14:paraId="40A98A7A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</w:rPr>
      </w:pPr>
    </w:p>
    <w:p w14:paraId="4332328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line="288" w:lineRule="auto"/>
        <w:ind w:left="0" w:right="18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Pela inexecução </w:t>
      </w:r>
      <w:r w:rsidRPr="000A5F78">
        <w:rPr>
          <w:rFonts w:ascii="Arial" w:eastAsia="Arial" w:hAnsi="Arial" w:cs="Arial"/>
          <w:color w:val="000000"/>
          <w:sz w:val="24"/>
          <w:szCs w:val="24"/>
          <w:u w:val="single"/>
          <w:lang w:val="pt-BR"/>
        </w:rPr>
        <w:t>total ou parcial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do serviço, a Administração pode aplicar à CONTRATADA as seguintes sanções:</w:t>
      </w:r>
    </w:p>
    <w:p w14:paraId="77CA28F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2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Advertência, por faltas leves, assim entendidas aquelas que não acarretem prejuízos significativos para a Contratante;</w:t>
      </w:r>
    </w:p>
    <w:p w14:paraId="219221C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moratória de 1% (um por cento) por dia de atraso injustificado sobre o valor da parcela inadimplida, até o limite de 30 (trinta) dias;</w:t>
      </w:r>
    </w:p>
    <w:p w14:paraId="7E25F8E6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compensatória de 10% (dez por cento) sobre o valor total do serviço, no caso de inexecução total do objeto;</w:t>
      </w:r>
    </w:p>
    <w:p w14:paraId="11CA7F3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em caso de inexecução parcial, a multa compensatória, no mesmo percentual do subitem acima, será aplicada de forma proporcional à obrigação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inadimplida;</w:t>
      </w:r>
    </w:p>
    <w:p w14:paraId="207E93E2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suspensão de licitar e impedimento de contratar com o órgão, entidade ou unidade administrativa pela qual a Administração Pública opera e atua concretamente, pelo prazo de até dois anos;</w:t>
      </w:r>
    </w:p>
    <w:p w14:paraId="32FBFC1A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impedimento de licitar e contratar com órgãos e entidades da União com o consequente descredenciamento no SICAF pelo prazo de até cinco anos;</w:t>
      </w:r>
    </w:p>
    <w:p w14:paraId="0803315D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4" w:line="288" w:lineRule="auto"/>
        <w:ind w:right="18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11.2.6.1.1. A sanção de impedimento de licitar e contratar prevista neste subitem também é aplicável em quaisquer das hipóteses previstas como infração administrativa no subitem 16.1 deste Termo de Referência.</w:t>
      </w:r>
    </w:p>
    <w:p w14:paraId="7D896DE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1C4B7006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18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sanções previstas nos subitens 16.2.1, 16.2.5, 16.2.6 e 16.2.7 poderão ser aplicadas à CONTRATADA acompanhada de as de multa, descontando-a dos pagamentos a serem efetuados.</w:t>
      </w:r>
    </w:p>
    <w:p w14:paraId="151555F2" w14:textId="1083A95D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95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Também ficam sujeitas às penalidades</w:t>
      </w:r>
      <w:r w:rsidR="00CD0798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empresas ou profissionais que:</w:t>
      </w:r>
    </w:p>
    <w:p w14:paraId="6E8EEE7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sofrido condenação definitiva por praticar, por meio dolosos, fraude fiscal no recolhimento de quaisquer tributos;</w:t>
      </w:r>
    </w:p>
    <w:p w14:paraId="7C603FD8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praticado atos ilícitos visando a frustrar os objetivos da licitação;</w:t>
      </w:r>
    </w:p>
    <w:p w14:paraId="137E4D3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7"/>
        <w:rPr>
          <w:rFonts w:ascii="Arial" w:eastAsia="Arial" w:hAnsi="Arial" w:cs="Arial"/>
          <w:color w:val="000000"/>
          <w:sz w:val="25"/>
          <w:szCs w:val="25"/>
          <w:lang w:val="pt-BR"/>
        </w:rPr>
      </w:pPr>
    </w:p>
    <w:p w14:paraId="6F64E150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demonstrem não possuir idoneidade para contratar com a Administração em virtude de atos ilícitos praticados.</w:t>
      </w:r>
    </w:p>
    <w:p w14:paraId="0C24ABF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aplicação de qualquer das penalidades previstas realizar-se-á em processo administrativo que assegurará o contraditório e a ampla defesa à Contratada, observando-se o procedimento previsto na Lei nº 14133, e subsidiariamente a Lei nº 9.784, de 1999.</w:t>
      </w:r>
    </w:p>
    <w:p w14:paraId="75E58D13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17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multas devidas e/ou prejuízos causados à Contratante serão deduzidos dos valores a serem pagos, ou recolhidos em favor da União, ou deduzidos da garantia, ou ainda, quando for o caso, serão inscritos na Dívida Ativa da União e cobrados judicialmente.</w:t>
      </w:r>
    </w:p>
    <w:p w14:paraId="0261FF27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Caso o valor da multa não seja suficiente para cobrir os prejuízos causados pela conduta do licitante, a União ou Entidade poderá cobrar o valor remanescente judicialmente, conforme artigo 419 do Código Civil.</w:t>
      </w:r>
    </w:p>
    <w:p w14:paraId="0486285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7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autoridade competente, na aplicação das sanções, levará em consideração a gravidade da conduta do infrator, o caráter educativo da pena,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bem como o dano causado à Administração, observado o princípio da proporcionalidade.</w:t>
      </w:r>
    </w:p>
    <w:p w14:paraId="4A9F559A" w14:textId="61016EF8" w:rsidR="004A7D22" w:rsidRPr="00CE2389" w:rsidRDefault="00000000" w:rsidP="00CE238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64" w:line="288" w:lineRule="auto"/>
        <w:ind w:left="0" w:right="217" w:firstLine="0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CE2389">
        <w:rPr>
          <w:rFonts w:ascii="Arial" w:eastAsia="Arial" w:hAnsi="Arial" w:cs="Arial"/>
          <w:color w:val="000000"/>
          <w:sz w:val="24"/>
          <w:szCs w:val="24"/>
          <w:lang w:val="pt-BR"/>
        </w:rPr>
        <w:t>Se, durante o processo de aplicação de penalidade, se houver indícios de prática de infração administrativa tipificada pela Lei nº 12.846, de 1º de agosto de 2013, como ato lesivo à administração pública nacional ou estrangeira, cópias dos processos administrativos necessários à apuração da responsabilidade da empresa deverão ser remetidas à autoridade competente, com despacho fundamentado, para ciência e</w:t>
      </w:r>
      <w:r w:rsidR="00CE2389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CE2389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decisão sobre a eventual instauração de investigação preliminar ou Processo </w:t>
      </w:r>
      <w:r w:rsidR="00EC665D" w:rsidRPr="00CE2389">
        <w:rPr>
          <w:rFonts w:ascii="Arial" w:eastAsia="Arial" w:hAnsi="Arial" w:cs="Arial"/>
          <w:color w:val="000000"/>
          <w:sz w:val="24"/>
          <w:szCs w:val="24"/>
          <w:lang w:val="pt-BR"/>
        </w:rPr>
        <w:t>Administrativ</w:t>
      </w:r>
      <w:r w:rsidR="00CE2389">
        <w:rPr>
          <w:rFonts w:ascii="Arial" w:eastAsia="Arial" w:hAnsi="Arial" w:cs="Arial"/>
          <w:color w:val="000000"/>
          <w:sz w:val="24"/>
          <w:szCs w:val="24"/>
          <w:lang w:val="pt-BR"/>
        </w:rPr>
        <w:t>o</w:t>
      </w:r>
      <w:r w:rsidRPr="00CE2389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de Responsabilização – PAR.</w:t>
      </w:r>
    </w:p>
    <w:p w14:paraId="5DA3D81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18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21505D25" w14:textId="6486FA4A" w:rsidR="004A7D22" w:rsidRPr="000A5F78" w:rsidRDefault="00000000" w:rsidP="008219D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processamento do PAR não interfere no seguimento regular dos processos administrativos específicos para apuração da ocorrência de danos e prejuízos à Administração Pública Federal resultantes de ato lesivo cometido por pessoa jurídica, com ou sem a participação de agente públic</w:t>
      </w:r>
      <w:r w:rsidR="008219DF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o.</w:t>
      </w:r>
    </w:p>
    <w:p w14:paraId="231219E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8787502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102D8926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DF32BD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34E63B1D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DESPACHO DO ORDENADOR DE DESPESAS</w:t>
      </w:r>
    </w:p>
    <w:p w14:paraId="7F76971B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74" w:line="288" w:lineRule="auto"/>
        <w:ind w:right="21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documento apresentado descreve de maneira adequada o planejamento da contratação, permitindo a avaliação de custos e demandas, e possui anexo os orçamentos e planilhas de preços de mercado, definindo a sistemática de suprimento, critérios de aceitação do objeto, deveres do Licitante e da Administração, procedimentos de fiscalização e gerenciamento, prazos de entrega e a possibilidade de sanções administrativas, de forma clara, concisa e objetiva.</w:t>
      </w:r>
    </w:p>
    <w:p w14:paraId="038FE345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420E764E" w14:textId="42B2993F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Dessa forma, aprovo o presente Termo de Referência.</w:t>
      </w:r>
    </w:p>
    <w:p w14:paraId="3FDD5691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1A0ED6B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F4B4679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97A16B0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E71548C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B9AA92B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4E01DB8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5E2DFD97" w14:textId="77777777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387E2E2" w14:textId="42A49480" w:rsidR="00A56875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  <w:r w:rsidRPr="008240FC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Arroio Grande, </w:t>
      </w:r>
      <w:r w:rsidR="00CE2389" w:rsidRPr="008240FC">
        <w:rPr>
          <w:rFonts w:ascii="Arial" w:eastAsia="Arial" w:hAnsi="Arial" w:cs="Arial"/>
          <w:color w:val="000000"/>
          <w:sz w:val="26"/>
          <w:szCs w:val="26"/>
          <w:lang w:val="pt-BR"/>
        </w:rPr>
        <w:t>0</w:t>
      </w:r>
      <w:r w:rsidR="008240FC" w:rsidRPr="008240FC">
        <w:rPr>
          <w:rFonts w:ascii="Arial" w:eastAsia="Arial" w:hAnsi="Arial" w:cs="Arial"/>
          <w:color w:val="000000"/>
          <w:sz w:val="26"/>
          <w:szCs w:val="26"/>
          <w:lang w:val="pt-BR"/>
        </w:rPr>
        <w:t>5</w:t>
      </w:r>
      <w:r w:rsidRPr="008240FC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</w:t>
      </w:r>
      <w:r w:rsidR="00405853" w:rsidRPr="008240FC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</w:t>
      </w:r>
      <w:r w:rsidR="00CE2389" w:rsidRPr="008240FC">
        <w:rPr>
          <w:rFonts w:ascii="Arial" w:eastAsia="Arial" w:hAnsi="Arial" w:cs="Arial"/>
          <w:color w:val="000000"/>
          <w:sz w:val="26"/>
          <w:szCs w:val="26"/>
          <w:lang w:val="pt-BR"/>
        </w:rPr>
        <w:t>abril</w:t>
      </w:r>
      <w:r w:rsidRPr="008240FC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 2024.</w:t>
      </w:r>
      <w:bookmarkEnd w:id="0"/>
    </w:p>
    <w:sectPr w:rsidR="00A56875" w:rsidRPr="000A5F78">
      <w:headerReference w:type="default" r:id="rId10"/>
      <w:footerReference w:type="default" r:id="rId11"/>
      <w:pgSz w:w="11920" w:h="16840"/>
      <w:pgMar w:top="1417" w:right="1701" w:bottom="1417" w:left="1701" w:header="0" w:footer="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41D519" w14:textId="77777777" w:rsidR="0028698D" w:rsidRDefault="0028698D">
      <w:r>
        <w:separator/>
      </w:r>
    </w:p>
  </w:endnote>
  <w:endnote w:type="continuationSeparator" w:id="0">
    <w:p w14:paraId="618874A5" w14:textId="77777777" w:rsidR="0028698D" w:rsidRDefault="00286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A3496" w14:textId="77777777" w:rsidR="004A7D22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pict w14:anchorId="7EE88217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-6.55pt;margin-top:783.65pt;width:233.15pt;height:23.75pt;z-index:-15844864;mso-position-horizontal:absolute;mso-position-horizontal-relative:margin;mso-position-vertical:absolute;mso-position-vertical-relative:text" filled="f" stroked="f">
          <v:textbox style="mso-next-textbox:#docshape1" inset="0,0,0,0">
            <w:txbxContent>
              <w:p w14:paraId="2CAF2EC4" w14:textId="77777777" w:rsidR="000679CB" w:rsidRDefault="000679CB">
                <w:pPr>
                  <w:spacing w:before="16" w:line="261" w:lineRule="auto"/>
                  <w:ind w:left="20"/>
                  <w:rPr>
                    <w:rFonts w:ascii="Arial" w:hAnsi="Arial"/>
                    <w:sz w:val="12"/>
                  </w:rPr>
                </w:pPr>
              </w:p>
            </w:txbxContent>
          </v:textbox>
          <w10:wrap anchorx="margin"/>
        </v:shape>
      </w:pict>
    </w:r>
    <w:r>
      <w:pict w14:anchorId="38D3B40D">
        <v:line id="_x0000_s1026" style="position:absolute;z-index:-15845376;mso-position-horizontal:absolute;mso-position-horizontal-relative:margin;mso-position-vertical:absolute;mso-position-vertical-relative:text" from="-6.05pt,783.85pt" to="333.8pt,783.85pt" strokeweight=".4pt">
          <w10:wrap anchorx="margin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CFC7B7" w14:textId="77777777" w:rsidR="0028698D" w:rsidRDefault="0028698D">
      <w:r>
        <w:separator/>
      </w:r>
    </w:p>
  </w:footnote>
  <w:footnote w:type="continuationSeparator" w:id="0">
    <w:p w14:paraId="123F3842" w14:textId="77777777" w:rsidR="0028698D" w:rsidRDefault="00286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BA864" w14:textId="587E085A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134" w:hanging="142"/>
      <w:rPr>
        <w:color w:val="000000"/>
      </w:rPr>
    </w:pPr>
  </w:p>
  <w:p w14:paraId="4D67F372" w14:textId="77777777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993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6A4F31"/>
    <w:multiLevelType w:val="multilevel"/>
    <w:tmpl w:val="987C716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</w:lvl>
    <w:lvl w:ilvl="4">
      <w:numFmt w:val="bullet"/>
      <w:lvlText w:val="•"/>
      <w:lvlJc w:val="left"/>
      <w:pPr>
        <w:ind w:left="860" w:hanging="720"/>
      </w:pPr>
    </w:lvl>
    <w:lvl w:ilvl="5">
      <w:numFmt w:val="bullet"/>
      <w:lvlText w:val="•"/>
      <w:lvlJc w:val="left"/>
      <w:pPr>
        <w:ind w:left="1120" w:hanging="720"/>
      </w:pPr>
    </w:lvl>
    <w:lvl w:ilvl="6">
      <w:numFmt w:val="bullet"/>
      <w:lvlText w:val="•"/>
      <w:lvlJc w:val="left"/>
      <w:pPr>
        <w:ind w:left="1280" w:hanging="720"/>
      </w:pPr>
    </w:lvl>
    <w:lvl w:ilvl="7">
      <w:numFmt w:val="bullet"/>
      <w:lvlText w:val="•"/>
      <w:lvlJc w:val="left"/>
      <w:pPr>
        <w:ind w:left="3340" w:hanging="720"/>
      </w:pPr>
    </w:lvl>
    <w:lvl w:ilvl="8">
      <w:numFmt w:val="bullet"/>
      <w:lvlText w:val="•"/>
      <w:lvlJc w:val="left"/>
      <w:pPr>
        <w:ind w:left="5400" w:hanging="720"/>
      </w:pPr>
    </w:lvl>
  </w:abstractNum>
  <w:num w:numId="1" w16cid:durableId="1105729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D22"/>
    <w:rsid w:val="00056BC4"/>
    <w:rsid w:val="00064D32"/>
    <w:rsid w:val="000679CB"/>
    <w:rsid w:val="00094560"/>
    <w:rsid w:val="000A507D"/>
    <w:rsid w:val="000A5F78"/>
    <w:rsid w:val="000D6308"/>
    <w:rsid w:val="0011259E"/>
    <w:rsid w:val="001246A4"/>
    <w:rsid w:val="001B7117"/>
    <w:rsid w:val="001C0369"/>
    <w:rsid w:val="001D5558"/>
    <w:rsid w:val="001E1521"/>
    <w:rsid w:val="0023080A"/>
    <w:rsid w:val="0028698D"/>
    <w:rsid w:val="002D68B9"/>
    <w:rsid w:val="002D69E0"/>
    <w:rsid w:val="003E3343"/>
    <w:rsid w:val="003F003B"/>
    <w:rsid w:val="00405853"/>
    <w:rsid w:val="0041451B"/>
    <w:rsid w:val="00422F36"/>
    <w:rsid w:val="004A7D22"/>
    <w:rsid w:val="00517DC7"/>
    <w:rsid w:val="00533379"/>
    <w:rsid w:val="005463F5"/>
    <w:rsid w:val="00556B93"/>
    <w:rsid w:val="0056198C"/>
    <w:rsid w:val="005917A6"/>
    <w:rsid w:val="00623DD1"/>
    <w:rsid w:val="00642FB7"/>
    <w:rsid w:val="006A18B1"/>
    <w:rsid w:val="006C02AB"/>
    <w:rsid w:val="0072707D"/>
    <w:rsid w:val="00773084"/>
    <w:rsid w:val="007A5484"/>
    <w:rsid w:val="007C77BF"/>
    <w:rsid w:val="007D76A6"/>
    <w:rsid w:val="008151AE"/>
    <w:rsid w:val="008219DF"/>
    <w:rsid w:val="008240FC"/>
    <w:rsid w:val="00857F07"/>
    <w:rsid w:val="00861360"/>
    <w:rsid w:val="00873813"/>
    <w:rsid w:val="00875BE4"/>
    <w:rsid w:val="008916CD"/>
    <w:rsid w:val="00920784"/>
    <w:rsid w:val="009335BF"/>
    <w:rsid w:val="00981184"/>
    <w:rsid w:val="00A27785"/>
    <w:rsid w:val="00A56875"/>
    <w:rsid w:val="00AF6EC6"/>
    <w:rsid w:val="00B14CD4"/>
    <w:rsid w:val="00B7467D"/>
    <w:rsid w:val="00BE1C00"/>
    <w:rsid w:val="00C24904"/>
    <w:rsid w:val="00C26D2A"/>
    <w:rsid w:val="00CD0798"/>
    <w:rsid w:val="00CE2389"/>
    <w:rsid w:val="00E1163E"/>
    <w:rsid w:val="00E11C45"/>
    <w:rsid w:val="00EA5CDC"/>
    <w:rsid w:val="00EC10D2"/>
    <w:rsid w:val="00EC665D"/>
    <w:rsid w:val="00ED0955"/>
    <w:rsid w:val="00FA5957"/>
    <w:rsid w:val="00FC604F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0B367"/>
  <w15:docId w15:val="{0F0C1C67-0AF0-4C67-9A88-86F14A10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0" w:hanging="36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16CD"/>
  </w:style>
  <w:style w:type="paragraph" w:styleId="Rodap">
    <w:name w:val="footer"/>
    <w:basedOn w:val="Normal"/>
    <w:link w:val="Rodap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16CD"/>
  </w:style>
  <w:style w:type="table" w:styleId="Tabelacomgrade">
    <w:name w:val="Table Grid"/>
    <w:basedOn w:val="Tabelanormal"/>
    <w:uiPriority w:val="39"/>
    <w:rsid w:val="00A56875"/>
    <w:pPr>
      <w:widowControl/>
    </w:pPr>
    <w:rPr>
      <w:rFonts w:asciiTheme="minorHAnsi" w:eastAsiaTheme="minorHAnsi" w:hAnsiTheme="minorHAnsi" w:cstheme="minorBidi"/>
      <w:kern w:val="2"/>
      <w:lang w:val="pt-B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legislacao.planalto.gov.br/legisla/legislacao.nsf/Viw_Identificacao/lei%2010.520-2002?OpenDocu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2467</Words>
  <Characters>13327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2024-03-06T14:47:00Z</dcterms:created>
  <dcterms:modified xsi:type="dcterms:W3CDTF">2024-04-05T11:27:00Z</dcterms:modified>
</cp:coreProperties>
</file>