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4FFAB" w14:textId="77777777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7830A489" w14:textId="77777777" w:rsidR="00EC665D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b/>
          <w:color w:val="000000"/>
        </w:rPr>
      </w:pPr>
    </w:p>
    <w:p w14:paraId="0F7B2BA5" w14:textId="29A302B4" w:rsidR="00EC665D" w:rsidRPr="001B1BE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</w:pPr>
      <w:r>
        <w:object w:dxaOrig="8235" w:dyaOrig="2025" w14:anchorId="3EC7A7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3pt;height:101.2pt" o:ole="">
            <v:imagedata r:id="rId7" o:title=""/>
          </v:shape>
          <o:OLEObject Type="Embed" ProgID="PBrush" ShapeID="_x0000_i1025" DrawAspect="Content" ObjectID="_1783837056" r:id="rId8"/>
        </w:object>
      </w:r>
    </w:p>
    <w:p w14:paraId="3E211219" w14:textId="11C75C19" w:rsidR="004A7D22" w:rsidRPr="000A5F78" w:rsidRDefault="005F6188">
      <w:pPr>
        <w:tabs>
          <w:tab w:val="left" w:pos="709"/>
        </w:tabs>
        <w:spacing w:line="288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bookmarkStart w:id="0" w:name="_Hlk158268820"/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SEÇÃO DE LICITAÇÕES E CONTRATOS </w:t>
      </w:r>
    </w:p>
    <w:p w14:paraId="15C00DCB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271"/>
        <w:rPr>
          <w:rFonts w:ascii="Arial" w:eastAsia="Arial" w:hAnsi="Arial" w:cs="Arial"/>
          <w:b/>
          <w:color w:val="000000"/>
          <w:sz w:val="26"/>
          <w:szCs w:val="26"/>
          <w:lang w:val="pt-BR"/>
        </w:rPr>
      </w:pPr>
    </w:p>
    <w:p w14:paraId="03DDEDE1" w14:textId="0235697A" w:rsidR="004A7D22" w:rsidRPr="000A5F78" w:rsidRDefault="005F6188">
      <w:pPr>
        <w:tabs>
          <w:tab w:val="left" w:pos="709"/>
        </w:tabs>
        <w:spacing w:before="164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COTAÇÃO ELETRÔNICA Nº </w:t>
      </w:r>
      <w:r w:rsidR="00342548">
        <w:rPr>
          <w:rFonts w:ascii="Arial" w:eastAsia="Arial" w:hAnsi="Arial" w:cs="Arial"/>
          <w:b/>
          <w:sz w:val="24"/>
          <w:szCs w:val="24"/>
          <w:lang w:val="pt-BR"/>
        </w:rPr>
        <w:t>85</w:t>
      </w:r>
      <w:r w:rsidR="007A5484" w:rsidRPr="000D0A60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73FB8F00" w14:textId="3767AA0A" w:rsidR="004A7D22" w:rsidRPr="000A5F78" w:rsidRDefault="005F6188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Processo </w:t>
      </w:r>
      <w:r w:rsidR="00EC665D" w:rsidRPr="000A5F78">
        <w:rPr>
          <w:rFonts w:ascii="Arial" w:eastAsia="Arial" w:hAnsi="Arial" w:cs="Arial"/>
          <w:b/>
          <w:sz w:val="24"/>
          <w:szCs w:val="24"/>
          <w:lang w:val="pt-BR"/>
        </w:rPr>
        <w:t>Administrativ</w:t>
      </w:r>
      <w:r w:rsidR="000D0A60">
        <w:rPr>
          <w:rFonts w:ascii="Arial" w:eastAsia="Arial" w:hAnsi="Arial" w:cs="Arial"/>
          <w:b/>
          <w:sz w:val="24"/>
          <w:szCs w:val="24"/>
          <w:lang w:val="pt-BR"/>
        </w:rPr>
        <w:t>o</w:t>
      </w: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8916CD" w:rsidRPr="000A5F78">
        <w:rPr>
          <w:rFonts w:ascii="Arial" w:eastAsia="Arial" w:hAnsi="Arial" w:cs="Arial"/>
          <w:b/>
          <w:sz w:val="24"/>
          <w:szCs w:val="24"/>
          <w:lang w:val="pt-BR"/>
        </w:rPr>
        <w:t>n. º</w:t>
      </w: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342548">
        <w:rPr>
          <w:rFonts w:ascii="Arial" w:eastAsia="Arial" w:hAnsi="Arial" w:cs="Arial"/>
          <w:b/>
          <w:sz w:val="24"/>
          <w:szCs w:val="24"/>
          <w:lang w:val="pt-BR"/>
        </w:rPr>
        <w:t>85</w:t>
      </w:r>
      <w:r w:rsidR="007A5484" w:rsidRPr="000D0A60">
        <w:rPr>
          <w:rFonts w:ascii="Arial" w:eastAsia="Arial" w:hAnsi="Arial" w:cs="Arial"/>
          <w:b/>
          <w:sz w:val="24"/>
          <w:szCs w:val="24"/>
          <w:lang w:val="pt-BR"/>
        </w:rPr>
        <w:t>/2024</w:t>
      </w:r>
    </w:p>
    <w:p w14:paraId="14A9F108" w14:textId="77777777" w:rsidR="004A7D22" w:rsidRPr="000A5F78" w:rsidRDefault="005F6188">
      <w:pPr>
        <w:tabs>
          <w:tab w:val="left" w:pos="709"/>
        </w:tabs>
        <w:spacing w:before="54" w:line="573" w:lineRule="auto"/>
        <w:ind w:right="-271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0A5F78">
        <w:rPr>
          <w:rFonts w:ascii="Arial" w:eastAsia="Arial" w:hAnsi="Arial" w:cs="Arial"/>
          <w:b/>
          <w:sz w:val="24"/>
          <w:szCs w:val="24"/>
          <w:lang w:val="pt-BR"/>
        </w:rPr>
        <w:t xml:space="preserve"> TERMO DE REFERÊNCIA</w:t>
      </w:r>
    </w:p>
    <w:p w14:paraId="56908776" w14:textId="77777777" w:rsidR="004A7D22" w:rsidRDefault="005F618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90"/>
          <w:tab w:val="left" w:pos="709"/>
        </w:tabs>
        <w:spacing w:before="151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DO OBJETO</w:t>
      </w:r>
    </w:p>
    <w:p w14:paraId="01A9A59E" w14:textId="77777777" w:rsidR="004A7D22" w:rsidRPr="002801C5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74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Aquisição dos itens relacionados de acordo com tabela abaixo</w:t>
      </w:r>
      <w:r w:rsidRPr="000A5F78">
        <w:rPr>
          <w:rFonts w:ascii="Arial" w:eastAsia="Arial" w:hAnsi="Arial" w:cs="Arial"/>
          <w:b/>
          <w:color w:val="000000"/>
          <w:sz w:val="24"/>
          <w:szCs w:val="24"/>
          <w:lang w:val="pt-BR"/>
        </w:rPr>
        <w:t xml:space="preserve">,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conforme condições, quantidades e exigências estabelecidas neste instrumento:</w:t>
      </w:r>
    </w:p>
    <w:tbl>
      <w:tblPr>
        <w:tblStyle w:val="Tabelacomgrade1"/>
        <w:tblW w:w="8075" w:type="dxa"/>
        <w:tblInd w:w="0" w:type="dxa"/>
        <w:tblLook w:val="04A0" w:firstRow="1" w:lastRow="0" w:firstColumn="1" w:lastColumn="0" w:noHBand="0" w:noVBand="1"/>
      </w:tblPr>
      <w:tblGrid>
        <w:gridCol w:w="988"/>
        <w:gridCol w:w="1417"/>
        <w:gridCol w:w="3977"/>
        <w:gridCol w:w="1693"/>
      </w:tblGrid>
      <w:tr w:rsidR="001F44CF" w:rsidRPr="001F44CF" w14:paraId="202067D2" w14:textId="77777777" w:rsidTr="001F44CF">
        <w:trPr>
          <w:trHeight w:val="42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C37F8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ascii="Arial" w:eastAsia="Arial" w:hAnsi="Arial" w:cs="Arial"/>
                <w:color w:val="000000"/>
                <w:sz w:val="31"/>
                <w:szCs w:val="31"/>
                <w:lang w:val="pt-BR"/>
              </w:rPr>
            </w:pPr>
            <w:r w:rsidRPr="001F44CF">
              <w:rPr>
                <w:b/>
                <w:bCs/>
                <w:lang w:val="pt-BR"/>
              </w:rPr>
              <w:t>ITEM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C0860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ascii="Arial" w:hAnsi="Arial" w:cs="Arial"/>
                <w:color w:val="000000"/>
                <w:sz w:val="31"/>
                <w:szCs w:val="31"/>
                <w:lang w:val="pt-BR"/>
              </w:rPr>
            </w:pPr>
            <w:r w:rsidRPr="001F44CF">
              <w:rPr>
                <w:b/>
                <w:bCs/>
                <w:lang w:val="pt-BR"/>
              </w:rPr>
              <w:t>UNIDADE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A1834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ascii="Arial" w:hAnsi="Arial" w:cs="Arial"/>
                <w:color w:val="000000"/>
                <w:sz w:val="31"/>
                <w:szCs w:val="31"/>
                <w:lang w:val="pt-BR"/>
              </w:rPr>
            </w:pPr>
            <w:r w:rsidRPr="001F44CF">
              <w:rPr>
                <w:b/>
                <w:bCs/>
                <w:lang w:val="pt-BR"/>
              </w:rPr>
              <w:t>DESCRIÇÃO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F47C0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ascii="Arial" w:hAnsi="Arial" w:cs="Arial"/>
                <w:color w:val="000000"/>
                <w:sz w:val="31"/>
                <w:szCs w:val="31"/>
                <w:lang w:val="pt-BR"/>
              </w:rPr>
            </w:pPr>
            <w:r w:rsidRPr="001F44CF">
              <w:rPr>
                <w:b/>
                <w:bCs/>
                <w:lang w:val="pt-BR"/>
              </w:rPr>
              <w:t>QUANTIDADE</w:t>
            </w:r>
          </w:p>
        </w:tc>
      </w:tr>
      <w:tr w:rsidR="001F44CF" w:rsidRPr="001F44CF" w14:paraId="3C7FDB43" w14:textId="77777777" w:rsidTr="001F44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B9951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cs="Calibri"/>
                <w:color w:val="000000"/>
                <w:lang w:val="pt-BR"/>
              </w:rPr>
            </w:pPr>
            <w:r w:rsidRPr="001F44CF">
              <w:rPr>
                <w:rFonts w:cs="Calibri"/>
                <w:lang w:val="pt-BR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56A7B" w14:textId="77777777" w:rsidR="001F44CF" w:rsidRPr="001F44CF" w:rsidRDefault="001F44CF" w:rsidP="001F44CF">
            <w:pPr>
              <w:tabs>
                <w:tab w:val="left" w:pos="709"/>
              </w:tabs>
              <w:spacing w:before="4"/>
              <w:rPr>
                <w:rFonts w:cs="Calibri"/>
                <w:color w:val="000000"/>
                <w:lang w:val="pt-BR"/>
              </w:rPr>
            </w:pPr>
            <w:r w:rsidRPr="001F44CF">
              <w:rPr>
                <w:rFonts w:cs="Calibri"/>
                <w:lang w:val="pt-BR"/>
              </w:rPr>
              <w:t>UNID.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2B10C" w14:textId="0704944A" w:rsidR="001F44CF" w:rsidRPr="001B1BE8" w:rsidRDefault="001B1BE8" w:rsidP="005C5D48">
            <w:pPr>
              <w:spacing w:after="160" w:line="259" w:lineRule="auto"/>
              <w:jc w:val="both"/>
              <w:rPr>
                <w:rFonts w:eastAsia="Calibri" w:cs="Arial"/>
                <w:lang w:val="pt-BR"/>
              </w:rPr>
            </w:pPr>
            <w:r w:rsidRPr="001B1BE8">
              <w:rPr>
                <w:rFonts w:eastAsia="Calibri" w:cs="Arial"/>
                <w:lang w:val="pt-BR"/>
              </w:rPr>
              <w:t xml:space="preserve">Conserto de 20 canais com troca de SMD (mesa de som </w:t>
            </w:r>
            <w:proofErr w:type="spellStart"/>
            <w:r w:rsidRPr="001B1BE8">
              <w:rPr>
                <w:rFonts w:eastAsia="Calibri" w:cs="Arial"/>
                <w:lang w:val="pt-BR"/>
              </w:rPr>
              <w:t>Mackie</w:t>
            </w:r>
            <w:proofErr w:type="spellEnd"/>
            <w:r w:rsidRPr="001B1BE8">
              <w:rPr>
                <w:rFonts w:eastAsia="Calibri" w:cs="Arial"/>
                <w:lang w:val="pt-BR"/>
              </w:rPr>
              <w:t xml:space="preserve"> com 24 canais).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EF453" w14:textId="08227A13" w:rsidR="001F44CF" w:rsidRPr="001F44CF" w:rsidRDefault="001B1BE8" w:rsidP="001F44CF">
            <w:pPr>
              <w:tabs>
                <w:tab w:val="left" w:pos="709"/>
              </w:tabs>
              <w:spacing w:before="4"/>
              <w:jc w:val="center"/>
              <w:rPr>
                <w:rFonts w:eastAsia="Arial" w:cs="Calibri"/>
                <w:color w:val="000000"/>
                <w:lang w:val="pt-BR"/>
              </w:rPr>
            </w:pPr>
            <w:r>
              <w:rPr>
                <w:rFonts w:eastAsia="Arial" w:cs="Calibri"/>
                <w:color w:val="000000"/>
                <w:lang w:val="pt-BR"/>
              </w:rPr>
              <w:t>01</w:t>
            </w:r>
          </w:p>
        </w:tc>
      </w:tr>
      <w:tr w:rsidR="00DC4460" w:rsidRPr="001F44CF" w14:paraId="63F5397B" w14:textId="77777777" w:rsidTr="001F44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EE70" w14:textId="7D459DAE" w:rsidR="00DC4460" w:rsidRPr="001F44CF" w:rsidRDefault="00DC4460" w:rsidP="001F44CF">
            <w:pPr>
              <w:tabs>
                <w:tab w:val="left" w:pos="709"/>
              </w:tabs>
              <w:spacing w:before="4"/>
              <w:rPr>
                <w:rFonts w:cs="Calibri"/>
                <w:lang w:val="pt-BR"/>
              </w:rPr>
            </w:pPr>
            <w:r>
              <w:rPr>
                <w:rFonts w:cs="Calibri"/>
                <w:lang w:val="pt-BR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F934" w14:textId="00105A3A" w:rsidR="00DC4460" w:rsidRPr="001F44CF" w:rsidRDefault="00DC4460" w:rsidP="001F44CF">
            <w:pPr>
              <w:tabs>
                <w:tab w:val="left" w:pos="709"/>
              </w:tabs>
              <w:spacing w:before="4"/>
              <w:rPr>
                <w:rFonts w:cs="Calibri"/>
                <w:lang w:val="pt-BR"/>
              </w:rPr>
            </w:pPr>
            <w:r>
              <w:rPr>
                <w:rFonts w:cs="Calibri"/>
                <w:lang w:val="pt-BR"/>
              </w:rPr>
              <w:t>UNID.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3AC6" w14:textId="23BA7979" w:rsidR="00DC4460" w:rsidRPr="001B1BE8" w:rsidRDefault="001B1BE8" w:rsidP="005C5D48">
            <w:pPr>
              <w:spacing w:after="160" w:line="259" w:lineRule="auto"/>
              <w:jc w:val="both"/>
              <w:rPr>
                <w:rFonts w:eastAsia="Calibri" w:cs="Arial"/>
                <w:lang w:val="pt-BR"/>
              </w:rPr>
            </w:pPr>
            <w:r w:rsidRPr="001B1BE8">
              <w:rPr>
                <w:rFonts w:eastAsia="Calibri" w:cs="Arial"/>
                <w:lang w:val="pt-BR"/>
              </w:rPr>
              <w:t xml:space="preserve">Conserto de 04 </w:t>
            </w:r>
            <w:proofErr w:type="spellStart"/>
            <w:r w:rsidRPr="001B1BE8">
              <w:rPr>
                <w:rFonts w:eastAsia="Calibri" w:cs="Arial"/>
                <w:lang w:val="pt-BR"/>
              </w:rPr>
              <w:t>submaster</w:t>
            </w:r>
            <w:proofErr w:type="spellEnd"/>
            <w:r w:rsidRPr="001B1BE8">
              <w:rPr>
                <w:rFonts w:eastAsia="Calibri" w:cs="Arial"/>
                <w:lang w:val="pt-BR"/>
              </w:rPr>
              <w:t xml:space="preserve"> (mesa de som </w:t>
            </w:r>
            <w:proofErr w:type="spellStart"/>
            <w:r w:rsidRPr="001B1BE8">
              <w:rPr>
                <w:rFonts w:eastAsia="Calibri" w:cs="Arial"/>
                <w:lang w:val="pt-BR"/>
              </w:rPr>
              <w:t>Mackie</w:t>
            </w:r>
            <w:proofErr w:type="spellEnd"/>
            <w:r w:rsidRPr="001B1BE8">
              <w:rPr>
                <w:rFonts w:eastAsia="Calibri" w:cs="Arial"/>
                <w:lang w:val="pt-BR"/>
              </w:rPr>
              <w:t xml:space="preserve"> com 24 canais).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79392" w14:textId="76AE281F" w:rsidR="00DC4460" w:rsidRPr="001F44CF" w:rsidRDefault="001B1BE8" w:rsidP="001F44CF">
            <w:pPr>
              <w:tabs>
                <w:tab w:val="left" w:pos="709"/>
              </w:tabs>
              <w:spacing w:before="4"/>
              <w:jc w:val="center"/>
              <w:rPr>
                <w:rFonts w:cs="Calibri"/>
                <w:color w:val="000000"/>
                <w:lang w:val="pt-BR"/>
              </w:rPr>
            </w:pPr>
            <w:r>
              <w:rPr>
                <w:rFonts w:cs="Calibri"/>
                <w:color w:val="000000"/>
                <w:lang w:val="pt-BR"/>
              </w:rPr>
              <w:t>01</w:t>
            </w:r>
          </w:p>
        </w:tc>
      </w:tr>
      <w:tr w:rsidR="00DC4460" w:rsidRPr="001F44CF" w14:paraId="1ECFF12B" w14:textId="77777777" w:rsidTr="001F44C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E1D6" w14:textId="27A3AC6A" w:rsidR="00DC4460" w:rsidRPr="001F44CF" w:rsidRDefault="00DC4460" w:rsidP="001F44CF">
            <w:pPr>
              <w:tabs>
                <w:tab w:val="left" w:pos="709"/>
              </w:tabs>
              <w:spacing w:before="4"/>
              <w:rPr>
                <w:rFonts w:cs="Calibri"/>
                <w:lang w:val="pt-BR"/>
              </w:rPr>
            </w:pPr>
            <w:r>
              <w:rPr>
                <w:rFonts w:cs="Calibri"/>
                <w:lang w:val="pt-BR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97DF" w14:textId="7E8BE116" w:rsidR="00DC4460" w:rsidRPr="001F44CF" w:rsidRDefault="00DC4460" w:rsidP="001F44CF">
            <w:pPr>
              <w:tabs>
                <w:tab w:val="left" w:pos="709"/>
              </w:tabs>
              <w:spacing w:before="4"/>
              <w:rPr>
                <w:rFonts w:cs="Calibri"/>
                <w:lang w:val="pt-BR"/>
              </w:rPr>
            </w:pPr>
            <w:r>
              <w:rPr>
                <w:rFonts w:cs="Calibri"/>
                <w:lang w:val="pt-BR"/>
              </w:rPr>
              <w:t>UNID.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2AA5" w14:textId="72975979" w:rsidR="00DC4460" w:rsidRPr="001B1BE8" w:rsidRDefault="001B1BE8" w:rsidP="00182066">
            <w:pPr>
              <w:spacing w:after="160" w:line="259" w:lineRule="auto"/>
              <w:jc w:val="both"/>
              <w:rPr>
                <w:rFonts w:eastAsia="Calibri" w:cs="Arial"/>
                <w:lang w:val="pt-BR"/>
              </w:rPr>
            </w:pPr>
            <w:r w:rsidRPr="001B1BE8">
              <w:rPr>
                <w:rFonts w:eastAsia="Calibri" w:cs="Arial"/>
                <w:lang w:val="pt-BR"/>
              </w:rPr>
              <w:t xml:space="preserve">Conserto do máster L+R (mesa de som </w:t>
            </w:r>
            <w:proofErr w:type="spellStart"/>
            <w:r w:rsidRPr="001B1BE8">
              <w:rPr>
                <w:rFonts w:eastAsia="Calibri" w:cs="Arial"/>
                <w:lang w:val="pt-BR"/>
              </w:rPr>
              <w:t>Mackie</w:t>
            </w:r>
            <w:proofErr w:type="spellEnd"/>
            <w:r w:rsidRPr="001B1BE8">
              <w:rPr>
                <w:rFonts w:eastAsia="Calibri" w:cs="Arial"/>
                <w:lang w:val="pt-BR"/>
              </w:rPr>
              <w:t xml:space="preserve"> com 24 canais).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AD52" w14:textId="55C9433A" w:rsidR="00DC4460" w:rsidRPr="001F44CF" w:rsidRDefault="005C5D48" w:rsidP="001F44CF">
            <w:pPr>
              <w:tabs>
                <w:tab w:val="left" w:pos="709"/>
              </w:tabs>
              <w:spacing w:before="4"/>
              <w:jc w:val="center"/>
              <w:rPr>
                <w:rFonts w:cs="Calibri"/>
                <w:color w:val="000000"/>
                <w:lang w:val="pt-BR"/>
              </w:rPr>
            </w:pPr>
            <w:r>
              <w:rPr>
                <w:rFonts w:cs="Calibri"/>
                <w:color w:val="000000"/>
                <w:lang w:val="pt-BR"/>
              </w:rPr>
              <w:t>0</w:t>
            </w:r>
            <w:r w:rsidR="00182066">
              <w:rPr>
                <w:rFonts w:cs="Calibri"/>
                <w:color w:val="000000"/>
                <w:lang w:val="pt-BR"/>
              </w:rPr>
              <w:t>1</w:t>
            </w:r>
          </w:p>
        </w:tc>
      </w:tr>
    </w:tbl>
    <w:p w14:paraId="49186B57" w14:textId="77777777" w:rsidR="002801C5" w:rsidRDefault="002801C5" w:rsidP="002801C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74"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267BD9E5" w14:textId="680EC0EA" w:rsidR="004A7D22" w:rsidRDefault="005F6188" w:rsidP="00CE3ADA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"/>
      </w:pPr>
      <w:r>
        <w:rPr>
          <w:rFonts w:ascii="Arial" w:eastAsia="Arial" w:hAnsi="Arial" w:cs="Arial"/>
        </w:rPr>
        <w:t>JUSTIFICATIVA E OBJETIVO DA CONTRATAÇÃO</w:t>
      </w:r>
    </w:p>
    <w:p w14:paraId="10FC8AAE" w14:textId="455F947C" w:rsidR="005C5D48" w:rsidRPr="00182066" w:rsidRDefault="005F6188" w:rsidP="005C5D4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4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Justificativa e objetivo da aquisição tem por finalidade atender a demanda do setor requisitante, conforme descrição detalhada, visando manter o pleno funcionamento das atividades administrativas, dando suporte às tarefas e ações operacionais, nas atividades desenvolvidas pelo setor.</w:t>
      </w:r>
    </w:p>
    <w:p w14:paraId="05ED026A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t>CLASSIFICAÇÃO DOS BENS COMUNS</w:t>
      </w:r>
    </w:p>
    <w:p w14:paraId="7082554D" w14:textId="35D6909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Consideram-se bens e serviços comuns, para os fin</w:t>
      </w:r>
      <w:r w:rsidR="0089722C">
        <w:rPr>
          <w:rFonts w:ascii="Arial" w:eastAsia="Arial" w:hAnsi="Arial" w:cs="Arial"/>
          <w:color w:val="000000"/>
          <w:sz w:val="24"/>
          <w:szCs w:val="24"/>
          <w:lang w:val="pt-BR"/>
        </w:rPr>
        <w:t>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aqueles cujos padrões de desempenho e qualidade possam ser objetivamente definidos no Termo de Referência, por meio de especificações usuais no mercado.</w:t>
      </w:r>
    </w:p>
    <w:p w14:paraId="530F5F09" w14:textId="77777777" w:rsidR="004A7D22" w:rsidRPr="000A5F78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84"/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ENTREGA E CRITÉRIOS DE ACEITAÇÃO DO OBJETO.</w:t>
      </w:r>
    </w:p>
    <w:p w14:paraId="0FBDC40C" w14:textId="2824D3B2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 xml:space="preserve">O prazo de entrega dos bens é de 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A507D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contados do(a) recebimento da nota de empenho, em remessa única a ser definida pelo contratante, no seguinte endereço: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Rua Doutor Monteiro,185, centro Arroio Grande RS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, dentro do horário de expediente, de segunda-feira a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sexta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-feira, das </w:t>
      </w:r>
      <w:r w:rsidR="00FA5957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7hs às 13hs.</w:t>
      </w:r>
    </w:p>
    <w:p w14:paraId="7E16C9C9" w14:textId="6A0D1B56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3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poderão ser rejeitados, no todo ou em parte, quando em desacordo com as especificações constantes neste Termo de Referência e na proposta, devendo ser substituídos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 (cinco)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dias, a contar da notificação da contratada, às suas custas, sem prejuízo da aplicação das penalidades.</w:t>
      </w:r>
    </w:p>
    <w:p w14:paraId="4B482485" w14:textId="140D9D8C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Os bens serão recebidos definitivamente no prazo de 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03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2D69E0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três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dias corridos ou de acordo com a necessidade do contratante, contados do recebimento provisório, após a verificação da qualidade e quantidade do material e consequente aceitação mediante termo circunstanciado.</w:t>
      </w:r>
    </w:p>
    <w:p w14:paraId="29ADEFF0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2D55236B" w14:textId="343439C5" w:rsidR="004A7D22" w:rsidRPr="00182066" w:rsidRDefault="005F6188" w:rsidP="0018206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recebimento provisório ou definitivo do objeto não exclui a responsabilidade da contratada pelos prejuízos resultantes da incorreta execução do serviço.</w:t>
      </w:r>
    </w:p>
    <w:p w14:paraId="363C7DEA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OBRIGAÇÕES DA CONTRATANTE</w:t>
      </w:r>
    </w:p>
    <w:p w14:paraId="49B73CC5" w14:textId="77777777" w:rsidR="004A7D22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/>
        <w:ind w:left="0" w:firstLine="0"/>
        <w:jc w:val="both"/>
        <w:rPr>
          <w:color w:val="000000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São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obrigações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Contratante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:</w:t>
      </w:r>
    </w:p>
    <w:p w14:paraId="15A32557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receber o objeto no prazo e condições estabelecidas no Termo de Referência e seus anexos;</w:t>
      </w:r>
    </w:p>
    <w:p w14:paraId="2EDC30EE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verificar minuciosamente, no prazo fixado, a conformidade dos bens recebidos provisoriamente com as especificações constantes do Termo de Referência e da proposta, para fins de aceitação e recebimento definitivo;</w:t>
      </w:r>
    </w:p>
    <w:p w14:paraId="504DE863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1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comunicar à Contratada, por escrito, sobre imperfeições, falhas ou irregularidades verificadas no objeto fornecido, para que seja substituído, reparado ou corrigido;</w:t>
      </w:r>
    </w:p>
    <w:p w14:paraId="57D8F435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acompanhar e fiscalizar o cumprimento das obrigações da Contratada, através de comissão/servidor especialmente designado;</w:t>
      </w:r>
    </w:p>
    <w:p w14:paraId="391D71B7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efetuar o pagamento à Contratada no valor correspondente ao fornecimento do objeto, no prazo e forma estabelecidos no Termo de Referência e seus anexos;</w:t>
      </w:r>
    </w:p>
    <w:p w14:paraId="577DF8E4" w14:textId="07B7DD96" w:rsidR="004A7D22" w:rsidRPr="00182066" w:rsidRDefault="005F6188" w:rsidP="0018206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6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Administração não responderá por quaisquer compromissos assumidos pela Contratada com terceiros, ainda que vinculados à execução do presente Termo de Referência, bem como por qualquer dano causado a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terceiros em decorrência de ato da Contratada, de seus empregados, prepostos ou subordinados.</w:t>
      </w:r>
    </w:p>
    <w:p w14:paraId="16C21E2B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6"/>
        <w:ind w:left="0" w:firstLine="0"/>
      </w:pPr>
      <w:r>
        <w:rPr>
          <w:rFonts w:ascii="Arial" w:eastAsia="Arial" w:hAnsi="Arial" w:cs="Arial"/>
        </w:rPr>
        <w:t>OBRIGAÇÕES DA CONTRATADA</w:t>
      </w:r>
    </w:p>
    <w:p w14:paraId="300C1B35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Contratada deve cumprir todas as obrigações constantes no Termo de Referência, seus anexos e sua proposta, assumindo como exclusivamente seus os riscos e as despesas decorrentes da boa e perfeita execução do objeto e, ainda:</w:t>
      </w:r>
    </w:p>
    <w:p w14:paraId="5B7C93F3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efetuar a entrega do objeto em perfeitas condições, conforme especificações, prazo e local constantes no Termo de Referência e seus anexos, acompanhado da respectiva nota fiscal, na qual constarão as indicações referentes a: </w:t>
      </w:r>
      <w:r w:rsidRPr="000A5F78">
        <w:rPr>
          <w:rFonts w:ascii="Arial" w:eastAsia="Arial" w:hAnsi="Arial" w:cs="Arial"/>
          <w:i/>
          <w:color w:val="000000"/>
          <w:sz w:val="24"/>
          <w:szCs w:val="24"/>
          <w:lang w:val="pt-BR"/>
        </w:rPr>
        <w:t>marca, fabricante, modelo, procedência e prazo de garantia ou validade;</w:t>
      </w:r>
    </w:p>
    <w:p w14:paraId="5544A6FF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responsabilizar-se pelos vícios e danos decorrentes do objeto, de acordo com os artigos 12, 13 e 17 a 27, do Código de Defesa do Consumidor (Lei nº 8.078, de 1990);</w:t>
      </w:r>
    </w:p>
    <w:p w14:paraId="45C756AF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substituir, reparar ou corrigir, às suas expensas, no prazo fixado neste Termo de Referência, o objeto com avarias ou defeitos;</w:t>
      </w:r>
    </w:p>
    <w:p w14:paraId="0B554D72" w14:textId="263DEE2F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comunicar à Contratante, no prazo máximo de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48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quarenta e oito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) horas que antecede a data da entrega, os motivos que impossibilitem o cumprimento do prazo previsto, com a devida comprovação;</w:t>
      </w:r>
    </w:p>
    <w:p w14:paraId="6288C808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manter, durante toda a execução do serviço, em compatibilidade com as obrigações assumidas, todas as condições de habilitação e qualificação exigidas na licitação;</w:t>
      </w:r>
    </w:p>
    <w:p w14:paraId="1A0407ED" w14:textId="4390E238" w:rsidR="004A7D22" w:rsidRPr="00182066" w:rsidRDefault="005F6188" w:rsidP="00182066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/>
        <w:ind w:left="0" w:firstLine="0"/>
        <w:jc w:val="both"/>
        <w:rPr>
          <w:color w:val="000000"/>
          <w:lang w:val="pt-BR"/>
        </w:rPr>
      </w:pPr>
      <w:proofErr w:type="gramStart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indicar</w:t>
      </w:r>
      <w:proofErr w:type="gramEnd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preposto para representá-la durante a execução do serviço.</w:t>
      </w:r>
    </w:p>
    <w:p w14:paraId="27B0D5AF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46025219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DA SUBCONTRATAÇÃO</w:t>
      </w:r>
    </w:p>
    <w:p w14:paraId="40D0C42D" w14:textId="73C87340" w:rsidR="004A7D22" w:rsidRPr="001B1BE8" w:rsidRDefault="001B1BE8" w:rsidP="001B1BE8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569"/>
        </w:tabs>
        <w:spacing w:before="174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1B1BE8">
        <w:rPr>
          <w:rFonts w:ascii="Arial" w:eastAsia="Arial" w:hAnsi="Arial" w:cs="Arial"/>
          <w:color w:val="000000"/>
          <w:sz w:val="24"/>
          <w:szCs w:val="24"/>
          <w:lang w:val="pt-BR"/>
        </w:rPr>
        <w:t>7.</w:t>
      </w:r>
      <w:r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1. </w:t>
      </w:r>
      <w:r w:rsidR="005F6188" w:rsidRPr="001B1BE8">
        <w:rPr>
          <w:rFonts w:ascii="Arial" w:eastAsia="Arial" w:hAnsi="Arial" w:cs="Arial"/>
          <w:color w:val="000000"/>
          <w:sz w:val="24"/>
          <w:szCs w:val="24"/>
          <w:lang w:val="pt-BR"/>
        </w:rPr>
        <w:t>Não será admitida a subcontratação do objeto licitatório.</w:t>
      </w:r>
    </w:p>
    <w:p w14:paraId="2402D4CE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1BAAB03D" w14:textId="77777777" w:rsidR="004A7D22" w:rsidRPr="000A5F78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  <w:rPr>
          <w:lang w:val="pt-BR"/>
        </w:rPr>
      </w:pPr>
      <w:r w:rsidRPr="000A5F78">
        <w:rPr>
          <w:rFonts w:ascii="Arial" w:eastAsia="Arial" w:hAnsi="Arial" w:cs="Arial"/>
          <w:lang w:val="pt-BR"/>
        </w:rPr>
        <w:t>DO CONTROLE E FISCALIZAÇÃO DA EXECUÇÃO</w:t>
      </w:r>
    </w:p>
    <w:p w14:paraId="7E37DFFC" w14:textId="13C7175D" w:rsidR="004A7D22" w:rsidRPr="000A5F78" w:rsidRDefault="00064D32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designado o Diretor Geral para acompanhar e fiscalizar a entrega dos bens, anotando em registro próprio todas as ocorrências relacionadas com a execução e determinando o que for necessário à regularização de falhas ou defeitos observados.</w:t>
      </w:r>
    </w:p>
    <w:p w14:paraId="4098BFDB" w14:textId="5F21E4ED" w:rsidR="004A7D22" w:rsidRPr="0024540F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64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 fiscalização de que trata este item não exclui nem reduz a responsabilidade da Contratada, inclusive perante terceiros, por qualquer irregularidade, ainda que resultante de imperfeições técnicas ou vícios redibitórios, </w:t>
      </w:r>
      <w:r w:rsidRPr="000A5F78">
        <w:rPr>
          <w:rFonts w:ascii="Arial" w:eastAsia="Arial" w:hAnsi="Arial" w:cs="Arial"/>
          <w:color w:val="000000"/>
          <w:lang w:val="pt-BR"/>
        </w:rPr>
        <w:t>e, na ocorrência desta, não implica em corresponsabilidade da Administração ou de seus agentes e prepostos</w:t>
      </w:r>
      <w:r w:rsidR="00571A5A">
        <w:rPr>
          <w:rFonts w:ascii="Arial" w:eastAsia="Arial" w:hAnsi="Arial" w:cs="Arial"/>
          <w:color w:val="000000"/>
          <w:lang w:val="pt-BR"/>
        </w:rPr>
        <w:t>.</w:t>
      </w:r>
    </w:p>
    <w:p w14:paraId="40792B8E" w14:textId="310DEEAD" w:rsidR="004A7D22" w:rsidRPr="00182066" w:rsidRDefault="005F6188" w:rsidP="00182066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representante da Administração anotará em registro próprio todas as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ocorrências relacionadas com a execução do serviço, indicando dia, mês e ano, bem como o nome dos funcionários eventualmente envolvidos, determinando o que for necessário à regularização das falhas ou defeitos observados e encaminhando os apontamentos à autoridade competente para as providências cabíveis.</w:t>
      </w:r>
    </w:p>
    <w:p w14:paraId="0388B497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5"/>
        <w:ind w:left="0" w:firstLine="0"/>
      </w:pPr>
      <w:r>
        <w:rPr>
          <w:rFonts w:ascii="Arial" w:eastAsia="Arial" w:hAnsi="Arial" w:cs="Arial"/>
        </w:rPr>
        <w:t>DO PAGAMENTO</w:t>
      </w:r>
    </w:p>
    <w:p w14:paraId="2E84BBB4" w14:textId="343E21A9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74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pagamento será realizado no prazo máximo de até 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05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(</w:t>
      </w:r>
      <w:r w:rsidR="00064D32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cinco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) dias, contados a partir do recebimento da Nota Fiscal ou Fatura, através de ordem bancária, para crédito em banco, agência e </w:t>
      </w:r>
      <w:proofErr w:type="spellStart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conta-corrente</w:t>
      </w:r>
      <w:proofErr w:type="spellEnd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indicados pelo contratado.</w:t>
      </w:r>
    </w:p>
    <w:p w14:paraId="3521C0BB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215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Considera-se ocorrido o recebimento da nota fiscal ou fatura no momento em que o órgão contratante atestar a execução do objeto do serviço.</w:t>
      </w:r>
    </w:p>
    <w:p w14:paraId="6AEBA5B1" w14:textId="27DA1860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300"/>
        </w:tabs>
        <w:spacing w:before="118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Nota Fiscal ou Fatura deverá ser obrigatoriamente acompanhada da comprovação da regularidade fiscal, constatada por meio de consulta on-line, mediante consulta aos sítios eletrônicos oficiais</w:t>
      </w:r>
      <w:r w:rsidR="00056BC4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583EDAC5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7E5BAA6E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20"/>
        </w:tabs>
        <w:spacing w:before="112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Será considerada data do pagamento o dia em que constar como emitida a ordem bancária para pagamento.</w:t>
      </w:r>
    </w:p>
    <w:p w14:paraId="1DA62943" w14:textId="027CD613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Antes de cada pagamento à contratada, será realizada consulta a</w:t>
      </w:r>
      <w:r w:rsidR="001E1521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condições de habilitação exigidas no Termo de Referência.</w:t>
      </w:r>
    </w:p>
    <w:p w14:paraId="0A89A704" w14:textId="2EB3FEC1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8" w:line="288" w:lineRule="auto"/>
        <w:ind w:left="0" w:right="214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5DD8F65B" w14:textId="472E48C2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5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Previamente à emissão de nota de empenho e a cada pagamento, a Administração deverá realizar consulta para identificar possível suspensão temporária de </w:t>
      </w:r>
      <w:r w:rsidRPr="000A5F78">
        <w:rPr>
          <w:rFonts w:ascii="Arial" w:eastAsia="Arial" w:hAnsi="Arial" w:cs="Arial"/>
          <w:color w:val="000000"/>
          <w:lang w:val="pt-BR"/>
        </w:rPr>
        <w:t>participação em licitação, no âmbito do órgão ou entidade, proibição de contratar com o Poder Público, bem como ocorrências impeditivas indireta.</w:t>
      </w:r>
    </w:p>
    <w:p w14:paraId="676FD9D9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0"/>
        </w:tabs>
        <w:spacing w:before="117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Não havendo regularização ou sendo a defesa considerada improcedente, a contratante deverá comunicar aos órgãos responsáveis pela fiscalização da regularidade fiscal quanto à inadimplência da contratada, bem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como quanto à existência de pagamento a ser efetuado, para que sejam acionados os meios pertinentes e necessários para garantir o recebimento de seus créditos.</w:t>
      </w:r>
    </w:p>
    <w:p w14:paraId="49053D09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4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Persistindo a irregularidade, a contratante deverá adotar as medidas necessárias à rescisão contratual nos autos do processo administrativo correspondente, assegurada à contratada a ampla defesa.</w:t>
      </w:r>
    </w:p>
    <w:p w14:paraId="69036EFD" w14:textId="70FE1473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Havendo a efetiva execução do objeto, os pagamentos serão realizados normalmente, até que se decida pela não execução do serviço, caso a contratada não regularize sua situação</w:t>
      </w:r>
      <w:r w:rsidR="00873813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</w:p>
    <w:p w14:paraId="43C5CF41" w14:textId="3F99CC51" w:rsidR="004A7D22" w:rsidRPr="000A5F78" w:rsidRDefault="005F6188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17" w:line="288" w:lineRule="auto"/>
        <w:ind w:right="211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="00BC3E7B">
        <w:rPr>
          <w:rFonts w:ascii="Arial" w:eastAsia="Arial" w:hAnsi="Arial" w:cs="Arial"/>
          <w:color w:val="000000"/>
          <w:sz w:val="24"/>
          <w:szCs w:val="24"/>
          <w:lang w:val="pt-BR"/>
        </w:rPr>
        <w:t>9.</w:t>
      </w:r>
      <w:r w:rsidR="00F46C6E">
        <w:rPr>
          <w:rFonts w:ascii="Arial" w:eastAsia="Arial" w:hAnsi="Arial" w:cs="Arial"/>
          <w:color w:val="000000"/>
          <w:sz w:val="24"/>
          <w:szCs w:val="24"/>
          <w:lang w:val="pt-BR"/>
        </w:rPr>
        <w:t>11.1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Será interrompido o serviço em execução com a contratada inadimplente, salvo por motivo de economicidade, segurança nacional ou outro de interesse público de alta relevância, devidamente justificado, em qualquer caso, pela máxima autoridade da contratante.</w:t>
      </w:r>
    </w:p>
    <w:p w14:paraId="16ACC74F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5" w:line="288" w:lineRule="auto"/>
        <w:ind w:left="0" w:right="216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Quando do pagamento, será efetuada a retenção tributária prevista na legislação aplicável.</w:t>
      </w:r>
    </w:p>
    <w:p w14:paraId="08CEA76E" w14:textId="2B147892" w:rsidR="004A7D22" w:rsidRPr="00182066" w:rsidRDefault="005F6188" w:rsidP="00182066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840"/>
        </w:tabs>
        <w:spacing w:before="118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7AF9CDD8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5"/>
        <w:rPr>
          <w:rFonts w:ascii="Arial" w:eastAsia="Arial" w:hAnsi="Arial" w:cs="Arial"/>
          <w:color w:val="000000"/>
          <w:sz w:val="20"/>
          <w:szCs w:val="20"/>
          <w:lang w:val="pt-BR"/>
        </w:rPr>
      </w:pPr>
    </w:p>
    <w:p w14:paraId="5C5AE216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DO REAJUSTE</w:t>
      </w:r>
    </w:p>
    <w:p w14:paraId="0FF71D78" w14:textId="27F6C4F9" w:rsidR="004A7D22" w:rsidRPr="00182066" w:rsidRDefault="005F6188" w:rsidP="0018206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Os preços são fixos e irreajustáveis no prazo de um ano contado da data limite para a apresentação das propostas.</w:t>
      </w:r>
    </w:p>
    <w:p w14:paraId="163231EE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spacing w:before="179"/>
        <w:ind w:left="0" w:firstLine="0"/>
      </w:pPr>
      <w:r>
        <w:rPr>
          <w:rFonts w:ascii="Arial" w:eastAsia="Arial" w:hAnsi="Arial" w:cs="Arial"/>
        </w:rPr>
        <w:t>DAS SANÇÕES ADMINISTRATIVAS</w:t>
      </w:r>
    </w:p>
    <w:p w14:paraId="1EB226D1" w14:textId="004F26D0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before="174" w:line="288" w:lineRule="auto"/>
        <w:ind w:left="0" w:right="21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Comete infração administrativ</w:t>
      </w:r>
      <w:r w:rsidR="001D5632">
        <w:rPr>
          <w:rFonts w:ascii="Arial" w:eastAsia="Arial" w:hAnsi="Arial" w:cs="Arial"/>
          <w:color w:val="000000"/>
          <w:sz w:val="24"/>
          <w:szCs w:val="24"/>
          <w:lang w:val="pt-BR"/>
        </w:rPr>
        <w:t>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a Contratada que:</w:t>
      </w:r>
    </w:p>
    <w:p w14:paraId="3387F1F9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13" w:firstLine="0"/>
        <w:jc w:val="both"/>
        <w:rPr>
          <w:color w:val="000000"/>
          <w:lang w:val="pt-BR"/>
        </w:rPr>
      </w:pPr>
      <w:proofErr w:type="spellStart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inexecutar</w:t>
      </w:r>
      <w:proofErr w:type="spellEnd"/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total ou parcialmente qualquer das obrigações assumidas em decorrência da contratação;</w:t>
      </w:r>
    </w:p>
    <w:p w14:paraId="015AB354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ensejar o retardamento da execução do objeto;</w:t>
      </w:r>
    </w:p>
    <w:p w14:paraId="0F9E5724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falhar ou fraudar na execução do serviço;</w:t>
      </w:r>
    </w:p>
    <w:p w14:paraId="4881A757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comportar-se de modo inidôneo;</w:t>
      </w:r>
    </w:p>
    <w:p w14:paraId="30FDA0D7" w14:textId="77777777" w:rsidR="004A7D22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74"/>
        <w:ind w:left="0" w:firstLine="0"/>
        <w:jc w:val="both"/>
        <w:rPr>
          <w:color w:val="000000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cometer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fraude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fiscal;</w:t>
      </w:r>
    </w:p>
    <w:p w14:paraId="40A98A7A" w14:textId="40EF4665" w:rsidR="004A7D22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3"/>
        <w:rPr>
          <w:rFonts w:ascii="Arial" w:eastAsia="Arial" w:hAnsi="Arial" w:cs="Arial"/>
          <w:color w:val="000000"/>
          <w:sz w:val="28"/>
          <w:szCs w:val="28"/>
        </w:rPr>
      </w:pPr>
    </w:p>
    <w:p w14:paraId="4332328D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69"/>
          <w:tab w:val="left" w:pos="1270"/>
        </w:tabs>
        <w:spacing w:line="288" w:lineRule="auto"/>
        <w:ind w:left="0" w:right="182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Pela inexecução </w:t>
      </w:r>
      <w:r w:rsidRPr="000A5F78">
        <w:rPr>
          <w:rFonts w:ascii="Arial" w:eastAsia="Arial" w:hAnsi="Arial" w:cs="Arial"/>
          <w:color w:val="000000"/>
          <w:sz w:val="24"/>
          <w:szCs w:val="24"/>
          <w:u w:val="single"/>
          <w:lang w:val="pt-BR"/>
        </w:rPr>
        <w:t>total ou parcial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do serviço, a Administração pode aplicar à CONTRATADA as seguintes sanções:</w:t>
      </w:r>
    </w:p>
    <w:p w14:paraId="77CA28F4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2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Advertência, por faltas leves, assim entendidas aquelas que não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acarretem prejuízos significativos para a Contratante;</w:t>
      </w:r>
    </w:p>
    <w:p w14:paraId="219221C3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multa moratória de 1% (um por cento) por dia de atraso injustificado sobre o valor da parcela inadimplida, até o limite de 30 (trinta) dias;</w:t>
      </w:r>
    </w:p>
    <w:p w14:paraId="7E25F8E6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multa compensatória de 10% (dez por cento) sobre o valor total do serviço, no caso de inexecução total do objeto;</w:t>
      </w:r>
    </w:p>
    <w:p w14:paraId="11CA7F33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1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em caso de inexecução parcial, a multa compensatória, no mesmo percentual do subitem acima, será aplicada de forma proporcional à obrigação inadimplida;</w:t>
      </w:r>
    </w:p>
    <w:p w14:paraId="207E93E2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6" w:line="288" w:lineRule="auto"/>
        <w:ind w:left="0" w:right="208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suspensão de licitar e impedimento de contratar com o órgão, entidade ou unidade administrativa pela qual a Administração Pública opera e atua concretamente, pelo prazo de até dois anos;</w:t>
      </w:r>
    </w:p>
    <w:p w14:paraId="32FBFC1A" w14:textId="342C2E23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 w:line="288" w:lineRule="auto"/>
        <w:ind w:left="0" w:right="22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impedimento de licitar e contratar com órgãos e entidades da </w:t>
      </w:r>
      <w:r w:rsidR="007B2DA3">
        <w:rPr>
          <w:rFonts w:ascii="Arial" w:eastAsia="Arial" w:hAnsi="Arial" w:cs="Arial"/>
          <w:color w:val="000000"/>
          <w:sz w:val="24"/>
          <w:szCs w:val="24"/>
          <w:lang w:val="pt-BR"/>
        </w:rPr>
        <w:t>Administração Pública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pelo prazo de até cinco anos;</w:t>
      </w:r>
    </w:p>
    <w:p w14:paraId="0803315D" w14:textId="6E9B6D72" w:rsidR="004A7D22" w:rsidRPr="000A5F78" w:rsidRDefault="005F6188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64" w:line="288" w:lineRule="auto"/>
        <w:ind w:right="18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11.2.6.1. A sanção de impedimento de licitar e contratar prevista neste subitem também é aplicável em quaisquer das hipóteses previstas como infração administrativa</w:t>
      </w:r>
      <w:r w:rsidR="00FC1E7F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7D896DEF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5" w:line="288" w:lineRule="auto"/>
        <w:ind w:left="0" w:right="21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causados;</w:t>
      </w:r>
    </w:p>
    <w:p w14:paraId="151555F2" w14:textId="1083A95D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95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Também ficam sujeitas às penalidades</w:t>
      </w:r>
      <w:r w:rsidR="00CD0798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empresas ou profissionais que:</w:t>
      </w:r>
    </w:p>
    <w:p w14:paraId="6E8EEE7E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8" w:line="288" w:lineRule="auto"/>
        <w:ind w:left="0" w:right="21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sofrido condenação definitiva por praticar, por meio dolosos, fraude fiscal no recolhimento de quaisquer tributos;</w:t>
      </w:r>
    </w:p>
    <w:p w14:paraId="7C603FD8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before="117"/>
        <w:ind w:left="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tenham praticado atos ilícitos visando a frustrar os objetivos da licitação;</w:t>
      </w:r>
    </w:p>
    <w:p w14:paraId="137E4D37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7"/>
        <w:rPr>
          <w:rFonts w:ascii="Arial" w:eastAsia="Arial" w:hAnsi="Arial" w:cs="Arial"/>
          <w:color w:val="000000"/>
          <w:sz w:val="25"/>
          <w:szCs w:val="25"/>
          <w:lang w:val="pt-BR"/>
        </w:rPr>
      </w:pPr>
    </w:p>
    <w:p w14:paraId="6F64E150" w14:textId="77777777" w:rsidR="004A7D22" w:rsidRPr="000A5F78" w:rsidRDefault="005F6188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990"/>
        </w:tabs>
        <w:spacing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demonstrem não possuir idoneidade para contratar com a Administração em virtude de atos ilícitos praticados.</w:t>
      </w:r>
    </w:p>
    <w:p w14:paraId="0C24ABF5" w14:textId="6D12EDC4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7" w:line="288" w:lineRule="auto"/>
        <w:ind w:left="0" w:right="217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aplicação de qualquer das penalidades previstas realizar-se-á em processo administrativo que assegurará o contraditório e a ampla defesa à Contratada, observando-se o procedimento previsto na Lei nº 14133</w:t>
      </w:r>
      <w:r w:rsidR="00231E35">
        <w:rPr>
          <w:rFonts w:ascii="Arial" w:eastAsia="Arial" w:hAnsi="Arial" w:cs="Arial"/>
          <w:color w:val="000000"/>
          <w:sz w:val="24"/>
          <w:szCs w:val="24"/>
          <w:lang w:val="pt-BR"/>
        </w:rPr>
        <w:t>.</w:t>
      </w:r>
    </w:p>
    <w:p w14:paraId="75E58D13" w14:textId="0E6E25FE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6" w:line="288" w:lineRule="auto"/>
        <w:ind w:left="0" w:right="17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As multas devidas e/ou prejuízos causados à Contratante serão deduzidos dos valores a serem pagos, ou recolhidos em favor d</w:t>
      </w:r>
      <w:r w:rsidR="00AF5C84">
        <w:rPr>
          <w:rFonts w:ascii="Arial" w:eastAsia="Arial" w:hAnsi="Arial" w:cs="Arial"/>
          <w:color w:val="000000"/>
          <w:sz w:val="24"/>
          <w:szCs w:val="24"/>
          <w:lang w:val="pt-BR"/>
        </w:rPr>
        <w:t>o Município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, ou deduzidos da garantia, ou ainda, quando for o caso, serão inscritos na Dívida Ativa d</w:t>
      </w:r>
      <w:r w:rsidR="00AF5C84">
        <w:rPr>
          <w:rFonts w:ascii="Arial" w:eastAsia="Arial" w:hAnsi="Arial" w:cs="Arial"/>
          <w:color w:val="000000"/>
          <w:sz w:val="24"/>
          <w:szCs w:val="24"/>
          <w:lang w:val="pt-BR"/>
        </w:rPr>
        <w:t>o Município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e cobrados judicialmente.</w:t>
      </w:r>
    </w:p>
    <w:p w14:paraId="0261FF27" w14:textId="52E52609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0"/>
        </w:tabs>
        <w:spacing w:before="115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Caso o valor da multa não seja suficiente para cobrir os prejuízos causados pela conduta do licitante, a</w:t>
      </w:r>
      <w:r w:rsidR="007370B2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Entidade poderá cobrar o valor </w:t>
      </w: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lastRenderedPageBreak/>
        <w:t>remanescente judicialmente, conforme artigo 419 do Código Civil.</w:t>
      </w:r>
    </w:p>
    <w:p w14:paraId="0486285B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7" w:line="288" w:lineRule="auto"/>
        <w:ind w:left="0" w:right="183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autoridade competente, na aplicação das sanções, levará em consideração a gravidade da conduta do infrator, o caráter educativo da pena, bem como o dano causado à Administração, observado o princípio da proporcionalidade.</w:t>
      </w:r>
    </w:p>
    <w:p w14:paraId="4A9F559A" w14:textId="11BF1EE6" w:rsidR="004A7D22" w:rsidRPr="000D0A60" w:rsidRDefault="005F6188" w:rsidP="000D0A6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64" w:line="288" w:lineRule="auto"/>
        <w:ind w:left="0" w:right="217" w:firstLine="0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>Se, durante o processo de aplicação de penalidade, se houver indícios de prática de infração administrativa tipificada pela Lei nº 12.846, de 1º de agosto de 2013, como ato lesivo à administração pública nacional ou estrangeira, cópias dos processos administrativos necessários à apuração da responsabilidade da empresa deverão ser remetidas à autoridade competente, com despacho fundamentado, para ciência e</w:t>
      </w:r>
      <w:r w:rsidR="000D0A60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 </w:t>
      </w:r>
      <w:r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decisão sobre a eventual instauração de investigação preliminar ou Processo </w:t>
      </w:r>
      <w:r w:rsidR="00EC665D"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>Administrativ</w:t>
      </w:r>
      <w:r w:rsidR="000D0A60">
        <w:rPr>
          <w:rFonts w:ascii="Arial" w:eastAsia="Arial" w:hAnsi="Arial" w:cs="Arial"/>
          <w:color w:val="000000"/>
          <w:sz w:val="24"/>
          <w:szCs w:val="24"/>
          <w:lang w:val="pt-BR"/>
        </w:rPr>
        <w:t xml:space="preserve">o </w:t>
      </w:r>
      <w:r w:rsidRPr="000D0A60">
        <w:rPr>
          <w:rFonts w:ascii="Arial" w:eastAsia="Arial" w:hAnsi="Arial" w:cs="Arial"/>
          <w:color w:val="000000"/>
          <w:sz w:val="24"/>
          <w:szCs w:val="24"/>
          <w:lang w:val="pt-BR"/>
        </w:rPr>
        <w:t>de Responsabilização – PAR.</w:t>
      </w:r>
    </w:p>
    <w:p w14:paraId="5DA3D81D" w14:textId="77777777" w:rsidR="004A7D22" w:rsidRPr="000A5F78" w:rsidRDefault="005F618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851"/>
        </w:tabs>
        <w:spacing w:before="118" w:line="288" w:lineRule="auto"/>
        <w:ind w:left="0" w:right="220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14:paraId="32BDE0D1" w14:textId="46EFAC74" w:rsidR="001B1BE8" w:rsidRDefault="005F6188" w:rsidP="001B1BE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9" w:firstLine="0"/>
        <w:jc w:val="both"/>
        <w:rPr>
          <w:color w:val="000000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processamento do PAR não interfere no seguimento regular dos processos administrativos específicos para apuração da ocorrência de danos e prejuízos à Administração Pública resultantes de ato lesivo cometido por pessoa jurídica, com ou sem a participação de agente públic</w:t>
      </w:r>
      <w:r w:rsidR="008219DF"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o.</w:t>
      </w:r>
    </w:p>
    <w:p w14:paraId="73B7BBA6" w14:textId="77777777" w:rsidR="001B1BE8" w:rsidRPr="001B1BE8" w:rsidRDefault="001B1BE8" w:rsidP="001B1BE8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35"/>
        </w:tabs>
        <w:spacing w:before="116" w:line="288" w:lineRule="auto"/>
        <w:ind w:left="0" w:right="209" w:firstLine="0"/>
        <w:jc w:val="both"/>
        <w:rPr>
          <w:color w:val="000000"/>
          <w:lang w:val="pt-BR"/>
        </w:rPr>
      </w:pPr>
    </w:p>
    <w:p w14:paraId="34E63B1D" w14:textId="77777777" w:rsidR="004A7D22" w:rsidRDefault="005F6188">
      <w:pPr>
        <w:pStyle w:val="Ttulo1"/>
        <w:numPr>
          <w:ilvl w:val="0"/>
          <w:numId w:val="1"/>
        </w:numPr>
        <w:tabs>
          <w:tab w:val="left" w:pos="490"/>
          <w:tab w:val="left" w:pos="709"/>
        </w:tabs>
        <w:ind w:left="0" w:firstLine="0"/>
      </w:pPr>
      <w:r>
        <w:rPr>
          <w:rFonts w:ascii="Arial" w:eastAsia="Arial" w:hAnsi="Arial" w:cs="Arial"/>
        </w:rPr>
        <w:t>DESPACHO DO ORDENADOR DE DESPESAS</w:t>
      </w:r>
    </w:p>
    <w:p w14:paraId="038FE345" w14:textId="1AA794AB" w:rsidR="004A7D22" w:rsidRPr="001B1BE8" w:rsidRDefault="005F6188" w:rsidP="001B1BE8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before="174" w:line="288" w:lineRule="auto"/>
        <w:ind w:right="213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O documento apresentado descreve de maneira adequada o planejamento da contratação, permitindo a avaliação de custos e demandas, e possui anexo os orçamentos e planilhas de preços de mercado, definindo a sistemática de suprimento, critérios de aceitação do objeto, deveres do Licitante e da Administração, procedimentos de fiscalização e gerenciamento, prazos de entrega e a possibilidade de sanções administrativas, de forma clara, concisa e objetiva.</w:t>
      </w:r>
    </w:p>
    <w:p w14:paraId="420E764E" w14:textId="42B2993F" w:rsidR="004A7D22" w:rsidRPr="000A5F78" w:rsidRDefault="005F6188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right="215"/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  <w:r w:rsidRPr="000A5F78">
        <w:rPr>
          <w:rFonts w:ascii="Arial" w:eastAsia="Arial" w:hAnsi="Arial" w:cs="Arial"/>
          <w:color w:val="000000"/>
          <w:sz w:val="24"/>
          <w:szCs w:val="24"/>
          <w:lang w:val="pt-BR"/>
        </w:rPr>
        <w:t>Dessa forma, aprovo o presente Termo de Referência.</w:t>
      </w:r>
    </w:p>
    <w:p w14:paraId="3FDD5691" w14:textId="77777777" w:rsidR="004A7D22" w:rsidRPr="000A5F78" w:rsidRDefault="004A7D2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3E71548C" w14:textId="7452981A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73EB07A" w14:textId="7A96A499" w:rsidR="00EC665D" w:rsidRPr="000A5F78" w:rsidRDefault="00EC665D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  <w:r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Arroio Grande, </w:t>
      </w:r>
      <w:r w:rsidR="00342548">
        <w:rPr>
          <w:rFonts w:ascii="Arial" w:eastAsia="Arial" w:hAnsi="Arial" w:cs="Arial"/>
          <w:color w:val="000000"/>
          <w:sz w:val="26"/>
          <w:szCs w:val="26"/>
          <w:lang w:val="pt-BR"/>
        </w:rPr>
        <w:t>30</w:t>
      </w:r>
      <w:bookmarkStart w:id="1" w:name="_GoBack"/>
      <w:bookmarkEnd w:id="1"/>
      <w:r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</w:t>
      </w:r>
      <w:r w:rsidR="00405853"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</w:t>
      </w:r>
      <w:r w:rsidR="003855BF">
        <w:rPr>
          <w:rFonts w:ascii="Arial" w:eastAsia="Arial" w:hAnsi="Arial" w:cs="Arial"/>
          <w:color w:val="000000"/>
          <w:sz w:val="26"/>
          <w:szCs w:val="26"/>
          <w:lang w:val="pt-BR"/>
        </w:rPr>
        <w:t>jul</w:t>
      </w:r>
      <w:r w:rsidR="001B2AF9">
        <w:rPr>
          <w:rFonts w:ascii="Arial" w:eastAsia="Arial" w:hAnsi="Arial" w:cs="Arial"/>
          <w:color w:val="000000"/>
          <w:sz w:val="26"/>
          <w:szCs w:val="26"/>
          <w:lang w:val="pt-BR"/>
        </w:rPr>
        <w:t>ho</w:t>
      </w:r>
      <w:r w:rsidRPr="000D0A60">
        <w:rPr>
          <w:rFonts w:ascii="Arial" w:eastAsia="Arial" w:hAnsi="Arial" w:cs="Arial"/>
          <w:color w:val="000000"/>
          <w:sz w:val="26"/>
          <w:szCs w:val="26"/>
          <w:lang w:val="pt-BR"/>
        </w:rPr>
        <w:t xml:space="preserve"> de 2024</w:t>
      </w:r>
      <w:r w:rsidRPr="000A5F78">
        <w:rPr>
          <w:rFonts w:ascii="Arial" w:eastAsia="Arial" w:hAnsi="Arial" w:cs="Arial"/>
          <w:color w:val="000000"/>
          <w:sz w:val="26"/>
          <w:szCs w:val="26"/>
          <w:lang w:val="pt-BR"/>
        </w:rPr>
        <w:t>.</w:t>
      </w:r>
    </w:p>
    <w:p w14:paraId="16CE5982" w14:textId="7CE810CA" w:rsidR="00A56875" w:rsidRDefault="00A56875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6DD9082C" w14:textId="3A1B6450" w:rsidR="001B2AF9" w:rsidRDefault="001B2AF9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47E4334B" w14:textId="1FA21256" w:rsidR="001B2AF9" w:rsidRDefault="001B2AF9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27A62E82" w14:textId="2D52ECB9" w:rsidR="00182066" w:rsidRDefault="00182066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7FCE1AFF" w14:textId="29FF254F" w:rsidR="001B2AF9" w:rsidRDefault="001B2AF9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rPr>
          <w:rFonts w:ascii="Arial" w:eastAsia="Arial" w:hAnsi="Arial" w:cs="Arial"/>
          <w:color w:val="000000"/>
          <w:sz w:val="26"/>
          <w:szCs w:val="26"/>
          <w:lang w:val="pt-BR"/>
        </w:rPr>
      </w:pPr>
    </w:p>
    <w:p w14:paraId="7D9C7F9D" w14:textId="027E68BF" w:rsidR="001B2AF9" w:rsidRDefault="001B2AF9" w:rsidP="001B2AF9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center"/>
        <w:rPr>
          <w:rFonts w:ascii="Arial" w:eastAsia="Arial" w:hAnsi="Arial" w:cs="Arial"/>
          <w:color w:val="000000"/>
          <w:sz w:val="26"/>
          <w:szCs w:val="26"/>
          <w:lang w:val="pt-BR"/>
        </w:rPr>
      </w:pPr>
      <w:r>
        <w:rPr>
          <w:rFonts w:ascii="Arial" w:eastAsia="Arial" w:hAnsi="Arial" w:cs="Arial"/>
          <w:color w:val="000000"/>
          <w:sz w:val="26"/>
          <w:szCs w:val="26"/>
          <w:lang w:val="pt-BR"/>
        </w:rPr>
        <w:t>________________________</w:t>
      </w:r>
    </w:p>
    <w:p w14:paraId="34F2CCF6" w14:textId="29A57D02" w:rsidR="00A56875" w:rsidRPr="000A5F78" w:rsidRDefault="001B2AF9" w:rsidP="003855BF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jc w:val="center"/>
        <w:rPr>
          <w:rFonts w:ascii="Arial" w:eastAsia="Arial" w:hAnsi="Arial" w:cs="Arial"/>
          <w:color w:val="000000"/>
          <w:sz w:val="26"/>
          <w:szCs w:val="26"/>
          <w:lang w:val="pt-BR"/>
        </w:rPr>
      </w:pPr>
      <w:r>
        <w:rPr>
          <w:rFonts w:ascii="Arial" w:eastAsia="Arial" w:hAnsi="Arial" w:cs="Arial"/>
          <w:color w:val="000000"/>
          <w:sz w:val="26"/>
          <w:szCs w:val="26"/>
          <w:lang w:val="pt-BR"/>
        </w:rPr>
        <w:t>Plínio Vizeu Pereira Neto</w:t>
      </w:r>
      <w:bookmarkEnd w:id="0"/>
    </w:p>
    <w:sectPr w:rsidR="00A56875" w:rsidRPr="000A5F78">
      <w:headerReference w:type="default" r:id="rId9"/>
      <w:footerReference w:type="default" r:id="rId10"/>
      <w:pgSz w:w="11920" w:h="16840"/>
      <w:pgMar w:top="1417" w:right="1701" w:bottom="1417" w:left="1701" w:header="0" w:footer="9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28DFE5" w14:textId="77777777" w:rsidR="000156AE" w:rsidRDefault="000156AE">
      <w:r>
        <w:separator/>
      </w:r>
    </w:p>
  </w:endnote>
  <w:endnote w:type="continuationSeparator" w:id="0">
    <w:p w14:paraId="7DB2869F" w14:textId="77777777" w:rsidR="000156AE" w:rsidRDefault="00015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9A3496" w14:textId="77777777" w:rsidR="004A7D22" w:rsidRDefault="000156AE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pict w14:anchorId="7EE88217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-6.55pt;margin-top:783.65pt;width:233.15pt;height:23.75pt;z-index:-15844864;mso-position-horizontal:absolute;mso-position-horizontal-relative:margin;mso-position-vertical:absolute;mso-position-vertical-relative:text" filled="f" stroked="f">
          <v:textbox style="mso-next-textbox:#docshape1" inset="0,0,0,0">
            <w:txbxContent>
              <w:p w14:paraId="2CAF2EC4" w14:textId="77777777" w:rsidR="000679CB" w:rsidRDefault="000679CB">
                <w:pPr>
                  <w:spacing w:before="16" w:line="261" w:lineRule="auto"/>
                  <w:ind w:left="20"/>
                  <w:rPr>
                    <w:rFonts w:ascii="Arial" w:hAnsi="Arial"/>
                    <w:sz w:val="12"/>
                  </w:rPr>
                </w:pPr>
              </w:p>
            </w:txbxContent>
          </v:textbox>
          <w10:wrap anchorx="margin"/>
        </v:shape>
      </w:pict>
    </w:r>
    <w:r>
      <w:pict w14:anchorId="38D3B40D">
        <v:line id="_x0000_s2050" style="position:absolute;z-index:-15845376;mso-position-horizontal:absolute;mso-position-horizontal-relative:margin;mso-position-vertical:absolute;mso-position-vertical-relative:text" from="-6.05pt,783.85pt" to="333.8pt,783.85pt" strokeweight=".4pt">
          <w10:wrap anchorx="margin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86F2B4" w14:textId="77777777" w:rsidR="000156AE" w:rsidRDefault="000156AE">
      <w:r>
        <w:separator/>
      </w:r>
    </w:p>
  </w:footnote>
  <w:footnote w:type="continuationSeparator" w:id="0">
    <w:p w14:paraId="3A839461" w14:textId="77777777" w:rsidR="000156AE" w:rsidRDefault="00015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BA864" w14:textId="587E085A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134" w:hanging="142"/>
      <w:rPr>
        <w:color w:val="000000"/>
      </w:rPr>
    </w:pPr>
  </w:p>
  <w:p w14:paraId="4D67F372" w14:textId="77777777" w:rsidR="004A7D22" w:rsidRDefault="004A7D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hanging="993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A4F31"/>
    <w:multiLevelType w:val="multilevel"/>
    <w:tmpl w:val="5C2C9BAA"/>
    <w:lvl w:ilvl="0">
      <w:start w:val="1"/>
      <w:numFmt w:val="decimal"/>
      <w:lvlText w:val="%1."/>
      <w:lvlJc w:val="left"/>
      <w:pPr>
        <w:ind w:left="490" w:hanging="360"/>
      </w:pPr>
      <w:rPr>
        <w:rFonts w:ascii="Arial" w:eastAsia="Arial" w:hAnsi="Arial" w:cs="Arial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</w:lvl>
    <w:lvl w:ilvl="4">
      <w:numFmt w:val="bullet"/>
      <w:lvlText w:val="•"/>
      <w:lvlJc w:val="left"/>
      <w:pPr>
        <w:ind w:left="860" w:hanging="720"/>
      </w:pPr>
    </w:lvl>
    <w:lvl w:ilvl="5">
      <w:numFmt w:val="bullet"/>
      <w:lvlText w:val="•"/>
      <w:lvlJc w:val="left"/>
      <w:pPr>
        <w:ind w:left="1120" w:hanging="720"/>
      </w:pPr>
    </w:lvl>
    <w:lvl w:ilvl="6">
      <w:numFmt w:val="bullet"/>
      <w:lvlText w:val="•"/>
      <w:lvlJc w:val="left"/>
      <w:pPr>
        <w:ind w:left="1280" w:hanging="720"/>
      </w:pPr>
    </w:lvl>
    <w:lvl w:ilvl="7">
      <w:numFmt w:val="bullet"/>
      <w:lvlText w:val="•"/>
      <w:lvlJc w:val="left"/>
      <w:pPr>
        <w:ind w:left="3340" w:hanging="720"/>
      </w:pPr>
    </w:lvl>
    <w:lvl w:ilvl="8">
      <w:numFmt w:val="bullet"/>
      <w:lvlText w:val="•"/>
      <w:lvlJc w:val="left"/>
      <w:pPr>
        <w:ind w:left="540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D22"/>
    <w:rsid w:val="000156AE"/>
    <w:rsid w:val="00056BC4"/>
    <w:rsid w:val="00064D32"/>
    <w:rsid w:val="000679CB"/>
    <w:rsid w:val="00094560"/>
    <w:rsid w:val="000951BA"/>
    <w:rsid w:val="000A507D"/>
    <w:rsid w:val="000A5F78"/>
    <w:rsid w:val="000D0A60"/>
    <w:rsid w:val="000D183D"/>
    <w:rsid w:val="000D6308"/>
    <w:rsid w:val="0011259E"/>
    <w:rsid w:val="00182066"/>
    <w:rsid w:val="001B1BE8"/>
    <w:rsid w:val="001B2AF9"/>
    <w:rsid w:val="001B7117"/>
    <w:rsid w:val="001C0369"/>
    <w:rsid w:val="001D5558"/>
    <w:rsid w:val="001D5632"/>
    <w:rsid w:val="001E1521"/>
    <w:rsid w:val="001F44CF"/>
    <w:rsid w:val="00210158"/>
    <w:rsid w:val="0023080A"/>
    <w:rsid w:val="00231E35"/>
    <w:rsid w:val="0024540F"/>
    <w:rsid w:val="002801C5"/>
    <w:rsid w:val="002A5A56"/>
    <w:rsid w:val="002D68B9"/>
    <w:rsid w:val="002D69E0"/>
    <w:rsid w:val="00342548"/>
    <w:rsid w:val="00355D8B"/>
    <w:rsid w:val="003855BF"/>
    <w:rsid w:val="00396B16"/>
    <w:rsid w:val="003E3343"/>
    <w:rsid w:val="003E55E6"/>
    <w:rsid w:val="00405853"/>
    <w:rsid w:val="0041451B"/>
    <w:rsid w:val="00470CF6"/>
    <w:rsid w:val="004A7D22"/>
    <w:rsid w:val="004B4222"/>
    <w:rsid w:val="00511AE7"/>
    <w:rsid w:val="00532970"/>
    <w:rsid w:val="00533379"/>
    <w:rsid w:val="005463F5"/>
    <w:rsid w:val="00556B93"/>
    <w:rsid w:val="0056198C"/>
    <w:rsid w:val="00567038"/>
    <w:rsid w:val="00571A5A"/>
    <w:rsid w:val="005917A6"/>
    <w:rsid w:val="005C5D48"/>
    <w:rsid w:val="005C6B9D"/>
    <w:rsid w:val="005F6188"/>
    <w:rsid w:val="00623DD1"/>
    <w:rsid w:val="00642FB7"/>
    <w:rsid w:val="006540A8"/>
    <w:rsid w:val="006B0D96"/>
    <w:rsid w:val="006C02AB"/>
    <w:rsid w:val="007370B2"/>
    <w:rsid w:val="00741CA7"/>
    <w:rsid w:val="00773084"/>
    <w:rsid w:val="007A5484"/>
    <w:rsid w:val="007B2DA3"/>
    <w:rsid w:val="007C77BF"/>
    <w:rsid w:val="008151AE"/>
    <w:rsid w:val="008219DF"/>
    <w:rsid w:val="008434CD"/>
    <w:rsid w:val="00857F07"/>
    <w:rsid w:val="00861360"/>
    <w:rsid w:val="00873813"/>
    <w:rsid w:val="00883E4A"/>
    <w:rsid w:val="00886CDA"/>
    <w:rsid w:val="008916CD"/>
    <w:rsid w:val="0089253A"/>
    <w:rsid w:val="0089722C"/>
    <w:rsid w:val="00920784"/>
    <w:rsid w:val="009335BF"/>
    <w:rsid w:val="00981184"/>
    <w:rsid w:val="00A27785"/>
    <w:rsid w:val="00A56875"/>
    <w:rsid w:val="00A5740B"/>
    <w:rsid w:val="00AE3EEB"/>
    <w:rsid w:val="00AF5C84"/>
    <w:rsid w:val="00AF6EC6"/>
    <w:rsid w:val="00B00A35"/>
    <w:rsid w:val="00B14CD4"/>
    <w:rsid w:val="00B164F2"/>
    <w:rsid w:val="00B20B20"/>
    <w:rsid w:val="00B7467D"/>
    <w:rsid w:val="00BC3E7B"/>
    <w:rsid w:val="00BE1C00"/>
    <w:rsid w:val="00C24904"/>
    <w:rsid w:val="00C26D2A"/>
    <w:rsid w:val="00C43653"/>
    <w:rsid w:val="00C65C4F"/>
    <w:rsid w:val="00CD0798"/>
    <w:rsid w:val="00CE3ADA"/>
    <w:rsid w:val="00D231FD"/>
    <w:rsid w:val="00DC4460"/>
    <w:rsid w:val="00DD1B02"/>
    <w:rsid w:val="00E1163E"/>
    <w:rsid w:val="00E11C45"/>
    <w:rsid w:val="00E11E16"/>
    <w:rsid w:val="00EB5BAC"/>
    <w:rsid w:val="00EC10D2"/>
    <w:rsid w:val="00EC665D"/>
    <w:rsid w:val="00ED0955"/>
    <w:rsid w:val="00ED33DD"/>
    <w:rsid w:val="00ED7CDB"/>
    <w:rsid w:val="00F03340"/>
    <w:rsid w:val="00F34C29"/>
    <w:rsid w:val="00F46C6E"/>
    <w:rsid w:val="00F641E6"/>
    <w:rsid w:val="00FA5416"/>
    <w:rsid w:val="00FA5957"/>
    <w:rsid w:val="00FC1E7F"/>
    <w:rsid w:val="00FC604F"/>
    <w:rsid w:val="00FD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2D0B367"/>
  <w15:docId w15:val="{0F0C1C67-0AF0-4C67-9A88-86F14A101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490" w:hanging="360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16CD"/>
  </w:style>
  <w:style w:type="paragraph" w:styleId="Rodap">
    <w:name w:val="footer"/>
    <w:basedOn w:val="Normal"/>
    <w:link w:val="RodapChar"/>
    <w:uiPriority w:val="99"/>
    <w:unhideWhenUsed/>
    <w:rsid w:val="008916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16CD"/>
  </w:style>
  <w:style w:type="table" w:styleId="Tabelacomgrade">
    <w:name w:val="Table Grid"/>
    <w:basedOn w:val="Tabelanormal"/>
    <w:uiPriority w:val="39"/>
    <w:rsid w:val="00A56875"/>
    <w:pPr>
      <w:widowControl/>
    </w:pPr>
    <w:rPr>
      <w:rFonts w:asciiTheme="minorHAnsi" w:eastAsiaTheme="minorHAnsi" w:hAnsiTheme="minorHAnsi" w:cstheme="minorBidi"/>
      <w:kern w:val="2"/>
      <w:lang w:val="pt-BR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1F44CF"/>
    <w:pPr>
      <w:widowControl/>
    </w:pPr>
    <w:rPr>
      <w:rFonts w:ascii="Cambria" w:eastAsia="Cambria" w:hAnsi="Cambria"/>
      <w:kern w:val="2"/>
      <w:lang w:eastAsia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B2AF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2AF9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B1B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0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2196</Words>
  <Characters>11864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2024-06-14T15:08:00Z</cp:lastPrinted>
  <dcterms:created xsi:type="dcterms:W3CDTF">2024-04-22T11:52:00Z</dcterms:created>
  <dcterms:modified xsi:type="dcterms:W3CDTF">2024-07-30T12:31:00Z</dcterms:modified>
</cp:coreProperties>
</file>