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59606" w14:textId="77777777" w:rsidR="00897F6E" w:rsidRPr="00897F6E" w:rsidRDefault="00897F6E" w:rsidP="00897F6E">
      <w:pPr>
        <w:spacing w:before="120" w:after="120" w:line="240" w:lineRule="auto"/>
        <w:ind w:left="120" w:right="120"/>
        <w:jc w:val="center"/>
        <w:rPr>
          <w:rFonts w:ascii="Calibri" w:eastAsia="Times New Roman" w:hAnsi="Calibri" w:cs="Calibri"/>
          <w:color w:val="000000"/>
          <w:sz w:val="27"/>
          <w:szCs w:val="27"/>
          <w:lang w:eastAsia="pt-BR"/>
        </w:rPr>
      </w:pPr>
      <w:r w:rsidRPr="00897F6E">
        <w:rPr>
          <w:rFonts w:ascii="Calibri" w:eastAsia="Times New Roman" w:hAnsi="Calibri" w:cs="Calibri"/>
          <w:b/>
          <w:bCs/>
          <w:color w:val="000000"/>
          <w:sz w:val="27"/>
          <w:szCs w:val="27"/>
          <w:lang w:eastAsia="pt-BR"/>
        </w:rPr>
        <w:t>Termo de Referência</w:t>
      </w:r>
    </w:p>
    <w:p w14:paraId="7D091854"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PROCESSO Nº 6061.2025/0000229-9</w:t>
      </w:r>
    </w:p>
    <w:p w14:paraId="60F7388A" w14:textId="77777777" w:rsidR="00897F6E" w:rsidRPr="00897F6E" w:rsidRDefault="00897F6E" w:rsidP="00897F6E">
      <w:pPr>
        <w:spacing w:after="0" w:line="240" w:lineRule="auto"/>
        <w:ind w:left="60" w:right="60"/>
        <w:rPr>
          <w:rFonts w:ascii="Calibri" w:eastAsia="Times New Roman" w:hAnsi="Calibri" w:cs="Calibri"/>
          <w:color w:val="000000"/>
          <w:lang w:eastAsia="pt-BR"/>
        </w:rPr>
      </w:pPr>
      <w:r w:rsidRPr="00897F6E">
        <w:rPr>
          <w:rFonts w:ascii="Calibri" w:eastAsia="Times New Roman" w:hAnsi="Calibri" w:cs="Calibri"/>
          <w:color w:val="000000"/>
          <w:lang w:eastAsia="pt-BR"/>
        </w:rPr>
        <w:t>1. DO OBJETO</w:t>
      </w:r>
    </w:p>
    <w:p w14:paraId="0740E0E0" w14:textId="77777777" w:rsidR="00897F6E" w:rsidRPr="00897F6E" w:rsidRDefault="00897F6E" w:rsidP="00897F6E">
      <w:pPr>
        <w:spacing w:after="0" w:line="240" w:lineRule="auto"/>
        <w:ind w:left="60" w:right="60"/>
        <w:rPr>
          <w:rFonts w:ascii="Calibri" w:eastAsia="Times New Roman" w:hAnsi="Calibri" w:cs="Calibri"/>
          <w:color w:val="000000"/>
          <w:lang w:eastAsia="pt-BR"/>
        </w:rPr>
      </w:pPr>
      <w:r w:rsidRPr="00897F6E">
        <w:rPr>
          <w:rFonts w:ascii="Calibri" w:eastAsia="Times New Roman" w:hAnsi="Calibri" w:cs="Calibri"/>
          <w:color w:val="000000"/>
          <w:lang w:eastAsia="pt-BR"/>
        </w:rPr>
        <w:t> </w:t>
      </w:r>
    </w:p>
    <w:p w14:paraId="5EFFA393" w14:textId="77777777" w:rsidR="00897F6E" w:rsidRPr="00897F6E" w:rsidRDefault="00897F6E" w:rsidP="00897F6E">
      <w:pPr>
        <w:spacing w:after="0" w:line="240" w:lineRule="auto"/>
        <w:ind w:left="60" w:right="60"/>
        <w:rPr>
          <w:rFonts w:ascii="Calibri" w:eastAsia="Times New Roman" w:hAnsi="Calibri" w:cs="Calibri"/>
          <w:color w:val="000000"/>
          <w:lang w:eastAsia="pt-BR"/>
        </w:rPr>
      </w:pPr>
      <w:r w:rsidRPr="00897F6E">
        <w:rPr>
          <w:rFonts w:ascii="Calibri" w:eastAsia="Times New Roman" w:hAnsi="Calibri" w:cs="Calibri"/>
          <w:color w:val="000000"/>
          <w:lang w:eastAsia="pt-BR"/>
        </w:rPr>
        <w:t>1. Aquisição de carimbos para uso nos trabalhos administrativos da Subprefeitura Sapopemba, conforme as especificações constantes neste Termo de Referência.</w:t>
      </w:r>
    </w:p>
    <w:p w14:paraId="10333312"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p w14:paraId="173AE5E6" w14:textId="77777777" w:rsidR="00897F6E" w:rsidRPr="00897F6E" w:rsidRDefault="00897F6E" w:rsidP="00897F6E">
      <w:pPr>
        <w:spacing w:after="0" w:line="240" w:lineRule="auto"/>
        <w:jc w:val="both"/>
        <w:rPr>
          <w:rFonts w:ascii="Calibri" w:eastAsia="Times New Roman" w:hAnsi="Calibri" w:cs="Calibri"/>
          <w:color w:val="000000"/>
          <w:lang w:eastAsia="pt-BR"/>
        </w:rPr>
      </w:pPr>
      <w:r w:rsidRPr="00897F6E">
        <w:rPr>
          <w:rFonts w:ascii="Calibri" w:eastAsia="Times New Roman" w:hAnsi="Calibri" w:cs="Calibri"/>
          <w:color w:val="000000"/>
          <w:sz w:val="24"/>
          <w:szCs w:val="24"/>
          <w:lang w:eastAsia="pt-BR"/>
        </w:rPr>
        <w:t>2. </w:t>
      </w:r>
      <w:r w:rsidRPr="00897F6E">
        <w:rPr>
          <w:rFonts w:ascii="Calibri" w:eastAsia="Times New Roman" w:hAnsi="Calibri" w:cs="Calibri"/>
          <w:color w:val="000000"/>
          <w:lang w:eastAsia="pt-BR"/>
        </w:rPr>
        <w:t>DA JUSTIFICATIVA</w:t>
      </w:r>
    </w:p>
    <w:p w14:paraId="49927069"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p w14:paraId="11EF4D68" w14:textId="729D54ED"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Calibri" w:eastAsia="Times New Roman" w:hAnsi="Calibri" w:cs="Calibri"/>
          <w:color w:val="000000"/>
          <w:sz w:val="24"/>
          <w:szCs w:val="24"/>
          <w:lang w:eastAsia="pt-BR"/>
        </w:rPr>
        <w:t xml:space="preserve">2.1. A presente contratação visa suprir as necessidades periódicas de carimbos personalizados para as demandas da Subprefeitura Sapopemba, visto que muitos documentos emitidos pelas unidades administrativas utilizam procedimentos físicos para continuidade de suas rotinas garantindo, desta forma, a segurança e autenticidade dos documentos expedidos pelos servidores e autoridades no âmbito deste </w:t>
      </w:r>
      <w:r w:rsidRPr="00897F6E">
        <w:rPr>
          <w:rFonts w:ascii="Calibri" w:eastAsia="Times New Roman" w:hAnsi="Calibri" w:cs="Calibri"/>
          <w:color w:val="000000"/>
          <w:sz w:val="24"/>
          <w:szCs w:val="24"/>
          <w:lang w:eastAsia="pt-BR"/>
        </w:rPr>
        <w:t>órgão</w:t>
      </w:r>
      <w:r w:rsidRPr="00897F6E">
        <w:rPr>
          <w:rFonts w:ascii="Calibri" w:eastAsia="Times New Roman" w:hAnsi="Calibri" w:cs="Calibri"/>
          <w:color w:val="000000"/>
          <w:sz w:val="24"/>
          <w:szCs w:val="24"/>
          <w:lang w:eastAsia="pt-BR"/>
        </w:rPr>
        <w:t>.</w:t>
      </w:r>
    </w:p>
    <w:p w14:paraId="2479396B"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p w14:paraId="599C7EE8" w14:textId="77777777" w:rsidR="00897F6E" w:rsidRPr="00897F6E" w:rsidRDefault="00897F6E" w:rsidP="00897F6E">
      <w:pPr>
        <w:spacing w:after="0" w:line="240" w:lineRule="auto"/>
        <w:jc w:val="both"/>
        <w:rPr>
          <w:rFonts w:ascii="Calibri" w:eastAsia="Times New Roman" w:hAnsi="Calibri" w:cs="Calibri"/>
          <w:color w:val="000000"/>
          <w:lang w:eastAsia="pt-BR"/>
        </w:rPr>
      </w:pPr>
      <w:r w:rsidRPr="00897F6E">
        <w:rPr>
          <w:rFonts w:ascii="Calibri" w:eastAsia="Times New Roman" w:hAnsi="Calibri" w:cs="Calibri"/>
          <w:color w:val="000000"/>
          <w:sz w:val="24"/>
          <w:szCs w:val="24"/>
          <w:lang w:eastAsia="pt-BR"/>
        </w:rPr>
        <w:t>3.</w:t>
      </w:r>
      <w:r w:rsidRPr="00897F6E">
        <w:rPr>
          <w:rFonts w:ascii="Calibri" w:eastAsia="Times New Roman" w:hAnsi="Calibri" w:cs="Calibri"/>
          <w:color w:val="000000"/>
          <w:lang w:eastAsia="pt-BR"/>
        </w:rPr>
        <w:t> DAS ESPECIFICAÇÕES</w:t>
      </w:r>
    </w:p>
    <w:p w14:paraId="63BD7D98" w14:textId="77777777" w:rsidR="00897F6E" w:rsidRPr="00897F6E" w:rsidRDefault="00897F6E" w:rsidP="00897F6E">
      <w:pPr>
        <w:spacing w:after="0" w:line="240" w:lineRule="auto"/>
        <w:jc w:val="both"/>
        <w:rPr>
          <w:rFonts w:ascii="Calibri" w:eastAsia="Times New Roman" w:hAnsi="Calibri" w:cs="Calibri"/>
          <w:color w:val="000000"/>
          <w:lang w:eastAsia="pt-BR"/>
        </w:rPr>
      </w:pPr>
      <w:r w:rsidRPr="00897F6E">
        <w:rPr>
          <w:rFonts w:ascii="Calibri" w:eastAsia="Times New Roman" w:hAnsi="Calibri" w:cs="Calibri"/>
          <w:color w:val="000000"/>
          <w:lang w:eastAsia="pt-BR"/>
        </w:rPr>
        <w:t> </w:t>
      </w:r>
    </w:p>
    <w:p w14:paraId="77881EF6"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Calibri" w:eastAsia="Times New Roman" w:hAnsi="Calibri" w:cs="Calibri"/>
          <w:color w:val="000000"/>
          <w:sz w:val="24"/>
          <w:szCs w:val="24"/>
          <w:lang w:eastAsia="pt-BR"/>
        </w:rPr>
        <w:t>3.1. O fornecimento será executado conforme especificado na planilha abaixo com a quantidade anual estimada:</w:t>
      </w:r>
    </w:p>
    <w:p w14:paraId="3C18AF0A"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p w14:paraId="19FFED39"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tbl>
      <w:tblPr>
        <w:tblW w:w="1050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184"/>
        <w:gridCol w:w="2146"/>
        <w:gridCol w:w="1163"/>
        <w:gridCol w:w="1828"/>
        <w:gridCol w:w="3753"/>
        <w:gridCol w:w="213"/>
        <w:gridCol w:w="213"/>
      </w:tblGrid>
      <w:tr w:rsidR="00897F6E" w:rsidRPr="00897F6E" w14:paraId="4B61AFC9" w14:textId="77777777" w:rsidTr="00897F6E">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0A3C6E57" w14:textId="10CDEA0E" w:rsidR="00897F6E" w:rsidRPr="00897F6E" w:rsidRDefault="00897F6E" w:rsidP="00897F6E">
            <w:pPr>
              <w:spacing w:after="0" w:line="240" w:lineRule="auto"/>
              <w:ind w:left="60" w:right="60"/>
              <w:rPr>
                <w:rFonts w:ascii="Calibri" w:eastAsia="Times New Roman" w:hAnsi="Calibri" w:cs="Calibri"/>
                <w:color w:val="000000"/>
                <w:lang w:eastAsia="pt-BR"/>
              </w:rPr>
            </w:pPr>
            <w:r w:rsidRPr="00897F6E">
              <w:rPr>
                <w:rFonts w:ascii="Calibri" w:eastAsia="Times New Roman" w:hAnsi="Calibri" w:cs="Calibri"/>
                <w:color w:val="000000"/>
                <w:lang w:eastAsia="pt-BR"/>
              </w:rPr>
              <w:t>Objeto: Carimbo auto</w:t>
            </w:r>
            <w:r>
              <w:rPr>
                <w:rFonts w:ascii="Calibri" w:eastAsia="Times New Roman" w:hAnsi="Calibri" w:cs="Calibri"/>
                <w:color w:val="000000"/>
                <w:lang w:eastAsia="pt-BR"/>
              </w:rPr>
              <w:t xml:space="preserve"> </w:t>
            </w:r>
            <w:r w:rsidRPr="00897F6E">
              <w:rPr>
                <w:rFonts w:ascii="Calibri" w:eastAsia="Times New Roman" w:hAnsi="Calibri" w:cs="Calibri"/>
                <w:color w:val="000000"/>
                <w:lang w:eastAsia="pt-BR"/>
              </w:rPr>
              <w:t>entintado, tipo estojo, estrutura rígida, automático, mecanismo retrátil, 38X14mm, confeccionado em plástico, almofada em cor preta substituível, borracha com espessura mínima de 3 mm, personalizada com impressão em foto polímero.</w:t>
            </w:r>
          </w:p>
        </w:tc>
      </w:tr>
      <w:tr w:rsidR="00897F6E" w:rsidRPr="00897F6E" w14:paraId="3BA2D17A" w14:textId="77777777" w:rsidTr="00897F6E">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7DA183FD" w14:textId="77777777" w:rsidR="00897F6E" w:rsidRPr="00897F6E" w:rsidRDefault="00897F6E" w:rsidP="00897F6E">
            <w:pPr>
              <w:spacing w:after="0" w:line="240" w:lineRule="auto"/>
              <w:ind w:left="60" w:right="60"/>
              <w:rPr>
                <w:rFonts w:ascii="Calibri" w:eastAsia="Times New Roman" w:hAnsi="Calibri" w:cs="Calibri"/>
                <w:color w:val="000000"/>
                <w:lang w:eastAsia="pt-BR"/>
              </w:rPr>
            </w:pPr>
            <w:r w:rsidRPr="00897F6E">
              <w:rPr>
                <w:rFonts w:ascii="Calibri" w:eastAsia="Times New Roman" w:hAnsi="Calibri" w:cs="Calibri"/>
                <w:color w:val="000000"/>
                <w:lang w:eastAsia="pt-BR"/>
              </w:rPr>
              <w:t> </w:t>
            </w:r>
          </w:p>
          <w:p w14:paraId="3851762C" w14:textId="77777777" w:rsidR="00897F6E" w:rsidRPr="00897F6E" w:rsidRDefault="00897F6E" w:rsidP="00897F6E">
            <w:pPr>
              <w:spacing w:after="0" w:line="240" w:lineRule="auto"/>
              <w:ind w:left="60" w:right="60"/>
              <w:rPr>
                <w:rFonts w:ascii="Calibri" w:eastAsia="Times New Roman" w:hAnsi="Calibri" w:cs="Calibri"/>
                <w:color w:val="000000"/>
                <w:lang w:eastAsia="pt-BR"/>
              </w:rPr>
            </w:pPr>
            <w:r w:rsidRPr="00897F6E">
              <w:rPr>
                <w:rFonts w:ascii="Calibri" w:eastAsia="Times New Roman" w:hAnsi="Calibri" w:cs="Calibri"/>
                <w:color w:val="000000"/>
                <w:lang w:eastAsia="pt-BR"/>
              </w:rPr>
              <w:t>Prazo Contratual: De 01/04/2025 A 31/03/2027 - 24 MESES</w:t>
            </w:r>
          </w:p>
          <w:p w14:paraId="282F5A2A" w14:textId="77777777" w:rsidR="00897F6E" w:rsidRPr="00897F6E" w:rsidRDefault="00897F6E" w:rsidP="00897F6E">
            <w:pPr>
              <w:spacing w:after="0" w:line="240" w:lineRule="auto"/>
              <w:ind w:left="60" w:right="60"/>
              <w:rPr>
                <w:rFonts w:ascii="Calibri" w:eastAsia="Times New Roman" w:hAnsi="Calibri" w:cs="Calibri"/>
                <w:color w:val="000000"/>
                <w:lang w:eastAsia="pt-BR"/>
              </w:rPr>
            </w:pPr>
            <w:r w:rsidRPr="00897F6E">
              <w:rPr>
                <w:rFonts w:ascii="Calibri" w:eastAsia="Times New Roman" w:hAnsi="Calibri" w:cs="Calibri"/>
                <w:color w:val="000000"/>
                <w:lang w:eastAsia="pt-BR"/>
              </w:rPr>
              <w:t> </w:t>
            </w:r>
          </w:p>
        </w:tc>
      </w:tr>
      <w:tr w:rsidR="00897F6E" w:rsidRPr="00897F6E" w14:paraId="11375633" w14:textId="77777777" w:rsidTr="00897F6E">
        <w:tc>
          <w:tcPr>
            <w:tcW w:w="0" w:type="auto"/>
            <w:tcBorders>
              <w:top w:val="outset" w:sz="6" w:space="0" w:color="auto"/>
              <w:left w:val="outset" w:sz="6" w:space="0" w:color="auto"/>
              <w:bottom w:val="outset" w:sz="6" w:space="0" w:color="auto"/>
              <w:right w:val="outset" w:sz="6" w:space="0" w:color="auto"/>
            </w:tcBorders>
            <w:vAlign w:val="center"/>
            <w:hideMark/>
          </w:tcPr>
          <w:p w14:paraId="704B1573"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0B82DEB5"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36A67808"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QTD.</w:t>
            </w:r>
          </w:p>
        </w:tc>
        <w:tc>
          <w:tcPr>
            <w:tcW w:w="0" w:type="auto"/>
            <w:tcBorders>
              <w:top w:val="outset" w:sz="6" w:space="0" w:color="auto"/>
              <w:left w:val="outset" w:sz="6" w:space="0" w:color="auto"/>
              <w:bottom w:val="outset" w:sz="6" w:space="0" w:color="auto"/>
              <w:right w:val="outset" w:sz="6" w:space="0" w:color="auto"/>
            </w:tcBorders>
            <w:vAlign w:val="center"/>
            <w:hideMark/>
          </w:tcPr>
          <w:p w14:paraId="2B57A02D"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5BA8ACF2"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Período Estimado</w:t>
            </w:r>
          </w:p>
        </w:tc>
        <w:tc>
          <w:tcPr>
            <w:tcW w:w="0" w:type="auto"/>
            <w:vAlign w:val="center"/>
            <w:hideMark/>
          </w:tcPr>
          <w:p w14:paraId="70FFAE81" w14:textId="77777777" w:rsidR="00897F6E" w:rsidRPr="00897F6E" w:rsidRDefault="00897F6E" w:rsidP="00897F6E">
            <w:pPr>
              <w:spacing w:after="0" w:line="240" w:lineRule="auto"/>
              <w:rPr>
                <w:rFonts w:ascii="Times New Roman" w:eastAsia="Times New Roman" w:hAnsi="Times New Roman" w:cs="Times New Roman"/>
                <w:sz w:val="20"/>
                <w:szCs w:val="20"/>
                <w:lang w:eastAsia="pt-BR"/>
              </w:rPr>
            </w:pPr>
          </w:p>
        </w:tc>
        <w:tc>
          <w:tcPr>
            <w:tcW w:w="0" w:type="auto"/>
            <w:vAlign w:val="center"/>
            <w:hideMark/>
          </w:tcPr>
          <w:p w14:paraId="1BD68EF7" w14:textId="77777777" w:rsidR="00897F6E" w:rsidRPr="00897F6E" w:rsidRDefault="00897F6E" w:rsidP="00897F6E">
            <w:pPr>
              <w:spacing w:after="0" w:line="240" w:lineRule="auto"/>
              <w:rPr>
                <w:rFonts w:ascii="Times New Roman" w:eastAsia="Times New Roman" w:hAnsi="Times New Roman" w:cs="Times New Roman"/>
                <w:sz w:val="20"/>
                <w:szCs w:val="20"/>
                <w:lang w:eastAsia="pt-BR"/>
              </w:rPr>
            </w:pPr>
          </w:p>
        </w:tc>
      </w:tr>
      <w:tr w:rsidR="00897F6E" w:rsidRPr="00897F6E" w14:paraId="13AFFF04" w14:textId="77777777" w:rsidTr="00897F6E">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2F2AC69"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2CCEF5F"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Carimbos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07BDF9"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0F9E40"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6CED6"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De 01/04/2025 A 31/12/2025</w:t>
            </w:r>
          </w:p>
        </w:tc>
        <w:tc>
          <w:tcPr>
            <w:tcW w:w="0" w:type="auto"/>
            <w:vAlign w:val="center"/>
            <w:hideMark/>
          </w:tcPr>
          <w:p w14:paraId="56A9D13D" w14:textId="77777777" w:rsidR="00897F6E" w:rsidRPr="00897F6E" w:rsidRDefault="00897F6E" w:rsidP="00897F6E">
            <w:pPr>
              <w:spacing w:after="0" w:line="240" w:lineRule="auto"/>
              <w:rPr>
                <w:rFonts w:ascii="Times New Roman" w:eastAsia="Times New Roman" w:hAnsi="Times New Roman" w:cs="Times New Roman"/>
                <w:sz w:val="20"/>
                <w:szCs w:val="20"/>
                <w:lang w:eastAsia="pt-BR"/>
              </w:rPr>
            </w:pPr>
          </w:p>
        </w:tc>
        <w:tc>
          <w:tcPr>
            <w:tcW w:w="0" w:type="auto"/>
            <w:vAlign w:val="center"/>
            <w:hideMark/>
          </w:tcPr>
          <w:p w14:paraId="4BCD07C5" w14:textId="77777777" w:rsidR="00897F6E" w:rsidRPr="00897F6E" w:rsidRDefault="00897F6E" w:rsidP="00897F6E">
            <w:pPr>
              <w:spacing w:after="0" w:line="240" w:lineRule="auto"/>
              <w:rPr>
                <w:rFonts w:ascii="Times New Roman" w:eastAsia="Times New Roman" w:hAnsi="Times New Roman" w:cs="Times New Roman"/>
                <w:sz w:val="20"/>
                <w:szCs w:val="20"/>
                <w:lang w:eastAsia="pt-BR"/>
              </w:rPr>
            </w:pPr>
          </w:p>
        </w:tc>
      </w:tr>
      <w:tr w:rsidR="00897F6E" w:rsidRPr="00897F6E" w14:paraId="7F67CA3B" w14:textId="77777777" w:rsidTr="00897F6E">
        <w:tc>
          <w:tcPr>
            <w:tcW w:w="0" w:type="auto"/>
            <w:vMerge/>
            <w:tcBorders>
              <w:top w:val="outset" w:sz="6" w:space="0" w:color="auto"/>
              <w:left w:val="outset" w:sz="6" w:space="0" w:color="auto"/>
              <w:bottom w:val="outset" w:sz="6" w:space="0" w:color="auto"/>
              <w:right w:val="outset" w:sz="6" w:space="0" w:color="auto"/>
            </w:tcBorders>
            <w:vAlign w:val="center"/>
            <w:hideMark/>
          </w:tcPr>
          <w:p w14:paraId="61D6E5E3" w14:textId="77777777" w:rsidR="00897F6E" w:rsidRPr="00897F6E" w:rsidRDefault="00897F6E" w:rsidP="00897F6E">
            <w:pPr>
              <w:spacing w:after="0" w:line="240" w:lineRule="auto"/>
              <w:rPr>
                <w:rFonts w:ascii="Calibri" w:eastAsia="Times New Roman" w:hAnsi="Calibri" w:cs="Calibri"/>
                <w:color w:val="000000"/>
                <w:lang w:eastAsia="pt-B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C3E2077" w14:textId="77777777" w:rsidR="00897F6E" w:rsidRPr="00897F6E" w:rsidRDefault="00897F6E" w:rsidP="00897F6E">
            <w:pPr>
              <w:spacing w:after="0" w:line="240" w:lineRule="auto"/>
              <w:rPr>
                <w:rFonts w:ascii="Calibri" w:eastAsia="Times New Roman" w:hAnsi="Calibri" w:cs="Calibri"/>
                <w:color w:val="000000"/>
                <w:lang w:eastAsia="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6703764"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09E014"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Unidades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7E6368F" w14:textId="77777777" w:rsidR="00897F6E" w:rsidRPr="00897F6E" w:rsidRDefault="00897F6E" w:rsidP="00897F6E">
            <w:pPr>
              <w:spacing w:after="0" w:line="240" w:lineRule="auto"/>
              <w:ind w:left="60" w:right="60"/>
              <w:jc w:val="center"/>
              <w:rPr>
                <w:rFonts w:ascii="Calibri" w:eastAsia="Times New Roman" w:hAnsi="Calibri" w:cs="Calibri"/>
                <w:color w:val="000000"/>
                <w:lang w:eastAsia="pt-BR"/>
              </w:rPr>
            </w:pPr>
            <w:r w:rsidRPr="00897F6E">
              <w:rPr>
                <w:rFonts w:ascii="Calibri" w:eastAsia="Times New Roman" w:hAnsi="Calibri" w:cs="Calibri"/>
                <w:color w:val="000000"/>
                <w:lang w:eastAsia="pt-BR"/>
              </w:rPr>
              <w:t>De 01/01/2026 A 31/03/2027</w:t>
            </w:r>
          </w:p>
        </w:tc>
        <w:tc>
          <w:tcPr>
            <w:tcW w:w="0" w:type="auto"/>
            <w:vAlign w:val="center"/>
            <w:hideMark/>
          </w:tcPr>
          <w:p w14:paraId="65C7D6E0" w14:textId="77777777" w:rsidR="00897F6E" w:rsidRPr="00897F6E" w:rsidRDefault="00897F6E" w:rsidP="00897F6E">
            <w:pPr>
              <w:spacing w:after="0" w:line="240" w:lineRule="auto"/>
              <w:rPr>
                <w:rFonts w:ascii="Times New Roman" w:eastAsia="Times New Roman" w:hAnsi="Times New Roman" w:cs="Times New Roman"/>
                <w:sz w:val="20"/>
                <w:szCs w:val="20"/>
                <w:lang w:eastAsia="pt-BR"/>
              </w:rPr>
            </w:pPr>
          </w:p>
        </w:tc>
        <w:tc>
          <w:tcPr>
            <w:tcW w:w="0" w:type="auto"/>
            <w:vAlign w:val="center"/>
            <w:hideMark/>
          </w:tcPr>
          <w:p w14:paraId="3E8B41CA" w14:textId="77777777" w:rsidR="00897F6E" w:rsidRPr="00897F6E" w:rsidRDefault="00897F6E" w:rsidP="00897F6E">
            <w:pPr>
              <w:spacing w:after="0" w:line="240" w:lineRule="auto"/>
              <w:rPr>
                <w:rFonts w:ascii="Times New Roman" w:eastAsia="Times New Roman" w:hAnsi="Times New Roman" w:cs="Times New Roman"/>
                <w:sz w:val="20"/>
                <w:szCs w:val="20"/>
                <w:lang w:eastAsia="pt-BR"/>
              </w:rPr>
            </w:pPr>
          </w:p>
        </w:tc>
      </w:tr>
    </w:tbl>
    <w:p w14:paraId="4BC63032"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p w14:paraId="0D33C443"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Calibri" w:eastAsia="Times New Roman" w:hAnsi="Calibri" w:cs="Calibri"/>
          <w:color w:val="000000"/>
          <w:sz w:val="24"/>
          <w:szCs w:val="24"/>
          <w:lang w:eastAsia="pt-BR"/>
        </w:rPr>
        <w:t>Os produtos deverão ser embalados adequadamente em embalagem original do fabricante, em perfeito estado de utilização para transporte e posterior armazenamento.</w:t>
      </w:r>
    </w:p>
    <w:p w14:paraId="15FCE681"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p w14:paraId="2223A421"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4. PRAZOS E LOCAL DE ENTREGA</w:t>
      </w:r>
    </w:p>
    <w:p w14:paraId="4C5C417B"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4.1. O prazo para entrega dos carimbos deverá ser de até 05 (cinco) dias úteis, contados do recebimento da Ordem de Fornecimento.</w:t>
      </w:r>
    </w:p>
    <w:p w14:paraId="0A48EE11"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4.2. O prazo para entrega em caso de erro de confecção será de 02 (dois) dias úteis.</w:t>
      </w:r>
    </w:p>
    <w:p w14:paraId="2AE1C89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4.3. A entrega deverá ser feita na Subprefeitura Sapopemba, Av. Sapopemba, 9064 – Jd. Planalto – São Paulo, S.P.</w:t>
      </w:r>
    </w:p>
    <w:p w14:paraId="32D9D89F"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lastRenderedPageBreak/>
        <w:t> </w:t>
      </w:r>
    </w:p>
    <w:p w14:paraId="6A581E55"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5. OBRIGAÇÕES DA CONTRATANTE</w:t>
      </w:r>
    </w:p>
    <w:p w14:paraId="51908329"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5.1 Apresentar à Contratada Ordem de Fornecimento, constando tipo e quantidade de carimbos que serão solicitados.</w:t>
      </w:r>
    </w:p>
    <w:p w14:paraId="3004A565"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5.2. Rejeitar, no todo ou em parte, fornecimento executado em desacordo com as especificações constantes da Ordem de Fornecimento.</w:t>
      </w:r>
    </w:p>
    <w:p w14:paraId="3D49E3F1"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5.3. Comunicar imediatamente à Contratada qualquer irregularidade manifestada na execução do contrato.</w:t>
      </w:r>
    </w:p>
    <w:p w14:paraId="56BA5CA1"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5.4. Efetuar o pagamento da contratada na forma e prazo estipulado.</w:t>
      </w:r>
    </w:p>
    <w:p w14:paraId="468082A6" w14:textId="77777777" w:rsidR="00897F6E" w:rsidRPr="00897F6E" w:rsidRDefault="00897F6E" w:rsidP="00897F6E">
      <w:pPr>
        <w:spacing w:after="0" w:line="240" w:lineRule="auto"/>
        <w:jc w:val="both"/>
        <w:rPr>
          <w:rFonts w:ascii="Times New Roman" w:eastAsia="Times New Roman" w:hAnsi="Times New Roman" w:cs="Times New Roman"/>
          <w:color w:val="000000"/>
          <w:sz w:val="27"/>
          <w:szCs w:val="27"/>
          <w:lang w:eastAsia="pt-BR"/>
        </w:rPr>
      </w:pPr>
      <w:r w:rsidRPr="00897F6E">
        <w:rPr>
          <w:rFonts w:ascii="Times New Roman" w:eastAsia="Times New Roman" w:hAnsi="Times New Roman" w:cs="Times New Roman"/>
          <w:color w:val="000000"/>
          <w:sz w:val="27"/>
          <w:szCs w:val="27"/>
          <w:lang w:eastAsia="pt-BR"/>
        </w:rPr>
        <w:t> </w:t>
      </w:r>
    </w:p>
    <w:p w14:paraId="4B21054D"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6. OBRIGAÇÕES DA CONTRATADA</w:t>
      </w:r>
    </w:p>
    <w:p w14:paraId="4CD5437F"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6.1. Fornecer o objeto de acordo com as especificações constantes neste Termo de Referência.</w:t>
      </w:r>
    </w:p>
    <w:p w14:paraId="2C8B47E3"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6.2. Entregar o solicitado no prazo de 05 (cinco) dias contados do recebimento da Ordem de Fornecimento.</w:t>
      </w:r>
    </w:p>
    <w:p w14:paraId="7651A6C1"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6.3. A Contratada se obriga também a refazer os materiais solicitados quando em desacordo com as especificações constantes da Ordem de Fornecimento ou quando estes apresentarem defeitos, sem ônus para a Contratante, em até 02 (dois) dias úteis, após comunicação da Contratante.</w:t>
      </w:r>
    </w:p>
    <w:p w14:paraId="35772B68"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6.4. A Contratada deverá manter sigilo absoluto sobre quaisquer dados e informações contidos em quaisquer documentos e mídias, incluindo os equipamentos e seus meios de armazenamento, de que venha a ter conhecimento durante a execução de seus serviços, não podendo, sob quaisquer pretextos, divulgar, reproduzir ou utilizar, sob penas da lei, independentemente da classificação de sigilo conferida pelo Contratante a tais documentos.</w:t>
      </w:r>
    </w:p>
    <w:p w14:paraId="37C900D6"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w:t>
      </w:r>
    </w:p>
    <w:p w14:paraId="3531D33B"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7. DA VIGÊNCIA DO AJUSTE</w:t>
      </w:r>
    </w:p>
    <w:p w14:paraId="53814ED5"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7.1. PRAZO CONTRATUAL de 24 (vinte e quatro) meses a contar da assinatura do contrato, com entregas parceladas, de acordo com as ordens de fornecimentos a serem emitidas pela Contratante. Podendo ser prorrogado pelo período máximo decimal, conforme artigo 107 da Lei 14.133/2021.</w:t>
      </w:r>
    </w:p>
    <w:p w14:paraId="22BA1766"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7.</w:t>
      </w:r>
      <w:proofErr w:type="gramStart"/>
      <w:r w:rsidRPr="00897F6E">
        <w:rPr>
          <w:rFonts w:ascii="Calibri" w:eastAsia="Times New Roman" w:hAnsi="Calibri" w:cs="Calibri"/>
          <w:color w:val="000000"/>
          <w:sz w:val="27"/>
          <w:szCs w:val="27"/>
          <w:lang w:eastAsia="pt-BR"/>
        </w:rPr>
        <w:t>2.Os</w:t>
      </w:r>
      <w:proofErr w:type="gramEnd"/>
      <w:r w:rsidRPr="00897F6E">
        <w:rPr>
          <w:rFonts w:ascii="Calibri" w:eastAsia="Times New Roman" w:hAnsi="Calibri" w:cs="Calibri"/>
          <w:color w:val="000000"/>
          <w:sz w:val="27"/>
          <w:szCs w:val="27"/>
          <w:lang w:eastAsia="pt-BR"/>
        </w:rPr>
        <w:t xml:space="preserve"> preços contratuais serão reajustados, observada a periodicidade anual que terá como termo inicial a data do orçamento estimado, desde que não ultrapasse o valor praticado no mercado.</w:t>
      </w:r>
    </w:p>
    <w:p w14:paraId="58206B9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lastRenderedPageBreak/>
        <w:t>7.2.2. O índice de reajuste será o Índice de Preços ao Consumidor – IPC, apurado pela Fundação Instituto de Pesquisas Econômicas – FIPE, válido no momento da aplicação do reajuste, nos termos da Portaria SF n.º 389/17, bem como Decreto Municipal nº 57.580/17.</w:t>
      </w:r>
    </w:p>
    <w:p w14:paraId="6ECD2B6B"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w:t>
      </w:r>
    </w:p>
    <w:p w14:paraId="5007895A"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8. DA FISCALIZAÇÃO</w:t>
      </w:r>
    </w:p>
    <w:p w14:paraId="4C2D27A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8.1. A fiscalização do presente ajuste será exercida por servidores designados para tal finalidade nos autos do processo, a quem competirá o acompanhamento e a fiscalização da execução do objeto de acordo com a legislação vigente sobre a matéria.</w:t>
      </w:r>
    </w:p>
    <w:p w14:paraId="7B57D37D"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w:t>
      </w:r>
    </w:p>
    <w:p w14:paraId="735952BA"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9. DO PAGAMENTO</w:t>
      </w:r>
    </w:p>
    <w:p w14:paraId="44C78E33"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9.1. O pagamento será realizado após 30 (trinta) dias da data do adimplemento do objeto, com emissão e entrega da Nota Fiscal e efetiva entrega do material, que se dará com o respectivo ateste. O ateste será dado pelo fiscal de contrato, no prazo de cinco dias úteis da entrega da Nota Fiscal.</w:t>
      </w:r>
    </w:p>
    <w:p w14:paraId="36A71245"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9.2. O pagamento será efetuado por crédito em conta corrente no Banco do Brasil, conforme disposto no Decreto nº 51.197/2010;</w:t>
      </w:r>
    </w:p>
    <w:p w14:paraId="4274AF71"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9.3. No valor já estão incluídas todas as despesas com fretes, seguros, taxas, tributos, contribuições e qualquer outra incidência fiscal, para fiscal e trabalhista decorrentes da execução do objeto deste contrato;</w:t>
      </w:r>
    </w:p>
    <w:p w14:paraId="117B5BBE"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9.4. A empresa deverá apresentar para liquidação e pagamento das despesas referentes à aquisição em pauta, os documentos constantes da Portaria S.F. nº 275 de 2024.</w:t>
      </w:r>
    </w:p>
    <w:p w14:paraId="447B4BC2" w14:textId="77777777" w:rsidR="00897F6E" w:rsidRPr="00897F6E" w:rsidRDefault="00897F6E" w:rsidP="00897F6E">
      <w:pPr>
        <w:spacing w:before="100" w:beforeAutospacing="1" w:after="100" w:afterAutospacing="1" w:line="240" w:lineRule="auto"/>
        <w:jc w:val="center"/>
        <w:rPr>
          <w:rFonts w:ascii="Calibri" w:eastAsia="Times New Roman" w:hAnsi="Calibri" w:cs="Calibri"/>
          <w:b/>
          <w:bCs/>
          <w:caps/>
          <w:color w:val="000000"/>
          <w:sz w:val="26"/>
          <w:szCs w:val="26"/>
          <w:lang w:eastAsia="pt-BR"/>
        </w:rPr>
      </w:pPr>
      <w:r w:rsidRPr="00897F6E">
        <w:rPr>
          <w:rFonts w:ascii="Calibri" w:eastAsia="Times New Roman" w:hAnsi="Calibri" w:cs="Calibri"/>
          <w:b/>
          <w:bCs/>
          <w:caps/>
          <w:color w:val="000000"/>
          <w:sz w:val="26"/>
          <w:szCs w:val="26"/>
          <w:lang w:eastAsia="pt-BR"/>
        </w:rPr>
        <w:t> </w:t>
      </w:r>
    </w:p>
    <w:p w14:paraId="4916331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 DAS SANÇÕES</w:t>
      </w:r>
    </w:p>
    <w:p w14:paraId="73B386A5"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10.1 Além das sanções previstas na Lei Federal n. 14.133/2021 e demais normas pertinentes, o fornecedor estará sujeito às penalidades a seguir discriminadas:</w:t>
      </w:r>
    </w:p>
    <w:p w14:paraId="4941611A"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10.2. 0,5% (meio por cento) sobre o valor do ajuste por dia de atraso, até o limite de 10 dias.</w:t>
      </w:r>
    </w:p>
    <w:p w14:paraId="6C36F158"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10.3. A partir do 11º (decimo primeiro dia) de atraso, inclusive, a multa será de 0,75% (zero setenta e cinco por cento) diária.</w:t>
      </w:r>
    </w:p>
    <w:p w14:paraId="12D5A113"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10.4 Decorrido o atraso superior a 20 (vinte) dias na entrega, a contratante poderá, a seu critério e devidamente justificadas:</w:t>
      </w:r>
    </w:p>
    <w:p w14:paraId="28912328"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lastRenderedPageBreak/>
        <w:t>10.5 Restar configurada a inexecução total do ajuste, operando-se sua rescisão.</w:t>
      </w:r>
    </w:p>
    <w:p w14:paraId="62FE736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10.6 Aguardar a entrega dos materiais, com aplicação de 0,75% por dia de atraso.</w:t>
      </w:r>
    </w:p>
    <w:p w14:paraId="569ED16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10.7. A decisão do item 10.2 e 10.3 poderá ser revista a qualquer tempo.</w:t>
      </w:r>
    </w:p>
    <w:p w14:paraId="25D4F840"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10.8. 3% por descumprimento contido no item 5.2.</w:t>
      </w:r>
    </w:p>
    <w:p w14:paraId="764464D2"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10.9. 20% por inexecução parcial sobre a parcela não executada.</w:t>
      </w:r>
    </w:p>
    <w:p w14:paraId="38DCC79F"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10.10 25% por inexecução total, sem prejuízo de, a critério da Administração, aplicar-se pena de suspensão temporária do direito de licitar e contratar com a Administração Pública, pelo prazo de até 2 (dois) anos.</w:t>
      </w:r>
    </w:p>
    <w:p w14:paraId="08E2F801"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10.11 Multa de 1% (um por cento) por descumprimento de quaisquer das obrigações decorrentes deste ajuste não contempladas nos subitens acima, sempre sobre o valor total do contrato.</w:t>
      </w:r>
    </w:p>
    <w:p w14:paraId="0650FEA8"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10.12. As sanções são independentes e a aplicação de uma não exclui a das outras, mas não podem exceder o valor da multa por inexecução total.</w:t>
      </w:r>
    </w:p>
    <w:p w14:paraId="6C4620A9"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10.13 O prazo para pagamento das multas será de 05 (cinco) dias úteis da intimação da contratada.</w:t>
      </w:r>
    </w:p>
    <w:p w14:paraId="595FE4F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10.14 A critério da Administração, e em sendo possível, o valor devido será descontado da importância que a empresa tenha a receber da Administração Pública no âmbito deste ajuste, nos termos do contido na Portaria SF nº 275/2024. Não havendo pagamento pela empresa, o valor será inscrito como dívida ativa, sujeitando a devedora a processo judicial de execução.</w:t>
      </w:r>
    </w:p>
    <w:p w14:paraId="4EE07F79"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10.15. 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w:t>
      </w:r>
    </w:p>
    <w:p w14:paraId="15871C54" w14:textId="128EF15B"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xml:space="preserve">10.16. Das decisões de aplicação de penalidade caberá recurso, nos termos </w:t>
      </w:r>
      <w:proofErr w:type="gramStart"/>
      <w:r w:rsidRPr="00897F6E">
        <w:rPr>
          <w:rFonts w:ascii="Calibri" w:eastAsia="Times New Roman" w:hAnsi="Calibri" w:cs="Calibri"/>
          <w:color w:val="000000"/>
          <w:sz w:val="27"/>
          <w:szCs w:val="27"/>
          <w:lang w:eastAsia="pt-BR"/>
        </w:rPr>
        <w:t>do  contido</w:t>
      </w:r>
      <w:proofErr w:type="gramEnd"/>
      <w:r w:rsidRPr="00897F6E">
        <w:rPr>
          <w:rFonts w:ascii="Calibri" w:eastAsia="Times New Roman" w:hAnsi="Calibri" w:cs="Calibri"/>
          <w:color w:val="000000"/>
          <w:sz w:val="27"/>
          <w:szCs w:val="27"/>
          <w:lang w:eastAsia="pt-BR"/>
        </w:rPr>
        <w:t xml:space="preserve"> na Lei 14.133/2021.</w:t>
      </w:r>
    </w:p>
    <w:p w14:paraId="7B566E0C"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w:t>
      </w:r>
    </w:p>
    <w:p w14:paraId="3DC8B0A7"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11. CLÁUSULA ANTICORRUPÇÃO</w:t>
      </w:r>
    </w:p>
    <w:p w14:paraId="572DDEE4"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xml:space="preserve">11.1. Para a execução deste contrato, nenhuma das partes poderá oferecer, dar ou se comprometer a dar a quem quer que seja, ou aceitar ou se comprometer a aceitar de quem quer que seja, tanto por conta própria </w:t>
      </w:r>
      <w:r w:rsidRPr="00897F6E">
        <w:rPr>
          <w:rFonts w:ascii="Calibri" w:eastAsia="Times New Roman" w:hAnsi="Calibri" w:cs="Calibri"/>
          <w:color w:val="000000"/>
          <w:sz w:val="27"/>
          <w:szCs w:val="27"/>
          <w:lang w:eastAsia="pt-BR"/>
        </w:rPr>
        <w:lastRenderedPageBreak/>
        <w:t>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15CCC412"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w:t>
      </w:r>
    </w:p>
    <w:p w14:paraId="6B8AA7F3"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w:t>
      </w:r>
    </w:p>
    <w:p w14:paraId="415A0512" w14:textId="77777777" w:rsidR="00897F6E" w:rsidRPr="00897F6E" w:rsidRDefault="00897F6E" w:rsidP="00897F6E">
      <w:pPr>
        <w:spacing w:before="120" w:after="120" w:line="240" w:lineRule="auto"/>
        <w:ind w:left="120" w:right="120"/>
        <w:jc w:val="both"/>
        <w:rPr>
          <w:rFonts w:ascii="Calibri" w:eastAsia="Times New Roman" w:hAnsi="Calibri" w:cs="Calibri"/>
          <w:color w:val="000000"/>
          <w:sz w:val="27"/>
          <w:szCs w:val="27"/>
          <w:lang w:eastAsia="pt-BR"/>
        </w:rPr>
      </w:pPr>
      <w:r w:rsidRPr="00897F6E">
        <w:rPr>
          <w:rFonts w:ascii="Calibri" w:eastAsia="Times New Roman" w:hAnsi="Calibri" w:cs="Calibri"/>
          <w:color w:val="000000"/>
          <w:sz w:val="27"/>
          <w:szCs w:val="27"/>
          <w:lang w:eastAsia="pt-BR"/>
        </w:rPr>
        <w:t> </w:t>
      </w:r>
    </w:p>
    <w:p w14:paraId="0CA1729C" w14:textId="77777777" w:rsidR="00195A72" w:rsidRDefault="00195A72"/>
    <w:sectPr w:rsidR="00195A7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6E"/>
    <w:rsid w:val="00195A72"/>
    <w:rsid w:val="00897F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C5E39"/>
  <w15:chartTrackingRefBased/>
  <w15:docId w15:val="{30749478-947C-4DF9-87ED-CA1D7D780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
    <w:name w:val="texto_centralizado"/>
    <w:basedOn w:val="Normal"/>
    <w:rsid w:val="00897F6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97F6E"/>
    <w:rPr>
      <w:b/>
      <w:bCs/>
    </w:rPr>
  </w:style>
  <w:style w:type="paragraph" w:customStyle="1" w:styleId="textojustificado">
    <w:name w:val="texto_justificado"/>
    <w:basedOn w:val="Normal"/>
    <w:rsid w:val="00897F6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897F6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897F6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897F6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negrito">
    <w:name w:val="texto_centralizado_maiusculas_negrito"/>
    <w:basedOn w:val="Normal"/>
    <w:rsid w:val="00897F6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12300">
      <w:bodyDiv w:val="1"/>
      <w:marLeft w:val="0"/>
      <w:marRight w:val="0"/>
      <w:marTop w:val="0"/>
      <w:marBottom w:val="0"/>
      <w:divBdr>
        <w:top w:val="none" w:sz="0" w:space="0" w:color="auto"/>
        <w:left w:val="none" w:sz="0" w:space="0" w:color="auto"/>
        <w:bottom w:val="none" w:sz="0" w:space="0" w:color="auto"/>
        <w:right w:val="none" w:sz="0" w:space="0" w:color="auto"/>
      </w:divBdr>
      <w:divsChild>
        <w:div w:id="300887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1258</Words>
  <Characters>6794</Characters>
  <Application>Microsoft Office Word</Application>
  <DocSecurity>0</DocSecurity>
  <Lines>56</Lines>
  <Paragraphs>16</Paragraphs>
  <ScaleCrop>false</ScaleCrop>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de Oliveira Campos Saraiva</dc:creator>
  <cp:keywords/>
  <dc:description/>
  <cp:lastModifiedBy>Sonia de Oliveira Campos Saraiva</cp:lastModifiedBy>
  <cp:revision>1</cp:revision>
  <dcterms:created xsi:type="dcterms:W3CDTF">2025-03-13T19:10:00Z</dcterms:created>
  <dcterms:modified xsi:type="dcterms:W3CDTF">2025-03-13T19:10:00Z</dcterms:modified>
</cp:coreProperties>
</file>