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26407" w14:textId="69A67EC1" w:rsidR="007E17EE" w:rsidRPr="00EE3AB1" w:rsidRDefault="007E17EE" w:rsidP="00EE3AB1">
      <w:pPr>
        <w:spacing w:before="160" w:line="276" w:lineRule="auto"/>
        <w:ind w:firstLine="1134"/>
        <w:jc w:val="both"/>
        <w:rPr>
          <w:rFonts w:ascii="Cambria" w:hAnsi="Cambria" w:cs="Courier New"/>
          <w:b/>
          <w:u w:val="single"/>
        </w:rPr>
      </w:pPr>
      <w:r w:rsidRPr="00EE3AB1">
        <w:rPr>
          <w:rFonts w:ascii="Cambria" w:hAnsi="Cambria" w:cs="Courier New"/>
          <w:b/>
          <w:u w:val="single"/>
        </w:rPr>
        <w:t xml:space="preserve">DECISÃO </w:t>
      </w:r>
      <w:r w:rsidR="00A85DF0" w:rsidRPr="00EE3AB1">
        <w:rPr>
          <w:rFonts w:ascii="Cambria" w:hAnsi="Cambria" w:cs="Courier New"/>
          <w:b/>
          <w:u w:val="single"/>
        </w:rPr>
        <w:t>ANULATÓRIA</w:t>
      </w:r>
    </w:p>
    <w:p w14:paraId="65623863" w14:textId="1CB0B9ED" w:rsidR="00A85DF0" w:rsidRPr="00A85DF0" w:rsidRDefault="00721A7B" w:rsidP="00EE3AB1">
      <w:pPr>
        <w:spacing w:before="160" w:line="240" w:lineRule="auto"/>
        <w:ind w:firstLine="1134"/>
        <w:jc w:val="both"/>
        <w:rPr>
          <w:rFonts w:ascii="Cambria" w:eastAsia="Times New Roman" w:hAnsi="Cambria" w:cs="Times New Roman"/>
          <w:lang w:eastAsia="pt-BR"/>
        </w:rPr>
      </w:pPr>
      <w:r w:rsidRPr="00EE3AB1">
        <w:rPr>
          <w:rFonts w:ascii="Cambria" w:eastAsia="Times New Roman" w:hAnsi="Cambria" w:cs="Times New Roman"/>
          <w:lang w:eastAsia="pt-BR"/>
        </w:rPr>
        <w:t xml:space="preserve">Após o </w:t>
      </w:r>
      <w:r w:rsidR="00A85DF0" w:rsidRPr="00A85DF0">
        <w:rPr>
          <w:rFonts w:ascii="Cambria" w:eastAsia="Times New Roman" w:hAnsi="Cambria" w:cs="Times New Roman"/>
          <w:lang w:eastAsia="pt-BR"/>
        </w:rPr>
        <w:t xml:space="preserve">processo licitatório nº </w:t>
      </w:r>
      <w:r w:rsidR="00016196" w:rsidRPr="00EE3AB1">
        <w:rPr>
          <w:rFonts w:ascii="Cambria" w:eastAsia="Times New Roman" w:hAnsi="Cambria" w:cs="Times New Roman"/>
          <w:lang w:eastAsia="pt-BR"/>
        </w:rPr>
        <w:t>91/2025</w:t>
      </w:r>
      <w:r w:rsidR="00A85DF0" w:rsidRPr="00A85DF0">
        <w:rPr>
          <w:rFonts w:ascii="Cambria" w:eastAsia="Times New Roman" w:hAnsi="Cambria" w:cs="Times New Roman"/>
          <w:lang w:eastAsia="pt-BR"/>
        </w:rPr>
        <w:t xml:space="preserve">, instaurado por esta </w:t>
      </w:r>
      <w:r w:rsidR="00016196" w:rsidRPr="00EE3AB1">
        <w:rPr>
          <w:rFonts w:ascii="Cambria" w:eastAsia="Times New Roman" w:hAnsi="Cambria" w:cs="Times New Roman"/>
          <w:lang w:eastAsia="pt-BR"/>
        </w:rPr>
        <w:t xml:space="preserve">Casa Legislativa na modalidade Pregão Eletrônico nº 10/2025, </w:t>
      </w:r>
      <w:r w:rsidR="00B7661C" w:rsidRPr="00EE3AB1">
        <w:rPr>
          <w:rFonts w:ascii="Cambria" w:eastAsia="Times New Roman" w:hAnsi="Cambria" w:cs="Times New Roman"/>
          <w:lang w:eastAsia="pt-BR"/>
        </w:rPr>
        <w:t xml:space="preserve">tendo como </w:t>
      </w:r>
      <w:r w:rsidR="00016196" w:rsidRPr="00EE3AB1">
        <w:rPr>
          <w:rFonts w:ascii="Cambria" w:eastAsia="Times New Roman" w:hAnsi="Cambria" w:cs="Times New Roman"/>
          <w:lang w:eastAsia="pt-BR"/>
        </w:rPr>
        <w:t xml:space="preserve">objeto a aquisição de computadores, tablets e demais equipamentos de </w:t>
      </w:r>
      <w:r w:rsidR="00B7661C" w:rsidRPr="00EE3AB1">
        <w:rPr>
          <w:rFonts w:ascii="Cambria" w:eastAsia="Times New Roman" w:hAnsi="Cambria" w:cs="Times New Roman"/>
          <w:lang w:eastAsia="pt-BR"/>
        </w:rPr>
        <w:t>informática</w:t>
      </w:r>
      <w:r w:rsidR="00A85DF0" w:rsidRPr="00A85DF0">
        <w:rPr>
          <w:rFonts w:ascii="Cambria" w:eastAsia="Times New Roman" w:hAnsi="Cambria" w:cs="Times New Roman"/>
          <w:lang w:eastAsia="pt-BR"/>
        </w:rPr>
        <w:t xml:space="preserve">, </w:t>
      </w:r>
      <w:r w:rsidRPr="00EE3AB1">
        <w:rPr>
          <w:rFonts w:ascii="Cambria" w:eastAsia="Times New Roman" w:hAnsi="Cambria" w:cs="Times New Roman"/>
          <w:lang w:eastAsia="pt-BR"/>
        </w:rPr>
        <w:t xml:space="preserve">tramitar </w:t>
      </w:r>
      <w:r w:rsidR="00B7661C" w:rsidRPr="00EE3AB1">
        <w:rPr>
          <w:rFonts w:ascii="Cambria" w:eastAsia="Times New Roman" w:hAnsi="Cambria" w:cs="Times New Roman"/>
          <w:lang w:eastAsia="pt-BR"/>
        </w:rPr>
        <w:t>pela</w:t>
      </w:r>
      <w:r w:rsidR="0025200A" w:rsidRPr="00EE3AB1">
        <w:rPr>
          <w:rFonts w:ascii="Cambria" w:eastAsia="Times New Roman" w:hAnsi="Cambria" w:cs="Times New Roman"/>
          <w:lang w:eastAsia="pt-BR"/>
        </w:rPr>
        <w:t>s</w:t>
      </w:r>
      <w:r w:rsidR="00B7661C" w:rsidRPr="00EE3AB1">
        <w:rPr>
          <w:rFonts w:ascii="Cambria" w:eastAsia="Times New Roman" w:hAnsi="Cambria" w:cs="Times New Roman"/>
          <w:lang w:eastAsia="pt-BR"/>
        </w:rPr>
        <w:t xml:space="preserve"> </w:t>
      </w:r>
      <w:r w:rsidR="00A85DF0" w:rsidRPr="00A85DF0">
        <w:rPr>
          <w:rFonts w:ascii="Cambria" w:eastAsia="Times New Roman" w:hAnsi="Cambria" w:cs="Times New Roman"/>
          <w:lang w:eastAsia="pt-BR"/>
        </w:rPr>
        <w:t>fase</w:t>
      </w:r>
      <w:r w:rsidR="0025200A" w:rsidRPr="00EE3AB1">
        <w:rPr>
          <w:rFonts w:ascii="Cambria" w:eastAsia="Times New Roman" w:hAnsi="Cambria" w:cs="Times New Roman"/>
          <w:lang w:eastAsia="pt-BR"/>
        </w:rPr>
        <w:t>s</w:t>
      </w:r>
      <w:r w:rsidR="00A85DF0" w:rsidRPr="00A85DF0">
        <w:rPr>
          <w:rFonts w:ascii="Cambria" w:eastAsia="Times New Roman" w:hAnsi="Cambria" w:cs="Times New Roman"/>
          <w:lang w:eastAsia="pt-BR"/>
        </w:rPr>
        <w:t xml:space="preserve"> </w:t>
      </w:r>
      <w:r w:rsidR="0025200A" w:rsidRPr="00EE3AB1">
        <w:rPr>
          <w:rFonts w:ascii="Cambria" w:eastAsia="Times New Roman" w:hAnsi="Cambria" w:cs="Times New Roman"/>
          <w:lang w:eastAsia="pt-BR"/>
        </w:rPr>
        <w:t xml:space="preserve">preparatória, </w:t>
      </w:r>
      <w:r w:rsidR="00A85DF0" w:rsidRPr="00A85DF0">
        <w:rPr>
          <w:rFonts w:ascii="Cambria" w:eastAsia="Times New Roman" w:hAnsi="Cambria" w:cs="Times New Roman"/>
          <w:lang w:eastAsia="pt-BR"/>
        </w:rPr>
        <w:t>de julgamento das propostas</w:t>
      </w:r>
      <w:r w:rsidR="00B7661C" w:rsidRPr="00EE3AB1">
        <w:rPr>
          <w:rFonts w:ascii="Cambria" w:eastAsia="Times New Roman" w:hAnsi="Cambria" w:cs="Times New Roman"/>
          <w:lang w:eastAsia="pt-BR"/>
        </w:rPr>
        <w:t xml:space="preserve"> e da análise </w:t>
      </w:r>
      <w:r w:rsidR="0025200A" w:rsidRPr="00EE3AB1">
        <w:rPr>
          <w:rFonts w:ascii="Cambria" w:eastAsia="Times New Roman" w:hAnsi="Cambria" w:cs="Times New Roman"/>
          <w:lang w:eastAsia="pt-BR"/>
        </w:rPr>
        <w:t>dos documentos de habilitação</w:t>
      </w:r>
      <w:r w:rsidR="00A85DF0" w:rsidRPr="00A85DF0">
        <w:rPr>
          <w:rFonts w:ascii="Cambria" w:eastAsia="Times New Roman" w:hAnsi="Cambria" w:cs="Times New Roman"/>
          <w:lang w:eastAsia="pt-BR"/>
        </w:rPr>
        <w:t>, a fiscalização do Tribunal de Contas do Estado de Minas Gerais (TCE-MG), identific</w:t>
      </w:r>
      <w:r w:rsidRPr="00EE3AB1">
        <w:rPr>
          <w:rFonts w:ascii="Cambria" w:eastAsia="Times New Roman" w:hAnsi="Cambria" w:cs="Times New Roman"/>
          <w:lang w:eastAsia="pt-BR"/>
        </w:rPr>
        <w:t>ou</w:t>
      </w:r>
      <w:r w:rsidR="00A85DF0" w:rsidRPr="00A85DF0">
        <w:rPr>
          <w:rFonts w:ascii="Cambria" w:eastAsia="Times New Roman" w:hAnsi="Cambria" w:cs="Times New Roman"/>
          <w:lang w:eastAsia="pt-BR"/>
        </w:rPr>
        <w:t xml:space="preserve"> a existência de vício insanável na fase preparatória do certame</w:t>
      </w:r>
      <w:r w:rsidR="00102274" w:rsidRPr="00EE3AB1">
        <w:rPr>
          <w:rFonts w:ascii="Cambria" w:eastAsia="Times New Roman" w:hAnsi="Cambria" w:cs="Times New Roman"/>
          <w:lang w:eastAsia="pt-BR"/>
        </w:rPr>
        <w:t xml:space="preserve"> no sentido de que </w:t>
      </w:r>
      <w:r w:rsidR="00102274" w:rsidRPr="00EE3AB1">
        <w:rPr>
          <w:rFonts w:ascii="Cambria" w:eastAsia="Times New Roman" w:hAnsi="Cambria" w:cs="Times New Roman"/>
          <w:i/>
          <w:iCs/>
          <w:lang w:eastAsia="pt-BR"/>
        </w:rPr>
        <w:t xml:space="preserve">“[...] </w:t>
      </w:r>
      <w:r w:rsidR="001651C7" w:rsidRPr="00EE3AB1">
        <w:rPr>
          <w:rFonts w:ascii="Cambria" w:eastAsia="Times New Roman" w:hAnsi="Cambria" w:cs="Times New Roman"/>
          <w:i/>
          <w:iCs/>
          <w:lang w:eastAsia="pt-BR"/>
        </w:rPr>
        <w:t xml:space="preserve">em análise nesta data, após detecção eletrônica, que no processo licitatório em epígrafe objetiva-se a aquisição de computadores, tablets e equipamentos </w:t>
      </w:r>
      <w:r w:rsidR="00B910D2" w:rsidRPr="00EE3AB1">
        <w:rPr>
          <w:rFonts w:ascii="Cambria" w:eastAsia="Times New Roman" w:hAnsi="Cambria" w:cs="Times New Roman"/>
          <w:i/>
          <w:iCs/>
          <w:lang w:eastAsia="pt-BR"/>
        </w:rPr>
        <w:t xml:space="preserve">de informática de marcas e modelos específicos, </w:t>
      </w:r>
      <w:r w:rsidR="00B910D2" w:rsidRPr="00EE3AB1">
        <w:rPr>
          <w:rFonts w:ascii="Cambria" w:eastAsia="Times New Roman" w:hAnsi="Cambria" w:cs="Times New Roman"/>
          <w:b/>
          <w:bCs/>
          <w:i/>
          <w:iCs/>
          <w:lang w:eastAsia="pt-BR"/>
        </w:rPr>
        <w:t>sem que fosse detectada no Edital a correspondente justificativa</w:t>
      </w:r>
      <w:r w:rsidR="00B910D2" w:rsidRPr="00EE3AB1">
        <w:rPr>
          <w:rFonts w:ascii="Cambria" w:eastAsia="Times New Roman" w:hAnsi="Cambria" w:cs="Times New Roman"/>
          <w:i/>
          <w:iCs/>
          <w:lang w:eastAsia="pt-BR"/>
        </w:rPr>
        <w:t>.”</w:t>
      </w:r>
      <w:r w:rsidR="00922B69" w:rsidRPr="00EE3AB1">
        <w:rPr>
          <w:rFonts w:ascii="Cambria" w:eastAsia="Times New Roman" w:hAnsi="Cambria" w:cs="Times New Roman"/>
          <w:i/>
          <w:iCs/>
          <w:vertAlign w:val="superscript"/>
          <w:lang w:eastAsia="pt-BR"/>
        </w:rPr>
        <w:t xml:space="preserve"> Original sem grifo</w:t>
      </w:r>
      <w:r w:rsidR="00FE7368" w:rsidRPr="00EE3AB1">
        <w:rPr>
          <w:rFonts w:ascii="Cambria" w:eastAsia="Times New Roman" w:hAnsi="Cambria" w:cs="Times New Roman"/>
          <w:lang w:eastAsia="pt-BR"/>
        </w:rPr>
        <w:t>, fls. 352/354.</w:t>
      </w:r>
    </w:p>
    <w:p w14:paraId="041A293A" w14:textId="11579D33" w:rsidR="00A85DF0" w:rsidRPr="00EE3AB1" w:rsidRDefault="00A85DF0" w:rsidP="00EE3AB1">
      <w:pPr>
        <w:spacing w:before="160" w:line="240" w:lineRule="auto"/>
        <w:ind w:firstLine="1134"/>
        <w:jc w:val="both"/>
        <w:rPr>
          <w:rFonts w:ascii="Cambria" w:eastAsia="Times New Roman" w:hAnsi="Cambria" w:cs="Times New Roman"/>
          <w:lang w:eastAsia="pt-BR"/>
        </w:rPr>
      </w:pPr>
      <w:r w:rsidRPr="00A85DF0">
        <w:rPr>
          <w:rFonts w:ascii="Cambria" w:eastAsia="Times New Roman" w:hAnsi="Cambria" w:cs="Times New Roman"/>
          <w:lang w:eastAsia="pt-BR"/>
        </w:rPr>
        <w:t>A análise técnica do TCE-MG apontou que o vício</w:t>
      </w:r>
      <w:r w:rsidR="00BA2EE7" w:rsidRPr="00EE3AB1">
        <w:rPr>
          <w:rFonts w:ascii="Cambria" w:eastAsia="Times New Roman" w:hAnsi="Cambria" w:cs="Times New Roman"/>
          <w:lang w:eastAsia="pt-BR"/>
        </w:rPr>
        <w:t xml:space="preserve"> apurado</w:t>
      </w:r>
      <w:r w:rsidRPr="00A85DF0">
        <w:rPr>
          <w:rFonts w:ascii="Cambria" w:eastAsia="Times New Roman" w:hAnsi="Cambria" w:cs="Times New Roman"/>
          <w:lang w:eastAsia="pt-BR"/>
        </w:rPr>
        <w:t xml:space="preserve"> em questão comprometeu a legalidade e a isonomia do procedimento licitatório, impossibilitando sua convalidação e posterior homologação. Trata-se de falha relacionada</w:t>
      </w:r>
      <w:r w:rsidR="00800400" w:rsidRPr="00EE3AB1">
        <w:rPr>
          <w:rFonts w:ascii="Cambria" w:eastAsia="Times New Roman" w:hAnsi="Cambria" w:cs="Times New Roman"/>
          <w:lang w:eastAsia="pt-BR"/>
        </w:rPr>
        <w:t xml:space="preserve">, somente e </w:t>
      </w:r>
      <w:r w:rsidR="00692AC5" w:rsidRPr="00EE3AB1">
        <w:rPr>
          <w:rFonts w:ascii="Cambria" w:eastAsia="Times New Roman" w:hAnsi="Cambria" w:cs="Times New Roman"/>
          <w:lang w:eastAsia="pt-BR"/>
        </w:rPr>
        <w:t>tão somente,</w:t>
      </w:r>
      <w:r w:rsidRPr="00A85DF0">
        <w:rPr>
          <w:rFonts w:ascii="Cambria" w:eastAsia="Times New Roman" w:hAnsi="Cambria" w:cs="Times New Roman"/>
          <w:lang w:eastAsia="pt-BR"/>
        </w:rPr>
        <w:t xml:space="preserve"> </w:t>
      </w:r>
      <w:r w:rsidR="00692AC5" w:rsidRPr="00EE3AB1">
        <w:rPr>
          <w:rFonts w:ascii="Cambria" w:eastAsia="Times New Roman" w:hAnsi="Cambria" w:cs="Times New Roman"/>
          <w:lang w:eastAsia="pt-BR"/>
        </w:rPr>
        <w:t>à</w:t>
      </w:r>
      <w:r w:rsidRPr="00A85DF0">
        <w:rPr>
          <w:rFonts w:ascii="Cambria" w:eastAsia="Times New Roman" w:hAnsi="Cambria" w:cs="Times New Roman"/>
          <w:lang w:eastAsia="pt-BR"/>
        </w:rPr>
        <w:t xml:space="preserve"> </w:t>
      </w:r>
      <w:r w:rsidR="00E76E5B" w:rsidRPr="00EE3AB1">
        <w:rPr>
          <w:rFonts w:ascii="Cambria" w:eastAsia="Times New Roman" w:hAnsi="Cambria" w:cs="Times New Roman"/>
          <w:b/>
          <w:bCs/>
          <w:lang w:eastAsia="pt-BR"/>
        </w:rPr>
        <w:t>ausência de jus</w:t>
      </w:r>
      <w:r w:rsidR="00800400" w:rsidRPr="00EE3AB1">
        <w:rPr>
          <w:rFonts w:ascii="Cambria" w:eastAsia="Times New Roman" w:hAnsi="Cambria" w:cs="Times New Roman"/>
          <w:b/>
          <w:bCs/>
          <w:lang w:eastAsia="pt-BR"/>
        </w:rPr>
        <w:t xml:space="preserve">tificativa </w:t>
      </w:r>
      <w:r w:rsidR="00692AC5" w:rsidRPr="00EE3AB1">
        <w:rPr>
          <w:rFonts w:ascii="Cambria" w:eastAsia="Times New Roman" w:hAnsi="Cambria" w:cs="Times New Roman"/>
          <w:b/>
          <w:bCs/>
          <w:lang w:eastAsia="pt-BR"/>
        </w:rPr>
        <w:t xml:space="preserve">técnica </w:t>
      </w:r>
      <w:r w:rsidR="00382C00" w:rsidRPr="00EE3AB1">
        <w:rPr>
          <w:rFonts w:ascii="Cambria" w:eastAsia="Times New Roman" w:hAnsi="Cambria" w:cs="Times New Roman"/>
          <w:b/>
          <w:bCs/>
          <w:lang w:eastAsia="pt-BR"/>
        </w:rPr>
        <w:t xml:space="preserve">para a indicação </w:t>
      </w:r>
      <w:r w:rsidR="00800400" w:rsidRPr="00EE3AB1">
        <w:rPr>
          <w:rFonts w:ascii="Cambria" w:eastAsia="Times New Roman" w:hAnsi="Cambria" w:cs="Times New Roman"/>
          <w:b/>
          <w:bCs/>
          <w:lang w:eastAsia="pt-BR"/>
        </w:rPr>
        <w:t>de marca</w:t>
      </w:r>
      <w:r w:rsidR="00913950" w:rsidRPr="00EE3AB1">
        <w:rPr>
          <w:rFonts w:ascii="Cambria" w:eastAsia="Times New Roman" w:hAnsi="Cambria" w:cs="Times New Roman"/>
          <w:b/>
          <w:bCs/>
          <w:lang w:eastAsia="pt-BR"/>
        </w:rPr>
        <w:t>s</w:t>
      </w:r>
      <w:r w:rsidR="00800400" w:rsidRPr="00EE3AB1">
        <w:rPr>
          <w:rFonts w:ascii="Cambria" w:eastAsia="Times New Roman" w:hAnsi="Cambria" w:cs="Times New Roman"/>
          <w:b/>
          <w:bCs/>
          <w:lang w:eastAsia="pt-BR"/>
        </w:rPr>
        <w:t>/modelos</w:t>
      </w:r>
      <w:r w:rsidR="00913950" w:rsidRPr="00EE3AB1">
        <w:rPr>
          <w:rFonts w:ascii="Cambria" w:eastAsia="Times New Roman" w:hAnsi="Cambria" w:cs="Times New Roman"/>
          <w:b/>
          <w:bCs/>
          <w:lang w:eastAsia="pt-BR"/>
        </w:rPr>
        <w:t xml:space="preserve"> dos equipamentos tecnológicos</w:t>
      </w:r>
      <w:r w:rsidRPr="00A85DF0">
        <w:rPr>
          <w:rFonts w:ascii="Cambria" w:eastAsia="Times New Roman" w:hAnsi="Cambria" w:cs="Times New Roman"/>
          <w:lang w:eastAsia="pt-BR"/>
        </w:rPr>
        <w:t>, o que contraria os princípios previstos na Lei n.º 14.133</w:t>
      </w:r>
      <w:r w:rsidR="00913950" w:rsidRPr="00EE3AB1">
        <w:rPr>
          <w:rFonts w:ascii="Cambria" w:eastAsia="Times New Roman" w:hAnsi="Cambria" w:cs="Times New Roman"/>
          <w:lang w:eastAsia="pt-BR"/>
        </w:rPr>
        <w:t xml:space="preserve"> de </w:t>
      </w:r>
      <w:r w:rsidRPr="00A85DF0">
        <w:rPr>
          <w:rFonts w:ascii="Cambria" w:eastAsia="Times New Roman" w:hAnsi="Cambria" w:cs="Times New Roman"/>
          <w:lang w:eastAsia="pt-BR"/>
        </w:rPr>
        <w:t>2021, especialmente os da legalidade, isonomia</w:t>
      </w:r>
      <w:r w:rsidR="00913950" w:rsidRPr="00EE3AB1">
        <w:rPr>
          <w:rFonts w:ascii="Cambria" w:eastAsia="Times New Roman" w:hAnsi="Cambria" w:cs="Times New Roman"/>
          <w:lang w:eastAsia="pt-BR"/>
        </w:rPr>
        <w:t xml:space="preserve"> e </w:t>
      </w:r>
      <w:r w:rsidRPr="00A85DF0">
        <w:rPr>
          <w:rFonts w:ascii="Cambria" w:eastAsia="Times New Roman" w:hAnsi="Cambria" w:cs="Times New Roman"/>
          <w:lang w:eastAsia="pt-BR"/>
        </w:rPr>
        <w:t>vinculação ao instrumento.</w:t>
      </w:r>
    </w:p>
    <w:p w14:paraId="0F18E89B" w14:textId="77777777" w:rsidR="00D55770" w:rsidRPr="00EE3AB1" w:rsidRDefault="006D522F" w:rsidP="00EE3AB1">
      <w:pPr>
        <w:spacing w:before="160" w:line="240" w:lineRule="auto"/>
        <w:ind w:firstLine="1134"/>
        <w:jc w:val="both"/>
        <w:rPr>
          <w:rFonts w:ascii="Cambria" w:hAnsi="Cambria"/>
        </w:rPr>
      </w:pPr>
      <w:r w:rsidRPr="00EE3AB1">
        <w:rPr>
          <w:rFonts w:ascii="Cambria" w:hAnsi="Cambria"/>
        </w:rPr>
        <w:t>O Diretor de Informática desta Casa manifestou-se nos autos</w:t>
      </w:r>
      <w:r w:rsidRPr="00EE3AB1">
        <w:rPr>
          <w:rFonts w:ascii="Cambria" w:hAnsi="Cambria"/>
        </w:rPr>
        <w:t xml:space="preserve">, fls. </w:t>
      </w:r>
      <w:r w:rsidR="00D55770" w:rsidRPr="00EE3AB1">
        <w:rPr>
          <w:rFonts w:ascii="Cambria" w:hAnsi="Cambria"/>
        </w:rPr>
        <w:t>356/358,</w:t>
      </w:r>
      <w:r w:rsidRPr="00EE3AB1">
        <w:rPr>
          <w:rFonts w:ascii="Cambria" w:hAnsi="Cambria"/>
        </w:rPr>
        <w:t xml:space="preserve"> esclarecendo que o equívoco identificado pela fiscalização do Tribunal de Contas do Estado de Minas Gerais decorre da ausência de expressa justificativa técnica no Termo de Referência quanto à indicação das marcas e modelos especificados, </w:t>
      </w:r>
      <w:r w:rsidRPr="00EE3AB1">
        <w:rPr>
          <w:rFonts w:ascii="Cambria" w:hAnsi="Cambria"/>
          <w:u w:val="single"/>
        </w:rPr>
        <w:t>embora tal justificativa de fato exista</w:t>
      </w:r>
      <w:r w:rsidRPr="00EE3AB1">
        <w:rPr>
          <w:rFonts w:ascii="Cambria" w:hAnsi="Cambria"/>
        </w:rPr>
        <w:t xml:space="preserve"> e tenha fundamentado a escolha </w:t>
      </w:r>
      <w:r w:rsidR="00D55770" w:rsidRPr="00EE3AB1">
        <w:rPr>
          <w:rFonts w:ascii="Cambria" w:hAnsi="Cambria"/>
        </w:rPr>
        <w:t xml:space="preserve">das marcas/modelos para os </w:t>
      </w:r>
      <w:r w:rsidRPr="00EE3AB1">
        <w:rPr>
          <w:rFonts w:ascii="Cambria" w:hAnsi="Cambria"/>
        </w:rPr>
        <w:t>itens pretendidos.</w:t>
      </w:r>
    </w:p>
    <w:p w14:paraId="69366A38" w14:textId="4DA6B274" w:rsidR="006D522F" w:rsidRPr="00A85DF0" w:rsidRDefault="006D522F" w:rsidP="00EE3AB1">
      <w:pPr>
        <w:spacing w:before="160" w:line="240" w:lineRule="auto"/>
        <w:ind w:firstLine="1134"/>
        <w:jc w:val="both"/>
        <w:rPr>
          <w:rFonts w:ascii="Cambria" w:eastAsia="Times New Roman" w:hAnsi="Cambria" w:cs="Times New Roman"/>
          <w:lang w:eastAsia="pt-BR"/>
        </w:rPr>
      </w:pPr>
      <w:r w:rsidRPr="00EE3AB1">
        <w:rPr>
          <w:rFonts w:ascii="Cambria" w:hAnsi="Cambria"/>
        </w:rPr>
        <w:t>Ressaltou que a definição prévia das marcas visou assegurar a melhor aquisição possível para a Administração, com base em critérios técnicos e operacionais previamente avaliados, tendo como objetivo a obtenção da proposta comercial mais vantajosa, em consonância com os princípios da eficiência e economicidade.</w:t>
      </w:r>
    </w:p>
    <w:p w14:paraId="7AAC41D3" w14:textId="76DB8F75" w:rsidR="00A85DF0" w:rsidRPr="00A85DF0" w:rsidRDefault="00A85DF0" w:rsidP="00EE3AB1">
      <w:pPr>
        <w:spacing w:before="160" w:line="240" w:lineRule="auto"/>
        <w:ind w:firstLine="1134"/>
        <w:jc w:val="both"/>
        <w:rPr>
          <w:rFonts w:ascii="Cambria" w:eastAsia="Times New Roman" w:hAnsi="Cambria" w:cs="Times New Roman"/>
          <w:lang w:eastAsia="pt-BR"/>
        </w:rPr>
      </w:pPr>
      <w:r w:rsidRPr="00A85DF0">
        <w:rPr>
          <w:rFonts w:ascii="Cambria" w:eastAsia="Times New Roman" w:hAnsi="Cambria" w:cs="Times New Roman"/>
          <w:lang w:eastAsia="pt-BR"/>
        </w:rPr>
        <w:t xml:space="preserve">Diante da natureza insanável do vício e visando resguardar o interesse público, a moralidade administrativa e a segurança jurídica dos atos administrativos, </w:t>
      </w:r>
      <w:r w:rsidRPr="00A85DF0">
        <w:rPr>
          <w:rFonts w:ascii="Cambria" w:eastAsia="Times New Roman" w:hAnsi="Cambria" w:cs="Times New Roman"/>
          <w:b/>
          <w:bCs/>
          <w:lang w:eastAsia="pt-BR"/>
        </w:rPr>
        <w:t>decid</w:t>
      </w:r>
      <w:r w:rsidR="002901E7" w:rsidRPr="00EE3AB1">
        <w:rPr>
          <w:rFonts w:ascii="Cambria" w:eastAsia="Times New Roman" w:hAnsi="Cambria" w:cs="Times New Roman"/>
          <w:b/>
          <w:bCs/>
          <w:lang w:eastAsia="pt-BR"/>
        </w:rPr>
        <w:t xml:space="preserve">o pela anulação </w:t>
      </w:r>
      <w:r w:rsidRPr="00A85DF0">
        <w:rPr>
          <w:rFonts w:ascii="Cambria" w:eastAsia="Times New Roman" w:hAnsi="Cambria" w:cs="Times New Roman"/>
          <w:b/>
          <w:bCs/>
          <w:lang w:eastAsia="pt-BR"/>
        </w:rPr>
        <w:t xml:space="preserve">integral </w:t>
      </w:r>
      <w:r w:rsidR="002901E7" w:rsidRPr="00EE3AB1">
        <w:rPr>
          <w:rFonts w:ascii="Cambria" w:eastAsia="Times New Roman" w:hAnsi="Cambria" w:cs="Times New Roman"/>
          <w:b/>
          <w:bCs/>
          <w:lang w:eastAsia="pt-BR"/>
        </w:rPr>
        <w:t>d</w:t>
      </w:r>
      <w:r w:rsidRPr="00A85DF0">
        <w:rPr>
          <w:rFonts w:ascii="Cambria" w:eastAsia="Times New Roman" w:hAnsi="Cambria" w:cs="Times New Roman"/>
          <w:b/>
          <w:bCs/>
          <w:lang w:eastAsia="pt-BR"/>
        </w:rPr>
        <w:t xml:space="preserve">o processo licitatório </w:t>
      </w:r>
      <w:r w:rsidR="002901E7" w:rsidRPr="00EE3AB1">
        <w:rPr>
          <w:rFonts w:ascii="Cambria" w:eastAsia="Times New Roman" w:hAnsi="Cambria" w:cs="Times New Roman"/>
          <w:b/>
          <w:bCs/>
          <w:lang w:eastAsia="pt-BR"/>
        </w:rPr>
        <w:t>em referência</w:t>
      </w:r>
      <w:r w:rsidRPr="00A85DF0">
        <w:rPr>
          <w:rFonts w:ascii="Cambria" w:eastAsia="Times New Roman" w:hAnsi="Cambria" w:cs="Times New Roman"/>
          <w:b/>
          <w:bCs/>
          <w:lang w:eastAsia="pt-BR"/>
        </w:rPr>
        <w:t xml:space="preserve">, com fundamento no art. </w:t>
      </w:r>
      <w:r w:rsidR="006B64BB" w:rsidRPr="00EE3AB1">
        <w:rPr>
          <w:rFonts w:ascii="Cambria" w:eastAsia="Times New Roman" w:hAnsi="Cambria" w:cs="Times New Roman"/>
          <w:b/>
          <w:bCs/>
          <w:lang w:eastAsia="pt-BR"/>
        </w:rPr>
        <w:t xml:space="preserve">71, inciso III </w:t>
      </w:r>
      <w:r w:rsidRPr="00A85DF0">
        <w:rPr>
          <w:rFonts w:ascii="Cambria" w:eastAsia="Times New Roman" w:hAnsi="Cambria" w:cs="Times New Roman"/>
          <w:b/>
          <w:bCs/>
          <w:lang w:eastAsia="pt-BR"/>
        </w:rPr>
        <w:t>da Lei n.º 14.133</w:t>
      </w:r>
      <w:r w:rsidR="006B64BB" w:rsidRPr="00EE3AB1">
        <w:rPr>
          <w:rFonts w:ascii="Cambria" w:eastAsia="Times New Roman" w:hAnsi="Cambria" w:cs="Times New Roman"/>
          <w:b/>
          <w:bCs/>
          <w:lang w:eastAsia="pt-BR"/>
        </w:rPr>
        <w:t xml:space="preserve"> de </w:t>
      </w:r>
      <w:r w:rsidRPr="00A85DF0">
        <w:rPr>
          <w:rFonts w:ascii="Cambria" w:eastAsia="Times New Roman" w:hAnsi="Cambria" w:cs="Times New Roman"/>
          <w:b/>
          <w:bCs/>
          <w:lang w:eastAsia="pt-BR"/>
        </w:rPr>
        <w:t>2021</w:t>
      </w:r>
      <w:r w:rsidRPr="00A85DF0">
        <w:rPr>
          <w:rFonts w:ascii="Cambria" w:eastAsia="Times New Roman" w:hAnsi="Cambria" w:cs="Times New Roman"/>
          <w:lang w:eastAsia="pt-BR"/>
        </w:rPr>
        <w:t>, evitando, assim, qualquer prosseguimento indevido.</w:t>
      </w:r>
    </w:p>
    <w:p w14:paraId="3D663EDA" w14:textId="62F16463" w:rsidR="00A85DF0" w:rsidRPr="00A85DF0" w:rsidRDefault="00A85DF0" w:rsidP="00EE3AB1">
      <w:pPr>
        <w:spacing w:before="160" w:line="240" w:lineRule="auto"/>
        <w:ind w:firstLine="1134"/>
        <w:jc w:val="both"/>
        <w:rPr>
          <w:rFonts w:ascii="Cambria" w:eastAsia="Times New Roman" w:hAnsi="Cambria" w:cs="Times New Roman"/>
          <w:lang w:eastAsia="pt-BR"/>
        </w:rPr>
      </w:pPr>
      <w:r w:rsidRPr="00A85DF0">
        <w:rPr>
          <w:rFonts w:ascii="Cambria" w:eastAsia="Times New Roman" w:hAnsi="Cambria" w:cs="Times New Roman"/>
          <w:lang w:eastAsia="pt-BR"/>
        </w:rPr>
        <w:t>Determina-se ao setor competente que promova, com a urgência que o caso requer, as devidas correções e ajustes nos instrumentos que compuseram a fase preparatória d</w:t>
      </w:r>
      <w:r w:rsidR="006B64BB" w:rsidRPr="00EE3AB1">
        <w:rPr>
          <w:rFonts w:ascii="Cambria" w:eastAsia="Times New Roman" w:hAnsi="Cambria" w:cs="Times New Roman"/>
          <w:lang w:eastAsia="pt-BR"/>
        </w:rPr>
        <w:t>est</w:t>
      </w:r>
      <w:r w:rsidRPr="00A85DF0">
        <w:rPr>
          <w:rFonts w:ascii="Cambria" w:eastAsia="Times New Roman" w:hAnsi="Cambria" w:cs="Times New Roman"/>
          <w:lang w:eastAsia="pt-BR"/>
        </w:rPr>
        <w:t>a licitação, especialmente quanto aos pontos apontados pelo órgão de controle externo, observando os princípios da legalidade, eficiência, economicidade e competitividade.</w:t>
      </w:r>
    </w:p>
    <w:p w14:paraId="16860D23" w14:textId="77777777" w:rsidR="00A85DF0" w:rsidRPr="00A85DF0" w:rsidRDefault="00A85DF0" w:rsidP="00EE3AB1">
      <w:pPr>
        <w:spacing w:before="160" w:line="240" w:lineRule="auto"/>
        <w:ind w:firstLine="1134"/>
        <w:jc w:val="both"/>
        <w:rPr>
          <w:rFonts w:ascii="Cambria" w:eastAsia="Times New Roman" w:hAnsi="Cambria" w:cs="Times New Roman"/>
          <w:lang w:eastAsia="pt-BR"/>
        </w:rPr>
      </w:pPr>
      <w:r w:rsidRPr="00A85DF0">
        <w:rPr>
          <w:rFonts w:ascii="Cambria" w:eastAsia="Times New Roman" w:hAnsi="Cambria" w:cs="Times New Roman"/>
          <w:lang w:eastAsia="pt-BR"/>
        </w:rPr>
        <w:t>Após sanadas as irregularidades e revisados os documentos pertinentes (estudo técnico preliminar, termo de referência, minuta do edital e seus anexos), deverá ser instaurado novo procedimento licitatório, em conformidade com a legislação vigente e com as recomendações exaradas pelo TCE-MG.</w:t>
      </w:r>
    </w:p>
    <w:p w14:paraId="2FB2A652" w14:textId="42403460" w:rsidR="00A85DF0" w:rsidRPr="00A85DF0" w:rsidRDefault="00A85DF0" w:rsidP="00EE3AB1">
      <w:pPr>
        <w:spacing w:before="160" w:line="240" w:lineRule="auto"/>
        <w:ind w:firstLine="1134"/>
        <w:jc w:val="both"/>
        <w:rPr>
          <w:rFonts w:ascii="Cambria" w:eastAsia="Times New Roman" w:hAnsi="Cambria" w:cs="Times New Roman"/>
          <w:lang w:eastAsia="pt-BR"/>
        </w:rPr>
      </w:pPr>
      <w:r w:rsidRPr="00A85DF0">
        <w:rPr>
          <w:rFonts w:ascii="Cambria" w:eastAsia="Times New Roman" w:hAnsi="Cambria" w:cs="Times New Roman"/>
          <w:lang w:eastAsia="pt-BR"/>
        </w:rPr>
        <w:t xml:space="preserve">Publique-se esta decisão no Diário Oficial do </w:t>
      </w:r>
      <w:r w:rsidR="00F05C08" w:rsidRPr="00EE3AB1">
        <w:rPr>
          <w:rFonts w:ascii="Cambria" w:eastAsia="Times New Roman" w:hAnsi="Cambria" w:cs="Times New Roman"/>
          <w:lang w:eastAsia="pt-BR"/>
        </w:rPr>
        <w:t xml:space="preserve">Legislativo </w:t>
      </w:r>
      <w:r w:rsidRPr="00A85DF0">
        <w:rPr>
          <w:rFonts w:ascii="Cambria" w:eastAsia="Times New Roman" w:hAnsi="Cambria" w:cs="Times New Roman"/>
          <w:lang w:eastAsia="pt-BR"/>
        </w:rPr>
        <w:t>e encaminhem-se os autos ao setor responsável para as providências cabíveis. Cumpra-se com a devida ciência aos interessados e aos órgãos de controle, conforme determina a legislação aplicável.</w:t>
      </w:r>
    </w:p>
    <w:p w14:paraId="1238E9A1" w14:textId="3CB40632" w:rsidR="007E17EE" w:rsidRPr="00EE3AB1" w:rsidRDefault="007E17EE" w:rsidP="00EE3AB1">
      <w:pPr>
        <w:spacing w:before="160" w:line="276" w:lineRule="auto"/>
        <w:ind w:firstLine="1134"/>
        <w:jc w:val="both"/>
        <w:rPr>
          <w:rFonts w:ascii="Cambria" w:hAnsi="Cambria" w:cs="Arial"/>
        </w:rPr>
      </w:pPr>
      <w:r w:rsidRPr="00EE3AB1">
        <w:rPr>
          <w:rFonts w:ascii="Cambria" w:hAnsi="Cambria" w:cs="Arial"/>
        </w:rPr>
        <w:t xml:space="preserve">Gabinete da Presidência, em Sete Lagoas/MG, </w:t>
      </w:r>
      <w:r w:rsidR="00F05C08" w:rsidRPr="00EE3AB1">
        <w:rPr>
          <w:rFonts w:ascii="Cambria" w:hAnsi="Cambria" w:cs="Arial"/>
        </w:rPr>
        <w:t>02</w:t>
      </w:r>
      <w:r w:rsidR="00F625F7" w:rsidRPr="00EE3AB1">
        <w:rPr>
          <w:rFonts w:ascii="Cambria" w:hAnsi="Cambria" w:cs="Arial"/>
        </w:rPr>
        <w:t xml:space="preserve"> de </w:t>
      </w:r>
      <w:r w:rsidR="00F05C08" w:rsidRPr="00EE3AB1">
        <w:rPr>
          <w:rFonts w:ascii="Cambria" w:hAnsi="Cambria" w:cs="Arial"/>
        </w:rPr>
        <w:t xml:space="preserve">outubro </w:t>
      </w:r>
      <w:r w:rsidR="00F625F7" w:rsidRPr="00EE3AB1">
        <w:rPr>
          <w:rFonts w:ascii="Cambria" w:hAnsi="Cambria" w:cs="Arial"/>
        </w:rPr>
        <w:t xml:space="preserve">de </w:t>
      </w:r>
      <w:r w:rsidRPr="00EE3AB1">
        <w:rPr>
          <w:rFonts w:ascii="Cambria" w:hAnsi="Cambria" w:cs="Arial"/>
        </w:rPr>
        <w:t>202</w:t>
      </w:r>
      <w:r w:rsidR="004B3380" w:rsidRPr="00EE3AB1">
        <w:rPr>
          <w:rFonts w:ascii="Cambria" w:hAnsi="Cambria" w:cs="Arial"/>
        </w:rPr>
        <w:t>5</w:t>
      </w:r>
      <w:r w:rsidRPr="00EE3AB1">
        <w:rPr>
          <w:rFonts w:ascii="Cambria" w:hAnsi="Cambria" w:cs="Arial"/>
        </w:rPr>
        <w:t>.</w:t>
      </w:r>
    </w:p>
    <w:p w14:paraId="6BF94A11" w14:textId="7F335109" w:rsidR="007E17EE" w:rsidRPr="00EE3AB1" w:rsidRDefault="007E17EE" w:rsidP="00EE3AB1">
      <w:pPr>
        <w:spacing w:before="160" w:line="276" w:lineRule="auto"/>
        <w:ind w:firstLine="1134"/>
        <w:jc w:val="both"/>
        <w:rPr>
          <w:rFonts w:ascii="Cambria" w:hAnsi="Cambria" w:cs="Arial"/>
        </w:rPr>
      </w:pPr>
    </w:p>
    <w:p w14:paraId="6EB8CF63" w14:textId="77777777" w:rsidR="00B97CBB" w:rsidRPr="00EE3AB1" w:rsidRDefault="00B97CBB" w:rsidP="00EE3AB1">
      <w:pPr>
        <w:spacing w:before="160" w:line="276" w:lineRule="auto"/>
        <w:ind w:firstLine="1134"/>
        <w:jc w:val="both"/>
        <w:rPr>
          <w:rFonts w:ascii="Cambria" w:hAnsi="Cambria" w:cs="Arial"/>
        </w:rPr>
      </w:pPr>
    </w:p>
    <w:p w14:paraId="1AFCB1DC" w14:textId="3F4D105F" w:rsidR="007E17EE" w:rsidRPr="00EE3AB1" w:rsidRDefault="00472B35" w:rsidP="00EE3AB1">
      <w:pPr>
        <w:spacing w:before="160" w:line="240" w:lineRule="auto"/>
        <w:ind w:firstLine="1134"/>
        <w:jc w:val="both"/>
        <w:rPr>
          <w:rFonts w:ascii="Cambria" w:hAnsi="Cambria" w:cs="Arial"/>
          <w:b/>
        </w:rPr>
      </w:pPr>
      <w:r w:rsidRPr="00EE3AB1">
        <w:rPr>
          <w:rFonts w:ascii="Cambria" w:hAnsi="Cambria" w:cs="Arial"/>
          <w:b/>
        </w:rPr>
        <w:t>IVAN LUIZ DE SOUZA</w:t>
      </w:r>
    </w:p>
    <w:p w14:paraId="5D135310" w14:textId="21F6E09E" w:rsidR="007F6A7A" w:rsidRPr="00EE3AB1" w:rsidRDefault="007E17EE" w:rsidP="00EE3AB1">
      <w:pPr>
        <w:spacing w:before="160" w:line="240" w:lineRule="auto"/>
        <w:ind w:firstLine="1134"/>
        <w:jc w:val="both"/>
        <w:rPr>
          <w:rFonts w:ascii="Cambria" w:hAnsi="Cambria"/>
        </w:rPr>
      </w:pPr>
      <w:r w:rsidRPr="00EE3AB1">
        <w:rPr>
          <w:rFonts w:ascii="Cambria" w:hAnsi="Cambria" w:cs="Arial"/>
        </w:rPr>
        <w:t>Presidente do Poder Legislativo Municipal</w:t>
      </w:r>
    </w:p>
    <w:sectPr w:rsidR="007F6A7A" w:rsidRPr="00EE3AB1" w:rsidSect="005808C1">
      <w:headerReference w:type="default" r:id="rId7"/>
      <w:footerReference w:type="default" r:id="rId8"/>
      <w:pgSz w:w="11906" w:h="16838"/>
      <w:pgMar w:top="1418" w:right="566" w:bottom="73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DD680" w14:textId="77777777" w:rsidR="00F17F31" w:rsidRDefault="00F17F31" w:rsidP="003C34B0">
      <w:pPr>
        <w:spacing w:after="0" w:line="240" w:lineRule="auto"/>
      </w:pPr>
      <w:r>
        <w:separator/>
      </w:r>
    </w:p>
  </w:endnote>
  <w:endnote w:type="continuationSeparator" w:id="0">
    <w:p w14:paraId="13648C50" w14:textId="77777777" w:rsidR="00F17F31" w:rsidRDefault="00F17F31" w:rsidP="003C3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A0163" w14:textId="77777777" w:rsidR="003C34B0" w:rsidRDefault="003C34B0">
    <w:pPr>
      <w:pStyle w:val="Rodap"/>
    </w:pPr>
  </w:p>
  <w:p w14:paraId="3193F6A0" w14:textId="77777777" w:rsidR="003C34B0" w:rsidRDefault="003C34B0">
    <w:pPr>
      <w:pStyle w:val="Rodap"/>
    </w:pPr>
  </w:p>
  <w:p w14:paraId="146932CB" w14:textId="77777777" w:rsidR="003C34B0" w:rsidRDefault="003C34B0">
    <w:pPr>
      <w:pStyle w:val="Rodap"/>
    </w:pPr>
  </w:p>
  <w:p w14:paraId="22CE40FB" w14:textId="77777777" w:rsidR="003C34B0" w:rsidRDefault="003C34B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E9CEC" w14:textId="77777777" w:rsidR="00F17F31" w:rsidRDefault="00F17F31" w:rsidP="003C34B0">
      <w:pPr>
        <w:spacing w:after="0" w:line="240" w:lineRule="auto"/>
      </w:pPr>
      <w:r>
        <w:separator/>
      </w:r>
    </w:p>
  </w:footnote>
  <w:footnote w:type="continuationSeparator" w:id="0">
    <w:p w14:paraId="3556C536" w14:textId="77777777" w:rsidR="00F17F31" w:rsidRDefault="00F17F31" w:rsidP="003C34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E53FB" w14:textId="77777777" w:rsidR="003C34B0" w:rsidRDefault="004C700D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899BB69" wp14:editId="2C4CD8AB">
          <wp:simplePos x="0" y="0"/>
          <wp:positionH relativeFrom="page">
            <wp:posOffset>19050</wp:posOffset>
          </wp:positionH>
          <wp:positionV relativeFrom="paragraph">
            <wp:posOffset>-459105</wp:posOffset>
          </wp:positionV>
          <wp:extent cx="7552433" cy="10679993"/>
          <wp:effectExtent l="0" t="0" r="0" b="762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433" cy="106799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18AB95" w14:textId="77777777" w:rsidR="003C34B0" w:rsidRDefault="003C34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4B0"/>
    <w:rsid w:val="00016196"/>
    <w:rsid w:val="00017468"/>
    <w:rsid w:val="00060480"/>
    <w:rsid w:val="000D6821"/>
    <w:rsid w:val="00102274"/>
    <w:rsid w:val="001131AA"/>
    <w:rsid w:val="001651C7"/>
    <w:rsid w:val="00165FC8"/>
    <w:rsid w:val="00171A6D"/>
    <w:rsid w:val="001A6D0E"/>
    <w:rsid w:val="0020440E"/>
    <w:rsid w:val="00204839"/>
    <w:rsid w:val="00234942"/>
    <w:rsid w:val="00236C87"/>
    <w:rsid w:val="0025200A"/>
    <w:rsid w:val="00273881"/>
    <w:rsid w:val="002901E7"/>
    <w:rsid w:val="002D1B84"/>
    <w:rsid w:val="00342E77"/>
    <w:rsid w:val="0034774F"/>
    <w:rsid w:val="00380C3F"/>
    <w:rsid w:val="00382C00"/>
    <w:rsid w:val="003C34B0"/>
    <w:rsid w:val="00413EAC"/>
    <w:rsid w:val="00441F80"/>
    <w:rsid w:val="00472B35"/>
    <w:rsid w:val="00481FA3"/>
    <w:rsid w:val="004B3380"/>
    <w:rsid w:val="004C700D"/>
    <w:rsid w:val="005808C1"/>
    <w:rsid w:val="00584888"/>
    <w:rsid w:val="005B034E"/>
    <w:rsid w:val="0060638C"/>
    <w:rsid w:val="006142C3"/>
    <w:rsid w:val="00636CB7"/>
    <w:rsid w:val="0066587F"/>
    <w:rsid w:val="00692AC5"/>
    <w:rsid w:val="006B64BB"/>
    <w:rsid w:val="006D522F"/>
    <w:rsid w:val="006E4AA2"/>
    <w:rsid w:val="006F00FD"/>
    <w:rsid w:val="00705646"/>
    <w:rsid w:val="00721A7B"/>
    <w:rsid w:val="007E17EE"/>
    <w:rsid w:val="007F2A00"/>
    <w:rsid w:val="007F6A7A"/>
    <w:rsid w:val="00800400"/>
    <w:rsid w:val="00812685"/>
    <w:rsid w:val="008469BB"/>
    <w:rsid w:val="008F4625"/>
    <w:rsid w:val="008F638A"/>
    <w:rsid w:val="00913950"/>
    <w:rsid w:val="00922B69"/>
    <w:rsid w:val="009359BF"/>
    <w:rsid w:val="00962194"/>
    <w:rsid w:val="00A85DF0"/>
    <w:rsid w:val="00AB6010"/>
    <w:rsid w:val="00B00A8A"/>
    <w:rsid w:val="00B069F8"/>
    <w:rsid w:val="00B342CB"/>
    <w:rsid w:val="00B73845"/>
    <w:rsid w:val="00B7661C"/>
    <w:rsid w:val="00B910D2"/>
    <w:rsid w:val="00B97CBB"/>
    <w:rsid w:val="00BA2EE7"/>
    <w:rsid w:val="00C507EE"/>
    <w:rsid w:val="00C9098C"/>
    <w:rsid w:val="00D2747F"/>
    <w:rsid w:val="00D315E0"/>
    <w:rsid w:val="00D55770"/>
    <w:rsid w:val="00E0216C"/>
    <w:rsid w:val="00E463F5"/>
    <w:rsid w:val="00E50C80"/>
    <w:rsid w:val="00E75C56"/>
    <w:rsid w:val="00E76E5B"/>
    <w:rsid w:val="00ED48CE"/>
    <w:rsid w:val="00EE3AB1"/>
    <w:rsid w:val="00F032B5"/>
    <w:rsid w:val="00F05C08"/>
    <w:rsid w:val="00F151A5"/>
    <w:rsid w:val="00F17F31"/>
    <w:rsid w:val="00F625F7"/>
    <w:rsid w:val="00F948F8"/>
    <w:rsid w:val="00FD2F5E"/>
    <w:rsid w:val="00FE7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128EDD2"/>
  <w15:chartTrackingRefBased/>
  <w15:docId w15:val="{DF48EB9E-9D3A-409A-AE9D-028097B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4AA2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C34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C34B0"/>
  </w:style>
  <w:style w:type="paragraph" w:styleId="Rodap">
    <w:name w:val="footer"/>
    <w:basedOn w:val="Normal"/>
    <w:link w:val="RodapChar"/>
    <w:uiPriority w:val="99"/>
    <w:unhideWhenUsed/>
    <w:rsid w:val="003C34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C34B0"/>
  </w:style>
  <w:style w:type="character" w:styleId="Hyperlink">
    <w:name w:val="Hyperlink"/>
    <w:uiPriority w:val="99"/>
    <w:unhideWhenUsed/>
    <w:rsid w:val="006E4AA2"/>
    <w:rPr>
      <w:color w:val="0000FF"/>
      <w:u w:val="single"/>
    </w:rPr>
  </w:style>
  <w:style w:type="paragraph" w:customStyle="1" w:styleId="textbody">
    <w:name w:val="textbody"/>
    <w:basedOn w:val="Normal"/>
    <w:rsid w:val="006E4A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0174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object">
    <w:name w:val="object"/>
    <w:basedOn w:val="Fontepargpadro"/>
    <w:rsid w:val="008469BB"/>
  </w:style>
  <w:style w:type="character" w:styleId="Forte">
    <w:name w:val="Strong"/>
    <w:basedOn w:val="Fontepargpadro"/>
    <w:uiPriority w:val="22"/>
    <w:qFormat/>
    <w:rsid w:val="00A85D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16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876F2-C2C5-4310-AFE8-7F351325C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</Pages>
  <Words>531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CAIO MULTIMIDIA</dc:creator>
  <cp:keywords/>
  <dc:description/>
  <cp:lastModifiedBy>Roberto dos Reis</cp:lastModifiedBy>
  <cp:revision>19</cp:revision>
  <cp:lastPrinted>2025-06-23T19:57:00Z</cp:lastPrinted>
  <dcterms:created xsi:type="dcterms:W3CDTF">2025-01-24T14:35:00Z</dcterms:created>
  <dcterms:modified xsi:type="dcterms:W3CDTF">2025-10-02T11:58:00Z</dcterms:modified>
</cp:coreProperties>
</file>