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D27D2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REQUISITANTE: </w:t>
      </w:r>
      <w:bookmarkStart w:id="0" w:name="_Hlk135409237"/>
      <w:r>
        <w:rPr>
          <w:rFonts w:ascii="Arial" w:hAnsi="Arial" w:cs="Arial"/>
          <w:sz w:val="24"/>
          <w:szCs w:val="24"/>
        </w:rPr>
        <w:t>Carla Cristina Morais Hipolito.</w:t>
      </w:r>
    </w:p>
    <w:p w14:paraId="0E17CD8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FISCAL DO CONTRATO: Carla Cristina Morais </w:t>
      </w:r>
      <w:r>
        <w:rPr>
          <w:rFonts w:ascii="Arial" w:hAnsi="Arial" w:cs="Arial"/>
          <w:sz w:val="24"/>
          <w:szCs w:val="24"/>
          <w:lang w:val="pt-BR"/>
        </w:rPr>
        <w:t>Hipólito</w:t>
      </w:r>
      <w:r>
        <w:rPr>
          <w:rFonts w:ascii="Arial" w:hAnsi="Arial" w:cs="Arial"/>
          <w:sz w:val="24"/>
          <w:szCs w:val="24"/>
        </w:rPr>
        <w:t>.</w:t>
      </w:r>
    </w:p>
    <w:bookmarkEnd w:id="0"/>
    <w:p w14:paraId="4234B31F">
      <w:pPr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O</w:t>
      </w:r>
      <w:r>
        <w:rPr>
          <w:rFonts w:hint="default" w:ascii="Arial" w:hAnsi="Arial" w:cs="Arial"/>
          <w:sz w:val="24"/>
          <w:szCs w:val="24"/>
          <w:lang w:val="pt-BR"/>
        </w:rPr>
        <w:t>BJETO</w:t>
      </w:r>
      <w:r>
        <w:rPr>
          <w:rFonts w:hint="default" w:ascii="Arial" w:hAnsi="Arial" w:cs="Arial"/>
          <w:sz w:val="24"/>
          <w:szCs w:val="24"/>
        </w:rPr>
        <w:t xml:space="preserve">: </w:t>
      </w:r>
      <w:r>
        <w:rPr>
          <w:rFonts w:hint="default" w:ascii="Arial" w:hAnsi="Arial" w:cs="Arial"/>
          <w:sz w:val="24"/>
          <w:szCs w:val="24"/>
          <w:lang w:val="pt-BR"/>
        </w:rPr>
        <w:t>CAPACITAÇÃO EM REGULAMENTAÇÃO E IMPLEMENTAÇÃO DO SICX, MARKETPLACE E NOVAS FORMAS DE CONTRATAÇÃO PÚBLICA</w:t>
      </w:r>
      <w:r>
        <w:rPr>
          <w:rFonts w:hint="default" w:ascii="Arial" w:hAnsi="Arial" w:cs="Arial"/>
          <w:sz w:val="24"/>
          <w:szCs w:val="24"/>
        </w:rPr>
        <w:t>.</w:t>
      </w:r>
    </w:p>
    <w:p w14:paraId="7AC8887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16"/>
        <w:tblW w:w="10774" w:type="dxa"/>
        <w:tblInd w:w="-7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27"/>
        <w:gridCol w:w="1830"/>
        <w:gridCol w:w="1620"/>
        <w:gridCol w:w="1095"/>
        <w:gridCol w:w="1642"/>
        <w:gridCol w:w="1560"/>
      </w:tblGrid>
      <w:tr w14:paraId="207A45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10774" w:type="dxa"/>
            <w:gridSpan w:val="6"/>
          </w:tcPr>
          <w:p w14:paraId="7A2960F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OBJETO: Cursos, palestras, congressos e afins </w:t>
            </w:r>
          </w:p>
        </w:tc>
      </w:tr>
      <w:tr w14:paraId="623F38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3027" w:type="dxa"/>
          </w:tcPr>
          <w:p w14:paraId="0DD9F06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Especificação</w:t>
            </w:r>
          </w:p>
        </w:tc>
        <w:tc>
          <w:tcPr>
            <w:tcW w:w="1830" w:type="dxa"/>
          </w:tcPr>
          <w:p w14:paraId="7CE8DF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CAT/SER</w:t>
            </w:r>
          </w:p>
        </w:tc>
        <w:tc>
          <w:tcPr>
            <w:tcW w:w="1620" w:type="dxa"/>
          </w:tcPr>
          <w:p w14:paraId="0CCE9A6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UN </w:t>
            </w:r>
          </w:p>
        </w:tc>
        <w:tc>
          <w:tcPr>
            <w:tcW w:w="1095" w:type="dxa"/>
          </w:tcPr>
          <w:p w14:paraId="6D0544B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Quant.</w:t>
            </w:r>
          </w:p>
        </w:tc>
        <w:tc>
          <w:tcPr>
            <w:tcW w:w="1642" w:type="dxa"/>
          </w:tcPr>
          <w:p w14:paraId="7E2B0E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P. Unit. </w:t>
            </w:r>
          </w:p>
        </w:tc>
        <w:tc>
          <w:tcPr>
            <w:tcW w:w="1560" w:type="dxa"/>
          </w:tcPr>
          <w:p w14:paraId="54C9F16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Sub-total</w:t>
            </w:r>
          </w:p>
        </w:tc>
      </w:tr>
      <w:tr w14:paraId="26A8CE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27" w:type="dxa"/>
            <w:vAlign w:val="center"/>
          </w:tcPr>
          <w:p w14:paraId="2E75497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hint="default" w:ascii="Arial" w:hAnsi="Arial" w:cs="Arial"/>
                <w:b/>
                <w:bCs/>
                <w:sz w:val="24"/>
                <w:szCs w:val="24"/>
                <w:lang w:val="pt-BR"/>
              </w:rPr>
              <w:t>CAPACITAÇÃO EM REGULAMENTAÇÃO E IMPLEMENTAÇÃO DO SICX, MARKETPLACE E NOVAS FORMAS DE CONTRATAÇÃO PÚBLICA</w:t>
            </w:r>
            <w:r>
              <w:rPr>
                <w:rFonts w:hint="default" w:ascii="Arial" w:hAnsi="Arial" w:cs="Arial"/>
                <w:b/>
                <w:bCs/>
                <w:sz w:val="24"/>
                <w:szCs w:val="24"/>
              </w:rPr>
              <w:t>.</w:t>
            </w:r>
            <w:r>
              <w:rPr>
                <w:rFonts w:hint="default" w:ascii="Arial" w:hAnsi="Arial" w:cs="Arial"/>
                <w:b/>
                <w:bCs/>
                <w:sz w:val="24"/>
                <w:szCs w:val="24"/>
              </w:rPr>
              <w:t xml:space="preserve"> SER REALIZADO EM BELO HORIZONTE/MG, NO PERÍODO DE 22 E 23 DE OUTUBRO 2026.</w:t>
            </w:r>
          </w:p>
        </w:tc>
        <w:tc>
          <w:tcPr>
            <w:tcW w:w="1830" w:type="dxa"/>
            <w:vAlign w:val="center"/>
          </w:tcPr>
          <w:p w14:paraId="648FD8C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15431</w:t>
            </w:r>
          </w:p>
        </w:tc>
        <w:tc>
          <w:tcPr>
            <w:tcW w:w="1620" w:type="dxa"/>
            <w:vAlign w:val="center"/>
          </w:tcPr>
          <w:p w14:paraId="7D7D45B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SERVIÇO</w:t>
            </w:r>
          </w:p>
        </w:tc>
        <w:tc>
          <w:tcPr>
            <w:tcW w:w="1095" w:type="dxa"/>
            <w:vAlign w:val="center"/>
          </w:tcPr>
          <w:p w14:paraId="49E8EA2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642" w:type="dxa"/>
          </w:tcPr>
          <w:p w14:paraId="076CB91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1043FD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B11778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822D22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AE4FBC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D9C0AC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656A6D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54BA6F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2519DF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026AC3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6AA2B8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9558B1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1C5435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2.190,00</w:t>
            </w:r>
          </w:p>
          <w:p w14:paraId="77B5994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CC7155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C8B43F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5BB108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475F4E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C41A81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DDAA0E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75C4F7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B62021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9F809F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BA35D7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4545671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28F999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A0337D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88185E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BFB9AA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E6801E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71DFF0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4CD1F4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C35FD7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E49EF8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576454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54CF36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422E09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2.190,00</w:t>
            </w:r>
          </w:p>
          <w:p w14:paraId="690E7B1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B94D55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7C9E02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503DD0D">
      <w:pPr>
        <w:jc w:val="both"/>
        <w:rPr>
          <w:rFonts w:ascii="Arial" w:hAnsi="Arial" w:cs="Arial"/>
          <w:sz w:val="24"/>
          <w:szCs w:val="24"/>
        </w:rPr>
      </w:pPr>
    </w:p>
    <w:p w14:paraId="7044111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CONDIÇÕES DA AQUISIÇÃO</w:t>
      </w:r>
    </w:p>
    <w:p w14:paraId="7E4F8EBE">
      <w:pPr>
        <w:ind w:right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Havendo divergência do descritivo do item cadastrado do Portal ComprasNet (CATMAT) com o edital, prevalecerá o descritivo do edital.</w:t>
      </w:r>
    </w:p>
    <w:p w14:paraId="4D23F9A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JUSTIFICATIVA (Art. 6º, XXIII, “a” da Lei nº: 14.133/2021)</w:t>
      </w:r>
    </w:p>
    <w:p w14:paraId="782D1B0F">
      <w:pPr>
        <w:ind w:right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Aprofundar conhecimento sobre a Lei de licitações e contratos, com foco nos procedimentos de compras diretas, sendo de elevada relevância para o aprimoramento das atividades desempenhadas por este servidor no âmbito deste órgão. </w:t>
      </w:r>
    </w:p>
    <w:p w14:paraId="757412C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PRAZO DE VIGÊNCIA – FORNECIMENTO </w:t>
      </w:r>
    </w:p>
    <w:p w14:paraId="0101076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prazo de vigência será período de duração do evento.</w:t>
      </w:r>
    </w:p>
    <w:p w14:paraId="1F84D8C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custo estimado total da contratação é de R$2.190,00, conforme custos unitários apostos na planilha acima.</w:t>
      </w:r>
    </w:p>
    <w:p w14:paraId="467DEBA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REQUISITOS DA CONTRATAÇÃO (art. 6º, XXIII, alínea ‘d’ da Lei nº: 14.133/21)</w:t>
      </w:r>
    </w:p>
    <w:p w14:paraId="67C6D12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Não será admitida a subcontratação do objeto contratual.</w:t>
      </w:r>
    </w:p>
    <w:p w14:paraId="5151C49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Não haverá exigência de garantia da contratação do Art. 96 e seguintes da Lei nº 14.133/21, por se tratar de aquisição de pequeno vulto, com possibilidade de entrega imediata dos produtos. </w:t>
      </w:r>
    </w:p>
    <w:p w14:paraId="48EFBA6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VISTORIA</w:t>
      </w:r>
    </w:p>
    <w:p w14:paraId="2FCE202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Fica dispensada a vistoria do local por não se tratar de obras ou serviços de engenharia. </w:t>
      </w:r>
    </w:p>
    <w:p w14:paraId="11B4A79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EXECUÇÃO CONTRATUAL (arts. 6º, XXIII, alínea “e” da Lei n. 14.133/2021).</w:t>
      </w:r>
    </w:p>
    <w:p w14:paraId="5A8D94B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Os cursos serão realizados no endereço indicado pelos promotores do evento. </w:t>
      </w:r>
    </w:p>
    <w:p w14:paraId="048EC99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ESCLARECIMENTOS </w:t>
      </w:r>
    </w:p>
    <w:p w14:paraId="74D82D3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pedido de esclarecimentos quanto ao objeto a ser contratado deverá ser direcionado ao requisitante ou ao fiscal do contrato, identificados no preâmbulo deste TR, contato: (34) 3612-6900. O pedido de esclarecimento quanto ao processo de licitação (quando for o caso), deverá ser direcionado à agente de contratação, Sra. Cintia Alves da Costa (34) 3612-6905, ou pelo e-mail: </w:t>
      </w:r>
      <w:r>
        <w:rPr>
          <w:rFonts w:ascii="Arial" w:hAnsi="Arial" w:cs="Arial"/>
          <w:i/>
          <w:iCs/>
          <w:sz w:val="24"/>
          <w:szCs w:val="24"/>
        </w:rPr>
        <w:t>cintia.alves@araxa.mg.leg.br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2B34DDA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GESTÃO DO CONTRATO (art. 6º, XXIII, alínea “f” da Lei nº 14.133/21)</w:t>
      </w:r>
    </w:p>
    <w:p w14:paraId="650FD01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gestão do contrato será exercida pelo servidor Gustavo Cassemiro Freitas, ocupante do cargo de Técnico Nível Superior Legislativo. Telefone: (34) 3612-6900. Email: </w:t>
      </w:r>
      <w:r>
        <w:rPr>
          <w:rFonts w:ascii="Arial" w:hAnsi="Arial" w:cs="Arial"/>
          <w:i/>
          <w:iCs/>
          <w:sz w:val="24"/>
          <w:szCs w:val="24"/>
        </w:rPr>
        <w:t>cfreitasgustavo@gmail.com</w:t>
      </w:r>
      <w:r>
        <w:rPr>
          <w:rFonts w:ascii="Arial" w:hAnsi="Arial" w:cs="Arial"/>
          <w:sz w:val="24"/>
          <w:szCs w:val="24"/>
        </w:rPr>
        <w:t>.</w:t>
      </w:r>
    </w:p>
    <w:p w14:paraId="2AAEBAB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ROTINAS DE FISCALIZAÇÃO CONTRATUAL</w:t>
      </w:r>
    </w:p>
    <w:p w14:paraId="0C3D55A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contrato deverá ser executado fielmente pelas partes, de acordo com as cláusulas avençadas e as normas da Lei nº 14.133, de 2021, e cada parte responderá pelas consequências de sua inexecução total ou parcial (Lei nº 14.133/2021, art. 115, caput).</w:t>
      </w:r>
    </w:p>
    <w:p w14:paraId="280B7502">
      <w:pPr>
        <w:jc w:val="both"/>
        <w:rPr>
          <w:rFonts w:ascii="Arial" w:hAnsi="Arial" w:cs="Arial"/>
          <w:sz w:val="24"/>
          <w:szCs w:val="24"/>
        </w:rPr>
      </w:pPr>
      <w:bookmarkStart w:id="1" w:name="art115§1"/>
      <w:bookmarkEnd w:id="1"/>
      <w:bookmarkStart w:id="2" w:name="art115§5"/>
      <w:bookmarkEnd w:id="2"/>
      <w:r>
        <w:rPr>
          <w:rFonts w:ascii="Arial" w:hAnsi="Arial" w:cs="Arial"/>
          <w:sz w:val="24"/>
          <w:szCs w:val="24"/>
        </w:rPr>
        <w:t>Em caso de impedimento, ordem de paralisação ou suspensão do contrato, o cronograma de execução será prorrogado automaticamente pelo tempo correspondente, anotadas tais circunstâncias mediante simples apostila (Lei nº 14.133/2021, art. 115, §5º).</w:t>
      </w:r>
    </w:p>
    <w:p w14:paraId="5A948DF0">
      <w:pPr>
        <w:jc w:val="both"/>
        <w:rPr>
          <w:rFonts w:ascii="Arial" w:hAnsi="Arial" w:cs="Arial"/>
          <w:sz w:val="24"/>
          <w:szCs w:val="24"/>
        </w:rPr>
      </w:pPr>
      <w:bookmarkStart w:id="3" w:name="art116"/>
      <w:bookmarkEnd w:id="3"/>
      <w:r>
        <w:rPr>
          <w:rFonts w:ascii="Arial" w:hAnsi="Arial" w:cs="Arial"/>
          <w:sz w:val="24"/>
          <w:szCs w:val="24"/>
        </w:rPr>
        <w:t>A execução do contrato deverá ser acompanhada e fiscalizada pelo (a) fiscal do contrato, identificado (a) no preâmbulo deste T.R. (Lei nº 14.133/2021, art. 117, caput).</w:t>
      </w:r>
    </w:p>
    <w:p w14:paraId="1016239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(A) fiscal do contrato anotará em registro próprio todas as ocorrências relacionadas à execução do contrato, determinando o que for necessário para a regularização das faltas ou dos defeitos observados (Lei nº 14.133/2021, art. 117, §1º).</w:t>
      </w:r>
    </w:p>
    <w:p w14:paraId="3C5FB41E">
      <w:pPr>
        <w:jc w:val="both"/>
        <w:rPr>
          <w:rFonts w:ascii="Arial" w:hAnsi="Arial" w:cs="Arial"/>
          <w:sz w:val="24"/>
          <w:szCs w:val="24"/>
        </w:rPr>
      </w:pPr>
      <w:bookmarkStart w:id="4" w:name="art117§2"/>
      <w:bookmarkEnd w:id="4"/>
      <w:r>
        <w:rPr>
          <w:rFonts w:ascii="Arial" w:hAnsi="Arial" w:cs="Arial"/>
          <w:sz w:val="24"/>
          <w:szCs w:val="24"/>
        </w:rPr>
        <w:t>O (A) fiscal do contrato informará ao gestor do contrato, em tempo hábil para a adoção das medidas convenientes, a situação que demandar decisão ou providência que ultrapasse sua competência (Lei nº 14.133/2021, art. 117, §2º).</w:t>
      </w:r>
    </w:p>
    <w:p w14:paraId="3E8DA41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contratado será obrigado a reparar, corrigir, remover, reconstruir ou substituir, a suas expensas, no total ou em parte, o objeto do contrato em que se verificarem vícios, defeitos ou incorreções resultantes de sua execução ou de materiais nela empregados (Lei nº 14.133/2021, art. 119).</w:t>
      </w:r>
    </w:p>
    <w:p w14:paraId="5ADCBAE1">
      <w:pPr>
        <w:jc w:val="both"/>
        <w:rPr>
          <w:rFonts w:ascii="Arial" w:hAnsi="Arial" w:cs="Arial"/>
          <w:sz w:val="24"/>
          <w:szCs w:val="24"/>
        </w:rPr>
      </w:pPr>
      <w:bookmarkStart w:id="5" w:name="art120"/>
      <w:bookmarkEnd w:id="5"/>
      <w:r>
        <w:rPr>
          <w:rFonts w:ascii="Arial" w:hAnsi="Arial" w:cs="Arial"/>
          <w:sz w:val="24"/>
          <w:szCs w:val="24"/>
        </w:rPr>
        <w:t>O contratado será responsável pelos danos causados diretamente à Administração ou a terceiros em razão da execução do contrato, e não excluirá nem reduzirá essa responsabilidade a fiscalização ou o acompanhamento pelo contratante (Lei nº 14.133/2021, art. 120).</w:t>
      </w:r>
    </w:p>
    <w:p w14:paraId="60FA303D">
      <w:pPr>
        <w:jc w:val="both"/>
        <w:rPr>
          <w:rFonts w:ascii="Arial" w:hAnsi="Arial" w:cs="Arial"/>
          <w:sz w:val="24"/>
          <w:szCs w:val="24"/>
        </w:rPr>
      </w:pPr>
      <w:bookmarkStart w:id="6" w:name="art121"/>
      <w:bookmarkEnd w:id="6"/>
      <w:r>
        <w:rPr>
          <w:rFonts w:ascii="Arial" w:hAnsi="Arial" w:cs="Arial"/>
          <w:sz w:val="24"/>
          <w:szCs w:val="24"/>
        </w:rPr>
        <w:t>Somente o contratado será responsável pelos encargos trabalhistas, previdenciários, fiscais e comerciais resultantes da execução do contrato (Lei nº 14.133/2021, art. 121, caput).</w:t>
      </w:r>
    </w:p>
    <w:p w14:paraId="79198094">
      <w:pPr>
        <w:jc w:val="both"/>
        <w:rPr>
          <w:rFonts w:ascii="Arial" w:hAnsi="Arial" w:cs="Arial"/>
          <w:sz w:val="24"/>
          <w:szCs w:val="24"/>
        </w:rPr>
      </w:pPr>
      <w:bookmarkStart w:id="7" w:name="art121§1"/>
      <w:bookmarkEnd w:id="7"/>
      <w:r>
        <w:rPr>
          <w:rFonts w:ascii="Arial" w:hAnsi="Arial" w:cs="Arial"/>
          <w:sz w:val="24"/>
          <w:szCs w:val="24"/>
        </w:rPr>
        <w:t>A inadimplência do contratado em relação aos encargos trabalhistas, fiscais e comerciais não transferirá à Administração a responsabilidade pelo seu pagamento e não poderá onerar o objeto do contrato (Lei nº 14.133/2021, art. 121, §1º).</w:t>
      </w:r>
    </w:p>
    <w:p w14:paraId="6266A799">
      <w:pPr>
        <w:jc w:val="both"/>
        <w:rPr>
          <w:rFonts w:ascii="Arial" w:hAnsi="Arial" w:cs="Arial"/>
          <w:sz w:val="24"/>
          <w:szCs w:val="24"/>
        </w:rPr>
      </w:pPr>
      <w:bookmarkStart w:id="8" w:name="art122"/>
      <w:bookmarkEnd w:id="8"/>
      <w:bookmarkStart w:id="9" w:name="art123"/>
      <w:bookmarkEnd w:id="9"/>
      <w:bookmarkStart w:id="10" w:name="art122§1"/>
      <w:bookmarkEnd w:id="10"/>
      <w:bookmarkStart w:id="11" w:name="art122§2"/>
      <w:bookmarkEnd w:id="11"/>
      <w:bookmarkStart w:id="12" w:name="art122§3"/>
      <w:bookmarkEnd w:id="12"/>
      <w:r>
        <w:rPr>
          <w:rFonts w:ascii="Arial" w:hAnsi="Arial" w:cs="Arial"/>
          <w:sz w:val="24"/>
          <w:szCs w:val="24"/>
        </w:rPr>
        <w:t>As comunicações entre o órgão ou entidade e a contratada devem ser realizadas por escrito sempre que o ato exigir tal formalidade, admitindo-se, excepcionalmente, o uso de mensagem eletrônica para esse fim (IN 5/2017, art. 44, §2º).</w:t>
      </w:r>
    </w:p>
    <w:p w14:paraId="17387FE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órgão poderá convocar representante da empresa para adoção de providências que devam ser cumpridas de imediato (IN 5/2017, art. 44, §3º).</w:t>
      </w:r>
    </w:p>
    <w:p w14:paraId="6D8FD3A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Serão exigidas a Certidão Negativa de Débito (CND) relativa a Créditos Tributários Federais e à Dívida Ativa da União, a Certidão Negativa de Débitos perante o Estado sede da empresa e a Certidão Negativa de Débitos perante o Município sede da empresa.</w:t>
      </w:r>
    </w:p>
    <w:p w14:paraId="41B693F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empresa vencedora deverá anexar a documentação no prazo de até três horas, sob pena de decair o direito à contratação.</w:t>
      </w:r>
    </w:p>
    <w:p w14:paraId="14583C4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 CRITÉRIOS DE AFERIÇÃO E MEDIÇÃO PARA FATURAMENTO</w:t>
      </w:r>
    </w:p>
    <w:p w14:paraId="180D7B2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(A) fiscal do contrato atestará o cumprimento integral do objeto contratado, observando a quantidade, a qualidade, os preços e as características dos serviços/produtos. </w:t>
      </w:r>
    </w:p>
    <w:p w14:paraId="583AA80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RECEBIMENTO</w:t>
      </w:r>
    </w:p>
    <w:p w14:paraId="5D4D60C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desconformidade do objeto apresentado, com as características descritas, será aplicado o procedimento previsto no Art. 90 Lei nº: 14.133/2021. </w:t>
      </w:r>
    </w:p>
    <w:p w14:paraId="7C8751C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objeto será recebido provisoriamente, no prazo de 03 (três) dias, contados da entrega dos produtos/serviços, pela fiscal do contrato, mediante termo detalhado.</w:t>
      </w:r>
    </w:p>
    <w:p w14:paraId="6E59B0D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Em se tratando de aquisição de bens ou serviços comuns, de pequeno vulto, o recebimento provisório poderá substituído pelo recebimento definitivo, a ser realizado no ato da entrega, atestando o cumprimento integral das condições exigidas do contratado. </w:t>
      </w:r>
    </w:p>
    <w:p w14:paraId="01E2D92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contratado fica obrigado a substituir, às suas expensas, no todo ou em parte, o produto/serviço em que se verificar vícios, defeitos ou incorreções, cabendo à fiscalização não atestar o recebimento definitivo, até que sejam sanadas todas as eventuais pendências que possam vir a ser apontadas. </w:t>
      </w:r>
    </w:p>
    <w:p w14:paraId="76B0FF3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(A) fiscal do contrato deverá elaborar Relatório Circunstanciado em consonância com suas atribuições, e encaminhá-lo ao gestor do contrato. </w:t>
      </w:r>
    </w:p>
    <w:p w14:paraId="7F3C93B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recebimento provisório ou definitivo não excluirá a responsabilidade civil e nem a responsabilidade ético-profissional pela perfeita execução do contrato.</w:t>
      </w:r>
    </w:p>
    <w:p w14:paraId="51FC9CA4">
      <w:pPr>
        <w:jc w:val="both"/>
        <w:rPr>
          <w:rFonts w:ascii="Arial" w:hAnsi="Arial" w:cs="Arial"/>
          <w:sz w:val="24"/>
          <w:szCs w:val="24"/>
        </w:rPr>
      </w:pPr>
      <w:bookmarkStart w:id="13" w:name="_Hlk201926855"/>
      <w:r>
        <w:rPr>
          <w:rFonts w:ascii="Arial" w:hAnsi="Arial" w:cs="Arial"/>
          <w:sz w:val="24"/>
          <w:szCs w:val="24"/>
        </w:rPr>
        <w:t xml:space="preserve">FORMA E CRITÉRIOS DE SELEÇÃO DO FORNECEDOR MEDIANTE O USO DO SISTEMA DE DISPENSA ELETRÔNICA (art. 6º, inciso XXIII, alínea ‘h’, da Lei n. 14.133/2021) </w:t>
      </w:r>
    </w:p>
    <w:p w14:paraId="6312177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fornecedor será selecionado por meio da realização de procedimento de dispensa de licitação, na forma eletrônica, com fundamento na hipótese do art. 75, inciso II da Lei n.º 14.133/2021 (vide Decreto nº: 11.871/2023), que culminará com a seleção da proposta de menor preço do lote.  </w:t>
      </w:r>
    </w:p>
    <w:p w14:paraId="481B32E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 o fornecedor for a matriz, todos os documentos deverão estar em nome da matriz, e se o fornecedor for a filial, todos os documentos deverão estar em nome da filial, exceto para atestados de capacidade técnica, caso exigidos, e no caso daqueles documentos que, pela própria natureza, comprovadamente, forem emitidos somente em nome da matriz.</w:t>
      </w:r>
    </w:p>
    <w:p w14:paraId="567CBFB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Serão aceitos registros de CNPJ de fornecedor matriz e filial com diferenças de números de documentos pertinentes ao CND e ao CRF/FGTS, quando for comprovada a centralização do recolhimento dessas contribuições.</w:t>
      </w:r>
    </w:p>
    <w:bookmarkEnd w:id="13"/>
    <w:p w14:paraId="0AD42D6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ADEQUAÇÃO ORÇAMENTÁRIA </w:t>
      </w:r>
    </w:p>
    <w:p w14:paraId="08DF3C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despesas decorrentes da presente contratação correrão à conta de recursos específicos consignados na Lei Orçamentária Anual do município de Araxá-MG, Unidade Orçamentária: Câmara Municipal de Araxá. </w:t>
      </w:r>
    </w:p>
    <w:p w14:paraId="771F457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contratação será atendida pela seguinte dotação:</w:t>
      </w:r>
    </w:p>
    <w:p w14:paraId="05B9EFA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Ficha: 47</w:t>
      </w:r>
    </w:p>
    <w:p w14:paraId="492CB84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Projeto /Atividade: 01.131.0001.2215 – Treinamento e Capacit p/ edis e servidor  </w:t>
      </w:r>
    </w:p>
    <w:p w14:paraId="53A591D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Elemento de Despesa: 3.3.90.39.00 – Outros Serviços Terceiros – Pessoa Jurídica </w:t>
      </w:r>
    </w:p>
    <w:p w14:paraId="11D8EB7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</w:p>
    <w:p w14:paraId="49CD8EC4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</w:t>
      </w:r>
    </w:p>
    <w:p w14:paraId="6DEAD5EF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Carla Cristina Morais Hipolito.</w:t>
      </w:r>
    </w:p>
    <w:p w14:paraId="651E1EC5">
      <w:pPr>
        <w:jc w:val="both"/>
        <w:rPr>
          <w:rFonts w:ascii="Arial" w:hAnsi="Arial" w:cs="Arial"/>
          <w:sz w:val="24"/>
          <w:szCs w:val="24"/>
        </w:rPr>
      </w:pPr>
    </w:p>
    <w:p w14:paraId="4F8F499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Aprovação do Jurídico: ___________________________________________ </w:t>
      </w:r>
    </w:p>
    <w:p w14:paraId="47077136">
      <w:pPr>
        <w:jc w:val="both"/>
        <w:rPr>
          <w:rFonts w:ascii="Arial" w:hAnsi="Arial" w:cs="Arial"/>
          <w:sz w:val="24"/>
          <w:szCs w:val="24"/>
        </w:rPr>
      </w:pPr>
    </w:p>
    <w:p w14:paraId="038EFD69">
      <w:pPr>
        <w:jc w:val="both"/>
      </w:pPr>
      <w:r>
        <w:rPr>
          <w:rFonts w:ascii="Arial" w:hAnsi="Arial" w:cs="Arial"/>
          <w:sz w:val="24"/>
          <w:szCs w:val="24"/>
        </w:rPr>
        <w:t>Aprovação do ordenador da despesa: ________________________________</w:t>
      </w:r>
    </w:p>
    <w:sectPr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725"/>
    <w:rsid w:val="002116F3"/>
    <w:rsid w:val="0022505A"/>
    <w:rsid w:val="002D4E55"/>
    <w:rsid w:val="003949FB"/>
    <w:rsid w:val="003A235F"/>
    <w:rsid w:val="003B3E9A"/>
    <w:rsid w:val="0054077C"/>
    <w:rsid w:val="00542D5C"/>
    <w:rsid w:val="006C5677"/>
    <w:rsid w:val="00702C15"/>
    <w:rsid w:val="00766AF6"/>
    <w:rsid w:val="007A729F"/>
    <w:rsid w:val="007D33D1"/>
    <w:rsid w:val="008A738D"/>
    <w:rsid w:val="009F0D4F"/>
    <w:rsid w:val="00A04725"/>
    <w:rsid w:val="00C46AD6"/>
    <w:rsid w:val="00C869D9"/>
    <w:rsid w:val="00CF1F82"/>
    <w:rsid w:val="00DD6E3D"/>
    <w:rsid w:val="00E04EE1"/>
    <w:rsid w:val="00E565DD"/>
    <w:rsid w:val="00E65D88"/>
    <w:rsid w:val="00E7152D"/>
    <w:rsid w:val="00ED12C1"/>
    <w:rsid w:val="00F03B44"/>
    <w:rsid w:val="00FE56CB"/>
    <w:rsid w:val="5E970BEB"/>
    <w:rsid w:val="63324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pt-BR" w:eastAsia="en-US" w:bidi="ar-SA"/>
      <w14:ligatures w14:val="standardContextual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2F5597" w:themeColor="accent1" w:themeShade="BF"/>
      <w:sz w:val="28"/>
      <w:szCs w:val="28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597" w:themeColor="accent1" w:themeShade="BF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2F5597" w:themeColor="accent1" w:themeShade="BF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yperlink"/>
    <w:basedOn w:val="11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14">
    <w:name w:val="Title"/>
    <w:basedOn w:val="1"/>
    <w:next w:val="1"/>
    <w:link w:val="26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5">
    <w:name w:val="Subtitle"/>
    <w:basedOn w:val="1"/>
    <w:next w:val="1"/>
    <w:link w:val="27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table" w:styleId="16">
    <w:name w:val="Table Grid"/>
    <w:basedOn w:val="1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7">
    <w:name w:val="Título 1 Char"/>
    <w:basedOn w:val="11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8">
    <w:name w:val="Título 2 Char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19">
    <w:name w:val="Título 3 Char"/>
    <w:basedOn w:val="11"/>
    <w:link w:val="4"/>
    <w:semiHidden/>
    <w:qFormat/>
    <w:uiPriority w:val="9"/>
    <w:rPr>
      <w:rFonts w:eastAsiaTheme="majorEastAsia" w:cstheme="majorBidi"/>
      <w:color w:val="2F5597" w:themeColor="accent1" w:themeShade="BF"/>
      <w:sz w:val="28"/>
      <w:szCs w:val="28"/>
    </w:rPr>
  </w:style>
  <w:style w:type="character" w:customStyle="1" w:styleId="20">
    <w:name w:val="Título 4 Char"/>
    <w:basedOn w:val="11"/>
    <w:link w:val="5"/>
    <w:semiHidden/>
    <w:qFormat/>
    <w:uiPriority w:val="9"/>
    <w:rPr>
      <w:rFonts w:eastAsiaTheme="majorEastAsia" w:cstheme="majorBidi"/>
      <w:i/>
      <w:iCs/>
      <w:color w:val="2F5597" w:themeColor="accent1" w:themeShade="BF"/>
    </w:rPr>
  </w:style>
  <w:style w:type="character" w:customStyle="1" w:styleId="21">
    <w:name w:val="Título 5 Char"/>
    <w:basedOn w:val="11"/>
    <w:link w:val="6"/>
    <w:semiHidden/>
    <w:qFormat/>
    <w:uiPriority w:val="9"/>
    <w:rPr>
      <w:rFonts w:eastAsiaTheme="majorEastAsia" w:cstheme="majorBidi"/>
      <w:color w:val="2F5597" w:themeColor="accent1" w:themeShade="BF"/>
    </w:rPr>
  </w:style>
  <w:style w:type="character" w:customStyle="1" w:styleId="22">
    <w:name w:val="Título 6 Char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Título 7 Char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Título 8 Char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5">
    <w:name w:val="Título 9 Char"/>
    <w:basedOn w:val="11"/>
    <w:link w:val="10"/>
    <w:semiHidden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6">
    <w:name w:val="Título Char"/>
    <w:basedOn w:val="11"/>
    <w:link w:val="14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Subtítulo Char"/>
    <w:basedOn w:val="11"/>
    <w:link w:val="15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Citação Char"/>
    <w:basedOn w:val="11"/>
    <w:link w:val="28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Ênfase Intensa1"/>
    <w:basedOn w:val="11"/>
    <w:qFormat/>
    <w:uiPriority w:val="21"/>
    <w:rPr>
      <w:i/>
      <w:iCs/>
      <w:color w:val="2F5597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3">
    <w:name w:val="Citação Intensa Char"/>
    <w:basedOn w:val="11"/>
    <w:link w:val="32"/>
    <w:qFormat/>
    <w:uiPriority w:val="30"/>
    <w:rPr>
      <w:i/>
      <w:iCs/>
      <w:color w:val="2F5597" w:themeColor="accent1" w:themeShade="BF"/>
    </w:rPr>
  </w:style>
  <w:style w:type="character" w:customStyle="1" w:styleId="34">
    <w:name w:val="Referência Intensa1"/>
    <w:basedOn w:val="11"/>
    <w:qFormat/>
    <w:uiPriority w:val="32"/>
    <w:rPr>
      <w:b/>
      <w:bCs/>
      <w:smallCaps/>
      <w:color w:val="2F5597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1230</Words>
  <Characters>7116</Characters>
  <Lines>59</Lines>
  <Paragraphs>16</Paragraphs>
  <TotalTime>2</TotalTime>
  <ScaleCrop>false</ScaleCrop>
  <LinksUpToDate>false</LinksUpToDate>
  <CharactersWithSpaces>8305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2026-08-20T16:00:00Z</dcterms:created>
  <dc:creator>Ricardo Borges</dc:creator>
  <cp:lastModifiedBy>Carla Hipólito</cp:lastModifiedBy>
  <dcterms:modified xsi:type="dcterms:W3CDTF">2026-10-08T15:55:00Z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1046-12.1.0.28485</vt:lpwstr>
  </property>
  <property fmtid="{D5CDD505-2E9C-101B-9397-08002B2CF9AE}" pid="3" name="ICV">
    <vt:lpwstr>10513B8DD49740BD800BA0637E4C26B9_13</vt:lpwstr>
  </property>
  <property fmtid="{D5CDD505-2E9C-101B-9397-08002B2CF9AE}" pid="4" name="KSOTemplateDocerSaveRecord">
    <vt:lpwstr>eyJoZGlkIjoiMzhiNzQ4YzIyNWRmZWJiZjdmODEyNzZkYzNlNDgwZTMiLCJ1c2VySWQiOiIxMjU0NjU2Njg1NzI0In0=</vt:lpwstr>
  </property>
</Properties>
</file>