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DE72C" w14:textId="5A41FC4F" w:rsidR="0021427E" w:rsidRDefault="0021427E" w:rsidP="002C7C95">
      <w:pPr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PARECER JURÍDICO</w:t>
      </w:r>
    </w:p>
    <w:p w14:paraId="7320280B" w14:textId="5EFCDC3A" w:rsidR="0021427E" w:rsidRPr="00634FDB" w:rsidRDefault="0021427E" w:rsidP="002C7C95">
      <w:pPr>
        <w:spacing w:before="600"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PARECER JURÍDICO Nº: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0</w:t>
      </w:r>
      <w:r w:rsidR="002C7C95">
        <w:rPr>
          <w:rFonts w:ascii="Arial" w:eastAsia="Times New Roman" w:hAnsi="Arial" w:cs="Arial"/>
          <w:sz w:val="24"/>
          <w:szCs w:val="24"/>
          <w:lang w:eastAsia="pt-BR"/>
        </w:rPr>
        <w:t>13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>/2026/AJL</w:t>
      </w:r>
    </w:p>
    <w:p w14:paraId="33AD285B" w14:textId="77777777" w:rsidR="0021427E" w:rsidRPr="00634FDB" w:rsidRDefault="0021427E" w:rsidP="00634FD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PROCESSO ADMINISTRATIVO DE COMPRAS Nº: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036/2026</w:t>
      </w:r>
    </w:p>
    <w:p w14:paraId="14F1F65D" w14:textId="77777777" w:rsidR="0021427E" w:rsidRPr="00634FDB" w:rsidRDefault="0021427E" w:rsidP="00634FD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PROCESSO LICITATÓRIO Nº: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005/2026</w:t>
      </w:r>
    </w:p>
    <w:p w14:paraId="21851651" w14:textId="77777777" w:rsidR="0021427E" w:rsidRPr="00634FDB" w:rsidRDefault="0021427E" w:rsidP="00634FD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MODALIDADE: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CONCORRÊNCIA PÚBLICA ELETRÔNICA Nº 001/2026</w:t>
      </w:r>
    </w:p>
    <w:p w14:paraId="09B5F4AD" w14:textId="77777777" w:rsidR="0021427E" w:rsidRPr="00634FDB" w:rsidRDefault="0021427E" w:rsidP="00634FD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INTERESSADA: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CÂMARA MUNICIPAL DE FORMIGA – MG</w:t>
      </w:r>
    </w:p>
    <w:p w14:paraId="24783CC2" w14:textId="77777777" w:rsidR="00634FDB" w:rsidRDefault="0021427E" w:rsidP="00634FD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ASSUNTO: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ANÁLISE DE LEGALIDADE DO EDITAL, MINUTA DE CONTRATO E ANEXOS (LEI Nº 14.133/2021)</w:t>
      </w:r>
    </w:p>
    <w:p w14:paraId="33BFA2E3" w14:textId="77777777" w:rsidR="00634FDB" w:rsidRPr="00634FDB" w:rsidRDefault="00634FDB" w:rsidP="002C7C9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9D8B215" w14:textId="77777777" w:rsidR="0021427E" w:rsidRDefault="0021427E" w:rsidP="00634FD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OBJETO: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CONTRATAÇÃO DE EMPRESA ESPECIALIZADA EM ENGENHARIA E ARQUITETURA PARA ELABORAÇÃO DOS PROJETOS BÁSICO E EXECUTIVO E SEUS DESDOBRAMENTOS PARA A CONSTRUÇÃO DA SEDE PRÓPRIA DA CÂMARA MUNICIPAL DE FORMIGA/MG.</w:t>
      </w:r>
    </w:p>
    <w:p w14:paraId="070454C1" w14:textId="77777777" w:rsidR="0021427E" w:rsidRPr="00634FDB" w:rsidRDefault="0021427E" w:rsidP="002C7C95">
      <w:pPr>
        <w:pStyle w:val="PargrafodaLista"/>
        <w:numPr>
          <w:ilvl w:val="0"/>
          <w:numId w:val="5"/>
        </w:numPr>
        <w:spacing w:before="360" w:after="360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RELATÓRIO</w:t>
      </w:r>
    </w:p>
    <w:p w14:paraId="08881B0C" w14:textId="77777777" w:rsidR="0021427E" w:rsidRDefault="0021427E" w:rsidP="002C7C95">
      <w:pPr>
        <w:spacing w:before="360"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Vêm a esta Assessoria Jurídica do Legislativo, encaminhados pelo Agente de Contratação designado pela Portaria nº 063/2026, Sr. Paulo Márcio Monteiro Teixeira, os autos do Processo Licitatório nº 005/2026 (Processo Administrativo de Compras nº 036/2026), para fins de exame, aprovação e emissão de parecer jurídico acerca da legalidade da minuta do Edital, Termo de Referência (TR), Estudo Técnico Preliminar (ETP), Minuta do Contrato e demais anexos, nos termos do art. 53 da Lei Federal nº 14.133/2021 (Nova Lei de Licitações e Contratos). </w:t>
      </w:r>
    </w:p>
    <w:p w14:paraId="69D7FC42" w14:textId="77777777" w:rsidR="0021427E" w:rsidRDefault="0021427E" w:rsidP="002C7C95">
      <w:pPr>
        <w:spacing w:before="360"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O procedimento tem por objetivo a contratação de empresa especializada em engenharia e arquitetura para a elaboração do Projeto Básico, Projeto Executivo e projetos complementares, destinados à construção da sede própria da Casa Legislativa no Município de Formiga/MG, em imóvel com área total unificada de 3.246,63 m². </w:t>
      </w:r>
    </w:p>
    <w:p w14:paraId="68231151" w14:textId="7ED49323" w:rsidR="0021427E" w:rsidRDefault="0021427E" w:rsidP="002C7C95">
      <w:pPr>
        <w:spacing w:before="360"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O valor global estimado para a contratação é de 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R$ 311.515,68 (trezentos e onze mil, quinhentos e quinze reais e sessenta e oito centavos)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, conforme memória de cálculo detalhada contida no Termo de Referência. Os recursos necessários correrão por conta da dotação orçamentária </w:t>
      </w:r>
      <w:r w:rsidR="00976F01">
        <w:rPr>
          <w:rFonts w:ascii="Arial" w:eastAsia="Times New Roman" w:hAnsi="Arial" w:cs="Arial"/>
          <w:sz w:val="24"/>
          <w:szCs w:val="24"/>
          <w:lang w:eastAsia="pt-BR"/>
        </w:rPr>
        <w:t xml:space="preserve">2026 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nº </w:t>
      </w:r>
      <w:r w:rsidR="00976F01">
        <w:rPr>
          <w:rFonts w:ascii="Arial" w:eastAsia="Times New Roman" w:hAnsi="Arial" w:cs="Arial"/>
          <w:sz w:val="24"/>
          <w:szCs w:val="24"/>
          <w:lang w:eastAsia="pt-BR"/>
        </w:rPr>
        <w:t>20.002.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>01.122.00</w:t>
      </w:r>
      <w:r w:rsidR="00976F01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976F01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>3.002</w:t>
      </w:r>
      <w:r w:rsidR="00976F01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="00976F01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="00976F01">
        <w:rPr>
          <w:rFonts w:ascii="Arial" w:eastAsia="Times New Roman" w:hAnsi="Arial" w:cs="Arial"/>
          <w:sz w:val="24"/>
          <w:szCs w:val="24"/>
          <w:lang w:eastAsia="pt-BR"/>
        </w:rPr>
        <w:t>4.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>90</w:t>
      </w:r>
      <w:r w:rsidR="00976F01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51 – </w:t>
      </w:r>
      <w:r w:rsidR="00976F01">
        <w:rPr>
          <w:rFonts w:ascii="Arial" w:eastAsia="Times New Roman" w:hAnsi="Arial" w:cs="Arial"/>
          <w:sz w:val="24"/>
          <w:szCs w:val="24"/>
          <w:lang w:eastAsia="pt-BR"/>
        </w:rPr>
        <w:t>Construção, Reforma e/ou Ampliação da Câmara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</w:p>
    <w:p w14:paraId="028E592F" w14:textId="77777777" w:rsidR="0021427E" w:rsidRDefault="0021427E" w:rsidP="002C7C95">
      <w:pPr>
        <w:spacing w:before="360"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A minuta do ato convocatório adota a modalidade 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Concorrência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, no modo de disputa 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Aberto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, sob o critério de julgamento de 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Menor Preço Global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, processada por meio eletrônico na plataforma AMM Licita. </w:t>
      </w:r>
    </w:p>
    <w:p w14:paraId="609BD2A7" w14:textId="77777777" w:rsidR="0021427E" w:rsidRDefault="0021427E" w:rsidP="002C7C95">
      <w:pPr>
        <w:spacing w:before="360"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t>É o relatório. Passo à fundamentação jurídica.</w:t>
      </w:r>
    </w:p>
    <w:p w14:paraId="2CCEC902" w14:textId="070C079C" w:rsidR="0021427E" w:rsidRPr="00634FDB" w:rsidRDefault="0021427E" w:rsidP="002C7C95">
      <w:pPr>
        <w:pStyle w:val="PargrafodaLista"/>
        <w:numPr>
          <w:ilvl w:val="0"/>
          <w:numId w:val="5"/>
        </w:numPr>
        <w:spacing w:before="360" w:after="360" w:line="360" w:lineRule="auto"/>
        <w:contextualSpacing w:val="0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FUNDAMENTAÇÃO JURÍDICA</w:t>
      </w:r>
    </w:p>
    <w:p w14:paraId="2F826B8D" w14:textId="77777777" w:rsidR="0021427E" w:rsidRPr="00634FDB" w:rsidRDefault="0021427E" w:rsidP="00CB26C1">
      <w:pPr>
        <w:pStyle w:val="PargrafodaLista"/>
        <w:numPr>
          <w:ilvl w:val="0"/>
          <w:numId w:val="6"/>
        </w:numPr>
        <w:spacing w:before="360" w:after="360" w:line="360" w:lineRule="auto"/>
        <w:ind w:left="1066" w:hanging="357"/>
        <w:contextualSpacing w:val="0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Da Competência e do Âmbito do </w:t>
      </w:r>
      <w:proofErr w:type="spellStart"/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Control</w:t>
      </w:r>
      <w:proofErr w:type="spellEnd"/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Legalidade</w:t>
      </w:r>
    </w:p>
    <w:p w14:paraId="6B8A5AF1" w14:textId="77777777" w:rsidR="0021427E" w:rsidRDefault="0021427E" w:rsidP="002C7C95">
      <w:pPr>
        <w:spacing w:before="360"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A atuação desta Assessoria Jurídica dá-se em estrito cumprimento ao 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53, caput e § 1º, da Lei Federal nº 14.133/2021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, que exige o controle prévio de legalidade dos processos licitatórios e a aprovação das minutas do edital e do contrato administrativo. O presente parecer restringe-se aos aspectos estritamente jurídicos e formais dos documentos apresentados, abstraindo-se os critérios técnicos de engenharia e conveniência/oportunidade administrativa, os quais recaem sob a responsabilidade do setor requisitante (Assessoria de Engenharia e Arquitetura) e da autoridade competente. </w:t>
      </w:r>
    </w:p>
    <w:p w14:paraId="7D73B2B0" w14:textId="5AF9B1D0" w:rsidR="0021427E" w:rsidRPr="00634FDB" w:rsidRDefault="0021427E" w:rsidP="00CB26C1">
      <w:pPr>
        <w:pStyle w:val="PargrafodaLista"/>
        <w:numPr>
          <w:ilvl w:val="0"/>
          <w:numId w:val="6"/>
        </w:numPr>
        <w:spacing w:before="360" w:after="360" w:line="360" w:lineRule="auto"/>
        <w:ind w:left="1066" w:hanging="357"/>
        <w:contextualSpacing w:val="0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Do Planejamento da Contratação: DFD, ETP e Termo de Referência</w:t>
      </w:r>
    </w:p>
    <w:p w14:paraId="055D2162" w14:textId="77777777" w:rsidR="0021427E" w:rsidRPr="00634FDB" w:rsidRDefault="0021427E" w:rsidP="00634FD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Os autos instruem devidamente a fase preparatória da licitação (art. 18 da Lei nº 14.133/2021): </w:t>
      </w:r>
    </w:p>
    <w:p w14:paraId="60D65F1A" w14:textId="18662878" w:rsidR="0021427E" w:rsidRPr="00634FDB" w:rsidRDefault="0021427E" w:rsidP="00CB26C1">
      <w:pPr>
        <w:pStyle w:val="PargrafodaLista"/>
        <w:spacing w:after="0" w:line="360" w:lineRule="auto"/>
        <w:ind w:left="0"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Documento de Formalização da Demanda (DFD) e Estudo Técnico Preliminar (ETP):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Constam como Anexos X e XI do Edital. O ETP diagnostica a necessidade de superação dos custos de locação, demonstra o alinhamento com o planejamento institucional e justifica a solução adotada. </w:t>
      </w:r>
    </w:p>
    <w:p w14:paraId="1C6D6000" w14:textId="222B49A7" w:rsidR="0021427E" w:rsidRDefault="0021427E" w:rsidP="00CB26C1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Termo de Referência (TR - Anexo I):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Apresenta o escopo minucioso do projeto arquitetônico e complementares (estrutural, hidrossanitário, elétrico/SPDA, combate a incêndio, climatização, transporte vertical e acústica), as obrigações das partes, o prazo de execução (90 dias) e a forma de pagamento fracionada em 3 etapas vinculadas às entregas técnicas. </w:t>
      </w:r>
    </w:p>
    <w:p w14:paraId="0655DB3C" w14:textId="4DE3732B" w:rsidR="0021427E" w:rsidRPr="00634FDB" w:rsidRDefault="0021427E" w:rsidP="00CB26C1">
      <w:pPr>
        <w:pStyle w:val="PargrafodaLista"/>
        <w:numPr>
          <w:ilvl w:val="0"/>
          <w:numId w:val="6"/>
        </w:numPr>
        <w:spacing w:before="360" w:after="360" w:line="360" w:lineRule="auto"/>
        <w:ind w:left="1066" w:hanging="357"/>
        <w:contextualSpacing w:val="0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 Pesquisa de Preços, Memória de Cálculo e BDI</w:t>
      </w:r>
    </w:p>
    <w:p w14:paraId="6928E830" w14:textId="77777777" w:rsidR="0021427E" w:rsidRDefault="0021427E" w:rsidP="00634FD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O valor estimado de R$ 311.515,68 atende ao disposto no 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23, § 1º, da Lei nº 14.133/2021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. O item 17 do TR detalha a metodologia de cálculo baseada na 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Hora Técnica do CAU/BR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(fundamentada na Lei Federal nº 4.950-A/1966) e no 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CUB/Sinduscon-MG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</w:p>
    <w:p w14:paraId="4C2A65A1" w14:textId="77777777" w:rsidR="0021427E" w:rsidRDefault="0021427E" w:rsidP="00CB26C1">
      <w:pPr>
        <w:spacing w:before="360"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Especial destaque merece a fundamentação do 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BDI (Benefícios e Despesas Indiretas)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de 15% (item 17.9 do TR), calculada pela fórmula clássica recepcionada pelo Tribunal de Contas da União (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Súmula nº 258/TCU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e 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Acórdão nº 2.622/2013-Plenário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), adaptada ao regime de serviços técnicos e separada das despesas indiretas do escritório. </w:t>
      </w:r>
    </w:p>
    <w:p w14:paraId="6C0829F5" w14:textId="2E9A0BAB" w:rsidR="0021427E" w:rsidRDefault="0021427E" w:rsidP="00CB26C1">
      <w:pPr>
        <w:pStyle w:val="PargrafodaLista"/>
        <w:numPr>
          <w:ilvl w:val="0"/>
          <w:numId w:val="6"/>
        </w:numPr>
        <w:spacing w:before="360" w:after="360" w:line="360" w:lineRule="auto"/>
        <w:ind w:left="1066" w:hanging="357"/>
        <w:contextualSpacing w:val="0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Do Edital de Concorrência Eletrônica</w:t>
      </w:r>
    </w:p>
    <w:p w14:paraId="4B520224" w14:textId="77777777" w:rsidR="0021427E" w:rsidRDefault="0021427E" w:rsidP="00634FD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A escolha da modalidade Concorrência, sob o critério de julgamento de Menor Preço Global e em formato eletrônico, encontra perfeito amparo nos </w:t>
      </w:r>
      <w:proofErr w:type="spellStart"/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arts</w:t>
      </w:r>
      <w:proofErr w:type="spellEnd"/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 6º, XXXVIII; 17, § 2º; 28, II; e 33, I, da Lei Federal nº 14.133/2021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</w:p>
    <w:p w14:paraId="5346BC84" w14:textId="77777777" w:rsidR="0021427E" w:rsidRPr="00634FDB" w:rsidRDefault="0021427E" w:rsidP="00CB26C1">
      <w:pPr>
        <w:spacing w:before="360"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A análise detida do texto convocatório (versão ENGARQ26-007) indica total conformidade com os princípios da legalidade, isonomia e ampla competitividade: </w:t>
      </w:r>
    </w:p>
    <w:p w14:paraId="5BBAF68F" w14:textId="77777777" w:rsidR="0021427E" w:rsidRDefault="0021427E" w:rsidP="00CB26C1">
      <w:pPr>
        <w:numPr>
          <w:ilvl w:val="0"/>
          <w:numId w:val="2"/>
        </w:numPr>
        <w:spacing w:before="240"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Qualificação Técnico-Operacional e Técnico-Profissional (Item 9.4):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Em atenção ao 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67, § 1º, da Lei nº 14.133/2021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e à Súmula nº 263 do TCU, o item 9.4.1.1 do Edital especificou objetivamente as 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parcelas de maior relevância técnica e valor significativo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(Projetos Arquitetônico e Estrutural com área mínima de 1.200,00 m² e compatibilização tridimensional). Além disso, 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o item 9.4.1 prevê a exigência de Certidão de Acervo Operacional (CAO) para a empresa, em estrita conformidade com a Resolução CONFEA nº 1.137/2023. </w:t>
      </w:r>
    </w:p>
    <w:p w14:paraId="24CB8578" w14:textId="77777777" w:rsidR="0021427E" w:rsidRDefault="0021427E" w:rsidP="00CB26C1">
      <w:pPr>
        <w:numPr>
          <w:ilvl w:val="0"/>
          <w:numId w:val="2"/>
        </w:numPr>
        <w:spacing w:before="240"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Comprovação do Vínculo Profissional (Item 9.4.3):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Atende ao 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67, § 6º, da Lei nº 14.133/2021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, permitindo a comprovação por CTPS, contrato social, contrato de prestação de serviços ou declaração de compromisso de vinculação futura, eliminando a exigência antieconômica de vínculo empregatício permanente prévio à licitação. </w:t>
      </w:r>
    </w:p>
    <w:p w14:paraId="67FF8C99" w14:textId="77777777" w:rsidR="0021427E" w:rsidRDefault="0021427E" w:rsidP="00CB26C1">
      <w:pPr>
        <w:numPr>
          <w:ilvl w:val="0"/>
          <w:numId w:val="2"/>
        </w:numPr>
        <w:spacing w:before="240"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Visita Técnica Opcional (</w:t>
      </w:r>
      <w:proofErr w:type="spellStart"/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Items</w:t>
      </w:r>
      <w:proofErr w:type="spellEnd"/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9.4.5 e 9.4.6):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Em cumprimento ao 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63, § 3º, da Lei nº 14.133/2021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, autoriza a substituição do atestado de visita por Declaração de Dispensa de Visita Técnica, garantindo a não restrição à competitividade. </w:t>
      </w:r>
    </w:p>
    <w:p w14:paraId="113C0325" w14:textId="77777777" w:rsidR="0021427E" w:rsidRDefault="0021427E" w:rsidP="00CB26C1">
      <w:pPr>
        <w:numPr>
          <w:ilvl w:val="0"/>
          <w:numId w:val="2"/>
        </w:numPr>
        <w:spacing w:before="240"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Disciplinas Acessórias e Subcontratação (</w:t>
      </w:r>
      <w:proofErr w:type="spellStart"/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Items</w:t>
      </w:r>
      <w:proofErr w:type="spellEnd"/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9.4.7 e 9.4.7.1 do Edital / Item 12.1.1 do Contrato):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Amparadas pelo 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67, § 9º, e art. 122 da Lei nº 14.133/2021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, isentam a licitante de atestar na habilitação especialidades secundárias (climatização, acústica e elevadores), autorizando a subcontratação técnica mediante comprovação do profissional parceiro e emissão de ART/RRT no momento da execução, sem prejuízo da responsabilidade integral e solidária da contratada principal. </w:t>
      </w:r>
    </w:p>
    <w:p w14:paraId="3A459F70" w14:textId="7662F1CA" w:rsidR="0021427E" w:rsidRDefault="0021427E" w:rsidP="00CB26C1">
      <w:pPr>
        <w:pStyle w:val="PargrafodaLista"/>
        <w:numPr>
          <w:ilvl w:val="0"/>
          <w:numId w:val="6"/>
        </w:numPr>
        <w:spacing w:before="360" w:after="360" w:line="360" w:lineRule="auto"/>
        <w:ind w:left="1066" w:hanging="357"/>
        <w:contextualSpacing w:val="0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 Minuta do Contrato (Anexo VI)</w:t>
      </w:r>
    </w:p>
    <w:p w14:paraId="240631D2" w14:textId="77777777" w:rsidR="0021427E" w:rsidRPr="00634FDB" w:rsidRDefault="0021427E" w:rsidP="00634FD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A minuta de contrato traz cláusulas necessárias dispostas no 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92 da Lei nº 14.133/2021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</w:p>
    <w:p w14:paraId="1CB1FCD0" w14:textId="77777777" w:rsidR="0021427E" w:rsidRPr="00634FDB" w:rsidRDefault="0021427E" w:rsidP="00CB26C1">
      <w:pPr>
        <w:numPr>
          <w:ilvl w:val="0"/>
          <w:numId w:val="3"/>
        </w:numPr>
        <w:spacing w:before="240" w:after="0" w:line="36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Objeto, Preço e Execução: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Totalmente vinculados ao Edital e TR. </w:t>
      </w:r>
    </w:p>
    <w:p w14:paraId="733C81E3" w14:textId="77777777" w:rsidR="0021427E" w:rsidRDefault="0021427E" w:rsidP="00634FDB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Garantia Contratual (Item 20 / Cláusula 3.1):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Exigência de 5% sobre o valor global do contrato, autorizada pelo art. 96 da Lei nº 14.133/2021. </w:t>
      </w:r>
    </w:p>
    <w:p w14:paraId="5BA52274" w14:textId="77777777" w:rsidR="0021427E" w:rsidRDefault="0021427E" w:rsidP="00634FDB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Das Sanções e Penalidades (Item 24 e Cláusula Oitava):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Perfeitamente alinhadas aos </w:t>
      </w:r>
      <w:proofErr w:type="spellStart"/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arts</w:t>
      </w:r>
      <w:proofErr w:type="spellEnd"/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 155 a 163 da Lei nº 14.133/2021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. Registre-se que a Cláusula Oitava (8.1.2) da Minuta de Contrato fixou expressamente o teto da multa de mora em 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10% do valor do contrato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, mantendo a devida coerência com a dosimetria estipulada no item 24.2.2 do Edital. </w:t>
      </w:r>
      <w:r w:rsidR="00634FDB">
        <w:rPr>
          <w:rFonts w:ascii="Arial" w:eastAsia="Times New Roman" w:hAnsi="Arial" w:cs="Arial"/>
          <w:sz w:val="24"/>
          <w:szCs w:val="24"/>
          <w:lang w:eastAsia="pt-BR"/>
        </w:rPr>
        <w:t>,</w:t>
      </w:r>
    </w:p>
    <w:p w14:paraId="2DE2992B" w14:textId="77777777" w:rsidR="0021427E" w:rsidRDefault="0021427E" w:rsidP="00634FDB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Proteção de Dados (Cláusula Décima):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Cláusula de </w:t>
      </w:r>
      <w:proofErr w:type="spellStart"/>
      <w:r w:rsidRPr="00634FDB">
        <w:rPr>
          <w:rFonts w:ascii="Arial" w:eastAsia="Times New Roman" w:hAnsi="Arial" w:cs="Arial"/>
          <w:sz w:val="24"/>
          <w:szCs w:val="24"/>
          <w:lang w:eastAsia="pt-BR"/>
        </w:rPr>
        <w:t>compliance</w:t>
      </w:r>
      <w:proofErr w:type="spellEnd"/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e privacidade em conformidade com a Lei nº 13.709/2018 (LGPD). </w:t>
      </w:r>
    </w:p>
    <w:p w14:paraId="4589B2E7" w14:textId="77777777" w:rsidR="0021427E" w:rsidRDefault="0021427E" w:rsidP="00634FDB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Combate à Corrupção: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Referência expressa às penalidades da Lei Federal nº 12.846/2013. </w:t>
      </w:r>
    </w:p>
    <w:p w14:paraId="45D4662B" w14:textId="612C0109" w:rsidR="0021427E" w:rsidRDefault="0021427E" w:rsidP="00CB26C1">
      <w:pPr>
        <w:pStyle w:val="PargrafodaLista"/>
        <w:numPr>
          <w:ilvl w:val="0"/>
          <w:numId w:val="5"/>
        </w:numPr>
        <w:spacing w:before="360" w:after="360" w:line="360" w:lineRule="auto"/>
        <w:contextualSpacing w:val="0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CONCLUSÃO E PARECER</w:t>
      </w:r>
    </w:p>
    <w:p w14:paraId="0BF8AE2C" w14:textId="77777777" w:rsidR="0021427E" w:rsidRDefault="0021427E" w:rsidP="00634FD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Ante o exposto, fundamentado no art. 53 da Lei Federal nº 14.133/2021 e na jurisprudência aplicável do Tribunal de Contas da União e do Tribunal de Contas do Estado de Minas Gerais, esta Assessoria Jurídica opina pela </w:t>
      </w: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APROVAÇÃO JURÍDICA E REGULARIDADE FORMAL</w:t>
      </w: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 do Edital de Concorrência Pública Eletrônica nº 001/2026 (Processo Licitatório nº 005/2026), da Minuta de Contrato (Anexo VI) e de seus respectivos Anexos Técnicos. </w:t>
      </w:r>
    </w:p>
    <w:p w14:paraId="023FDEBD" w14:textId="77777777" w:rsidR="0021427E" w:rsidRDefault="0021427E" w:rsidP="00CB26C1">
      <w:pPr>
        <w:spacing w:before="360"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Remetam-se os autos ao Agente de Contratação e, posterior e conclusivamente, à Autoridade Competente para homologação da fase preparatória e autorização da publicação oficial nos meios legais (Diário Oficial, Portal PNCP e Sítio Oficial da Câmara). </w:t>
      </w:r>
    </w:p>
    <w:p w14:paraId="1B813C8F" w14:textId="77777777" w:rsidR="0021427E" w:rsidRDefault="0021427E" w:rsidP="00CB26C1">
      <w:pPr>
        <w:spacing w:before="360"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t>É o parecer, s.m.j.</w:t>
      </w:r>
    </w:p>
    <w:p w14:paraId="4D443F3C" w14:textId="77777777" w:rsidR="0021427E" w:rsidRDefault="0021427E" w:rsidP="00CB26C1">
      <w:pPr>
        <w:spacing w:before="360"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t>Formiga/MG, 7 de agosto de 2026.</w:t>
      </w:r>
    </w:p>
    <w:p w14:paraId="7A7FBAA3" w14:textId="77777777" w:rsidR="0021427E" w:rsidRPr="00634FDB" w:rsidRDefault="0021427E" w:rsidP="00CB26C1">
      <w:pPr>
        <w:spacing w:before="1200"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SIMONE COTRIM LOMBARDI DA COSTA</w:t>
      </w:r>
    </w:p>
    <w:p w14:paraId="1127E62B" w14:textId="77777777" w:rsidR="0021427E" w:rsidRPr="00634FDB" w:rsidRDefault="0021427E" w:rsidP="00634FD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t>Assessora Jurídica do Legislativo</w:t>
      </w:r>
    </w:p>
    <w:p w14:paraId="42B5C947" w14:textId="77777777" w:rsidR="0021427E" w:rsidRPr="00634FDB" w:rsidRDefault="0021427E" w:rsidP="00634FD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t>Câmara Municipal de Formiga / MG</w:t>
      </w:r>
    </w:p>
    <w:p w14:paraId="52F77179" w14:textId="77777777" w:rsidR="0021427E" w:rsidRPr="00634FDB" w:rsidRDefault="0021427E" w:rsidP="00634FD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4FDB">
        <w:rPr>
          <w:rFonts w:ascii="Arial" w:eastAsia="Times New Roman" w:hAnsi="Arial" w:cs="Arial"/>
          <w:sz w:val="24"/>
          <w:szCs w:val="24"/>
          <w:lang w:eastAsia="pt-BR"/>
        </w:rPr>
        <w:t xml:space="preserve">OAB/MG nº </w:t>
      </w:r>
      <w:r w:rsidR="00C54126">
        <w:rPr>
          <w:rFonts w:ascii="Arial" w:eastAsia="Times New Roman" w:hAnsi="Arial" w:cs="Arial"/>
          <w:sz w:val="24"/>
          <w:szCs w:val="24"/>
          <w:lang w:eastAsia="pt-BR"/>
        </w:rPr>
        <w:t>144.186</w:t>
      </w:r>
    </w:p>
    <w:sectPr w:rsidR="0021427E" w:rsidRPr="00634F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7525D4"/>
    <w:multiLevelType w:val="hybridMultilevel"/>
    <w:tmpl w:val="3B28CCD2"/>
    <w:lvl w:ilvl="0" w:tplc="0B3EA3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DA054E7"/>
    <w:multiLevelType w:val="multilevel"/>
    <w:tmpl w:val="D2FCC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C8620C"/>
    <w:multiLevelType w:val="hybridMultilevel"/>
    <w:tmpl w:val="F3F6B796"/>
    <w:lvl w:ilvl="0" w:tplc="B79A21A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40A016E"/>
    <w:multiLevelType w:val="multilevel"/>
    <w:tmpl w:val="F4C25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0F3B5A"/>
    <w:multiLevelType w:val="multilevel"/>
    <w:tmpl w:val="412A5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3B4F19"/>
    <w:multiLevelType w:val="hybridMultilevel"/>
    <w:tmpl w:val="6958F256"/>
    <w:lvl w:ilvl="0" w:tplc="0416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6" w15:restartNumberingAfterBreak="0">
    <w:nsid w:val="728A5C27"/>
    <w:multiLevelType w:val="multilevel"/>
    <w:tmpl w:val="2D7C7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27E"/>
    <w:rsid w:val="0021427E"/>
    <w:rsid w:val="002C7C95"/>
    <w:rsid w:val="00627255"/>
    <w:rsid w:val="00634FDB"/>
    <w:rsid w:val="00976F01"/>
    <w:rsid w:val="00C54126"/>
    <w:rsid w:val="00CB2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39A55"/>
  <w15:chartTrackingRefBased/>
  <w15:docId w15:val="{A1F89C38-181C-4334-B291-09B93D731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34F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3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1227</Words>
  <Characters>6626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Valério Tadeu de Assis</cp:lastModifiedBy>
  <cp:revision>4</cp:revision>
  <dcterms:created xsi:type="dcterms:W3CDTF">2026-08-07T15:19:00Z</dcterms:created>
  <dcterms:modified xsi:type="dcterms:W3CDTF">2026-08-07T20:32:00Z</dcterms:modified>
</cp:coreProperties>
</file>