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3CBBA" w14:textId="77777777" w:rsidR="00901CDC" w:rsidRDefault="00DD550A">
      <w:pPr>
        <w:spacing w:before="360" w:after="360" w:line="240" w:lineRule="auto"/>
        <w:jc w:val="center"/>
        <w:rPr>
          <w:rFonts w:ascii="Arial" w:eastAsia="MS Mincho" w:hAnsi="Arial" w:cs="Arial"/>
          <w:b/>
          <w:kern w:val="2"/>
          <w:sz w:val="28"/>
          <w:szCs w:val="28"/>
          <w:lang w:eastAsia="ar-SA"/>
        </w:rPr>
      </w:pPr>
      <w:bookmarkStart w:id="0" w:name="_Hlk169606308"/>
      <w:bookmarkEnd w:id="0"/>
      <w:r>
        <w:rPr>
          <w:rFonts w:ascii="Arial" w:eastAsia="MS Mincho" w:hAnsi="Arial" w:cs="Arial"/>
          <w:b/>
          <w:kern w:val="2"/>
          <w:sz w:val="28"/>
          <w:szCs w:val="28"/>
          <w:lang w:eastAsia="ar-SA"/>
        </w:rPr>
        <w:t>EDITAL DE LICITAÇÃO</w:t>
      </w:r>
    </w:p>
    <w:p w14:paraId="60BB58F0" w14:textId="77777777" w:rsidR="00901CDC" w:rsidRDefault="00DD550A">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PLANEJAMENTO SIRP:</w:t>
      </w:r>
      <w:r>
        <w:rPr>
          <w:rFonts w:ascii="Arial" w:eastAsia="Times New Roman" w:hAnsi="Arial" w:cs="Arial"/>
          <w:kern w:val="2"/>
          <w:sz w:val="24"/>
          <w:szCs w:val="24"/>
          <w:lang w:eastAsia="ar-SA"/>
        </w:rPr>
        <w:t xml:space="preserve"> Nº 142/2024</w:t>
      </w:r>
    </w:p>
    <w:p w14:paraId="0E4FDC23" w14:textId="77777777" w:rsidR="00901CDC" w:rsidRDefault="00DD550A">
      <w:pPr>
        <w:tabs>
          <w:tab w:val="center" w:pos="4535"/>
        </w:tabs>
        <w:spacing w:before="360" w:after="360" w:line="240" w:lineRule="auto"/>
        <w:jc w:val="both"/>
        <w:rPr>
          <w:rFonts w:ascii="Arial" w:eastAsia="Times New Roman" w:hAnsi="Arial" w:cs="Arial"/>
          <w:kern w:val="2"/>
          <w:sz w:val="24"/>
          <w:szCs w:val="24"/>
          <w:highlight w:val="yellow"/>
          <w:lang w:eastAsia="ar-SA"/>
        </w:rPr>
      </w:pPr>
      <w:r>
        <w:rPr>
          <w:rFonts w:ascii="Arial" w:eastAsia="Times New Roman" w:hAnsi="Arial" w:cs="Arial"/>
          <w:b/>
          <w:bCs/>
          <w:kern w:val="2"/>
          <w:sz w:val="24"/>
          <w:szCs w:val="24"/>
          <w:lang w:eastAsia="ar-SA"/>
        </w:rPr>
        <w:t>PROCESSO SEI:</w:t>
      </w:r>
      <w:r>
        <w:rPr>
          <w:rFonts w:ascii="Arial" w:eastAsia="Times New Roman" w:hAnsi="Arial" w:cs="Arial"/>
          <w:kern w:val="2"/>
          <w:sz w:val="24"/>
          <w:szCs w:val="24"/>
          <w:lang w:eastAsia="ar-SA"/>
        </w:rPr>
        <w:t xml:space="preserve"> Nº 19.16.3913.0004338/2024-22</w:t>
      </w:r>
      <w:r>
        <w:rPr>
          <w:rFonts w:ascii="Arial" w:eastAsia="Times New Roman" w:hAnsi="Arial" w:cs="Arial"/>
          <w:kern w:val="2"/>
          <w:sz w:val="24"/>
          <w:szCs w:val="24"/>
          <w:lang w:eastAsia="ar-SA"/>
        </w:rPr>
        <w:tab/>
      </w:r>
    </w:p>
    <w:p w14:paraId="28BCE23D" w14:textId="77777777" w:rsidR="00901CDC" w:rsidRDefault="00DD550A">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MODALIDADE:</w:t>
      </w:r>
      <w:r>
        <w:rPr>
          <w:rFonts w:ascii="Arial" w:eastAsia="Times New Roman" w:hAnsi="Arial" w:cs="Arial"/>
          <w:kern w:val="2"/>
          <w:sz w:val="24"/>
          <w:szCs w:val="24"/>
          <w:lang w:eastAsia="ar-SA"/>
        </w:rPr>
        <w:t xml:space="preserve"> Pregão Eletrônico</w:t>
      </w:r>
      <w:r>
        <w:rPr>
          <w:rFonts w:ascii="Arial" w:eastAsia="Times New Roman" w:hAnsi="Arial" w:cs="Arial"/>
          <w:kern w:val="2"/>
          <w:sz w:val="24"/>
          <w:szCs w:val="24"/>
          <w:lang w:eastAsia="ar-SA"/>
        </w:rPr>
        <w:tab/>
      </w:r>
      <w:r>
        <w:rPr>
          <w:rFonts w:ascii="Arial" w:eastAsia="Times New Roman" w:hAnsi="Arial" w:cs="Arial"/>
          <w:kern w:val="2"/>
          <w:sz w:val="24"/>
          <w:szCs w:val="24"/>
          <w:lang w:eastAsia="ar-SA"/>
        </w:rPr>
        <w:tab/>
      </w:r>
    </w:p>
    <w:p w14:paraId="7140087D" w14:textId="77777777" w:rsidR="00901CDC" w:rsidRDefault="00DD550A">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CRITÉRIO DE JULGAMENTO:</w:t>
      </w:r>
      <w:r>
        <w:rPr>
          <w:rFonts w:ascii="Arial" w:eastAsia="Times New Roman" w:hAnsi="Arial" w:cs="Arial"/>
          <w:kern w:val="2"/>
          <w:sz w:val="24"/>
          <w:szCs w:val="24"/>
          <w:lang w:eastAsia="ar-SA"/>
        </w:rPr>
        <w:t xml:space="preserve"> Menor Preço </w:t>
      </w:r>
    </w:p>
    <w:p w14:paraId="40928471" w14:textId="77777777" w:rsidR="00901CDC" w:rsidRDefault="00DD550A">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kern w:val="2"/>
          <w:sz w:val="24"/>
          <w:szCs w:val="24"/>
          <w:lang w:eastAsia="ar-SA"/>
        </w:rPr>
        <w:t>MODO DE DISPUTA:</w:t>
      </w:r>
      <w:r>
        <w:rPr>
          <w:rFonts w:ascii="Arial" w:eastAsia="Times New Roman" w:hAnsi="Arial" w:cs="Arial"/>
          <w:kern w:val="2"/>
          <w:sz w:val="24"/>
          <w:szCs w:val="24"/>
          <w:lang w:eastAsia="ar-SA"/>
        </w:rPr>
        <w:t xml:space="preserve"> Aberto e fechado</w:t>
      </w:r>
    </w:p>
    <w:p w14:paraId="4FEFC595" w14:textId="77777777" w:rsidR="00901CDC" w:rsidRDefault="00DD550A">
      <w:pPr>
        <w:spacing w:before="360" w:after="360" w:line="240" w:lineRule="auto"/>
        <w:jc w:val="both"/>
      </w:pPr>
      <w:r>
        <w:rPr>
          <w:rFonts w:ascii="Arial" w:eastAsia="MS Mincho" w:hAnsi="Arial" w:cs="Arial"/>
          <w:b/>
          <w:bCs/>
          <w:kern w:val="2"/>
          <w:sz w:val="24"/>
          <w:szCs w:val="24"/>
          <w:lang w:eastAsia="hi-IN" w:bidi="hi-IN"/>
        </w:rPr>
        <w:t xml:space="preserve">OBJETO: </w:t>
      </w:r>
      <w:r>
        <w:rPr>
          <w:rFonts w:ascii="Arial" w:eastAsia="MS Mincho" w:hAnsi="Arial" w:cs="Arial"/>
          <w:bCs/>
          <w:kern w:val="2"/>
          <w:sz w:val="24"/>
          <w:szCs w:val="24"/>
          <w:lang w:eastAsia="hi-IN" w:bidi="hi-IN"/>
        </w:rPr>
        <w:t>REGISTRO DE PREÇO para</w:t>
      </w:r>
      <w:r>
        <w:rPr>
          <w:rFonts w:ascii="Arial" w:eastAsia="MS Mincho" w:hAnsi="Arial" w:cs="Arial"/>
          <w:b/>
          <w:bCs/>
          <w:kern w:val="2"/>
          <w:sz w:val="24"/>
          <w:szCs w:val="24"/>
          <w:lang w:eastAsia="hi-IN" w:bidi="hi-IN"/>
        </w:rPr>
        <w:t xml:space="preserve"> </w:t>
      </w:r>
      <w:r>
        <w:rPr>
          <w:rFonts w:ascii="Arial" w:hAnsi="Arial" w:cs="Arial"/>
          <w:color w:val="000000"/>
          <w:sz w:val="24"/>
          <w:szCs w:val="24"/>
        </w:rPr>
        <w:t>aquisição de CADEIRAS OPERACIONAIS, conforme especificações, exigências e quantidades estabelecidas no Termo de Referência.</w:t>
      </w:r>
    </w:p>
    <w:p w14:paraId="3C7BB980" w14:textId="77777777" w:rsidR="00901CDC" w:rsidRDefault="00DD550A">
      <w:pPr>
        <w:spacing w:before="360" w:after="360" w:line="240" w:lineRule="auto"/>
        <w:jc w:val="both"/>
        <w:rPr>
          <w:rFonts w:ascii="Arial" w:eastAsia="MS Mincho" w:hAnsi="Arial" w:cs="Arial"/>
          <w:b/>
          <w:bCs/>
          <w:kern w:val="2"/>
          <w:sz w:val="24"/>
          <w:szCs w:val="24"/>
          <w:lang w:eastAsia="hi-IN" w:bidi="hi-IN"/>
        </w:rPr>
      </w:pPr>
      <w:r>
        <w:rPr>
          <w:rFonts w:ascii="Arial" w:hAnsi="Arial" w:cs="Arial"/>
          <w:b/>
          <w:color w:val="000000"/>
          <w:sz w:val="24"/>
          <w:szCs w:val="24"/>
        </w:rPr>
        <w:t>VALOR ESTIMADO DA CONTRATAÇÃO</w:t>
      </w:r>
      <w:r>
        <w:rPr>
          <w:rFonts w:ascii="Arial" w:hAnsi="Arial" w:cs="Arial"/>
          <w:color w:val="000000"/>
          <w:sz w:val="24"/>
          <w:szCs w:val="24"/>
        </w:rPr>
        <w:t xml:space="preserve">: </w:t>
      </w:r>
      <w:r>
        <w:rPr>
          <w:rFonts w:ascii="Arial" w:hAnsi="Arial" w:cs="Arial"/>
          <w:b/>
          <w:bCs/>
          <w:color w:val="000000"/>
          <w:sz w:val="24"/>
          <w:szCs w:val="24"/>
        </w:rPr>
        <w:t>R$ 15.425.916,00</w:t>
      </w:r>
    </w:p>
    <w:p w14:paraId="71882B34" w14:textId="77777777" w:rsidR="00901CDC" w:rsidRDefault="00DD550A">
      <w:pPr>
        <w:spacing w:before="360" w:after="360" w:line="240" w:lineRule="auto"/>
        <w:jc w:val="both"/>
      </w:pPr>
      <w:r>
        <w:rPr>
          <w:rFonts w:ascii="Arial" w:eastAsia="Times New Roman" w:hAnsi="Arial" w:cs="Arial"/>
          <w:kern w:val="2"/>
          <w:sz w:val="24"/>
          <w:szCs w:val="24"/>
          <w:lang w:eastAsia="ar-SA"/>
        </w:rPr>
        <w:t xml:space="preserve">O Ministério Público do Estado de Minas Gerais, por intermédio da Procuradoria-Geral de Justiça, torna público aos interessados que promoverá a presente licitação, </w:t>
      </w:r>
      <w:r>
        <w:rPr>
          <w:rFonts w:ascii="Arial" w:eastAsia="MS Mincho" w:hAnsi="Arial" w:cs="Arial"/>
          <w:kern w:val="2"/>
          <w:sz w:val="24"/>
          <w:szCs w:val="24"/>
          <w:lang w:eastAsia="ar-SA"/>
        </w:rPr>
        <w:t xml:space="preserve">por meio do site </w:t>
      </w:r>
      <w:hyperlink r:id="rId11">
        <w:r>
          <w:rPr>
            <w:rStyle w:val="ListLabel24"/>
          </w:rPr>
          <w:t>www.compras.mg.gov.br</w:t>
        </w:r>
      </w:hyperlink>
      <w:r>
        <w:rPr>
          <w:rFonts w:ascii="Arial" w:eastAsia="MS Mincho" w:hAnsi="Arial" w:cs="Arial"/>
          <w:kern w:val="2"/>
          <w:sz w:val="24"/>
          <w:szCs w:val="24"/>
          <w:lang w:eastAsia="ar-SA"/>
        </w:rPr>
        <w:t>,</w:t>
      </w:r>
      <w:r>
        <w:rPr>
          <w:rFonts w:ascii="Arial" w:eastAsia="Times New Roman" w:hAnsi="Arial" w:cs="Arial"/>
          <w:kern w:val="2"/>
          <w:sz w:val="24"/>
          <w:szCs w:val="24"/>
          <w:lang w:eastAsia="ar-SA"/>
        </w:rPr>
        <w:t xml:space="preserve"> a ser processada e julgada em conformidade com a Lei Federal nº 14.133, de 1 de abril de 2021, o </w:t>
      </w:r>
      <w:r>
        <w:rPr>
          <w:rFonts w:ascii="Arial" w:hAnsi="Arial" w:cs="Arial"/>
          <w:sz w:val="24"/>
          <w:szCs w:val="24"/>
        </w:rPr>
        <w:t>Decreto Estadual nº 48.723, de 24 de novembro de 2023, o Decreto Estadual nº 48.779, de 23 de fevereiro de 2024,</w:t>
      </w:r>
      <w:r>
        <w:rPr>
          <w:rFonts w:ascii="Arial" w:eastAsia="Times New Roman" w:hAnsi="Arial" w:cs="Arial"/>
          <w:kern w:val="2"/>
          <w:sz w:val="24"/>
          <w:szCs w:val="24"/>
          <w:lang w:eastAsia="ar-SA"/>
        </w:rPr>
        <w:t xml:space="preserve"> além das demais disposições legais aplicáveis e do disposto neste Edital.</w:t>
      </w:r>
      <w:r>
        <w:rPr>
          <w:rFonts w:ascii="Arial" w:eastAsia="Arial" w:hAnsi="Arial" w:cs="Arial"/>
          <w:kern w:val="2"/>
          <w:sz w:val="24"/>
          <w:szCs w:val="24"/>
          <w:lang w:eastAsia="ar-SA"/>
        </w:rPr>
        <w:t xml:space="preserve"> </w:t>
      </w:r>
    </w:p>
    <w:p w14:paraId="0FEE6394" w14:textId="185B8092" w:rsidR="00901CDC" w:rsidRPr="00F51790" w:rsidRDefault="00DD550A">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RECEBIMENTO DAS PROPOSTAS:</w:t>
      </w:r>
      <w:r>
        <w:rPr>
          <w:rFonts w:ascii="Arial" w:eastAsia="Times New Roman" w:hAnsi="Arial" w:cs="Arial"/>
          <w:kern w:val="2"/>
          <w:sz w:val="24"/>
          <w:szCs w:val="24"/>
          <w:lang w:eastAsia="ar-SA"/>
        </w:rPr>
        <w:t xml:space="preserve"> Até </w:t>
      </w:r>
      <w:r w:rsidRPr="00F51790">
        <w:rPr>
          <w:rFonts w:ascii="Arial" w:eastAsia="Times New Roman" w:hAnsi="Arial" w:cs="Arial"/>
          <w:kern w:val="2"/>
          <w:sz w:val="24"/>
          <w:szCs w:val="24"/>
          <w:lang w:eastAsia="ar-SA"/>
        </w:rPr>
        <w:t xml:space="preserve">às </w:t>
      </w:r>
      <w:r w:rsidRPr="00F51790">
        <w:rPr>
          <w:rFonts w:ascii="Arial" w:eastAsia="Times New Roman" w:hAnsi="Arial" w:cs="Arial"/>
          <w:b/>
          <w:bCs/>
          <w:kern w:val="2"/>
          <w:sz w:val="24"/>
          <w:szCs w:val="24"/>
          <w:lang w:eastAsia="ar-SA"/>
        </w:rPr>
        <w:t>10 horas</w:t>
      </w:r>
      <w:r w:rsidRPr="00F51790">
        <w:rPr>
          <w:rFonts w:ascii="Arial" w:eastAsia="Times New Roman" w:hAnsi="Arial" w:cs="Arial"/>
          <w:kern w:val="2"/>
          <w:sz w:val="24"/>
          <w:szCs w:val="24"/>
          <w:lang w:eastAsia="ar-SA"/>
        </w:rPr>
        <w:t xml:space="preserve"> do dia </w:t>
      </w:r>
      <w:r w:rsidR="00F51790" w:rsidRPr="00F51790">
        <w:rPr>
          <w:rFonts w:ascii="Arial" w:eastAsia="Times New Roman" w:hAnsi="Arial" w:cs="Arial"/>
          <w:b/>
          <w:bCs/>
          <w:kern w:val="2"/>
          <w:sz w:val="24"/>
          <w:szCs w:val="24"/>
          <w:lang w:eastAsia="ar-SA"/>
        </w:rPr>
        <w:t>26/09</w:t>
      </w:r>
      <w:r w:rsidRPr="00F51790">
        <w:rPr>
          <w:rFonts w:ascii="Arial" w:eastAsia="Times New Roman" w:hAnsi="Arial" w:cs="Arial"/>
          <w:b/>
          <w:bCs/>
          <w:kern w:val="2"/>
          <w:sz w:val="24"/>
          <w:szCs w:val="24"/>
          <w:lang w:eastAsia="ar-SA"/>
        </w:rPr>
        <w:t>/2024.</w:t>
      </w:r>
    </w:p>
    <w:p w14:paraId="476ED7A4" w14:textId="473D801D" w:rsidR="00901CDC" w:rsidRDefault="00DD550A">
      <w:pPr>
        <w:spacing w:before="360" w:after="360" w:line="240" w:lineRule="auto"/>
        <w:jc w:val="both"/>
        <w:rPr>
          <w:rFonts w:ascii="Arial" w:eastAsia="Times New Roman" w:hAnsi="Arial" w:cs="Arial"/>
          <w:b/>
          <w:bCs/>
          <w:kern w:val="2"/>
          <w:sz w:val="24"/>
          <w:szCs w:val="24"/>
          <w:lang w:eastAsia="ar-SA"/>
        </w:rPr>
      </w:pPr>
      <w:r w:rsidRPr="00F51790">
        <w:rPr>
          <w:rFonts w:ascii="Arial" w:eastAsia="Times New Roman" w:hAnsi="Arial" w:cs="Arial"/>
          <w:b/>
          <w:bCs/>
          <w:kern w:val="2"/>
          <w:sz w:val="24"/>
          <w:szCs w:val="24"/>
          <w:lang w:eastAsia="ar-SA"/>
        </w:rPr>
        <w:t>INÍCIO DA SESSÃO DE LANCES:</w:t>
      </w:r>
      <w:r w:rsidRPr="00F51790">
        <w:rPr>
          <w:rFonts w:ascii="Arial" w:eastAsia="Times New Roman" w:hAnsi="Arial" w:cs="Arial"/>
          <w:kern w:val="2"/>
          <w:sz w:val="24"/>
          <w:szCs w:val="24"/>
          <w:lang w:eastAsia="ar-SA"/>
        </w:rPr>
        <w:t xml:space="preserve"> Às </w:t>
      </w:r>
      <w:r w:rsidRPr="00F51790">
        <w:rPr>
          <w:rFonts w:ascii="Arial" w:eastAsia="Times New Roman" w:hAnsi="Arial" w:cs="Arial"/>
          <w:b/>
          <w:bCs/>
          <w:kern w:val="2"/>
          <w:sz w:val="24"/>
          <w:szCs w:val="24"/>
          <w:lang w:eastAsia="ar-SA"/>
        </w:rPr>
        <w:t>10 horas</w:t>
      </w:r>
      <w:r w:rsidRPr="00F51790">
        <w:rPr>
          <w:rFonts w:ascii="Arial" w:eastAsia="Times New Roman" w:hAnsi="Arial" w:cs="Arial"/>
          <w:kern w:val="2"/>
          <w:sz w:val="24"/>
          <w:szCs w:val="24"/>
          <w:lang w:eastAsia="ar-SA"/>
        </w:rPr>
        <w:t xml:space="preserve"> do dia </w:t>
      </w:r>
      <w:r w:rsidR="00F51790" w:rsidRPr="00F51790">
        <w:rPr>
          <w:rFonts w:ascii="Arial" w:eastAsia="Times New Roman" w:hAnsi="Arial" w:cs="Arial"/>
          <w:b/>
          <w:bCs/>
          <w:kern w:val="2"/>
          <w:sz w:val="24"/>
          <w:szCs w:val="24"/>
          <w:lang w:eastAsia="ar-SA"/>
        </w:rPr>
        <w:t>26/09</w:t>
      </w:r>
      <w:r w:rsidRPr="00F51790">
        <w:rPr>
          <w:rFonts w:ascii="Arial" w:eastAsia="Times New Roman" w:hAnsi="Arial" w:cs="Arial"/>
          <w:b/>
          <w:bCs/>
          <w:kern w:val="2"/>
          <w:sz w:val="24"/>
          <w:szCs w:val="24"/>
          <w:lang w:eastAsia="ar-SA"/>
        </w:rPr>
        <w:t>/2024.</w:t>
      </w:r>
    </w:p>
    <w:p w14:paraId="0253953C" w14:textId="77777777" w:rsidR="00901CDC" w:rsidRDefault="00DD550A">
      <w:pPr>
        <w:spacing w:before="360" w:after="360" w:line="240" w:lineRule="auto"/>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REFERÊNCIA DE TEMPO</w:t>
      </w:r>
      <w:r>
        <w:rPr>
          <w:rFonts w:ascii="Arial" w:eastAsia="Times New Roman" w:hAnsi="Arial" w:cs="Arial"/>
          <w:kern w:val="2"/>
          <w:sz w:val="24"/>
          <w:szCs w:val="24"/>
          <w:lang w:eastAsia="ar-SA"/>
        </w:rPr>
        <w:t>: Será observado o horário de Brasília (DF).</w:t>
      </w:r>
    </w:p>
    <w:p w14:paraId="5B90CC6D" w14:textId="45628BFA" w:rsidR="00901CDC" w:rsidRDefault="00DD550A">
      <w:pPr>
        <w:spacing w:before="360" w:after="360" w:line="240" w:lineRule="auto"/>
        <w:jc w:val="both"/>
        <w:rPr>
          <w:rFonts w:ascii="Arial" w:eastAsia="Times New Roman" w:hAnsi="Arial" w:cs="Arial"/>
          <w:b/>
          <w:bCs/>
          <w:kern w:val="2"/>
          <w:sz w:val="24"/>
          <w:szCs w:val="24"/>
          <w:lang w:eastAsia="ar-SA"/>
        </w:rPr>
      </w:pPr>
      <w:r>
        <w:rPr>
          <w:rFonts w:ascii="Arial" w:eastAsia="Times New Roman" w:hAnsi="Arial" w:cs="Arial"/>
          <w:b/>
          <w:bCs/>
          <w:kern w:val="2"/>
          <w:sz w:val="24"/>
          <w:szCs w:val="24"/>
          <w:lang w:eastAsia="ar-SA"/>
        </w:rPr>
        <w:t>ESCLARECIMENTOS E IMPUGNAÇÕES:</w:t>
      </w:r>
      <w:r>
        <w:rPr>
          <w:rFonts w:ascii="Arial" w:eastAsia="Times New Roman" w:hAnsi="Arial" w:cs="Arial"/>
          <w:kern w:val="2"/>
          <w:sz w:val="24"/>
          <w:szCs w:val="24"/>
          <w:lang w:eastAsia="ar-SA"/>
        </w:rPr>
        <w:t xml:space="preserve"> Na forma prevista no item 3 deste Edital, até às </w:t>
      </w:r>
      <w:r>
        <w:rPr>
          <w:rFonts w:ascii="Arial" w:eastAsia="Times New Roman" w:hAnsi="Arial" w:cs="Arial"/>
          <w:b/>
          <w:bCs/>
          <w:kern w:val="2"/>
          <w:sz w:val="24"/>
          <w:szCs w:val="24"/>
          <w:lang w:eastAsia="ar-SA"/>
        </w:rPr>
        <w:t>18 horas</w:t>
      </w:r>
      <w:r>
        <w:rPr>
          <w:rFonts w:ascii="Arial" w:eastAsia="Times New Roman" w:hAnsi="Arial" w:cs="Arial"/>
          <w:kern w:val="2"/>
          <w:sz w:val="24"/>
          <w:szCs w:val="24"/>
          <w:lang w:eastAsia="ar-SA"/>
        </w:rPr>
        <w:t xml:space="preserve"> do dia </w:t>
      </w:r>
      <w:r w:rsidR="00F51790">
        <w:rPr>
          <w:rFonts w:ascii="Arial" w:eastAsia="Times New Roman" w:hAnsi="Arial" w:cs="Arial"/>
          <w:b/>
          <w:bCs/>
          <w:kern w:val="2"/>
          <w:sz w:val="24"/>
          <w:szCs w:val="24"/>
          <w:lang w:eastAsia="ar-SA"/>
        </w:rPr>
        <w:t>23/09/2024</w:t>
      </w:r>
      <w:r>
        <w:rPr>
          <w:rFonts w:ascii="Arial" w:eastAsia="Times New Roman" w:hAnsi="Arial" w:cs="Arial"/>
          <w:b/>
          <w:bCs/>
          <w:kern w:val="2"/>
          <w:sz w:val="24"/>
          <w:szCs w:val="24"/>
          <w:lang w:eastAsia="ar-SA"/>
        </w:rPr>
        <w:t>.</w:t>
      </w:r>
    </w:p>
    <w:p w14:paraId="5E2C0F72" w14:textId="047CAA27" w:rsidR="00901CDC" w:rsidRDefault="00DD550A">
      <w:pPr>
        <w:spacing w:before="360" w:after="360" w:line="240" w:lineRule="auto"/>
        <w:jc w:val="both"/>
        <w:rPr>
          <w:rFonts w:ascii="Arial" w:eastAsia="Times New Roman" w:hAnsi="Arial" w:cs="Arial"/>
          <w:b/>
          <w:bCs/>
          <w:spacing w:val="-3"/>
          <w:kern w:val="2"/>
          <w:sz w:val="24"/>
          <w:szCs w:val="24"/>
          <w:lang w:eastAsia="ar-SA"/>
        </w:rPr>
      </w:pPr>
      <w:r>
        <w:rPr>
          <w:rFonts w:ascii="Arial" w:eastAsia="Times New Roman" w:hAnsi="Arial" w:cs="Arial"/>
          <w:b/>
          <w:bCs/>
          <w:spacing w:val="-3"/>
          <w:kern w:val="2"/>
          <w:sz w:val="24"/>
          <w:szCs w:val="24"/>
          <w:lang w:eastAsia="ar-SA"/>
        </w:rPr>
        <w:t xml:space="preserve">PREGOEIRA: </w:t>
      </w:r>
      <w:proofErr w:type="spellStart"/>
      <w:r w:rsidR="00F51790">
        <w:rPr>
          <w:rFonts w:ascii="Arial" w:eastAsia="Times New Roman" w:hAnsi="Arial" w:cs="Arial"/>
          <w:b/>
          <w:bCs/>
          <w:spacing w:val="-3"/>
          <w:kern w:val="2"/>
          <w:sz w:val="24"/>
          <w:szCs w:val="24"/>
          <w:lang w:eastAsia="ar-SA"/>
        </w:rPr>
        <w:t>Lizziane</w:t>
      </w:r>
      <w:proofErr w:type="spellEnd"/>
      <w:r w:rsidR="00F51790">
        <w:rPr>
          <w:rFonts w:ascii="Arial" w:eastAsia="Times New Roman" w:hAnsi="Arial" w:cs="Arial"/>
          <w:b/>
          <w:bCs/>
          <w:spacing w:val="-3"/>
          <w:kern w:val="2"/>
          <w:sz w:val="24"/>
          <w:szCs w:val="24"/>
          <w:lang w:eastAsia="ar-SA"/>
        </w:rPr>
        <w:t xml:space="preserve"> de Souza Trindade</w:t>
      </w:r>
    </w:p>
    <w:p w14:paraId="5B59817F" w14:textId="77777777" w:rsidR="00901CDC" w:rsidRDefault="00901CDC">
      <w:pPr>
        <w:spacing w:after="0" w:line="240" w:lineRule="auto"/>
        <w:rPr>
          <w:rFonts w:ascii="Arial" w:eastAsia="Times New Roman" w:hAnsi="Arial" w:cs="Arial"/>
          <w:b/>
          <w:bCs/>
          <w:sz w:val="24"/>
          <w:szCs w:val="24"/>
          <w:u w:val="single"/>
          <w:lang w:eastAsia="pt-BR"/>
        </w:rPr>
      </w:pPr>
    </w:p>
    <w:p w14:paraId="13C9D35C" w14:textId="77777777" w:rsidR="00901CDC" w:rsidRDefault="00901CDC">
      <w:pPr>
        <w:spacing w:after="0" w:line="240" w:lineRule="auto"/>
        <w:rPr>
          <w:rFonts w:ascii="Arial" w:eastAsia="Times New Roman" w:hAnsi="Arial" w:cs="Arial"/>
          <w:b/>
          <w:bCs/>
          <w:sz w:val="24"/>
          <w:szCs w:val="24"/>
          <w:u w:val="single"/>
          <w:lang w:eastAsia="pt-BR"/>
        </w:rPr>
      </w:pPr>
    </w:p>
    <w:p w14:paraId="40BE2B51" w14:textId="77777777" w:rsidR="00901CDC" w:rsidRDefault="00901CDC">
      <w:pPr>
        <w:spacing w:after="0" w:line="240" w:lineRule="auto"/>
        <w:rPr>
          <w:rFonts w:ascii="Arial" w:eastAsia="Times New Roman" w:hAnsi="Arial" w:cs="Arial"/>
          <w:b/>
          <w:bCs/>
          <w:sz w:val="24"/>
          <w:szCs w:val="24"/>
          <w:u w:val="single"/>
          <w:lang w:eastAsia="pt-BR"/>
        </w:rPr>
      </w:pPr>
    </w:p>
    <w:p w14:paraId="5A90936C" w14:textId="77777777" w:rsidR="00901CDC" w:rsidRDefault="00901CDC">
      <w:pPr>
        <w:spacing w:after="0" w:line="240" w:lineRule="auto"/>
        <w:rPr>
          <w:rFonts w:ascii="Arial" w:eastAsia="Times New Roman" w:hAnsi="Arial" w:cs="Arial"/>
          <w:b/>
          <w:bCs/>
          <w:sz w:val="24"/>
          <w:szCs w:val="24"/>
          <w:u w:val="single"/>
          <w:lang w:eastAsia="pt-BR"/>
        </w:rPr>
      </w:pPr>
    </w:p>
    <w:p w14:paraId="77747DA2" w14:textId="77777777" w:rsidR="00901CDC" w:rsidRDefault="00901CDC">
      <w:pPr>
        <w:spacing w:after="0" w:line="240" w:lineRule="auto"/>
        <w:rPr>
          <w:rFonts w:ascii="Arial" w:eastAsia="Times New Roman" w:hAnsi="Arial" w:cs="Arial"/>
          <w:b/>
          <w:bCs/>
          <w:sz w:val="24"/>
          <w:szCs w:val="24"/>
          <w:u w:val="single"/>
          <w:lang w:eastAsia="pt-BR"/>
        </w:rPr>
      </w:pPr>
    </w:p>
    <w:p w14:paraId="6F25B898" w14:textId="77777777" w:rsidR="00F51790" w:rsidRDefault="00F51790">
      <w:pPr>
        <w:jc w:val="center"/>
        <w:rPr>
          <w:rFonts w:ascii="Arial" w:eastAsia="Times New Roman" w:hAnsi="Arial" w:cs="Arial"/>
          <w:b/>
          <w:bCs/>
          <w:sz w:val="24"/>
          <w:szCs w:val="24"/>
          <w:u w:val="single"/>
          <w:lang w:eastAsia="pt-BR"/>
        </w:rPr>
      </w:pPr>
    </w:p>
    <w:p w14:paraId="0E0B3FFD" w14:textId="0ABF7CDC" w:rsidR="00C63608" w:rsidRDefault="00DD550A">
      <w:pPr>
        <w:jc w:val="center"/>
      </w:pPr>
      <w:r>
        <w:rPr>
          <w:rFonts w:ascii="Arial" w:eastAsia="Times New Roman" w:hAnsi="Arial" w:cs="Arial"/>
          <w:b/>
          <w:bCs/>
          <w:sz w:val="24"/>
          <w:szCs w:val="24"/>
          <w:u w:val="single"/>
          <w:lang w:eastAsia="pt-BR"/>
        </w:rPr>
        <w:t>ÍNDICE</w:t>
      </w:r>
      <w:bookmarkStart w:id="1" w:name="_Hlk130207661"/>
    </w:p>
    <w:sdt>
      <w:sdtPr>
        <w:rPr>
          <w:rFonts w:asciiTheme="minorHAnsi" w:eastAsiaTheme="minorHAnsi" w:hAnsiTheme="minorHAnsi" w:cstheme="minorBidi"/>
          <w:kern w:val="0"/>
          <w:sz w:val="22"/>
          <w:szCs w:val="22"/>
          <w:lang w:eastAsia="en-US"/>
        </w:rPr>
        <w:id w:val="-1790278479"/>
        <w:docPartObj>
          <w:docPartGallery w:val="Table of Contents"/>
          <w:docPartUnique/>
        </w:docPartObj>
      </w:sdtPr>
      <w:sdtContent>
        <w:p w14:paraId="22DB3376" w14:textId="7837507A" w:rsidR="00E71512" w:rsidRDefault="00DD550A">
          <w:pPr>
            <w:pStyle w:val="Sumrio1"/>
            <w:rPr>
              <w:rFonts w:asciiTheme="minorHAnsi" w:eastAsiaTheme="minorEastAsia" w:hAnsiTheme="minorHAnsi" w:cstheme="minorBidi"/>
              <w:noProof/>
              <w:lang w:eastAsia="pt-BR"/>
              <w14:ligatures w14:val="standardContextual"/>
            </w:rPr>
          </w:pPr>
          <w:r>
            <w:fldChar w:fldCharType="begin"/>
          </w:r>
          <w:r>
            <w:rPr>
              <w:rStyle w:val="Vnculodendice"/>
              <w:rFonts w:eastAsia="MS Gothic"/>
              <w:b/>
              <w:bCs/>
              <w:webHidden/>
            </w:rPr>
            <w:instrText>TOC \z \o "1-3" \u \h</w:instrText>
          </w:r>
          <w:r>
            <w:rPr>
              <w:rStyle w:val="Vnculodendice"/>
              <w:rFonts w:eastAsia="MS Gothic"/>
              <w:b/>
              <w:bCs/>
            </w:rPr>
            <w:fldChar w:fldCharType="separate"/>
          </w:r>
          <w:hyperlink w:anchor="_Toc176954829" w:history="1">
            <w:r w:rsidR="00E71512" w:rsidRPr="00D86B44">
              <w:rPr>
                <w:rStyle w:val="Hyperlink"/>
                <w:rFonts w:eastAsia="MS Gothic"/>
                <w:b/>
                <w:bCs/>
                <w:noProof/>
                <w:lang w:eastAsia="pt-BR"/>
              </w:rPr>
              <w:t xml:space="preserve">1. </w:t>
            </w:r>
            <w:r w:rsidR="00E71512" w:rsidRPr="00D86B44">
              <w:rPr>
                <w:rStyle w:val="Hyperlink"/>
                <w:rFonts w:eastAsia="MS Gothic"/>
                <w:b/>
                <w:bCs/>
                <w:noProof/>
              </w:rPr>
              <w:t>DO OBJETO</w:t>
            </w:r>
            <w:r w:rsidR="00E71512">
              <w:rPr>
                <w:noProof/>
                <w:webHidden/>
              </w:rPr>
              <w:tab/>
            </w:r>
            <w:r w:rsidR="00E71512">
              <w:rPr>
                <w:noProof/>
                <w:webHidden/>
              </w:rPr>
              <w:fldChar w:fldCharType="begin"/>
            </w:r>
            <w:r w:rsidR="00E71512">
              <w:rPr>
                <w:noProof/>
                <w:webHidden/>
              </w:rPr>
              <w:instrText xml:space="preserve"> PAGEREF _Toc176954829 \h </w:instrText>
            </w:r>
            <w:r w:rsidR="00E71512">
              <w:rPr>
                <w:noProof/>
                <w:webHidden/>
              </w:rPr>
            </w:r>
            <w:r w:rsidR="00E71512">
              <w:rPr>
                <w:noProof/>
                <w:webHidden/>
              </w:rPr>
              <w:fldChar w:fldCharType="separate"/>
            </w:r>
            <w:r w:rsidR="00824413">
              <w:rPr>
                <w:noProof/>
                <w:webHidden/>
              </w:rPr>
              <w:t>3</w:t>
            </w:r>
            <w:r w:rsidR="00E71512">
              <w:rPr>
                <w:noProof/>
                <w:webHidden/>
              </w:rPr>
              <w:fldChar w:fldCharType="end"/>
            </w:r>
          </w:hyperlink>
        </w:p>
        <w:p w14:paraId="4E5201C5" w14:textId="0CC513DD" w:rsidR="00E71512" w:rsidRDefault="00000000">
          <w:pPr>
            <w:pStyle w:val="Sumrio1"/>
            <w:rPr>
              <w:rFonts w:asciiTheme="minorHAnsi" w:eastAsiaTheme="minorEastAsia" w:hAnsiTheme="minorHAnsi" w:cstheme="minorBidi"/>
              <w:noProof/>
              <w:lang w:eastAsia="pt-BR"/>
              <w14:ligatures w14:val="standardContextual"/>
            </w:rPr>
          </w:pPr>
          <w:hyperlink w:anchor="_Toc176954830" w:history="1">
            <w:r w:rsidR="00E71512" w:rsidRPr="00D86B44">
              <w:rPr>
                <w:rStyle w:val="Hyperlink"/>
                <w:rFonts w:eastAsia="MS Gothic"/>
                <w:b/>
                <w:bCs/>
                <w:noProof/>
                <w:lang w:eastAsia="pt-BR"/>
              </w:rPr>
              <w:t>2. DO REGISTRO DE PREÇOS</w:t>
            </w:r>
            <w:r w:rsidR="00E71512">
              <w:rPr>
                <w:noProof/>
                <w:webHidden/>
              </w:rPr>
              <w:tab/>
            </w:r>
            <w:r w:rsidR="00E71512">
              <w:rPr>
                <w:noProof/>
                <w:webHidden/>
              </w:rPr>
              <w:fldChar w:fldCharType="begin"/>
            </w:r>
            <w:r w:rsidR="00E71512">
              <w:rPr>
                <w:noProof/>
                <w:webHidden/>
              </w:rPr>
              <w:instrText xml:space="preserve"> PAGEREF _Toc176954830 \h </w:instrText>
            </w:r>
            <w:r w:rsidR="00E71512">
              <w:rPr>
                <w:noProof/>
                <w:webHidden/>
              </w:rPr>
            </w:r>
            <w:r w:rsidR="00E71512">
              <w:rPr>
                <w:noProof/>
                <w:webHidden/>
              </w:rPr>
              <w:fldChar w:fldCharType="separate"/>
            </w:r>
            <w:r w:rsidR="00824413">
              <w:rPr>
                <w:noProof/>
                <w:webHidden/>
              </w:rPr>
              <w:t>3</w:t>
            </w:r>
            <w:r w:rsidR="00E71512">
              <w:rPr>
                <w:noProof/>
                <w:webHidden/>
              </w:rPr>
              <w:fldChar w:fldCharType="end"/>
            </w:r>
          </w:hyperlink>
        </w:p>
        <w:p w14:paraId="3B1ABC7B" w14:textId="782FE2C3" w:rsidR="00E71512" w:rsidRDefault="00000000">
          <w:pPr>
            <w:pStyle w:val="Sumrio1"/>
            <w:rPr>
              <w:rFonts w:asciiTheme="minorHAnsi" w:eastAsiaTheme="minorEastAsia" w:hAnsiTheme="minorHAnsi" w:cstheme="minorBidi"/>
              <w:noProof/>
              <w:lang w:eastAsia="pt-BR"/>
              <w14:ligatures w14:val="standardContextual"/>
            </w:rPr>
          </w:pPr>
          <w:hyperlink w:anchor="_Toc176954831" w:history="1">
            <w:r w:rsidR="00E71512" w:rsidRPr="00D86B44">
              <w:rPr>
                <w:rStyle w:val="Hyperlink"/>
                <w:rFonts w:eastAsia="MS Gothic"/>
                <w:b/>
                <w:bCs/>
                <w:noProof/>
                <w:lang w:eastAsia="pt-BR"/>
              </w:rPr>
              <w:t>3. DA IMPUGNAÇÃO AO EDITAL E DO PEDIDO DE ESCLARECIMENTO</w:t>
            </w:r>
            <w:r w:rsidR="00E71512">
              <w:rPr>
                <w:noProof/>
                <w:webHidden/>
              </w:rPr>
              <w:tab/>
            </w:r>
            <w:r w:rsidR="00E71512">
              <w:rPr>
                <w:noProof/>
                <w:webHidden/>
              </w:rPr>
              <w:fldChar w:fldCharType="begin"/>
            </w:r>
            <w:r w:rsidR="00E71512">
              <w:rPr>
                <w:noProof/>
                <w:webHidden/>
              </w:rPr>
              <w:instrText xml:space="preserve"> PAGEREF _Toc176954831 \h </w:instrText>
            </w:r>
            <w:r w:rsidR="00E71512">
              <w:rPr>
                <w:noProof/>
                <w:webHidden/>
              </w:rPr>
            </w:r>
            <w:r w:rsidR="00E71512">
              <w:rPr>
                <w:noProof/>
                <w:webHidden/>
              </w:rPr>
              <w:fldChar w:fldCharType="separate"/>
            </w:r>
            <w:r w:rsidR="00824413">
              <w:rPr>
                <w:noProof/>
                <w:webHidden/>
              </w:rPr>
              <w:t>3</w:t>
            </w:r>
            <w:r w:rsidR="00E71512">
              <w:rPr>
                <w:noProof/>
                <w:webHidden/>
              </w:rPr>
              <w:fldChar w:fldCharType="end"/>
            </w:r>
          </w:hyperlink>
        </w:p>
        <w:p w14:paraId="0BBD9354" w14:textId="28DE189D" w:rsidR="00E71512" w:rsidRDefault="00000000">
          <w:pPr>
            <w:pStyle w:val="Sumrio1"/>
            <w:rPr>
              <w:rFonts w:asciiTheme="minorHAnsi" w:eastAsiaTheme="minorEastAsia" w:hAnsiTheme="minorHAnsi" w:cstheme="minorBidi"/>
              <w:noProof/>
              <w:lang w:eastAsia="pt-BR"/>
              <w14:ligatures w14:val="standardContextual"/>
            </w:rPr>
          </w:pPr>
          <w:hyperlink w:anchor="_Toc176954832" w:history="1">
            <w:r w:rsidR="00E71512" w:rsidRPr="00D86B44">
              <w:rPr>
                <w:rStyle w:val="Hyperlink"/>
                <w:rFonts w:eastAsia="MS Gothic"/>
                <w:b/>
                <w:bCs/>
                <w:noProof/>
                <w:lang w:eastAsia="pt-BR"/>
              </w:rPr>
              <w:t>4. DA PARTICIPAÇÃO NA LICITAÇÃO</w:t>
            </w:r>
            <w:r w:rsidR="00E71512">
              <w:rPr>
                <w:noProof/>
                <w:webHidden/>
              </w:rPr>
              <w:tab/>
            </w:r>
            <w:r w:rsidR="00E71512">
              <w:rPr>
                <w:noProof/>
                <w:webHidden/>
              </w:rPr>
              <w:fldChar w:fldCharType="begin"/>
            </w:r>
            <w:r w:rsidR="00E71512">
              <w:rPr>
                <w:noProof/>
                <w:webHidden/>
              </w:rPr>
              <w:instrText xml:space="preserve"> PAGEREF _Toc176954832 \h </w:instrText>
            </w:r>
            <w:r w:rsidR="00E71512">
              <w:rPr>
                <w:noProof/>
                <w:webHidden/>
              </w:rPr>
            </w:r>
            <w:r w:rsidR="00E71512">
              <w:rPr>
                <w:noProof/>
                <w:webHidden/>
              </w:rPr>
              <w:fldChar w:fldCharType="separate"/>
            </w:r>
            <w:r w:rsidR="00824413">
              <w:rPr>
                <w:noProof/>
                <w:webHidden/>
              </w:rPr>
              <w:t>4</w:t>
            </w:r>
            <w:r w:rsidR="00E71512">
              <w:rPr>
                <w:noProof/>
                <w:webHidden/>
              </w:rPr>
              <w:fldChar w:fldCharType="end"/>
            </w:r>
          </w:hyperlink>
        </w:p>
        <w:p w14:paraId="02C9AC6D" w14:textId="40CEF618" w:rsidR="00E71512" w:rsidRDefault="00000000">
          <w:pPr>
            <w:pStyle w:val="Sumrio1"/>
            <w:rPr>
              <w:rFonts w:asciiTheme="minorHAnsi" w:eastAsiaTheme="minorEastAsia" w:hAnsiTheme="minorHAnsi" w:cstheme="minorBidi"/>
              <w:noProof/>
              <w:lang w:eastAsia="pt-BR"/>
              <w14:ligatures w14:val="standardContextual"/>
            </w:rPr>
          </w:pPr>
          <w:hyperlink w:anchor="_Toc176954833" w:history="1">
            <w:r w:rsidR="00E71512" w:rsidRPr="00D86B44">
              <w:rPr>
                <w:rStyle w:val="Hyperlink"/>
                <w:rFonts w:eastAsia="MS Gothic"/>
                <w:b/>
                <w:bCs/>
                <w:noProof/>
                <w:lang w:eastAsia="pt-BR"/>
              </w:rPr>
              <w:t>5. DA APRESENTAÇÃO DA PROPOSTA</w:t>
            </w:r>
            <w:r w:rsidR="00E71512">
              <w:rPr>
                <w:noProof/>
                <w:webHidden/>
              </w:rPr>
              <w:tab/>
            </w:r>
            <w:r w:rsidR="00E71512">
              <w:rPr>
                <w:noProof/>
                <w:webHidden/>
              </w:rPr>
              <w:fldChar w:fldCharType="begin"/>
            </w:r>
            <w:r w:rsidR="00E71512">
              <w:rPr>
                <w:noProof/>
                <w:webHidden/>
              </w:rPr>
              <w:instrText xml:space="preserve"> PAGEREF _Toc176954833 \h </w:instrText>
            </w:r>
            <w:r w:rsidR="00E71512">
              <w:rPr>
                <w:noProof/>
                <w:webHidden/>
              </w:rPr>
            </w:r>
            <w:r w:rsidR="00E71512">
              <w:rPr>
                <w:noProof/>
                <w:webHidden/>
              </w:rPr>
              <w:fldChar w:fldCharType="separate"/>
            </w:r>
            <w:r w:rsidR="00824413">
              <w:rPr>
                <w:noProof/>
                <w:webHidden/>
              </w:rPr>
              <w:t>8</w:t>
            </w:r>
            <w:r w:rsidR="00E71512">
              <w:rPr>
                <w:noProof/>
                <w:webHidden/>
              </w:rPr>
              <w:fldChar w:fldCharType="end"/>
            </w:r>
          </w:hyperlink>
        </w:p>
        <w:p w14:paraId="0DE879D6" w14:textId="460D7635" w:rsidR="00E71512" w:rsidRDefault="00000000">
          <w:pPr>
            <w:pStyle w:val="Sumrio1"/>
            <w:rPr>
              <w:rFonts w:asciiTheme="minorHAnsi" w:eastAsiaTheme="minorEastAsia" w:hAnsiTheme="minorHAnsi" w:cstheme="minorBidi"/>
              <w:noProof/>
              <w:lang w:eastAsia="pt-BR"/>
              <w14:ligatures w14:val="standardContextual"/>
            </w:rPr>
          </w:pPr>
          <w:hyperlink w:anchor="_Toc176954834" w:history="1">
            <w:r w:rsidR="00E71512" w:rsidRPr="00D86B44">
              <w:rPr>
                <w:rStyle w:val="Hyperlink"/>
                <w:rFonts w:eastAsia="MS Gothic"/>
                <w:b/>
                <w:bCs/>
                <w:noProof/>
                <w:lang w:eastAsia="pt-BR"/>
              </w:rPr>
              <w:t>6. DA ABERTURA DA SESSÃO E DA ETAPA DE LANCES</w:t>
            </w:r>
            <w:r w:rsidR="00E71512">
              <w:rPr>
                <w:noProof/>
                <w:webHidden/>
              </w:rPr>
              <w:tab/>
            </w:r>
            <w:r w:rsidR="00E71512">
              <w:rPr>
                <w:noProof/>
                <w:webHidden/>
              </w:rPr>
              <w:fldChar w:fldCharType="begin"/>
            </w:r>
            <w:r w:rsidR="00E71512">
              <w:rPr>
                <w:noProof/>
                <w:webHidden/>
              </w:rPr>
              <w:instrText xml:space="preserve"> PAGEREF _Toc176954834 \h </w:instrText>
            </w:r>
            <w:r w:rsidR="00E71512">
              <w:rPr>
                <w:noProof/>
                <w:webHidden/>
              </w:rPr>
            </w:r>
            <w:r w:rsidR="00E71512">
              <w:rPr>
                <w:noProof/>
                <w:webHidden/>
              </w:rPr>
              <w:fldChar w:fldCharType="separate"/>
            </w:r>
            <w:r w:rsidR="00824413">
              <w:rPr>
                <w:noProof/>
                <w:webHidden/>
              </w:rPr>
              <w:t>12</w:t>
            </w:r>
            <w:r w:rsidR="00E71512">
              <w:rPr>
                <w:noProof/>
                <w:webHidden/>
              </w:rPr>
              <w:fldChar w:fldCharType="end"/>
            </w:r>
          </w:hyperlink>
        </w:p>
        <w:p w14:paraId="2A96CEFA" w14:textId="1AA31A24" w:rsidR="00E71512" w:rsidRDefault="00000000">
          <w:pPr>
            <w:pStyle w:val="Sumrio1"/>
            <w:rPr>
              <w:rFonts w:asciiTheme="minorHAnsi" w:eastAsiaTheme="minorEastAsia" w:hAnsiTheme="minorHAnsi" w:cstheme="minorBidi"/>
              <w:noProof/>
              <w:lang w:eastAsia="pt-BR"/>
              <w14:ligatures w14:val="standardContextual"/>
            </w:rPr>
          </w:pPr>
          <w:hyperlink w:anchor="_Toc176954835" w:history="1">
            <w:r w:rsidR="00E71512" w:rsidRPr="00D86B44">
              <w:rPr>
                <w:rStyle w:val="Hyperlink"/>
                <w:rFonts w:eastAsia="MS Gothic"/>
                <w:b/>
                <w:bCs/>
                <w:noProof/>
                <w:lang w:eastAsia="pt-BR"/>
              </w:rPr>
              <w:t>7. DA FASE DE JULGAMENTO</w:t>
            </w:r>
            <w:r w:rsidR="00E71512">
              <w:rPr>
                <w:noProof/>
                <w:webHidden/>
              </w:rPr>
              <w:tab/>
            </w:r>
            <w:r w:rsidR="00E71512">
              <w:rPr>
                <w:noProof/>
                <w:webHidden/>
              </w:rPr>
              <w:fldChar w:fldCharType="begin"/>
            </w:r>
            <w:r w:rsidR="00E71512">
              <w:rPr>
                <w:noProof/>
                <w:webHidden/>
              </w:rPr>
              <w:instrText xml:space="preserve"> PAGEREF _Toc176954835 \h </w:instrText>
            </w:r>
            <w:r w:rsidR="00E71512">
              <w:rPr>
                <w:noProof/>
                <w:webHidden/>
              </w:rPr>
            </w:r>
            <w:r w:rsidR="00E71512">
              <w:rPr>
                <w:noProof/>
                <w:webHidden/>
              </w:rPr>
              <w:fldChar w:fldCharType="separate"/>
            </w:r>
            <w:r w:rsidR="00824413">
              <w:rPr>
                <w:noProof/>
                <w:webHidden/>
              </w:rPr>
              <w:t>14</w:t>
            </w:r>
            <w:r w:rsidR="00E71512">
              <w:rPr>
                <w:noProof/>
                <w:webHidden/>
              </w:rPr>
              <w:fldChar w:fldCharType="end"/>
            </w:r>
          </w:hyperlink>
        </w:p>
        <w:p w14:paraId="768F1B31" w14:textId="4629EBC4" w:rsidR="00E71512" w:rsidRDefault="00000000">
          <w:pPr>
            <w:pStyle w:val="Sumrio1"/>
            <w:rPr>
              <w:rFonts w:asciiTheme="minorHAnsi" w:eastAsiaTheme="minorEastAsia" w:hAnsiTheme="minorHAnsi" w:cstheme="minorBidi"/>
              <w:noProof/>
              <w:lang w:eastAsia="pt-BR"/>
              <w14:ligatures w14:val="standardContextual"/>
            </w:rPr>
          </w:pPr>
          <w:hyperlink w:anchor="_Toc176954836" w:history="1">
            <w:r w:rsidR="00E71512" w:rsidRPr="00D86B44">
              <w:rPr>
                <w:rStyle w:val="Hyperlink"/>
                <w:rFonts w:eastAsia="MS Gothic"/>
                <w:b/>
                <w:bCs/>
                <w:noProof/>
                <w:lang w:eastAsia="pt-BR"/>
              </w:rPr>
              <w:t>8. DA FASE DE HABILITAÇÃO</w:t>
            </w:r>
            <w:r w:rsidR="00E71512">
              <w:rPr>
                <w:noProof/>
                <w:webHidden/>
              </w:rPr>
              <w:tab/>
            </w:r>
            <w:r w:rsidR="00E71512">
              <w:rPr>
                <w:noProof/>
                <w:webHidden/>
              </w:rPr>
              <w:fldChar w:fldCharType="begin"/>
            </w:r>
            <w:r w:rsidR="00E71512">
              <w:rPr>
                <w:noProof/>
                <w:webHidden/>
              </w:rPr>
              <w:instrText xml:space="preserve"> PAGEREF _Toc176954836 \h </w:instrText>
            </w:r>
            <w:r w:rsidR="00E71512">
              <w:rPr>
                <w:noProof/>
                <w:webHidden/>
              </w:rPr>
            </w:r>
            <w:r w:rsidR="00E71512">
              <w:rPr>
                <w:noProof/>
                <w:webHidden/>
              </w:rPr>
              <w:fldChar w:fldCharType="separate"/>
            </w:r>
            <w:r w:rsidR="00824413">
              <w:rPr>
                <w:noProof/>
                <w:webHidden/>
              </w:rPr>
              <w:t>19</w:t>
            </w:r>
            <w:r w:rsidR="00E71512">
              <w:rPr>
                <w:noProof/>
                <w:webHidden/>
              </w:rPr>
              <w:fldChar w:fldCharType="end"/>
            </w:r>
          </w:hyperlink>
        </w:p>
        <w:p w14:paraId="6B1326DA" w14:textId="549DEA99" w:rsidR="00E71512" w:rsidRDefault="00000000">
          <w:pPr>
            <w:pStyle w:val="Sumrio1"/>
            <w:rPr>
              <w:rFonts w:asciiTheme="minorHAnsi" w:eastAsiaTheme="minorEastAsia" w:hAnsiTheme="minorHAnsi" w:cstheme="minorBidi"/>
              <w:noProof/>
              <w:lang w:eastAsia="pt-BR"/>
              <w14:ligatures w14:val="standardContextual"/>
            </w:rPr>
          </w:pPr>
          <w:hyperlink w:anchor="_Toc176954837" w:history="1">
            <w:r w:rsidR="00E71512" w:rsidRPr="00D86B44">
              <w:rPr>
                <w:rStyle w:val="Hyperlink"/>
                <w:rFonts w:eastAsia="MS Gothic"/>
                <w:b/>
                <w:bCs/>
                <w:noProof/>
                <w:lang w:eastAsia="pt-BR"/>
              </w:rPr>
              <w:t>9. DOS RECURSOS</w:t>
            </w:r>
            <w:r w:rsidR="00E71512">
              <w:rPr>
                <w:noProof/>
                <w:webHidden/>
              </w:rPr>
              <w:tab/>
            </w:r>
            <w:r w:rsidR="00E71512">
              <w:rPr>
                <w:noProof/>
                <w:webHidden/>
              </w:rPr>
              <w:fldChar w:fldCharType="begin"/>
            </w:r>
            <w:r w:rsidR="00E71512">
              <w:rPr>
                <w:noProof/>
                <w:webHidden/>
              </w:rPr>
              <w:instrText xml:space="preserve"> PAGEREF _Toc176954837 \h </w:instrText>
            </w:r>
            <w:r w:rsidR="00E71512">
              <w:rPr>
                <w:noProof/>
                <w:webHidden/>
              </w:rPr>
            </w:r>
            <w:r w:rsidR="00E71512">
              <w:rPr>
                <w:noProof/>
                <w:webHidden/>
              </w:rPr>
              <w:fldChar w:fldCharType="separate"/>
            </w:r>
            <w:r w:rsidR="00824413">
              <w:rPr>
                <w:noProof/>
                <w:webHidden/>
              </w:rPr>
              <w:t>21</w:t>
            </w:r>
            <w:r w:rsidR="00E71512">
              <w:rPr>
                <w:noProof/>
                <w:webHidden/>
              </w:rPr>
              <w:fldChar w:fldCharType="end"/>
            </w:r>
          </w:hyperlink>
        </w:p>
        <w:p w14:paraId="58C6635E" w14:textId="53C7FDC5" w:rsidR="00E71512" w:rsidRDefault="00000000">
          <w:pPr>
            <w:pStyle w:val="Sumrio1"/>
            <w:rPr>
              <w:rFonts w:asciiTheme="minorHAnsi" w:eastAsiaTheme="minorEastAsia" w:hAnsiTheme="minorHAnsi" w:cstheme="minorBidi"/>
              <w:noProof/>
              <w:lang w:eastAsia="pt-BR"/>
              <w14:ligatures w14:val="standardContextual"/>
            </w:rPr>
          </w:pPr>
          <w:hyperlink w:anchor="_Toc176954838" w:history="1">
            <w:r w:rsidR="00E71512" w:rsidRPr="00D86B44">
              <w:rPr>
                <w:rStyle w:val="Hyperlink"/>
                <w:rFonts w:eastAsia="MS Gothic"/>
                <w:b/>
                <w:bCs/>
                <w:noProof/>
                <w:lang w:eastAsia="pt-BR"/>
              </w:rPr>
              <w:t>10. DA ADJUDICAÇÃO E DA HOMOLOGAÇÃO</w:t>
            </w:r>
            <w:r w:rsidR="00E71512">
              <w:rPr>
                <w:noProof/>
                <w:webHidden/>
              </w:rPr>
              <w:tab/>
            </w:r>
            <w:r w:rsidR="00E71512">
              <w:rPr>
                <w:noProof/>
                <w:webHidden/>
              </w:rPr>
              <w:fldChar w:fldCharType="begin"/>
            </w:r>
            <w:r w:rsidR="00E71512">
              <w:rPr>
                <w:noProof/>
                <w:webHidden/>
              </w:rPr>
              <w:instrText xml:space="preserve"> PAGEREF _Toc176954838 \h </w:instrText>
            </w:r>
            <w:r w:rsidR="00E71512">
              <w:rPr>
                <w:noProof/>
                <w:webHidden/>
              </w:rPr>
            </w:r>
            <w:r w:rsidR="00E71512">
              <w:rPr>
                <w:noProof/>
                <w:webHidden/>
              </w:rPr>
              <w:fldChar w:fldCharType="separate"/>
            </w:r>
            <w:r w:rsidR="00824413">
              <w:rPr>
                <w:noProof/>
                <w:webHidden/>
              </w:rPr>
              <w:t>23</w:t>
            </w:r>
            <w:r w:rsidR="00E71512">
              <w:rPr>
                <w:noProof/>
                <w:webHidden/>
              </w:rPr>
              <w:fldChar w:fldCharType="end"/>
            </w:r>
          </w:hyperlink>
        </w:p>
        <w:p w14:paraId="4DDEF5D3" w14:textId="7EEB861C" w:rsidR="00E71512" w:rsidRDefault="00000000">
          <w:pPr>
            <w:pStyle w:val="Sumrio1"/>
            <w:rPr>
              <w:rFonts w:asciiTheme="minorHAnsi" w:eastAsiaTheme="minorEastAsia" w:hAnsiTheme="minorHAnsi" w:cstheme="minorBidi"/>
              <w:noProof/>
              <w:lang w:eastAsia="pt-BR"/>
              <w14:ligatures w14:val="standardContextual"/>
            </w:rPr>
          </w:pPr>
          <w:hyperlink w:anchor="_Toc176954839" w:history="1">
            <w:r w:rsidR="00E71512" w:rsidRPr="00D86B44">
              <w:rPr>
                <w:rStyle w:val="Hyperlink"/>
                <w:rFonts w:eastAsia="MS Gothic"/>
                <w:b/>
                <w:bCs/>
                <w:noProof/>
                <w:lang w:eastAsia="pt-BR"/>
              </w:rPr>
              <w:t xml:space="preserve">11. </w:t>
            </w:r>
            <w:r w:rsidR="00E71512" w:rsidRPr="00D86B44">
              <w:rPr>
                <w:rStyle w:val="Hyperlink"/>
                <w:rFonts w:eastAsia="MS Mincho"/>
                <w:b/>
                <w:noProof/>
                <w:lang w:eastAsia="pt-BR"/>
              </w:rPr>
              <w:t>DA ATA DE REGISTRO DE PREÇOS</w:t>
            </w:r>
            <w:r w:rsidR="00E71512">
              <w:rPr>
                <w:noProof/>
                <w:webHidden/>
              </w:rPr>
              <w:tab/>
            </w:r>
            <w:r w:rsidR="00E71512">
              <w:rPr>
                <w:noProof/>
                <w:webHidden/>
              </w:rPr>
              <w:fldChar w:fldCharType="begin"/>
            </w:r>
            <w:r w:rsidR="00E71512">
              <w:rPr>
                <w:noProof/>
                <w:webHidden/>
              </w:rPr>
              <w:instrText xml:space="preserve"> PAGEREF _Toc176954839 \h </w:instrText>
            </w:r>
            <w:r w:rsidR="00E71512">
              <w:rPr>
                <w:noProof/>
                <w:webHidden/>
              </w:rPr>
            </w:r>
            <w:r w:rsidR="00E71512">
              <w:rPr>
                <w:noProof/>
                <w:webHidden/>
              </w:rPr>
              <w:fldChar w:fldCharType="separate"/>
            </w:r>
            <w:r w:rsidR="00824413">
              <w:rPr>
                <w:noProof/>
                <w:webHidden/>
              </w:rPr>
              <w:t>23</w:t>
            </w:r>
            <w:r w:rsidR="00E71512">
              <w:rPr>
                <w:noProof/>
                <w:webHidden/>
              </w:rPr>
              <w:fldChar w:fldCharType="end"/>
            </w:r>
          </w:hyperlink>
        </w:p>
        <w:p w14:paraId="7D896FF9" w14:textId="756C2165" w:rsidR="00E71512" w:rsidRDefault="00000000">
          <w:pPr>
            <w:pStyle w:val="Sumrio1"/>
            <w:rPr>
              <w:rFonts w:asciiTheme="minorHAnsi" w:eastAsiaTheme="minorEastAsia" w:hAnsiTheme="minorHAnsi" w:cstheme="minorBidi"/>
              <w:noProof/>
              <w:lang w:eastAsia="pt-BR"/>
              <w14:ligatures w14:val="standardContextual"/>
            </w:rPr>
          </w:pPr>
          <w:hyperlink w:anchor="_Toc176954840" w:history="1">
            <w:r w:rsidR="00E71512" w:rsidRPr="00D86B44">
              <w:rPr>
                <w:rStyle w:val="Hyperlink"/>
                <w:rFonts w:eastAsia="MS Gothic"/>
                <w:b/>
                <w:bCs/>
                <w:noProof/>
                <w:lang w:eastAsia="pt-BR"/>
              </w:rPr>
              <w:t>12. DA FORMAÇÃO DO CADASTRO DE RESERVA</w:t>
            </w:r>
            <w:r w:rsidR="00E71512">
              <w:rPr>
                <w:noProof/>
                <w:webHidden/>
              </w:rPr>
              <w:tab/>
            </w:r>
            <w:r w:rsidR="00E71512">
              <w:rPr>
                <w:noProof/>
                <w:webHidden/>
              </w:rPr>
              <w:fldChar w:fldCharType="begin"/>
            </w:r>
            <w:r w:rsidR="00E71512">
              <w:rPr>
                <w:noProof/>
                <w:webHidden/>
              </w:rPr>
              <w:instrText xml:space="preserve"> PAGEREF _Toc176954840 \h </w:instrText>
            </w:r>
            <w:r w:rsidR="00E71512">
              <w:rPr>
                <w:noProof/>
                <w:webHidden/>
              </w:rPr>
            </w:r>
            <w:r w:rsidR="00E71512">
              <w:rPr>
                <w:noProof/>
                <w:webHidden/>
              </w:rPr>
              <w:fldChar w:fldCharType="separate"/>
            </w:r>
            <w:r w:rsidR="00824413">
              <w:rPr>
                <w:noProof/>
                <w:webHidden/>
              </w:rPr>
              <w:t>25</w:t>
            </w:r>
            <w:r w:rsidR="00E71512">
              <w:rPr>
                <w:noProof/>
                <w:webHidden/>
              </w:rPr>
              <w:fldChar w:fldCharType="end"/>
            </w:r>
          </w:hyperlink>
        </w:p>
        <w:p w14:paraId="1C9998DF" w14:textId="57747A69" w:rsidR="00E71512" w:rsidRDefault="00000000">
          <w:pPr>
            <w:pStyle w:val="Sumrio1"/>
            <w:rPr>
              <w:rFonts w:asciiTheme="minorHAnsi" w:eastAsiaTheme="minorEastAsia" w:hAnsiTheme="minorHAnsi" w:cstheme="minorBidi"/>
              <w:noProof/>
              <w:lang w:eastAsia="pt-BR"/>
              <w14:ligatures w14:val="standardContextual"/>
            </w:rPr>
          </w:pPr>
          <w:hyperlink w:anchor="_Toc176954841" w:history="1">
            <w:r w:rsidR="00E71512" w:rsidRPr="00D86B44">
              <w:rPr>
                <w:rStyle w:val="Hyperlink"/>
                <w:rFonts w:eastAsia="MS Gothic"/>
                <w:b/>
                <w:bCs/>
                <w:noProof/>
                <w:lang w:eastAsia="pt-BR"/>
              </w:rPr>
              <w:t>13. DAS INFRAÇÕES ADMINISTRATIVAS E SANÇÕES</w:t>
            </w:r>
            <w:r w:rsidR="00E71512">
              <w:rPr>
                <w:noProof/>
                <w:webHidden/>
              </w:rPr>
              <w:tab/>
            </w:r>
            <w:r w:rsidR="00E71512">
              <w:rPr>
                <w:noProof/>
                <w:webHidden/>
              </w:rPr>
              <w:fldChar w:fldCharType="begin"/>
            </w:r>
            <w:r w:rsidR="00E71512">
              <w:rPr>
                <w:noProof/>
                <w:webHidden/>
              </w:rPr>
              <w:instrText xml:space="preserve"> PAGEREF _Toc176954841 \h </w:instrText>
            </w:r>
            <w:r w:rsidR="00E71512">
              <w:rPr>
                <w:noProof/>
                <w:webHidden/>
              </w:rPr>
            </w:r>
            <w:r w:rsidR="00E71512">
              <w:rPr>
                <w:noProof/>
                <w:webHidden/>
              </w:rPr>
              <w:fldChar w:fldCharType="separate"/>
            </w:r>
            <w:r w:rsidR="00824413">
              <w:rPr>
                <w:noProof/>
                <w:webHidden/>
              </w:rPr>
              <w:t>26</w:t>
            </w:r>
            <w:r w:rsidR="00E71512">
              <w:rPr>
                <w:noProof/>
                <w:webHidden/>
              </w:rPr>
              <w:fldChar w:fldCharType="end"/>
            </w:r>
          </w:hyperlink>
        </w:p>
        <w:p w14:paraId="4B8A6EC4" w14:textId="5EBC9EB1" w:rsidR="00E71512" w:rsidRDefault="00000000">
          <w:pPr>
            <w:pStyle w:val="Sumrio1"/>
            <w:rPr>
              <w:rFonts w:asciiTheme="minorHAnsi" w:eastAsiaTheme="minorEastAsia" w:hAnsiTheme="minorHAnsi" w:cstheme="minorBidi"/>
              <w:noProof/>
              <w:lang w:eastAsia="pt-BR"/>
              <w14:ligatures w14:val="standardContextual"/>
            </w:rPr>
          </w:pPr>
          <w:hyperlink w:anchor="_Toc176954842" w:history="1">
            <w:r w:rsidR="00E71512" w:rsidRPr="00D86B44">
              <w:rPr>
                <w:rStyle w:val="Hyperlink"/>
                <w:rFonts w:eastAsia="MS Gothic"/>
                <w:b/>
                <w:bCs/>
                <w:noProof/>
                <w:lang w:eastAsia="pt-BR"/>
              </w:rPr>
              <w:t>14. DA CONTRATAÇÃO</w:t>
            </w:r>
            <w:r w:rsidR="00E71512">
              <w:rPr>
                <w:noProof/>
                <w:webHidden/>
              </w:rPr>
              <w:tab/>
            </w:r>
            <w:r w:rsidR="00E71512">
              <w:rPr>
                <w:noProof/>
                <w:webHidden/>
              </w:rPr>
              <w:fldChar w:fldCharType="begin"/>
            </w:r>
            <w:r w:rsidR="00E71512">
              <w:rPr>
                <w:noProof/>
                <w:webHidden/>
              </w:rPr>
              <w:instrText xml:space="preserve"> PAGEREF _Toc176954842 \h </w:instrText>
            </w:r>
            <w:r w:rsidR="00E71512">
              <w:rPr>
                <w:noProof/>
                <w:webHidden/>
              </w:rPr>
            </w:r>
            <w:r w:rsidR="00E71512">
              <w:rPr>
                <w:noProof/>
                <w:webHidden/>
              </w:rPr>
              <w:fldChar w:fldCharType="separate"/>
            </w:r>
            <w:r w:rsidR="00824413">
              <w:rPr>
                <w:noProof/>
                <w:webHidden/>
              </w:rPr>
              <w:t>29</w:t>
            </w:r>
            <w:r w:rsidR="00E71512">
              <w:rPr>
                <w:noProof/>
                <w:webHidden/>
              </w:rPr>
              <w:fldChar w:fldCharType="end"/>
            </w:r>
          </w:hyperlink>
        </w:p>
        <w:p w14:paraId="18C8212F" w14:textId="3AF67CC6" w:rsidR="00E71512" w:rsidRDefault="00000000">
          <w:pPr>
            <w:pStyle w:val="Sumrio1"/>
            <w:rPr>
              <w:rFonts w:asciiTheme="minorHAnsi" w:eastAsiaTheme="minorEastAsia" w:hAnsiTheme="minorHAnsi" w:cstheme="minorBidi"/>
              <w:noProof/>
              <w:lang w:eastAsia="pt-BR"/>
              <w14:ligatures w14:val="standardContextual"/>
            </w:rPr>
          </w:pPr>
          <w:hyperlink w:anchor="_Toc176954843" w:history="1">
            <w:r w:rsidR="00E71512" w:rsidRPr="00D86B44">
              <w:rPr>
                <w:rStyle w:val="Hyperlink"/>
                <w:rFonts w:eastAsia="MS Gothic"/>
                <w:b/>
                <w:bCs/>
                <w:noProof/>
                <w:lang w:eastAsia="pt-BR"/>
              </w:rPr>
              <w:t>15. DAS DISPOSIÇÕES GERAIS</w:t>
            </w:r>
            <w:r w:rsidR="00E71512">
              <w:rPr>
                <w:noProof/>
                <w:webHidden/>
              </w:rPr>
              <w:tab/>
            </w:r>
            <w:r w:rsidR="00E71512">
              <w:rPr>
                <w:noProof/>
                <w:webHidden/>
              </w:rPr>
              <w:fldChar w:fldCharType="begin"/>
            </w:r>
            <w:r w:rsidR="00E71512">
              <w:rPr>
                <w:noProof/>
                <w:webHidden/>
              </w:rPr>
              <w:instrText xml:space="preserve"> PAGEREF _Toc176954843 \h </w:instrText>
            </w:r>
            <w:r w:rsidR="00E71512">
              <w:rPr>
                <w:noProof/>
                <w:webHidden/>
              </w:rPr>
            </w:r>
            <w:r w:rsidR="00E71512">
              <w:rPr>
                <w:noProof/>
                <w:webHidden/>
              </w:rPr>
              <w:fldChar w:fldCharType="separate"/>
            </w:r>
            <w:r w:rsidR="00824413">
              <w:rPr>
                <w:noProof/>
                <w:webHidden/>
              </w:rPr>
              <w:t>31</w:t>
            </w:r>
            <w:r w:rsidR="00E71512">
              <w:rPr>
                <w:noProof/>
                <w:webHidden/>
              </w:rPr>
              <w:fldChar w:fldCharType="end"/>
            </w:r>
          </w:hyperlink>
        </w:p>
        <w:p w14:paraId="50ADC298" w14:textId="112E5F4A" w:rsidR="00E71512" w:rsidRDefault="00000000">
          <w:pPr>
            <w:pStyle w:val="Sumrio1"/>
            <w:rPr>
              <w:rFonts w:asciiTheme="minorHAnsi" w:eastAsiaTheme="minorEastAsia" w:hAnsiTheme="minorHAnsi" w:cstheme="minorBidi"/>
              <w:noProof/>
              <w:lang w:eastAsia="pt-BR"/>
              <w14:ligatures w14:val="standardContextual"/>
            </w:rPr>
          </w:pPr>
          <w:hyperlink w:anchor="_Toc176954844" w:history="1">
            <w:r w:rsidR="00E71512" w:rsidRPr="00D86B44">
              <w:rPr>
                <w:rStyle w:val="Hyperlink"/>
                <w:rFonts w:eastAsia="MS Gothic"/>
                <w:b/>
                <w:bCs/>
                <w:noProof/>
                <w:lang w:eastAsia="pt-BR"/>
              </w:rPr>
              <w:t>ANEXO I – MINUTA DA ATA DE REGISTRO DE PREÇOS (CONTRATO)</w:t>
            </w:r>
            <w:r w:rsidR="00E71512">
              <w:rPr>
                <w:noProof/>
                <w:webHidden/>
              </w:rPr>
              <w:tab/>
            </w:r>
            <w:r w:rsidR="00E71512">
              <w:rPr>
                <w:noProof/>
                <w:webHidden/>
              </w:rPr>
              <w:fldChar w:fldCharType="begin"/>
            </w:r>
            <w:r w:rsidR="00E71512">
              <w:rPr>
                <w:noProof/>
                <w:webHidden/>
              </w:rPr>
              <w:instrText xml:space="preserve"> PAGEREF _Toc176954844 \h </w:instrText>
            </w:r>
            <w:r w:rsidR="00E71512">
              <w:rPr>
                <w:noProof/>
                <w:webHidden/>
              </w:rPr>
            </w:r>
            <w:r w:rsidR="00E71512">
              <w:rPr>
                <w:noProof/>
                <w:webHidden/>
              </w:rPr>
              <w:fldChar w:fldCharType="separate"/>
            </w:r>
            <w:r w:rsidR="00824413">
              <w:rPr>
                <w:noProof/>
                <w:webHidden/>
              </w:rPr>
              <w:t>34</w:t>
            </w:r>
            <w:r w:rsidR="00E71512">
              <w:rPr>
                <w:noProof/>
                <w:webHidden/>
              </w:rPr>
              <w:fldChar w:fldCharType="end"/>
            </w:r>
          </w:hyperlink>
        </w:p>
        <w:p w14:paraId="350F15BD" w14:textId="67B4627D" w:rsidR="00E71512" w:rsidRDefault="00000000">
          <w:pPr>
            <w:pStyle w:val="Sumrio1"/>
            <w:rPr>
              <w:rFonts w:asciiTheme="minorHAnsi" w:eastAsiaTheme="minorEastAsia" w:hAnsiTheme="minorHAnsi" w:cstheme="minorBidi"/>
              <w:noProof/>
              <w:lang w:eastAsia="pt-BR"/>
              <w14:ligatures w14:val="standardContextual"/>
            </w:rPr>
          </w:pPr>
          <w:hyperlink w:anchor="_Toc176954845" w:history="1">
            <w:r w:rsidR="00E71512" w:rsidRPr="00D86B44">
              <w:rPr>
                <w:rStyle w:val="Hyperlink"/>
                <w:b/>
                <w:bCs/>
                <w:noProof/>
              </w:rPr>
              <w:t>ANEXO II – MINUTA DE CONTRATO</w:t>
            </w:r>
            <w:r w:rsidR="00E71512">
              <w:rPr>
                <w:noProof/>
                <w:webHidden/>
              </w:rPr>
              <w:tab/>
            </w:r>
            <w:r w:rsidR="00E71512">
              <w:rPr>
                <w:noProof/>
                <w:webHidden/>
              </w:rPr>
              <w:fldChar w:fldCharType="begin"/>
            </w:r>
            <w:r w:rsidR="00E71512">
              <w:rPr>
                <w:noProof/>
                <w:webHidden/>
              </w:rPr>
              <w:instrText xml:space="preserve"> PAGEREF _Toc176954845 \h </w:instrText>
            </w:r>
            <w:r w:rsidR="00E71512">
              <w:rPr>
                <w:noProof/>
                <w:webHidden/>
              </w:rPr>
            </w:r>
            <w:r w:rsidR="00E71512">
              <w:rPr>
                <w:noProof/>
                <w:webHidden/>
              </w:rPr>
              <w:fldChar w:fldCharType="separate"/>
            </w:r>
            <w:r w:rsidR="00824413">
              <w:rPr>
                <w:noProof/>
                <w:webHidden/>
              </w:rPr>
              <w:t>42</w:t>
            </w:r>
            <w:r w:rsidR="00E71512">
              <w:rPr>
                <w:noProof/>
                <w:webHidden/>
              </w:rPr>
              <w:fldChar w:fldCharType="end"/>
            </w:r>
          </w:hyperlink>
        </w:p>
        <w:p w14:paraId="1EC1C94E" w14:textId="0126C6AD" w:rsidR="00E71512" w:rsidRDefault="00000000">
          <w:pPr>
            <w:pStyle w:val="Sumrio1"/>
            <w:rPr>
              <w:rFonts w:asciiTheme="minorHAnsi" w:eastAsiaTheme="minorEastAsia" w:hAnsiTheme="minorHAnsi" w:cstheme="minorBidi"/>
              <w:noProof/>
              <w:lang w:eastAsia="pt-BR"/>
              <w14:ligatures w14:val="standardContextual"/>
            </w:rPr>
          </w:pPr>
          <w:hyperlink w:anchor="_Toc176954846" w:history="1">
            <w:r w:rsidR="00E71512" w:rsidRPr="00D86B44">
              <w:rPr>
                <w:rStyle w:val="Hyperlink"/>
                <w:b/>
                <w:bCs/>
                <w:noProof/>
              </w:rPr>
              <w:t>ANEXO III – MODELO DE PROPOSTA (Planilha de Preços)</w:t>
            </w:r>
            <w:r w:rsidR="00E71512">
              <w:rPr>
                <w:noProof/>
                <w:webHidden/>
              </w:rPr>
              <w:tab/>
            </w:r>
            <w:r w:rsidR="00E71512">
              <w:rPr>
                <w:noProof/>
                <w:webHidden/>
              </w:rPr>
              <w:fldChar w:fldCharType="begin"/>
            </w:r>
            <w:r w:rsidR="00E71512">
              <w:rPr>
                <w:noProof/>
                <w:webHidden/>
              </w:rPr>
              <w:instrText xml:space="preserve"> PAGEREF _Toc176954846 \h </w:instrText>
            </w:r>
            <w:r w:rsidR="00E71512">
              <w:rPr>
                <w:noProof/>
                <w:webHidden/>
              </w:rPr>
            </w:r>
            <w:r w:rsidR="00E71512">
              <w:rPr>
                <w:noProof/>
                <w:webHidden/>
              </w:rPr>
              <w:fldChar w:fldCharType="separate"/>
            </w:r>
            <w:r w:rsidR="00824413">
              <w:rPr>
                <w:noProof/>
                <w:webHidden/>
              </w:rPr>
              <w:t>51</w:t>
            </w:r>
            <w:r w:rsidR="00E71512">
              <w:rPr>
                <w:noProof/>
                <w:webHidden/>
              </w:rPr>
              <w:fldChar w:fldCharType="end"/>
            </w:r>
          </w:hyperlink>
        </w:p>
        <w:p w14:paraId="0B54806B" w14:textId="42BE4655" w:rsidR="00E71512" w:rsidRDefault="00000000">
          <w:pPr>
            <w:pStyle w:val="Sumrio1"/>
            <w:rPr>
              <w:rFonts w:asciiTheme="minorHAnsi" w:eastAsiaTheme="minorEastAsia" w:hAnsiTheme="minorHAnsi" w:cstheme="minorBidi"/>
              <w:noProof/>
              <w:lang w:eastAsia="pt-BR"/>
              <w14:ligatures w14:val="standardContextual"/>
            </w:rPr>
          </w:pPr>
          <w:hyperlink w:anchor="_Toc176954847" w:history="1">
            <w:r w:rsidR="00E71512" w:rsidRPr="00D86B44">
              <w:rPr>
                <w:rStyle w:val="Hyperlink"/>
                <w:b/>
                <w:bCs/>
                <w:noProof/>
              </w:rPr>
              <w:t>ANEXO IV – RELAÇÃO DE DOCUMENTOS EXIGIDOS</w:t>
            </w:r>
            <w:r w:rsidR="00E71512">
              <w:rPr>
                <w:noProof/>
                <w:webHidden/>
              </w:rPr>
              <w:tab/>
            </w:r>
            <w:r w:rsidR="00E71512">
              <w:rPr>
                <w:noProof/>
                <w:webHidden/>
              </w:rPr>
              <w:fldChar w:fldCharType="begin"/>
            </w:r>
            <w:r w:rsidR="00E71512">
              <w:rPr>
                <w:noProof/>
                <w:webHidden/>
              </w:rPr>
              <w:instrText xml:space="preserve"> PAGEREF _Toc176954847 \h </w:instrText>
            </w:r>
            <w:r w:rsidR="00E71512">
              <w:rPr>
                <w:noProof/>
                <w:webHidden/>
              </w:rPr>
            </w:r>
            <w:r w:rsidR="00E71512">
              <w:rPr>
                <w:noProof/>
                <w:webHidden/>
              </w:rPr>
              <w:fldChar w:fldCharType="separate"/>
            </w:r>
            <w:r w:rsidR="00824413">
              <w:rPr>
                <w:noProof/>
                <w:webHidden/>
              </w:rPr>
              <w:t>64</w:t>
            </w:r>
            <w:r w:rsidR="00E71512">
              <w:rPr>
                <w:noProof/>
                <w:webHidden/>
              </w:rPr>
              <w:fldChar w:fldCharType="end"/>
            </w:r>
          </w:hyperlink>
        </w:p>
        <w:p w14:paraId="43CF3C7F" w14:textId="76DC5B3F" w:rsidR="00E71512" w:rsidRDefault="00000000">
          <w:pPr>
            <w:pStyle w:val="Sumrio1"/>
            <w:rPr>
              <w:rFonts w:asciiTheme="minorHAnsi" w:eastAsiaTheme="minorEastAsia" w:hAnsiTheme="minorHAnsi" w:cstheme="minorBidi"/>
              <w:noProof/>
              <w:lang w:eastAsia="pt-BR"/>
              <w14:ligatures w14:val="standardContextual"/>
            </w:rPr>
          </w:pPr>
          <w:hyperlink w:anchor="_Toc176954848" w:history="1">
            <w:r w:rsidR="00E71512" w:rsidRPr="00D86B44">
              <w:rPr>
                <w:rStyle w:val="Hyperlink"/>
                <w:b/>
                <w:bCs/>
                <w:noProof/>
              </w:rPr>
              <w:t>ANEXO V – TERMO DE REFERÊNCIA</w:t>
            </w:r>
            <w:r w:rsidR="00E71512">
              <w:rPr>
                <w:noProof/>
                <w:webHidden/>
              </w:rPr>
              <w:tab/>
            </w:r>
            <w:r w:rsidR="00E71512">
              <w:rPr>
                <w:noProof/>
                <w:webHidden/>
              </w:rPr>
              <w:fldChar w:fldCharType="begin"/>
            </w:r>
            <w:r w:rsidR="00E71512">
              <w:rPr>
                <w:noProof/>
                <w:webHidden/>
              </w:rPr>
              <w:instrText xml:space="preserve"> PAGEREF _Toc176954848 \h </w:instrText>
            </w:r>
            <w:r w:rsidR="00E71512">
              <w:rPr>
                <w:noProof/>
                <w:webHidden/>
              </w:rPr>
            </w:r>
            <w:r w:rsidR="00E71512">
              <w:rPr>
                <w:noProof/>
                <w:webHidden/>
              </w:rPr>
              <w:fldChar w:fldCharType="separate"/>
            </w:r>
            <w:r w:rsidR="00824413">
              <w:rPr>
                <w:noProof/>
                <w:webHidden/>
              </w:rPr>
              <w:t>70</w:t>
            </w:r>
            <w:r w:rsidR="00E71512">
              <w:rPr>
                <w:noProof/>
                <w:webHidden/>
              </w:rPr>
              <w:fldChar w:fldCharType="end"/>
            </w:r>
          </w:hyperlink>
        </w:p>
        <w:p w14:paraId="0050B3C0" w14:textId="40C5FA4D" w:rsidR="00E71512" w:rsidRDefault="00000000">
          <w:pPr>
            <w:pStyle w:val="Sumrio1"/>
            <w:rPr>
              <w:rFonts w:asciiTheme="minorHAnsi" w:eastAsiaTheme="minorEastAsia" w:hAnsiTheme="minorHAnsi" w:cstheme="minorBidi"/>
              <w:noProof/>
              <w:lang w:eastAsia="pt-BR"/>
              <w14:ligatures w14:val="standardContextual"/>
            </w:rPr>
          </w:pPr>
          <w:hyperlink w:anchor="_Toc176954849" w:history="1">
            <w:r w:rsidR="00E71512" w:rsidRPr="00D86B44">
              <w:rPr>
                <w:rStyle w:val="Hyperlink"/>
                <w:b/>
                <w:bCs/>
                <w:noProof/>
              </w:rPr>
              <w:t>APENSO I AO TERMO DE REFERÊNCIA - MODELO DA CADEIRA OPERACIONAL: FOTOGRAFIA DO MODELO ATUALMENTE UTILIZADO PELO MPMG</w:t>
            </w:r>
            <w:r w:rsidR="00E71512">
              <w:rPr>
                <w:noProof/>
                <w:webHidden/>
              </w:rPr>
              <w:tab/>
            </w:r>
            <w:r w:rsidR="00E71512">
              <w:rPr>
                <w:noProof/>
                <w:webHidden/>
              </w:rPr>
              <w:fldChar w:fldCharType="begin"/>
            </w:r>
            <w:r w:rsidR="00E71512">
              <w:rPr>
                <w:noProof/>
                <w:webHidden/>
              </w:rPr>
              <w:instrText xml:space="preserve"> PAGEREF _Toc176954849 \h </w:instrText>
            </w:r>
            <w:r w:rsidR="00E71512">
              <w:rPr>
                <w:noProof/>
                <w:webHidden/>
              </w:rPr>
            </w:r>
            <w:r w:rsidR="00E71512">
              <w:rPr>
                <w:noProof/>
                <w:webHidden/>
              </w:rPr>
              <w:fldChar w:fldCharType="separate"/>
            </w:r>
            <w:r w:rsidR="00824413">
              <w:rPr>
                <w:noProof/>
                <w:webHidden/>
              </w:rPr>
              <w:t>112</w:t>
            </w:r>
            <w:r w:rsidR="00E71512">
              <w:rPr>
                <w:noProof/>
                <w:webHidden/>
              </w:rPr>
              <w:fldChar w:fldCharType="end"/>
            </w:r>
          </w:hyperlink>
        </w:p>
        <w:p w14:paraId="330C7789" w14:textId="453999A8" w:rsidR="00E71512" w:rsidRDefault="00000000">
          <w:pPr>
            <w:pStyle w:val="Sumrio1"/>
            <w:rPr>
              <w:rFonts w:asciiTheme="minorHAnsi" w:eastAsiaTheme="minorEastAsia" w:hAnsiTheme="minorHAnsi" w:cstheme="minorBidi"/>
              <w:noProof/>
              <w:lang w:eastAsia="pt-BR"/>
              <w14:ligatures w14:val="standardContextual"/>
            </w:rPr>
          </w:pPr>
          <w:hyperlink w:anchor="_Toc176954850" w:history="1">
            <w:r w:rsidR="00E71512" w:rsidRPr="00D86B44">
              <w:rPr>
                <w:rStyle w:val="Hyperlink"/>
                <w:b/>
                <w:bCs/>
                <w:noProof/>
              </w:rPr>
              <w:t>ANEXO VI – DECLARAÇÕES</w:t>
            </w:r>
            <w:r w:rsidR="00E71512">
              <w:rPr>
                <w:noProof/>
                <w:webHidden/>
              </w:rPr>
              <w:tab/>
            </w:r>
            <w:r w:rsidR="00E71512">
              <w:rPr>
                <w:noProof/>
                <w:webHidden/>
              </w:rPr>
              <w:fldChar w:fldCharType="begin"/>
            </w:r>
            <w:r w:rsidR="00E71512">
              <w:rPr>
                <w:noProof/>
                <w:webHidden/>
              </w:rPr>
              <w:instrText xml:space="preserve"> PAGEREF _Toc176954850 \h </w:instrText>
            </w:r>
            <w:r w:rsidR="00E71512">
              <w:rPr>
                <w:noProof/>
                <w:webHidden/>
              </w:rPr>
            </w:r>
            <w:r w:rsidR="00E71512">
              <w:rPr>
                <w:noProof/>
                <w:webHidden/>
              </w:rPr>
              <w:fldChar w:fldCharType="separate"/>
            </w:r>
            <w:r w:rsidR="00824413">
              <w:rPr>
                <w:noProof/>
                <w:webHidden/>
              </w:rPr>
              <w:t>113</w:t>
            </w:r>
            <w:r w:rsidR="00E71512">
              <w:rPr>
                <w:noProof/>
                <w:webHidden/>
              </w:rPr>
              <w:fldChar w:fldCharType="end"/>
            </w:r>
          </w:hyperlink>
        </w:p>
        <w:p w14:paraId="005291C0" w14:textId="50A7CB28" w:rsidR="00E71512" w:rsidRDefault="00000000">
          <w:pPr>
            <w:pStyle w:val="Sumrio1"/>
            <w:rPr>
              <w:rFonts w:asciiTheme="minorHAnsi" w:eastAsiaTheme="minorEastAsia" w:hAnsiTheme="minorHAnsi" w:cstheme="minorBidi"/>
              <w:noProof/>
              <w:lang w:eastAsia="pt-BR"/>
              <w14:ligatures w14:val="standardContextual"/>
            </w:rPr>
          </w:pPr>
          <w:hyperlink w:anchor="_Toc176954851" w:history="1">
            <w:r w:rsidR="00E71512" w:rsidRPr="00D86B44">
              <w:rPr>
                <w:rStyle w:val="Hyperlink"/>
                <w:b/>
                <w:bCs/>
                <w:noProof/>
              </w:rPr>
              <w:t>ANEXO VII – INFORMAÇÕES SOBRE O ÓRGÃO GERENCIADOR</w:t>
            </w:r>
            <w:r w:rsidR="00E71512">
              <w:rPr>
                <w:noProof/>
                <w:webHidden/>
              </w:rPr>
              <w:tab/>
            </w:r>
            <w:r w:rsidR="00E71512">
              <w:rPr>
                <w:noProof/>
                <w:webHidden/>
              </w:rPr>
              <w:fldChar w:fldCharType="begin"/>
            </w:r>
            <w:r w:rsidR="00E71512">
              <w:rPr>
                <w:noProof/>
                <w:webHidden/>
              </w:rPr>
              <w:instrText xml:space="preserve"> PAGEREF _Toc176954851 \h </w:instrText>
            </w:r>
            <w:r w:rsidR="00E71512">
              <w:rPr>
                <w:noProof/>
                <w:webHidden/>
              </w:rPr>
            </w:r>
            <w:r w:rsidR="00E71512">
              <w:rPr>
                <w:noProof/>
                <w:webHidden/>
              </w:rPr>
              <w:fldChar w:fldCharType="separate"/>
            </w:r>
            <w:r w:rsidR="00824413">
              <w:rPr>
                <w:noProof/>
                <w:webHidden/>
              </w:rPr>
              <w:t>116</w:t>
            </w:r>
            <w:r w:rsidR="00E71512">
              <w:rPr>
                <w:noProof/>
                <w:webHidden/>
              </w:rPr>
              <w:fldChar w:fldCharType="end"/>
            </w:r>
          </w:hyperlink>
        </w:p>
        <w:p w14:paraId="7AAE1F7B" w14:textId="355808F0" w:rsidR="00E71512" w:rsidRDefault="00000000">
          <w:pPr>
            <w:pStyle w:val="Sumrio1"/>
            <w:rPr>
              <w:rFonts w:asciiTheme="minorHAnsi" w:eastAsiaTheme="minorEastAsia" w:hAnsiTheme="minorHAnsi" w:cstheme="minorBidi"/>
              <w:noProof/>
              <w:lang w:eastAsia="pt-BR"/>
              <w14:ligatures w14:val="standardContextual"/>
            </w:rPr>
          </w:pPr>
          <w:hyperlink w:anchor="_Toc176954852" w:history="1">
            <w:r w:rsidR="00E71512" w:rsidRPr="00D86B44">
              <w:rPr>
                <w:rStyle w:val="Hyperlink"/>
                <w:b/>
                <w:bCs/>
                <w:noProof/>
              </w:rPr>
              <w:t>ANEXO VIII – TERMO DE ADESÃO DO(S) ÓRGÃO(S) NÃO PARTICIPANTE(S)</w:t>
            </w:r>
            <w:r w:rsidR="00E71512">
              <w:rPr>
                <w:noProof/>
                <w:webHidden/>
              </w:rPr>
              <w:tab/>
            </w:r>
            <w:r w:rsidR="00E71512">
              <w:rPr>
                <w:noProof/>
                <w:webHidden/>
              </w:rPr>
              <w:fldChar w:fldCharType="begin"/>
            </w:r>
            <w:r w:rsidR="00E71512">
              <w:rPr>
                <w:noProof/>
                <w:webHidden/>
              </w:rPr>
              <w:instrText xml:space="preserve"> PAGEREF _Toc176954852 \h </w:instrText>
            </w:r>
            <w:r w:rsidR="00E71512">
              <w:rPr>
                <w:noProof/>
                <w:webHidden/>
              </w:rPr>
            </w:r>
            <w:r w:rsidR="00E71512">
              <w:rPr>
                <w:noProof/>
                <w:webHidden/>
              </w:rPr>
              <w:fldChar w:fldCharType="separate"/>
            </w:r>
            <w:r w:rsidR="00824413">
              <w:rPr>
                <w:noProof/>
                <w:webHidden/>
              </w:rPr>
              <w:t>117</w:t>
            </w:r>
            <w:r w:rsidR="00E71512">
              <w:rPr>
                <w:noProof/>
                <w:webHidden/>
              </w:rPr>
              <w:fldChar w:fldCharType="end"/>
            </w:r>
          </w:hyperlink>
        </w:p>
        <w:p w14:paraId="1D4419FF" w14:textId="04FA9C63" w:rsidR="00901CDC" w:rsidRDefault="00DD550A">
          <w:pPr>
            <w:pStyle w:val="Sumrio3"/>
            <w:rPr>
              <w:rFonts w:eastAsiaTheme="minorEastAsia"/>
            </w:rPr>
          </w:pPr>
          <w:r>
            <w:rPr>
              <w:rFonts w:eastAsia="Yu Mincho"/>
            </w:rPr>
            <w:fldChar w:fldCharType="end"/>
          </w:r>
        </w:p>
        <w:p w14:paraId="58A60482" w14:textId="77777777" w:rsidR="00901CDC" w:rsidRDefault="00000000">
          <w:pPr>
            <w:sectPr w:rsidR="00901CDC">
              <w:headerReference w:type="default" r:id="rId12"/>
              <w:footerReference w:type="default" r:id="rId13"/>
              <w:pgSz w:w="11906" w:h="16838"/>
              <w:pgMar w:top="2665" w:right="1134" w:bottom="1134" w:left="1701" w:header="425" w:footer="709" w:gutter="0"/>
              <w:cols w:space="720"/>
              <w:formProt w:val="0"/>
              <w:docGrid w:linePitch="360" w:charSpace="8192"/>
            </w:sectPr>
          </w:pPr>
        </w:p>
      </w:sdtContent>
    </w:sdt>
    <w:p w14:paraId="7407C3E5" w14:textId="77777777" w:rsidR="00901CDC" w:rsidRDefault="00901CDC">
      <w:pPr>
        <w:tabs>
          <w:tab w:val="left" w:pos="440"/>
          <w:tab w:val="right" w:leader="dot" w:pos="9061"/>
        </w:tabs>
        <w:spacing w:before="120" w:after="120" w:line="240" w:lineRule="auto"/>
        <w:jc w:val="both"/>
      </w:pPr>
      <w:bookmarkStart w:id="2" w:name="_Toc478133168"/>
      <w:bookmarkStart w:id="3" w:name="_Toc478130734"/>
      <w:bookmarkStart w:id="4" w:name="_Toc477877053"/>
      <w:bookmarkStart w:id="5" w:name="_Toc477515211"/>
      <w:bookmarkStart w:id="6" w:name="_Toc477360919"/>
      <w:bookmarkStart w:id="7" w:name="_Toc477353328"/>
      <w:bookmarkStart w:id="8" w:name="_Toc477352120"/>
      <w:bookmarkStart w:id="9" w:name="_Toc477351659"/>
      <w:bookmarkStart w:id="10" w:name="_Toc477350948"/>
      <w:bookmarkStart w:id="11" w:name="_Toc477350918"/>
      <w:bookmarkStart w:id="12" w:name="_Toc477349506"/>
      <w:bookmarkStart w:id="13" w:name="_Toc476925651"/>
      <w:bookmarkStart w:id="14" w:name="_Toc476302411"/>
      <w:bookmarkStart w:id="15" w:name="_Toc476238192"/>
      <w:bookmarkStart w:id="16" w:name="_Toc475717617"/>
      <w:bookmarkStart w:id="17" w:name="_Toc475717340"/>
      <w:bookmarkStart w:id="18" w:name="_Toc122606103"/>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68F30BC5" w14:textId="77777777" w:rsidR="00C63608" w:rsidRDefault="00C63608">
      <w:pPr>
        <w:tabs>
          <w:tab w:val="left" w:pos="440"/>
          <w:tab w:val="right" w:leader="dot" w:pos="9061"/>
        </w:tabs>
        <w:spacing w:before="120" w:after="120" w:line="240" w:lineRule="auto"/>
        <w:jc w:val="both"/>
      </w:pPr>
    </w:p>
    <w:p w14:paraId="4F176DD7" w14:textId="77777777" w:rsidR="00901CDC" w:rsidRDefault="00DD550A">
      <w:pPr>
        <w:keepNext/>
        <w:keepLines/>
        <w:tabs>
          <w:tab w:val="left" w:pos="567"/>
        </w:tabs>
        <w:spacing w:before="288" w:after="288" w:line="240" w:lineRule="auto"/>
        <w:jc w:val="both"/>
        <w:outlineLvl w:val="0"/>
      </w:pPr>
      <w:bookmarkStart w:id="19" w:name="_Toc176954829"/>
      <w:r>
        <w:rPr>
          <w:rFonts w:ascii="Arial" w:eastAsia="MS Gothic" w:hAnsi="Arial" w:cs="Arial"/>
          <w:b/>
          <w:bCs/>
          <w:sz w:val="24"/>
          <w:szCs w:val="24"/>
          <w:lang w:eastAsia="pt-BR"/>
        </w:rPr>
        <w:lastRenderedPageBreak/>
        <w:t xml:space="preserve">1. </w:t>
      </w:r>
      <w:r>
        <w:rPr>
          <w:rFonts w:ascii="Arial" w:eastAsia="MS Gothic" w:hAnsi="Arial" w:cs="Arial"/>
          <w:b/>
          <w:bCs/>
          <w:sz w:val="24"/>
          <w:szCs w:val="24"/>
        </w:rPr>
        <w:t>DO OBJETO</w:t>
      </w:r>
      <w:bookmarkEnd w:id="18"/>
      <w:bookmarkEnd w:id="19"/>
    </w:p>
    <w:p w14:paraId="50DDB2D0"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1.1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presente</w:t>
      </w:r>
      <w:r>
        <w:rPr>
          <w:rFonts w:ascii="Arial" w:hAnsi="Arial" w:cs="Arial"/>
          <w:spacing w:val="1"/>
          <w:sz w:val="24"/>
          <w:szCs w:val="24"/>
        </w:rPr>
        <w:t xml:space="preserve"> </w:t>
      </w:r>
      <w:r>
        <w:rPr>
          <w:rFonts w:ascii="Arial" w:hAnsi="Arial" w:cs="Arial"/>
          <w:sz w:val="24"/>
          <w:szCs w:val="24"/>
        </w:rPr>
        <w:t>licitação</w:t>
      </w:r>
      <w:r>
        <w:rPr>
          <w:rFonts w:ascii="Arial" w:hAnsi="Arial" w:cs="Arial"/>
          <w:spacing w:val="1"/>
          <w:sz w:val="24"/>
          <w:szCs w:val="24"/>
        </w:rPr>
        <w:t xml:space="preserve"> </w:t>
      </w:r>
      <w:r>
        <w:rPr>
          <w:rFonts w:ascii="Arial" w:hAnsi="Arial" w:cs="Arial"/>
          <w:sz w:val="24"/>
          <w:szCs w:val="24"/>
        </w:rPr>
        <w:t>tem</w:t>
      </w:r>
      <w:r>
        <w:rPr>
          <w:rFonts w:ascii="Arial" w:hAnsi="Arial" w:cs="Arial"/>
          <w:spacing w:val="1"/>
          <w:sz w:val="24"/>
          <w:szCs w:val="24"/>
        </w:rPr>
        <w:t xml:space="preserve"> </w:t>
      </w:r>
      <w:r>
        <w:rPr>
          <w:rFonts w:ascii="Arial" w:hAnsi="Arial" w:cs="Arial"/>
          <w:sz w:val="24"/>
          <w:szCs w:val="24"/>
        </w:rPr>
        <w:t>por</w:t>
      </w:r>
      <w:r>
        <w:rPr>
          <w:rFonts w:ascii="Arial" w:hAnsi="Arial" w:cs="Arial"/>
          <w:spacing w:val="1"/>
          <w:sz w:val="24"/>
          <w:szCs w:val="24"/>
        </w:rPr>
        <w:t xml:space="preserve"> </w:t>
      </w:r>
      <w:r>
        <w:rPr>
          <w:rFonts w:ascii="Arial" w:hAnsi="Arial" w:cs="Arial"/>
          <w:sz w:val="24"/>
          <w:szCs w:val="24"/>
        </w:rPr>
        <w:t>objeto</w:t>
      </w:r>
      <w:r>
        <w:rPr>
          <w:rFonts w:ascii="Arial" w:hAnsi="Arial" w:cs="Arial"/>
          <w:spacing w:val="1"/>
          <w:sz w:val="24"/>
          <w:szCs w:val="24"/>
        </w:rPr>
        <w:t xml:space="preserve"> </w:t>
      </w:r>
      <w:r>
        <w:rPr>
          <w:rFonts w:ascii="Arial" w:hAnsi="Arial" w:cs="Arial"/>
          <w:sz w:val="24"/>
          <w:szCs w:val="24"/>
        </w:rPr>
        <w:t>o registro de preços para a eventual</w:t>
      </w:r>
      <w:r>
        <w:rPr>
          <w:rFonts w:ascii="Arial" w:hAnsi="Arial" w:cs="Arial"/>
          <w:spacing w:val="1"/>
          <w:sz w:val="24"/>
          <w:szCs w:val="24"/>
        </w:rPr>
        <w:t xml:space="preserve"> </w:t>
      </w:r>
      <w:r>
        <w:rPr>
          <w:rFonts w:ascii="Arial" w:hAnsi="Arial" w:cs="Arial"/>
          <w:color w:val="000000"/>
          <w:sz w:val="24"/>
          <w:szCs w:val="24"/>
        </w:rPr>
        <w:t>para aquisição de CADEIRAS OPERACIONAIS, conforme especificações, exigências e quantidades estabelecidas neste Termo de Referência</w:t>
      </w:r>
      <w:r>
        <w:rPr>
          <w:rFonts w:ascii="Arial" w:eastAsia="MS Mincho" w:hAnsi="Arial" w:cs="Arial"/>
          <w:sz w:val="24"/>
          <w:szCs w:val="24"/>
          <w:lang w:eastAsia="pt-BR"/>
        </w:rPr>
        <w:t xml:space="preserve">, bem como as condições constantes neste Edital e seus anexos. </w:t>
      </w:r>
    </w:p>
    <w:p w14:paraId="6421AA01"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1.2 Em caso de divergência entre as especificações do objeto constantes deste Edital </w:t>
      </w:r>
      <w:bookmarkStart w:id="20" w:name="_Hlk130814181"/>
      <w:r>
        <w:rPr>
          <w:rFonts w:ascii="Arial" w:eastAsia="MS Mincho" w:hAnsi="Arial" w:cs="Arial"/>
          <w:sz w:val="24"/>
          <w:szCs w:val="24"/>
          <w:lang w:eastAsia="pt-BR"/>
        </w:rPr>
        <w:t>e aquelas descritas no Portal de Compras – MG, prevalecerão as primeiras.</w:t>
      </w:r>
    </w:p>
    <w:p w14:paraId="7A83DD66"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1" w:name="_Toc176954830"/>
      <w:r>
        <w:rPr>
          <w:rFonts w:ascii="Arial" w:eastAsia="MS Gothic" w:hAnsi="Arial" w:cs="Arial"/>
          <w:b/>
          <w:bCs/>
          <w:sz w:val="24"/>
          <w:szCs w:val="24"/>
          <w:lang w:eastAsia="pt-BR"/>
        </w:rPr>
        <w:t>2. DO REGISTRO DE PREÇOS</w:t>
      </w:r>
      <w:bookmarkEnd w:id="21"/>
    </w:p>
    <w:p w14:paraId="2FD1879E" w14:textId="1BD62F81" w:rsidR="00901CDC" w:rsidRDefault="00DD550A">
      <w:pPr>
        <w:pStyle w:val="PargrafodaLista"/>
        <w:widowControl w:val="0"/>
        <w:numPr>
          <w:ilvl w:val="1"/>
          <w:numId w:val="2"/>
        </w:numPr>
        <w:tabs>
          <w:tab w:val="left" w:pos="284"/>
          <w:tab w:val="decimal" w:pos="567"/>
        </w:tabs>
        <w:spacing w:before="120" w:after="120" w:line="360" w:lineRule="auto"/>
        <w:ind w:left="0" w:right="-8" w:firstLine="0"/>
        <w:jc w:val="both"/>
      </w:pPr>
      <w:bookmarkStart w:id="22" w:name="_Toc161865841"/>
      <w:r>
        <w:t>As informações e regras referentes aos órgãos gerenciador e participantes, bem como a eventuais adesões estão dispostas no Anexo I (Minuta da Ata de Registro de Preços) e Anexo II (Minuta de Contrato).</w:t>
      </w:r>
      <w:bookmarkEnd w:id="22"/>
    </w:p>
    <w:p w14:paraId="02E92828" w14:textId="2644CAC3" w:rsidR="00424A05" w:rsidRDefault="00010E87" w:rsidP="00424A05">
      <w:pPr>
        <w:pStyle w:val="PargrafodaLista"/>
        <w:widowControl w:val="0"/>
        <w:tabs>
          <w:tab w:val="left" w:pos="284"/>
          <w:tab w:val="decimal" w:pos="567"/>
        </w:tabs>
        <w:spacing w:before="120" w:after="120" w:line="360" w:lineRule="auto"/>
        <w:ind w:left="709" w:right="-8"/>
        <w:jc w:val="both"/>
      </w:pPr>
      <w:r w:rsidRPr="00F51790">
        <w:t>2.1</w:t>
      </w:r>
      <w:r w:rsidR="00424A05" w:rsidRPr="00F51790">
        <w:t xml:space="preserve">.1 </w:t>
      </w:r>
      <w:r w:rsidR="00424A05" w:rsidRPr="00F51790">
        <w:rPr>
          <w:rStyle w:val="ui-provider"/>
        </w:rPr>
        <w:t>Não será admitida a previsão de preços diferentes em razão de local de entrega ou de acondicionamento, tamanho de lote ou qualquer outro motivo.</w:t>
      </w:r>
    </w:p>
    <w:p w14:paraId="144C9217" w14:textId="57DF0DEC" w:rsidR="00901CDC" w:rsidRDefault="00010E87" w:rsidP="00424A05">
      <w:pPr>
        <w:pStyle w:val="PargrafodaLista"/>
        <w:widowControl w:val="0"/>
        <w:tabs>
          <w:tab w:val="left" w:pos="284"/>
          <w:tab w:val="decimal" w:pos="567"/>
        </w:tabs>
        <w:spacing w:before="120" w:after="120" w:line="360" w:lineRule="auto"/>
        <w:ind w:left="709" w:right="-8"/>
        <w:jc w:val="both"/>
      </w:pPr>
      <w:bookmarkStart w:id="23" w:name="_Toc161865842"/>
      <w:r>
        <w:t>2.1</w:t>
      </w:r>
      <w:r w:rsidR="00424A05">
        <w:t xml:space="preserve">.2 </w:t>
      </w:r>
      <w:r w:rsidR="00DD550A">
        <w:t xml:space="preserve">É vedada a participação do órgão ou da entidade em mais de uma ARP com o mesmo objeto no prazo de validade daquela de que já tiver participado, nos termos do art. 82, VIII da </w:t>
      </w:r>
      <w:r w:rsidR="00DD550A" w:rsidRPr="00424A05">
        <w:t xml:space="preserve">Lei Federal nº 14.133/21 </w:t>
      </w:r>
      <w:r w:rsidR="00DD550A">
        <w:t>e do art. 11, VII do Decreto Estadual nº 48.779/24</w:t>
      </w:r>
      <w:bookmarkEnd w:id="23"/>
      <w:r w:rsidR="00DD550A">
        <w:t xml:space="preserve">, ressalvadas as hipóteses previstas neste último artigo.  </w:t>
      </w:r>
    </w:p>
    <w:p w14:paraId="588D4017"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4" w:name="_Toc122606112"/>
      <w:bookmarkStart w:id="25" w:name="_Toc176954831"/>
      <w:r>
        <w:rPr>
          <w:rFonts w:ascii="Arial" w:eastAsia="MS Gothic" w:hAnsi="Arial" w:cs="Arial"/>
          <w:b/>
          <w:bCs/>
          <w:sz w:val="24"/>
          <w:szCs w:val="24"/>
          <w:lang w:eastAsia="pt-BR"/>
        </w:rPr>
        <w:t>3. DA IMPUGNAÇÃO AO EDITAL E DO PEDIDO DE ESCLARECIMENTO</w:t>
      </w:r>
      <w:bookmarkEnd w:id="24"/>
      <w:bookmarkEnd w:id="25"/>
    </w:p>
    <w:p w14:paraId="3DE093FD"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3.1 Qualquer pessoa é parte legítima para pedir esclarecimento ou impugnar este Edital por irregularidade na aplicação da </w:t>
      </w:r>
      <w:bookmarkStart w:id="26" w:name="_Hlk164331535"/>
      <w:r>
        <w:rPr>
          <w:rFonts w:ascii="Arial" w:eastAsia="Times New Roman" w:hAnsi="Arial" w:cs="Arial"/>
          <w:color w:val="000000"/>
          <w:sz w:val="24"/>
          <w:szCs w:val="24"/>
          <w:lang w:eastAsia="pt-BR"/>
        </w:rPr>
        <w:t>Lei Federal nº 14.133/21</w:t>
      </w:r>
      <w:bookmarkEnd w:id="26"/>
      <w:r>
        <w:rPr>
          <w:rFonts w:ascii="Arial" w:eastAsia="MS Mincho" w:hAnsi="Arial" w:cs="Arial"/>
          <w:sz w:val="24"/>
          <w:szCs w:val="24"/>
          <w:lang w:eastAsia="pt-BR"/>
        </w:rPr>
        <w:t>, devendo protocolar o pedido até 3 (três) dias úteis antes da data da abertura do certame.</w:t>
      </w:r>
    </w:p>
    <w:p w14:paraId="6B9A1E62"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3.2 A resposta à impugnação ou ao pedido de esclarecimento será divulgada em sítio eletrônico oficial no prazo de até 3 (três) dias úteis, limitado ao último dia útil anterior à data da abertura do certame.</w:t>
      </w:r>
    </w:p>
    <w:p w14:paraId="128C8EC4"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3.3 O instrumento de impugnação deverá ser dirigido ao pregoeiro e enviado por meio eletrônico, exclusivamente via Portal de Compras – MG, acompanhado de </w:t>
      </w:r>
      <w:r>
        <w:rPr>
          <w:rFonts w:ascii="Arial" w:eastAsia="MS Mincho" w:hAnsi="Arial" w:cs="Arial"/>
          <w:sz w:val="24"/>
          <w:szCs w:val="24"/>
          <w:lang w:eastAsia="pt-BR"/>
        </w:rPr>
        <w:lastRenderedPageBreak/>
        <w:t>fundamentação do alegado e instruído de eventuais provas que se fizerem necessárias.</w:t>
      </w:r>
    </w:p>
    <w:p w14:paraId="354D9DBE" w14:textId="77777777" w:rsidR="00901CDC" w:rsidRDefault="00DD550A">
      <w:pPr>
        <w:spacing w:after="0"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3.3.1 A impugnação deverá ser assinada pelo cidadão, acompanhada de cópia do seu documento de identificação com foto, contendo número do seu RG ou CPF, ou pelo representante legal da empresa licitante, com indicação de sua razão social, número do CNPJ e endereço, acompanhada de todos os documentos necessários à comprovação do poder de representação do signatário.</w:t>
      </w:r>
    </w:p>
    <w:p w14:paraId="7DA93FC3"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3.4 As impugnações e pedidos de esclarecimentos não suspendem os prazos previstos no certame.</w:t>
      </w:r>
    </w:p>
    <w:p w14:paraId="61000F74"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3.4.1 A concessão de efeito suspensivo à impugnação é medida excepcional e deverá ser motivada pelo agente de contratação, nos autos do processo de licitação, conforme o art. 14, § 2º, do Decreto Estadual nº 48.723/2023.</w:t>
      </w:r>
    </w:p>
    <w:p w14:paraId="5A5DB978"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3.5 As respostas aos pedidos de esclarecimentos e impugnações aderem a este Edital tal como se dele fizessem parte, vinculando a Administração e os licitantes, e serão disponibilizadas, para ciência de qualquer interessado, no Portal de Compras – MG por meio do endereço </w:t>
      </w:r>
      <w:hyperlink r:id="rId14">
        <w:r>
          <w:rPr>
            <w:rStyle w:val="ListLabel25"/>
          </w:rPr>
          <w:t>www.compras.mg.gov.br</w:t>
        </w:r>
      </w:hyperlink>
      <w:r>
        <w:rPr>
          <w:rFonts w:ascii="Arial" w:eastAsia="MS Mincho" w:hAnsi="Arial" w:cs="Arial"/>
          <w:sz w:val="24"/>
          <w:szCs w:val="24"/>
          <w:lang w:eastAsia="pt-BR"/>
        </w:rPr>
        <w:t xml:space="preserve"> e na página da Procuradoria-Geral de Justiça, no endereço </w:t>
      </w:r>
      <w:hyperlink r:id="rId15">
        <w:r>
          <w:rPr>
            <w:rStyle w:val="ListLabel25"/>
          </w:rPr>
          <w:t>www.mpmg.mp.br</w:t>
        </w:r>
      </w:hyperlink>
      <w:r>
        <w:rPr>
          <w:rFonts w:ascii="Arial" w:eastAsia="MS Mincho" w:hAnsi="Arial" w:cs="Arial"/>
          <w:sz w:val="24"/>
          <w:szCs w:val="24"/>
          <w:lang w:eastAsia="pt-BR"/>
        </w:rPr>
        <w:t>.</w:t>
      </w:r>
    </w:p>
    <w:p w14:paraId="58A112C0"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3.6 Acolhida a impugnação, será definida e publicada nova data para a realização do certame, observados os prazos fixados no art. 55 da Lei Federal nº 14.133/2021 e do art. 15 do Decreto Estadual nº 48.723/2023.</w:t>
      </w:r>
    </w:p>
    <w:p w14:paraId="365927A4"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27" w:name="_Toc122606104"/>
      <w:bookmarkStart w:id="28" w:name="_Toc176954832"/>
      <w:r>
        <w:rPr>
          <w:rFonts w:ascii="Arial" w:eastAsia="MS Gothic" w:hAnsi="Arial" w:cs="Arial"/>
          <w:b/>
          <w:bCs/>
          <w:sz w:val="24"/>
          <w:szCs w:val="24"/>
          <w:lang w:eastAsia="pt-BR"/>
        </w:rPr>
        <w:t xml:space="preserve">4. </w:t>
      </w:r>
      <w:bookmarkEnd w:id="20"/>
      <w:r>
        <w:rPr>
          <w:rFonts w:ascii="Arial" w:eastAsia="MS Gothic" w:hAnsi="Arial" w:cs="Arial"/>
          <w:b/>
          <w:bCs/>
          <w:sz w:val="24"/>
          <w:szCs w:val="24"/>
          <w:lang w:eastAsia="pt-BR"/>
        </w:rPr>
        <w:t>DA PARTICIPAÇÃO NA LICITAÇÃO</w:t>
      </w:r>
      <w:bookmarkStart w:id="29" w:name="_Hlk130814210"/>
      <w:bookmarkEnd w:id="27"/>
      <w:bookmarkEnd w:id="28"/>
      <w:bookmarkEnd w:id="29"/>
    </w:p>
    <w:p w14:paraId="15529AE5"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4.1 Poderão participar deste Pregão os interessados que estiverem previamente credenciados no Cadastro Geral de Fornecedores – CAGEF, nos termos do Decreto nº 47.524/18 e por meio do site </w:t>
      </w:r>
      <w:hyperlink r:id="rId16">
        <w:r>
          <w:rPr>
            <w:rStyle w:val="ListLabel26"/>
          </w:rPr>
          <w:t>www.compras.mg.gov.br</w:t>
        </w:r>
      </w:hyperlink>
      <w:r>
        <w:rPr>
          <w:rFonts w:ascii="Arial" w:eastAsia="MS Mincho" w:hAnsi="Arial" w:cs="Arial"/>
          <w:sz w:val="24"/>
          <w:szCs w:val="24"/>
          <w:lang w:eastAsia="pt-BR"/>
        </w:rPr>
        <w:t>.</w:t>
      </w:r>
    </w:p>
    <w:p w14:paraId="1D0CEE47"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4.1.1 O gerenciamento do Cadastro Geral de Fornecedores – CAGEF é realizado exclusivamente pela Secretaria de Estado de Planejamento e Gestão de Minas Gerais (SEPLAG), não cabendo à Procuradoria-Geral de Justiça solucionar eventuais problemas a ele relacionados.</w:t>
      </w:r>
    </w:p>
    <w:p w14:paraId="141DDE48"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4.1.2 Informações complementares a respeito do cadastramento serão também obtidas no site www.compras.mg.gov.br ou pela Central de Atendimento aos Fornecedores do Portal de Compras – MG via e-mail: cadastro.fornecedores@planejamento.mg.gov.br.</w:t>
      </w:r>
    </w:p>
    <w:p w14:paraId="58E52461"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B18E3A"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BAA43F9"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4.4 A não observância do disposto no item anterior poderá ensejar desclassificação no momento da habilitação.</w:t>
      </w:r>
    </w:p>
    <w:p w14:paraId="2DFE9FCB" w14:textId="77777777" w:rsidR="00901CDC" w:rsidRDefault="00DD550A">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 xml:space="preserve">4.5 Serão especificados no Anexo III (Modelo de Proposta) os lotes cuja participação será exclusiva a microempresas e empresas de pequeno porte, nos termos do </w:t>
      </w:r>
      <w:hyperlink r:id="rId17">
        <w:r>
          <w:rPr>
            <w:rStyle w:val="ListLabel25"/>
          </w:rPr>
          <w:t>art. 48 da Lei Complementar nº 123, de 14 de dezembro de 2006</w:t>
        </w:r>
      </w:hyperlink>
      <w:r>
        <w:rPr>
          <w:rFonts w:ascii="Arial" w:eastAsia="MS Mincho" w:hAnsi="Arial" w:cs="Arial"/>
          <w:sz w:val="24"/>
          <w:szCs w:val="24"/>
          <w:lang w:eastAsia="pt-BR"/>
        </w:rPr>
        <w:t>.</w:t>
      </w:r>
    </w:p>
    <w:p w14:paraId="1C44FDA6" w14:textId="77777777" w:rsidR="00901CDC" w:rsidRDefault="00DD550A">
      <w:pPr>
        <w:spacing w:before="288" w:after="288" w:line="312" w:lineRule="auto"/>
        <w:ind w:left="567"/>
        <w:jc w:val="both"/>
        <w:rPr>
          <w:rFonts w:ascii="Arial" w:eastAsia="MS Mincho" w:hAnsi="Arial" w:cs="Arial"/>
          <w:sz w:val="24"/>
          <w:szCs w:val="24"/>
          <w:lang w:eastAsia="pt-BR"/>
        </w:rPr>
      </w:pPr>
      <w:bookmarkStart w:id="30" w:name="_Ref117015508"/>
      <w:r>
        <w:rPr>
          <w:rFonts w:ascii="Arial" w:eastAsia="MS Mincho" w:hAnsi="Arial" w:cs="Arial"/>
          <w:sz w:val="24"/>
          <w:szCs w:val="24"/>
          <w:lang w:eastAsia="pt-BR"/>
        </w:rPr>
        <w:t>4.5.1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30"/>
    </w:p>
    <w:p w14:paraId="1DC3870C" w14:textId="77777777" w:rsidR="00901CDC" w:rsidRDefault="00DD550A">
      <w:pPr>
        <w:tabs>
          <w:tab w:val="left" w:pos="567"/>
        </w:tabs>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 xml:space="preserve">4.6 Será concedido tratamento favorecido para as microempresas e empresas de pequeno porte, para as sociedades cooperativas </w:t>
      </w:r>
      <w:r>
        <w:rPr>
          <w:rFonts w:ascii="Arial" w:eastAsia="Times New Roman" w:hAnsi="Arial" w:cs="Arial"/>
          <w:sz w:val="24"/>
          <w:szCs w:val="24"/>
          <w:lang w:eastAsia="pt-BR"/>
        </w:rPr>
        <w:t xml:space="preserve">mencionadas no </w:t>
      </w:r>
      <w:hyperlink r:id="rId18" w:anchor="art16" w:history="1">
        <w:r>
          <w:rPr>
            <w:rStyle w:val="ListLabel27"/>
            <w:rFonts w:eastAsiaTheme="minorHAnsi"/>
          </w:rPr>
          <w:t xml:space="preserve">artigo </w:t>
        </w:r>
      </w:hyperlink>
      <w:r>
        <w:rPr>
          <w:rFonts w:ascii="Arial" w:eastAsia="MS Mincho" w:hAnsi="Arial" w:cs="Arial"/>
          <w:sz w:val="24"/>
          <w:szCs w:val="24"/>
          <w:lang w:eastAsia="pt-BR"/>
        </w:rPr>
        <w:t xml:space="preserve">16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de 2021, para o agricultor familiar, o produtor rural pessoa física e para o microempreendedor individual - MEI, nos limites previstos na </w:t>
      </w:r>
      <w:hyperlink r:id="rId19">
        <w:r>
          <w:rPr>
            <w:rStyle w:val="ListLabel25"/>
          </w:rPr>
          <w:t>Lei Complementar nº 123, de 2006</w:t>
        </w:r>
      </w:hyperlink>
      <w:r>
        <w:rPr>
          <w:rFonts w:ascii="Arial" w:eastAsia="MS Mincho" w:hAnsi="Arial" w:cs="Arial"/>
          <w:sz w:val="24"/>
          <w:szCs w:val="24"/>
          <w:lang w:eastAsia="pt-BR"/>
        </w:rPr>
        <w:t>, e no art. 3º do Decreto Estadual nº 47.437/2018.</w:t>
      </w:r>
    </w:p>
    <w:p w14:paraId="7120A49C" w14:textId="77777777" w:rsidR="00901CDC" w:rsidRDefault="00DD550A">
      <w:pPr>
        <w:tabs>
          <w:tab w:val="left" w:pos="567"/>
        </w:tabs>
        <w:spacing w:before="288" w:after="288" w:line="312" w:lineRule="auto"/>
        <w:jc w:val="both"/>
        <w:rPr>
          <w:rFonts w:ascii="Arial" w:eastAsia="Times New Roman" w:hAnsi="Arial" w:cs="Arial"/>
          <w:sz w:val="24"/>
          <w:szCs w:val="24"/>
          <w:lang w:eastAsia="pt-BR"/>
        </w:rPr>
      </w:pPr>
      <w:bookmarkStart w:id="31" w:name="_Ref117000692"/>
      <w:r>
        <w:rPr>
          <w:rFonts w:ascii="Arial" w:eastAsia="Times New Roman" w:hAnsi="Arial" w:cs="Arial"/>
          <w:sz w:val="24"/>
          <w:szCs w:val="24"/>
          <w:lang w:eastAsia="pt-BR"/>
        </w:rPr>
        <w:lastRenderedPageBreak/>
        <w:t>4.7 Não poderão disputar esta licitação:</w:t>
      </w:r>
      <w:bookmarkEnd w:id="31"/>
    </w:p>
    <w:p w14:paraId="0C57D8EE" w14:textId="77777777" w:rsidR="00901CDC" w:rsidRDefault="00DD550A">
      <w:pPr>
        <w:spacing w:before="288" w:after="288" w:line="312" w:lineRule="auto"/>
        <w:ind w:left="567"/>
        <w:jc w:val="both"/>
        <w:rPr>
          <w:rFonts w:ascii="Arial" w:eastAsia="MS Mincho" w:hAnsi="Arial" w:cs="Arial"/>
          <w:sz w:val="24"/>
          <w:szCs w:val="24"/>
          <w:lang w:eastAsia="pt-BR"/>
        </w:rPr>
      </w:pPr>
      <w:bookmarkStart w:id="32" w:name="_Ref113883338"/>
      <w:r>
        <w:rPr>
          <w:rFonts w:ascii="Arial" w:eastAsia="MS Mincho" w:hAnsi="Arial" w:cs="Arial"/>
          <w:sz w:val="24"/>
          <w:szCs w:val="24"/>
          <w:lang w:eastAsia="pt-BR"/>
        </w:rPr>
        <w:t>4.7.1 aquele que não atenda às condições previstas neste Edital e seu(s) anexo(s);</w:t>
      </w:r>
    </w:p>
    <w:p w14:paraId="2129D770"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4.7.2 autor</w:t>
      </w:r>
      <w:bookmarkStart w:id="33" w:name="_Ref114659912"/>
      <w:r>
        <w:rPr>
          <w:rFonts w:ascii="Arial" w:eastAsia="MS Mincho" w:hAnsi="Arial" w:cs="Arial"/>
          <w:sz w:val="24"/>
          <w:szCs w:val="24"/>
          <w:lang w:eastAsia="pt-BR"/>
        </w:rPr>
        <w:t xml:space="preserve"> do anteprojeto, do projeto básico ou do projeto executivo, pessoa física ou jurídica, quando a licitação versar sobre serviços ou fornecimento de bens a ele relacionados;</w:t>
      </w:r>
      <w:bookmarkEnd w:id="32"/>
      <w:bookmarkEnd w:id="33"/>
    </w:p>
    <w:p w14:paraId="5D3AA745" w14:textId="77777777" w:rsidR="00901CDC" w:rsidRDefault="00DD550A">
      <w:pPr>
        <w:spacing w:before="288" w:after="288" w:line="312" w:lineRule="auto"/>
        <w:ind w:left="567"/>
        <w:jc w:val="both"/>
        <w:rPr>
          <w:rFonts w:ascii="Arial" w:eastAsia="MS Mincho" w:hAnsi="Arial" w:cs="Arial"/>
          <w:sz w:val="24"/>
          <w:szCs w:val="24"/>
          <w:lang w:eastAsia="pt-BR"/>
        </w:rPr>
      </w:pPr>
      <w:bookmarkStart w:id="34" w:name="_Ref114659913"/>
      <w:bookmarkStart w:id="35" w:name="_Ref113883339"/>
      <w:r>
        <w:rPr>
          <w:rFonts w:ascii="Arial" w:eastAsia="MS Mincho" w:hAnsi="Arial" w:cs="Arial"/>
          <w:sz w:val="24"/>
          <w:szCs w:val="24"/>
          <w:lang w:eastAsia="pt-BR"/>
        </w:rPr>
        <w:t>4.7.3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4"/>
      <w:r>
        <w:rPr>
          <w:rFonts w:ascii="Arial" w:eastAsia="MS Mincho" w:hAnsi="Arial" w:cs="Arial"/>
          <w:sz w:val="24"/>
          <w:szCs w:val="24"/>
          <w:lang w:eastAsia="pt-BR"/>
        </w:rPr>
        <w:t xml:space="preserve"> </w:t>
      </w:r>
      <w:bookmarkEnd w:id="35"/>
    </w:p>
    <w:p w14:paraId="2E2FFC20" w14:textId="77777777" w:rsidR="00901CDC" w:rsidRDefault="00DD550A">
      <w:pPr>
        <w:spacing w:before="288" w:after="288" w:line="312" w:lineRule="auto"/>
        <w:ind w:left="567"/>
        <w:jc w:val="both"/>
        <w:rPr>
          <w:rFonts w:ascii="Arial" w:eastAsia="MS Mincho" w:hAnsi="Arial" w:cs="Arial"/>
          <w:sz w:val="24"/>
          <w:szCs w:val="24"/>
          <w:lang w:eastAsia="pt-BR"/>
        </w:rPr>
      </w:pPr>
      <w:bookmarkStart w:id="36" w:name="_Ref113883003"/>
      <w:r>
        <w:rPr>
          <w:rFonts w:ascii="Arial" w:eastAsia="MS Mincho" w:hAnsi="Arial" w:cs="Arial"/>
          <w:sz w:val="24"/>
          <w:szCs w:val="24"/>
          <w:lang w:eastAsia="pt-BR"/>
        </w:rPr>
        <w:t>4.7.4 pessoa física ou jurídica que se encontre, ao tempo da licitação, impossibilitada de participar da licitação em decorrência de sanção que lhe foi imposta;</w:t>
      </w:r>
      <w:bookmarkEnd w:id="36"/>
    </w:p>
    <w:p w14:paraId="01E82D59"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4.7.5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3205B04" w14:textId="77777777" w:rsidR="00901CDC" w:rsidRDefault="00DD550A">
      <w:pPr>
        <w:spacing w:before="288" w:after="288" w:line="312" w:lineRule="auto"/>
        <w:ind w:left="567"/>
        <w:jc w:val="both"/>
        <w:rPr>
          <w:rFonts w:ascii="Arial" w:eastAsia="MS Mincho" w:hAnsi="Arial" w:cs="Arial"/>
          <w:sz w:val="24"/>
          <w:szCs w:val="24"/>
          <w:lang w:eastAsia="pt-BR"/>
        </w:rPr>
      </w:pPr>
      <w:bookmarkStart w:id="37" w:name="_Ref113883579"/>
      <w:r>
        <w:rPr>
          <w:rFonts w:ascii="Arial" w:eastAsia="MS Mincho" w:hAnsi="Arial" w:cs="Arial"/>
          <w:sz w:val="24"/>
          <w:szCs w:val="24"/>
          <w:lang w:eastAsia="pt-BR"/>
        </w:rPr>
        <w:t>4.7.6 empresas controladoras, controladas ou coligadas, nos termos da Lei nº 6.404, de 15 de dezembro de 1976, concorrendo entre si;</w:t>
      </w:r>
      <w:bookmarkEnd w:id="37"/>
    </w:p>
    <w:p w14:paraId="4B507E53"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4.7.7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A0B06C6"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4.7.8 organizações da Sociedade Civil de Interesse Público - OSCIP, atuando nessa condição; </w:t>
      </w:r>
    </w:p>
    <w:p w14:paraId="440FC4DA"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4.7.9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rFonts w:ascii="Arial" w:eastAsia="Times New Roman" w:hAnsi="Arial" w:cs="Arial"/>
          <w:color w:val="000000"/>
          <w:sz w:val="24"/>
          <w:szCs w:val="24"/>
          <w:lang w:eastAsia="pt-BR"/>
        </w:rPr>
        <w:t>Lei Federal nº 14.133/21;</w:t>
      </w:r>
    </w:p>
    <w:p w14:paraId="2BFFC0C1"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4.7.10 empresas que possuírem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w:t>
      </w:r>
    </w:p>
    <w:p w14:paraId="0D9272A0"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4.7.11 pessoa física, quando a contratação exigir capital social mínimo e estrutura mínima, com equipamentos, instalações e equipe de profissionais ou corpo técnico para a execução do objeto incompatíveis com a natureza profissional da pessoa física; </w:t>
      </w:r>
    </w:p>
    <w:p w14:paraId="464414AE"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rPr>
        <w:t xml:space="preserve">4.8 </w:t>
      </w:r>
      <w:r>
        <w:rPr>
          <w:rFonts w:ascii="Arial" w:eastAsia="MS Mincho" w:hAnsi="Arial" w:cs="Arial"/>
          <w:sz w:val="24"/>
          <w:szCs w:val="24"/>
          <w:lang w:eastAsia="pt-BR"/>
        </w:rPr>
        <w:t>O impedimento de que trata o item 4.7.4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CDA25A9" w14:textId="77777777" w:rsidR="00901CDC" w:rsidRDefault="00DD550A">
      <w:pPr>
        <w:spacing w:before="288" w:after="288" w:line="312" w:lineRule="auto"/>
        <w:jc w:val="both"/>
        <w:rPr>
          <w:rFonts w:ascii="Arial" w:eastAsia="MS Mincho" w:hAnsi="Arial" w:cs="Arial"/>
          <w:sz w:val="24"/>
          <w:szCs w:val="24"/>
          <w:lang w:eastAsia="pt-BR"/>
        </w:rPr>
      </w:pPr>
      <w:bookmarkStart w:id="38" w:name="art14%25C2%25A73"/>
      <w:bookmarkStart w:id="39" w:name="art14%25C2%25A72"/>
      <w:bookmarkEnd w:id="38"/>
      <w:bookmarkEnd w:id="39"/>
      <w:r>
        <w:rPr>
          <w:rFonts w:ascii="Arial" w:eastAsia="MS Mincho" w:hAnsi="Arial" w:cs="Arial"/>
          <w:sz w:val="24"/>
          <w:szCs w:val="24"/>
          <w:lang w:eastAsia="pt-BR"/>
        </w:rPr>
        <w:t>4.9 Equiparam-se aos autores do projeto as empresas integrantes do mesmo grupo econômico.</w:t>
      </w:r>
    </w:p>
    <w:p w14:paraId="17E3A50E" w14:textId="77777777" w:rsidR="00901CDC" w:rsidRDefault="00DD550A">
      <w:pPr>
        <w:spacing w:before="288" w:after="288" w:line="312" w:lineRule="auto"/>
        <w:jc w:val="both"/>
        <w:rPr>
          <w:rFonts w:ascii="Arial" w:eastAsia="MS Mincho" w:hAnsi="Arial" w:cs="Arial"/>
          <w:sz w:val="24"/>
          <w:szCs w:val="24"/>
          <w:lang w:eastAsia="pt-BR"/>
        </w:rPr>
      </w:pPr>
      <w:bookmarkStart w:id="40" w:name="art14%25C2%25A74"/>
      <w:bookmarkEnd w:id="40"/>
      <w:r>
        <w:rPr>
          <w:rFonts w:ascii="Arial" w:eastAsia="MS Mincho" w:hAnsi="Arial" w:cs="Arial"/>
          <w:sz w:val="24"/>
          <w:szCs w:val="24"/>
          <w:lang w:eastAsia="pt-BR"/>
        </w:rPr>
        <w:t>4.10 O disposto nos itens 4.7.2 e 4.7.3 não impede a licitação ou a contratação de serviço que inclua como encargo do contratado a elaboração do projeto básico e do projeto executivo, nas contratações integradas, e do projeto executivo, nos demais regimes de execução.</w:t>
      </w:r>
    </w:p>
    <w:p w14:paraId="133FC9B4" w14:textId="77777777" w:rsidR="00901CDC" w:rsidRDefault="00DD550A">
      <w:pPr>
        <w:spacing w:before="288" w:after="288" w:line="312" w:lineRule="auto"/>
        <w:jc w:val="both"/>
        <w:rPr>
          <w:rFonts w:ascii="Arial" w:eastAsia="MS Mincho" w:hAnsi="Arial" w:cs="Arial"/>
          <w:sz w:val="24"/>
          <w:szCs w:val="24"/>
          <w:lang w:eastAsia="pt-BR"/>
        </w:rPr>
      </w:pPr>
      <w:bookmarkStart w:id="41" w:name="art14%25C2%25A75"/>
      <w:bookmarkEnd w:id="41"/>
      <w:r>
        <w:rPr>
          <w:rFonts w:ascii="Arial" w:eastAsia="MS Mincho" w:hAnsi="Arial" w:cs="Arial"/>
          <w:sz w:val="24"/>
          <w:szCs w:val="24"/>
          <w:lang w:eastAsia="pt-BR"/>
        </w:rPr>
        <w:t xml:space="preserve">4.11 Em licitações e contratações realizadas no âmbito de projetos e programas parcialmente financiados por agência oficial de cooperação estrangeira ou por </w:t>
      </w:r>
      <w:r>
        <w:rPr>
          <w:rFonts w:ascii="Arial" w:eastAsia="MS Mincho" w:hAnsi="Arial" w:cs="Arial"/>
          <w:sz w:val="24"/>
          <w:szCs w:val="24"/>
          <w:lang w:eastAsia="pt-BR"/>
        </w:rPr>
        <w:lastRenderedPageBreak/>
        <w:t xml:space="preserve">organismo financeiro internacional com recursos do financiamento ou da contrapartida nacional, não poderá participar pessoa física ou jurídica que integre o rol de pessoas sancionadas por essas entidades ou que seja declarada inidônea nos termos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1129BA09"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4.12 A vedação de que trata o item 4.7.10 estende-se a terceiro que auxilie a condução da contratação na qualidade de integrante de equipe de apoio, profissional especializado ou funcionário ou representante de empresa que preste assessoria técnica.</w:t>
      </w:r>
    </w:p>
    <w:p w14:paraId="08D2B53A"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2" w:name="_Toc122606105"/>
      <w:bookmarkStart w:id="43" w:name="_Toc176954833"/>
      <w:r>
        <w:rPr>
          <w:rFonts w:ascii="Arial" w:eastAsia="MS Gothic" w:hAnsi="Arial" w:cs="Arial"/>
          <w:b/>
          <w:bCs/>
          <w:sz w:val="24"/>
          <w:szCs w:val="24"/>
          <w:lang w:eastAsia="pt-BR"/>
        </w:rPr>
        <w:t>5. DA APRESENTAÇÃO DA PROPOSTA</w:t>
      </w:r>
      <w:bookmarkEnd w:id="42"/>
      <w:bookmarkEnd w:id="43"/>
    </w:p>
    <w:p w14:paraId="167F3043" w14:textId="77777777" w:rsidR="00901CDC" w:rsidRDefault="00DD550A">
      <w:pPr>
        <w:spacing w:before="288" w:after="288" w:line="312" w:lineRule="auto"/>
        <w:jc w:val="both"/>
        <w:rPr>
          <w:rFonts w:ascii="Arial" w:hAnsi="Arial" w:cs="Arial"/>
          <w:sz w:val="24"/>
          <w:szCs w:val="24"/>
        </w:rPr>
      </w:pPr>
      <w:bookmarkStart w:id="44" w:name="_Ref113886867"/>
      <w:bookmarkEnd w:id="44"/>
      <w:r>
        <w:rPr>
          <w:rFonts w:ascii="Arial" w:eastAsia="MS Mincho" w:hAnsi="Arial" w:cs="Arial"/>
          <w:sz w:val="24"/>
          <w:szCs w:val="24"/>
          <w:lang w:eastAsia="pt-BR"/>
        </w:rPr>
        <w:t xml:space="preserve">5.1 </w:t>
      </w:r>
      <w:r>
        <w:rPr>
          <w:rFonts w:ascii="Arial" w:hAnsi="Arial" w:cs="Arial"/>
          <w:sz w:val="24"/>
          <w:szCs w:val="24"/>
        </w:rPr>
        <w:t>Os licitantes encaminharão, exclusivamente por meio do Portal de Compras MG, a proposta com o preço ou o percentual de desconto, e se for o caso, a indicação de marca e modelo do objeto ofertado, até a data e o horário estabelecidos para abertura da sessão pública, quando, então, encerrar-se-á automaticamente a etapa de envio dessa documentação.</w:t>
      </w:r>
    </w:p>
    <w:p w14:paraId="286B4B0A" w14:textId="77777777" w:rsidR="00901CDC" w:rsidRDefault="00DD550A">
      <w:pPr>
        <w:pStyle w:val="PargrafodaLista"/>
        <w:widowControl w:val="0"/>
        <w:tabs>
          <w:tab w:val="decimal" w:pos="567"/>
        </w:tabs>
        <w:spacing w:before="120" w:after="120" w:line="312" w:lineRule="auto"/>
        <w:ind w:left="567" w:right="-6"/>
        <w:jc w:val="both"/>
      </w:pPr>
      <w:r>
        <w:t xml:space="preserve">5.1.1 Os licitantes deverão informar obrigatoriamente no sistema: </w:t>
      </w:r>
    </w:p>
    <w:p w14:paraId="372A8A29" w14:textId="77777777" w:rsidR="00901CDC" w:rsidRDefault="00DD550A">
      <w:pPr>
        <w:widowControl w:val="0"/>
        <w:tabs>
          <w:tab w:val="decimal" w:pos="1134"/>
        </w:tabs>
        <w:suppressAutoHyphens w:val="0"/>
        <w:spacing w:before="120" w:after="120" w:line="360" w:lineRule="auto"/>
        <w:ind w:left="1134" w:right="-8"/>
        <w:jc w:val="both"/>
        <w:rPr>
          <w:rFonts w:ascii="Arial" w:eastAsia="Arial" w:hAnsi="Arial" w:cs="Arial"/>
          <w:sz w:val="24"/>
          <w:szCs w:val="24"/>
        </w:rPr>
      </w:pPr>
      <w:r>
        <w:rPr>
          <w:rFonts w:ascii="Arial" w:hAnsi="Arial" w:cs="Arial"/>
          <w:sz w:val="24"/>
          <w:szCs w:val="24"/>
        </w:rPr>
        <w:t xml:space="preserve">5.1.1.1 </w:t>
      </w:r>
      <w:r>
        <w:rPr>
          <w:rFonts w:ascii="Arial" w:eastAsia="Arial" w:hAnsi="Arial" w:cs="Arial"/>
          <w:sz w:val="24"/>
          <w:szCs w:val="24"/>
        </w:rPr>
        <w:t xml:space="preserve">o </w:t>
      </w:r>
      <w:r>
        <w:rPr>
          <w:rFonts w:ascii="Arial" w:eastAsia="Arial" w:hAnsi="Arial" w:cs="Arial"/>
          <w:i/>
          <w:iCs/>
          <w:sz w:val="24"/>
          <w:szCs w:val="24"/>
        </w:rPr>
        <w:t>valor unitário e o valor total</w:t>
      </w:r>
      <w:r>
        <w:rPr>
          <w:rFonts w:ascii="Arial" w:eastAsia="Arial" w:hAnsi="Arial" w:cs="Arial"/>
          <w:sz w:val="24"/>
          <w:szCs w:val="24"/>
        </w:rPr>
        <w:t xml:space="preserve"> ou </w:t>
      </w:r>
      <w:r>
        <w:rPr>
          <w:rFonts w:ascii="Arial" w:eastAsia="Arial" w:hAnsi="Arial" w:cs="Arial"/>
          <w:i/>
          <w:iCs/>
          <w:sz w:val="24"/>
          <w:szCs w:val="24"/>
        </w:rPr>
        <w:t>percentual de desconto</w:t>
      </w:r>
      <w:r>
        <w:rPr>
          <w:rFonts w:ascii="Arial" w:eastAsia="Arial" w:hAnsi="Arial" w:cs="Arial"/>
          <w:sz w:val="24"/>
          <w:szCs w:val="24"/>
        </w:rPr>
        <w:t xml:space="preserve"> de cada lote;</w:t>
      </w:r>
    </w:p>
    <w:p w14:paraId="76032454" w14:textId="77777777" w:rsidR="00901CDC" w:rsidRDefault="00DD550A">
      <w:pPr>
        <w:widowControl w:val="0"/>
        <w:tabs>
          <w:tab w:val="decimal" w:pos="1134"/>
        </w:tabs>
        <w:suppressAutoHyphens w:val="0"/>
        <w:spacing w:before="120" w:after="120" w:line="360" w:lineRule="auto"/>
        <w:ind w:left="1134" w:right="-8"/>
        <w:jc w:val="both"/>
        <w:rPr>
          <w:rFonts w:ascii="Arial" w:eastAsia="Arial" w:hAnsi="Arial" w:cs="Arial"/>
          <w:sz w:val="24"/>
          <w:szCs w:val="24"/>
        </w:rPr>
      </w:pPr>
      <w:r>
        <w:rPr>
          <w:rFonts w:ascii="Arial" w:eastAsia="Arial" w:hAnsi="Arial" w:cs="Arial"/>
          <w:sz w:val="24"/>
          <w:szCs w:val="24"/>
        </w:rPr>
        <w:t>5.1.1.2 quantidade cotada;</w:t>
      </w:r>
    </w:p>
    <w:p w14:paraId="719597C2" w14:textId="77777777" w:rsidR="00901CDC" w:rsidRDefault="00DD550A">
      <w:pPr>
        <w:pStyle w:val="PargrafodaLista"/>
        <w:widowControl w:val="0"/>
        <w:tabs>
          <w:tab w:val="decimal" w:pos="567"/>
        </w:tabs>
        <w:suppressAutoHyphens w:val="0"/>
        <w:spacing w:before="120" w:after="120" w:line="312" w:lineRule="auto"/>
        <w:ind w:left="1134" w:right="-6"/>
        <w:jc w:val="both"/>
        <w:rPr>
          <w:rFonts w:eastAsia="Arial"/>
        </w:rPr>
      </w:pPr>
      <w:r>
        <w:t>5.1.1.3 a marca</w:t>
      </w:r>
    </w:p>
    <w:p w14:paraId="12EBE763" w14:textId="77777777" w:rsidR="00901CDC" w:rsidRDefault="00DD550A">
      <w:pPr>
        <w:pStyle w:val="PargrafodaLista"/>
        <w:widowControl w:val="0"/>
        <w:tabs>
          <w:tab w:val="decimal" w:pos="567"/>
        </w:tabs>
        <w:spacing w:before="120" w:after="120" w:line="312" w:lineRule="auto"/>
        <w:ind w:left="567" w:right="-6"/>
        <w:jc w:val="both"/>
      </w:pPr>
      <w:r>
        <w:t>5.1.2 Os licitantes poderão retirar ou substituir a proposta anteriormente inserida no sistema até a abertura da sessão pública.</w:t>
      </w:r>
    </w:p>
    <w:p w14:paraId="7F1888D1" w14:textId="5033A44A" w:rsidR="00901CDC" w:rsidRDefault="00DD550A">
      <w:pPr>
        <w:spacing w:before="288" w:after="288" w:line="312" w:lineRule="auto"/>
        <w:jc w:val="both"/>
        <w:rPr>
          <w:rFonts w:ascii="Arial" w:eastAsia="MS Mincho" w:hAnsi="Arial" w:cs="Arial"/>
          <w:sz w:val="24"/>
          <w:szCs w:val="24"/>
          <w:lang w:eastAsia="pt-BR"/>
        </w:rPr>
      </w:pPr>
      <w:bookmarkStart w:id="45" w:name="_Ref1138868671"/>
      <w:bookmarkEnd w:id="45"/>
      <w:r w:rsidRPr="00F51790">
        <w:rPr>
          <w:rFonts w:ascii="Arial" w:eastAsia="MS Mincho" w:hAnsi="Arial" w:cs="Arial"/>
          <w:sz w:val="24"/>
          <w:szCs w:val="24"/>
          <w:lang w:eastAsia="pt-BR"/>
        </w:rPr>
        <w:t xml:space="preserve">5.2 </w:t>
      </w:r>
      <w:r w:rsidR="00DB1E23" w:rsidRPr="00F51790">
        <w:rPr>
          <w:rFonts w:ascii="Arial" w:eastAsia="MS Mincho" w:hAnsi="Arial"/>
          <w:sz w:val="24"/>
          <w:szCs w:val="24"/>
          <w:lang w:eastAsia="pt-BR"/>
        </w:rPr>
        <w:t>O licitante classificado provisoriamente em primeiro lugar deverá, quando do envio da proposta ajustada, declarar por meio do modelo constante no Anexo VI deste Edital</w:t>
      </w:r>
      <w:r w:rsidRPr="00F51790">
        <w:rPr>
          <w:rFonts w:ascii="Arial" w:eastAsia="MS Mincho" w:hAnsi="Arial" w:cs="Arial"/>
          <w:sz w:val="24"/>
          <w:szCs w:val="24"/>
          <w:lang w:eastAsia="pt-BR"/>
        </w:rPr>
        <w:t>:</w:t>
      </w:r>
    </w:p>
    <w:p w14:paraId="6B45C18B"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5.2.1 que manifesta ciência em relação ao inteiro teor do ato convocatório e dos seus anexos, concorda com suas condições, declara que a sua proposta econômica compreenderá a integralidade dos custos, nos termos do art. 63, §1º,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para atendimento dos direitos trabalhistas assegurados na Constituição Federal de 1988, nas leis trabalhistas, nas normas </w:t>
      </w:r>
      <w:r>
        <w:rPr>
          <w:rFonts w:ascii="Arial" w:eastAsia="MS Mincho" w:hAnsi="Arial" w:cs="Arial"/>
          <w:sz w:val="24"/>
          <w:szCs w:val="24"/>
          <w:lang w:eastAsia="pt-BR"/>
        </w:rPr>
        <w:lastRenderedPageBreak/>
        <w:t>infralegais, nas convenções coletivas de trabalho e nos termos de ajustamento de conduta vigentes na data da sua entrega em definitivo;</w:t>
      </w:r>
    </w:p>
    <w:p w14:paraId="6E1EE901"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5.2.2 que inexiste impedimento à sua habilitação, e comunicará a superveniência de ocorrência impeditiva ao órgão ou entidade Contratante;</w:t>
      </w:r>
    </w:p>
    <w:p w14:paraId="32DDC0C7"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5.2.3 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00395E0D"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5.2.4 que cumpre as exigências de reserva de cargos para pessoa com deficiência e para reabilitação da Previdência Social, previstas em lei nos termos do art. 93 da Lei Federal nº 8.213, de 1991 e em outras normas específicas, conforme previsto no inciso IV do art. 63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w:t>
      </w:r>
    </w:p>
    <w:p w14:paraId="33D9BE56"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5.2.5 que se responsabiliza pelas transações que forem efetuadas no sistema em seu nome, assumindo-as como firmes e verdadeiras;</w:t>
      </w:r>
    </w:p>
    <w:p w14:paraId="4367CA20"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5.2.6 No caso de fornecedor beneficiário (ME/EPP/Equiparadas) indicado no caput do art. 3º do Decreto Estadual nº 47.437, de 2018, também deverá ser declarado:</w:t>
      </w:r>
    </w:p>
    <w:p w14:paraId="7FC21087"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 xml:space="preserve">5.2.6.1 que cumpre os requisitos estabelecidos no artigo 3º da Lei Complementar Federal nº 123, de 2006, estando apto a usufruir do tratamento favorecido estabelecido em seus artigos 42 a 49, observado o disposto nos §§ 1º ao 3º do art. 4º,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53010241"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5.2.6.2 que caso possua restrição no(s) documento(s) de regularidade fiscal, assume o compromisso de promover a regularização caso venha a formular o lance vencedor, cumprindo plenamente os demais requisitos de habilitação.</w:t>
      </w:r>
    </w:p>
    <w:p w14:paraId="68C05127"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5.2.7 No caso de profissionais organizados sob a forma de cooperativa:</w:t>
      </w:r>
    </w:p>
    <w:p w14:paraId="34F62155"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 xml:space="preserve">5.2.7.1 Que participa da licitação sob a forma de cooperativa e atende ao disposto no art. 16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6A9F3D14" w14:textId="36AE7A63" w:rsidR="00DB1E23" w:rsidRDefault="00DB1E23" w:rsidP="00DB1E23">
      <w:pPr>
        <w:pStyle w:val="itemnivel3"/>
        <w:tabs>
          <w:tab w:val="decimal" w:pos="720"/>
          <w:tab w:val="left" w:pos="1134"/>
        </w:tabs>
        <w:suppressAutoHyphens/>
        <w:spacing w:before="120" w:beforeAutospacing="0" w:after="120" w:afterAutospacing="0" w:line="360" w:lineRule="auto"/>
        <w:ind w:right="-6"/>
        <w:jc w:val="both"/>
        <w:rPr>
          <w:rFonts w:ascii="Arial" w:eastAsia="Arial" w:hAnsi="Arial" w:cs="Arial"/>
        </w:rPr>
      </w:pPr>
      <w:r w:rsidRPr="00530716">
        <w:rPr>
          <w:rFonts w:ascii="Arial" w:eastAsia="Arial" w:hAnsi="Arial" w:cs="Arial"/>
        </w:rPr>
        <w:lastRenderedPageBreak/>
        <w:t>5.2.8 ciência em relação a todas as informações e condições locais para o cumprimento das obrigações objeto da licitação, se prevista a possibilidade de vistoria técnica no campo 7 do Termo de Referência (anexo V do Edital);</w:t>
      </w:r>
    </w:p>
    <w:p w14:paraId="782C7B04" w14:textId="77777777" w:rsidR="00DB1E23" w:rsidRPr="00F51790" w:rsidRDefault="00DB1E23" w:rsidP="00DB1E23">
      <w:pPr>
        <w:spacing w:before="288" w:after="288" w:line="312" w:lineRule="auto"/>
        <w:jc w:val="both"/>
        <w:rPr>
          <w:rFonts w:ascii="Arial" w:eastAsia="MS Mincho" w:hAnsi="Arial"/>
          <w:sz w:val="24"/>
          <w:szCs w:val="24"/>
          <w:lang w:eastAsia="pt-BR"/>
        </w:rPr>
      </w:pPr>
      <w:r w:rsidRPr="00F51790">
        <w:rPr>
          <w:rFonts w:ascii="Arial" w:eastAsia="MS Mincho" w:hAnsi="Arial"/>
          <w:sz w:val="24"/>
          <w:szCs w:val="24"/>
          <w:lang w:eastAsia="pt-BR"/>
        </w:rPr>
        <w:t xml:space="preserve">5.2.9 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Bem como que </w:t>
      </w:r>
      <w:r w:rsidRPr="00F51790">
        <w:rPr>
          <w:rFonts w:ascii="Arial" w:eastAsia="SimSun" w:hAnsi="Arial"/>
          <w:sz w:val="24"/>
          <w:szCs w:val="24"/>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F51790">
        <w:rPr>
          <w:rFonts w:ascii="Arial" w:eastAsia="Aptos" w:hAnsi="Arial"/>
          <w:sz w:val="24"/>
          <w:szCs w:val="24"/>
        </w:rPr>
        <w:t>§</w:t>
      </w:r>
      <w:r w:rsidRPr="00F51790">
        <w:rPr>
          <w:rFonts w:ascii="Arial" w:eastAsia="SimSun" w:hAnsi="Arial"/>
          <w:sz w:val="24"/>
          <w:szCs w:val="24"/>
          <w:lang w:eastAsia="hi-IN" w:bidi="hi-IN"/>
        </w:rPr>
        <w:t xml:space="preserve"> único, da </w:t>
      </w:r>
      <w:r w:rsidRPr="00F51790">
        <w:rPr>
          <w:rFonts w:ascii="Arial" w:eastAsia="MS Mincho" w:hAnsi="Arial"/>
          <w:sz w:val="24"/>
          <w:szCs w:val="24"/>
          <w:lang w:eastAsia="pt-BR"/>
        </w:rPr>
        <w:t>Lei Federal nº 14.133/21</w:t>
      </w:r>
      <w:r w:rsidRPr="00F51790">
        <w:rPr>
          <w:rFonts w:ascii="Arial" w:eastAsia="SimSun" w:hAnsi="Arial"/>
          <w:sz w:val="24"/>
          <w:szCs w:val="24"/>
          <w:lang w:eastAsia="hi-IN" w:bidi="hi-IN"/>
        </w:rPr>
        <w:t>).</w:t>
      </w:r>
    </w:p>
    <w:p w14:paraId="61697D63" w14:textId="77777777" w:rsidR="00901CDC" w:rsidRDefault="00DD550A">
      <w:pPr>
        <w:spacing w:before="288" w:after="288" w:line="312" w:lineRule="auto"/>
        <w:jc w:val="both"/>
        <w:rPr>
          <w:rFonts w:ascii="Arial" w:eastAsia="MS Mincho" w:hAnsi="Arial" w:cs="Arial"/>
          <w:sz w:val="24"/>
          <w:szCs w:val="24"/>
          <w:lang w:eastAsia="pt-BR"/>
        </w:rPr>
      </w:pPr>
      <w:r w:rsidRPr="00F51790">
        <w:rPr>
          <w:rFonts w:ascii="Arial" w:eastAsia="MS Mincho" w:hAnsi="Arial" w:cs="Arial"/>
          <w:sz w:val="24"/>
          <w:szCs w:val="24"/>
          <w:lang w:eastAsia="pt-BR"/>
        </w:rPr>
        <w:t>5.3 A falsidade das declarações mencionadas no item anterior</w:t>
      </w:r>
      <w:r>
        <w:rPr>
          <w:rFonts w:ascii="Arial" w:eastAsia="MS Mincho" w:hAnsi="Arial" w:cs="Arial"/>
          <w:sz w:val="24"/>
          <w:szCs w:val="24"/>
          <w:lang w:eastAsia="pt-BR"/>
        </w:rPr>
        <w:t xml:space="preserve"> sujeitará o licitante às sanções dispostas no art. 156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sem prejuízo de outras penalidades aplicáveis.</w:t>
      </w:r>
    </w:p>
    <w:p w14:paraId="26FC320E" w14:textId="77777777" w:rsidR="00901CDC" w:rsidRDefault="00DD550A">
      <w:pPr>
        <w:spacing w:line="312" w:lineRule="auto"/>
        <w:jc w:val="both"/>
        <w:rPr>
          <w:rFonts w:ascii="Arial" w:eastAsia="MS Mincho" w:hAnsi="Arial" w:cs="Arial"/>
          <w:sz w:val="24"/>
          <w:szCs w:val="24"/>
          <w:lang w:eastAsia="pt-BR"/>
        </w:rPr>
      </w:pPr>
      <w:r>
        <w:rPr>
          <w:rFonts w:ascii="Arial" w:eastAsia="MS Mincho" w:hAnsi="Arial" w:cs="Arial"/>
          <w:sz w:val="24"/>
          <w:szCs w:val="24"/>
          <w:lang w:eastAsia="pt-BR"/>
        </w:rPr>
        <w:t>5.4 As informações da(s) proposta(s) comercial(</w:t>
      </w:r>
      <w:proofErr w:type="spellStart"/>
      <w:r>
        <w:rPr>
          <w:rFonts w:ascii="Arial" w:eastAsia="MS Mincho" w:hAnsi="Arial" w:cs="Arial"/>
          <w:sz w:val="24"/>
          <w:szCs w:val="24"/>
          <w:lang w:eastAsia="pt-BR"/>
        </w:rPr>
        <w:t>is</w:t>
      </w:r>
      <w:proofErr w:type="spellEnd"/>
      <w:r>
        <w:rPr>
          <w:rFonts w:ascii="Arial" w:eastAsia="MS Mincho" w:hAnsi="Arial" w:cs="Arial"/>
          <w:sz w:val="24"/>
          <w:szCs w:val="24"/>
          <w:lang w:eastAsia="pt-BR"/>
        </w:rPr>
        <w:t>) encaminhada(s) pelo sistema podem ser alteradas pelo fornecedor até a data e horário marcados para a abertura da sessão.</w:t>
      </w:r>
      <w:bookmarkStart w:id="46" w:name="_Ref113889589"/>
      <w:bookmarkEnd w:id="46"/>
    </w:p>
    <w:p w14:paraId="34191CED"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5.5 Não haverá ordem de classificação na etapa de apresentação da proposta, o que ocorrerá somente após os procedimentos de abertura da sessão pública e da fase de envio de lances.</w:t>
      </w:r>
    </w:p>
    <w:p w14:paraId="427781C5" w14:textId="77777777" w:rsidR="00901CDC" w:rsidRDefault="00DD550A">
      <w:pPr>
        <w:spacing w:before="288" w:after="288"/>
        <w:rPr>
          <w:rFonts w:ascii="Arial" w:eastAsia="MS Mincho" w:hAnsi="Arial" w:cs="Arial"/>
          <w:sz w:val="24"/>
          <w:szCs w:val="24"/>
          <w:lang w:eastAsia="pt-BR"/>
        </w:rPr>
      </w:pPr>
      <w:r>
        <w:rPr>
          <w:rFonts w:ascii="Arial" w:eastAsia="MS Mincho" w:hAnsi="Arial" w:cs="Arial"/>
          <w:sz w:val="24"/>
          <w:szCs w:val="24"/>
          <w:lang w:eastAsia="pt-BR"/>
        </w:rPr>
        <w:t>5.6 Todas as especificações do objeto contidas na proposta vinculam o licitante.</w:t>
      </w:r>
    </w:p>
    <w:p w14:paraId="7DBA3BF4"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5.6.1 O licitante não poderá oferecer proposta em quantitativo inferior ao máximo previsto para a contratação.</w:t>
      </w:r>
    </w:p>
    <w:p w14:paraId="6C9AF43A"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5.7 Nos valores propostos estarão inclusos todos os custos operacionais, encargos previdenciários, trabalhistas, tributários, comerciais e quaisquer outros que incidam direta ou indiretamente na execução do objeto.</w:t>
      </w:r>
    </w:p>
    <w:p w14:paraId="0F984730" w14:textId="77777777" w:rsidR="00901CDC" w:rsidRDefault="00DD550A">
      <w:pPr>
        <w:spacing w:before="240" w:after="120" w:line="312" w:lineRule="auto"/>
        <w:jc w:val="both"/>
        <w:rPr>
          <w:rFonts w:ascii="Arial" w:eastAsia="MS Mincho" w:hAnsi="Arial" w:cs="Arial"/>
          <w:sz w:val="24"/>
          <w:szCs w:val="24"/>
          <w:lang w:eastAsia="pt-BR"/>
        </w:rPr>
      </w:pPr>
      <w:r>
        <w:rPr>
          <w:rFonts w:ascii="Arial" w:eastAsia="MS Mincho" w:hAnsi="Arial" w:cs="Arial"/>
          <w:sz w:val="24"/>
          <w:szCs w:val="24"/>
          <w:lang w:eastAsia="pt-BR"/>
        </w:rPr>
        <w:t>5.8 Ficam isentos do ICMS os fornecedores aos quais se refere o Decreto Estadual nº 43.080/02.</w:t>
      </w:r>
    </w:p>
    <w:p w14:paraId="5FEFC87D" w14:textId="77777777" w:rsidR="00901CDC" w:rsidRDefault="00DD550A">
      <w:pPr>
        <w:spacing w:before="120"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5.8.1 Para os fornecedores retromencionados, com exceção das microempresas ou empresas de pequeno porte optantes pelo regime do Simples Nacional, a classificação e o julgamento das propostas, bem como a etapa de lances, serão realizados a partir dos preços com a dedução do ICMS.</w:t>
      </w:r>
    </w:p>
    <w:p w14:paraId="0CEB4B44"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5.8.2 As microempresas ou empresas de pequeno porte optantes pelo regime do Simples Nacional deverão anexar em suas propostas comerciais a ficha de inscrição estadual da qual conste tal informação, podendo o pregoeiro, na sua falta, consultar a opção por este regime no sítio eletrônico da Receita Federal.</w:t>
      </w:r>
    </w:p>
    <w:p w14:paraId="39B319BD"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5.9 Os preços ofertados, tanto na proposta inicial, quanto na etapa de lances, serão de exclusiva responsabilidade do licitante.</w:t>
      </w:r>
    </w:p>
    <w:p w14:paraId="26EF3DAE"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5.10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e/ou prestar o serviço em quantidades e qualidades adequadas à perfeita execução contratual, promovendo, quando requerido, sua substituição.</w:t>
      </w:r>
    </w:p>
    <w:p w14:paraId="431E03C5"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5.11 O prazo de validade da proposta não será inferior a </w:t>
      </w:r>
      <w:r>
        <w:rPr>
          <w:rFonts w:ascii="Arial" w:eastAsia="MS Mincho" w:hAnsi="Arial" w:cs="Arial"/>
          <w:b/>
          <w:bCs/>
          <w:sz w:val="24"/>
          <w:szCs w:val="24"/>
          <w:lang w:eastAsia="pt-BR"/>
        </w:rPr>
        <w:t>60 (sessenta)</w:t>
      </w:r>
      <w:r>
        <w:rPr>
          <w:rFonts w:ascii="Arial" w:eastAsia="MS Mincho" w:hAnsi="Arial" w:cs="Arial"/>
          <w:sz w:val="24"/>
          <w:szCs w:val="24"/>
          <w:lang w:eastAsia="pt-BR"/>
        </w:rPr>
        <w:t xml:space="preserve"> dias</w:t>
      </w:r>
      <w:r>
        <w:rPr>
          <w:rFonts w:ascii="Arial" w:eastAsia="MS Mincho" w:hAnsi="Arial" w:cs="Arial"/>
          <w:b/>
          <w:bCs/>
          <w:sz w:val="24"/>
          <w:szCs w:val="24"/>
          <w:lang w:eastAsia="pt-BR"/>
        </w:rPr>
        <w:t>,</w:t>
      </w:r>
      <w:r>
        <w:rPr>
          <w:rFonts w:ascii="Arial" w:eastAsia="MS Mincho" w:hAnsi="Arial" w:cs="Arial"/>
          <w:sz w:val="24"/>
          <w:szCs w:val="24"/>
          <w:lang w:eastAsia="pt-BR"/>
        </w:rPr>
        <w:t xml:space="preserve"> a contar da data de sua apresentação.</w:t>
      </w:r>
    </w:p>
    <w:p w14:paraId="718361F3"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5.12 Os licitantes devem respeitar os preços de referência total e unitários estabelecidos pelo mapa de preços elaborado pelo órgão, os quais poderão permanecer sigilosos.</w:t>
      </w:r>
    </w:p>
    <w:p w14:paraId="585188C2"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5.13 O descumprimento das regras supramencionadas pela Administração por parte dos contratados pode ensejar a responsabilização pelo Tribunal de Contas do Estado – TCE.</w:t>
      </w:r>
    </w:p>
    <w:p w14:paraId="4AF86074"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5.14 </w:t>
      </w:r>
      <w:r>
        <w:rPr>
          <w:rFonts w:ascii="Arial" w:eastAsia="Arial" w:hAnsi="Arial" w:cs="Arial"/>
          <w:sz w:val="24"/>
          <w:szCs w:val="24"/>
        </w:rPr>
        <w:t>Serão disponibilizados para acesso público os documentos que compõem a proposta cuja verificação de conformidade foi realizada pelo pregoeiro, depois de definido o resultado do julgamento das propostas.</w:t>
      </w:r>
    </w:p>
    <w:p w14:paraId="35992426" w14:textId="77777777" w:rsidR="00901CDC" w:rsidRDefault="00DD550A">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5.15 Caberá ao licitante interessado em participar da licitação </w:t>
      </w:r>
      <w:r>
        <w:rPr>
          <w:rFonts w:ascii="Arial" w:eastAsia="MS Mincho" w:hAnsi="Arial" w:cs="Arial"/>
          <w:sz w:val="24"/>
          <w:szCs w:val="24"/>
          <w:lang w:eastAsia="pt-BR"/>
        </w:rPr>
        <w:t>acompanhar as operações no sistema eletrônico durante o processo licitatório e se responsabilizar pelo ônus decorrente da perda de negócios diante da inobservância de mensagens emitidas pela Administração ou de sua desconexão.</w:t>
      </w:r>
    </w:p>
    <w:p w14:paraId="4F0C8FC2" w14:textId="77777777" w:rsidR="00901CDC" w:rsidRDefault="00DD550A">
      <w:pPr>
        <w:spacing w:before="288" w:after="288" w:line="312" w:lineRule="auto"/>
        <w:jc w:val="both"/>
        <w:rPr>
          <w:rFonts w:ascii="Arial" w:eastAsia="MS Gothic" w:hAnsi="Arial" w:cs="Arial"/>
          <w:b/>
          <w:bCs/>
          <w:sz w:val="24"/>
          <w:szCs w:val="24"/>
          <w:lang w:eastAsia="pt-BR"/>
        </w:rPr>
      </w:pPr>
      <w:r>
        <w:rPr>
          <w:rFonts w:ascii="Arial" w:eastAsia="Times New Roman" w:hAnsi="Arial" w:cs="Arial"/>
          <w:sz w:val="24"/>
          <w:szCs w:val="24"/>
          <w:lang w:eastAsia="pt-BR"/>
        </w:rPr>
        <w:t xml:space="preserve">5.16 O licitante deverá </w:t>
      </w:r>
      <w:r>
        <w:rPr>
          <w:rFonts w:ascii="Arial" w:eastAsia="MS Mincho" w:hAnsi="Arial" w:cs="Arial"/>
          <w:sz w:val="24"/>
          <w:szCs w:val="24"/>
          <w:lang w:eastAsia="pt-BR"/>
        </w:rPr>
        <w:t>comunicar imediatamente ao provedor do sistema qualquer acontecimento que possa comprometer o sigilo ou a segurança, para imediato bloqueio de acesso.</w:t>
      </w:r>
      <w:r>
        <w:rPr>
          <w:rFonts w:ascii="Arial" w:eastAsia="MS Gothic" w:hAnsi="Arial" w:cs="Arial"/>
          <w:b/>
          <w:bCs/>
          <w:sz w:val="24"/>
          <w:szCs w:val="24"/>
          <w:lang w:eastAsia="pt-BR"/>
        </w:rPr>
        <w:t xml:space="preserve"> </w:t>
      </w:r>
    </w:p>
    <w:p w14:paraId="2FF3EA08"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47" w:name="_Toc122606107"/>
      <w:bookmarkStart w:id="48" w:name="_Toc176954834"/>
      <w:r>
        <w:rPr>
          <w:rFonts w:ascii="Arial" w:eastAsia="MS Gothic" w:hAnsi="Arial" w:cs="Arial"/>
          <w:b/>
          <w:bCs/>
          <w:sz w:val="24"/>
          <w:szCs w:val="24"/>
          <w:lang w:eastAsia="pt-BR"/>
        </w:rPr>
        <w:t>6. DA ABERTURA DA SESSÃO E DA ETAPA DE LANCES</w:t>
      </w:r>
      <w:bookmarkEnd w:id="47"/>
      <w:bookmarkEnd w:id="48"/>
    </w:p>
    <w:p w14:paraId="3B66059B"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6.1 A abertura da presente licitação dar-se-á pelo pregoeiro em sessão pública, por meio de sistema eletrônico, na data e horário indicados neste Edital. </w:t>
      </w:r>
    </w:p>
    <w:p w14:paraId="53F1D6D6"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6.2 O sistema disponibilizará campo próprio para troca de mensagens entre o pregoeiro e os licitantes, vedada outra forma de comunicação.</w:t>
      </w:r>
    </w:p>
    <w:p w14:paraId="7FCBAD2D"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6.3 Iniciada a etapa competitiva, os licitantes deverão encaminhar lances exclusivamente por meio de sistema eletrônico, sendo imediatamente informados do seu recebimento e do valor consignado no registro. </w:t>
      </w:r>
    </w:p>
    <w:p w14:paraId="43BF8498"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ab/>
        <w:t xml:space="preserve">6.3.1 Os preços ofertados, tanto na fase do lançamento da proposta no sistema, quanto na sessão de lances, serão de exclusiva responsabilidade do fornecedor e deverão ser apresentados em moeda corrente nacional, em algarismos com duas casas decimais após a vírgula. </w:t>
      </w:r>
    </w:p>
    <w:p w14:paraId="254E8EC4"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6.4 O licitante somente poderá oferecer lance </w:t>
      </w:r>
      <w:r>
        <w:rPr>
          <w:rFonts w:ascii="Arial" w:eastAsia="MS Mincho" w:hAnsi="Arial" w:cs="Arial"/>
          <w:i/>
          <w:iCs/>
          <w:sz w:val="24"/>
          <w:szCs w:val="24"/>
          <w:lang w:eastAsia="pt-BR"/>
        </w:rPr>
        <w:t>de valor</w:t>
      </w:r>
      <w:r>
        <w:rPr>
          <w:rFonts w:ascii="Arial" w:eastAsia="MS Mincho" w:hAnsi="Arial" w:cs="Arial"/>
          <w:sz w:val="24"/>
          <w:szCs w:val="24"/>
          <w:lang w:eastAsia="pt-BR"/>
        </w:rPr>
        <w:t xml:space="preserve"> </w:t>
      </w:r>
      <w:r>
        <w:rPr>
          <w:rFonts w:ascii="Arial" w:eastAsia="MS Mincho" w:hAnsi="Arial" w:cs="Arial"/>
          <w:i/>
          <w:iCs/>
          <w:sz w:val="24"/>
          <w:szCs w:val="24"/>
          <w:lang w:eastAsia="pt-BR"/>
        </w:rPr>
        <w:t>inferior</w:t>
      </w:r>
      <w:r>
        <w:rPr>
          <w:rFonts w:ascii="Arial" w:eastAsia="MS Mincho" w:hAnsi="Arial" w:cs="Arial"/>
          <w:sz w:val="24"/>
          <w:szCs w:val="24"/>
          <w:lang w:eastAsia="pt-BR"/>
        </w:rPr>
        <w:t xml:space="preserve"> </w:t>
      </w:r>
      <w:r>
        <w:rPr>
          <w:rFonts w:ascii="Arial" w:eastAsia="MS Mincho" w:hAnsi="Arial" w:cs="Arial"/>
          <w:i/>
          <w:iCs/>
          <w:sz w:val="24"/>
          <w:szCs w:val="24"/>
          <w:lang w:eastAsia="pt-BR"/>
        </w:rPr>
        <w:t>ou percentual de desconto superior</w:t>
      </w:r>
      <w:r>
        <w:rPr>
          <w:rFonts w:ascii="Arial" w:eastAsia="MS Mincho" w:hAnsi="Arial" w:cs="Arial"/>
          <w:sz w:val="24"/>
          <w:szCs w:val="24"/>
          <w:lang w:eastAsia="pt-BR"/>
        </w:rPr>
        <w:t xml:space="preserve"> ao último por ele ofertado e registrado pelo sistema. </w:t>
      </w:r>
    </w:p>
    <w:p w14:paraId="51C7BCFC"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6.5 O intervalo mínimo de diferença de valores ou percentuais entre os lances, que incidirá tanto em relação aos lances intermediários quanto em relação à proposta que cobrir a melhor oferta deverá ser de R$ 0,01 (um centavo) ou 0,01% (um centésimo por cento), de acordo com o critério de julgamento adotado.</w:t>
      </w:r>
    </w:p>
    <w:p w14:paraId="76A9E9D5"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6.6 Os licitantes apresentarão lances públicos e sucessivos, com lance final e fechado. </w:t>
      </w:r>
    </w:p>
    <w:p w14:paraId="6F7C8BDC"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6.6.1 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80E5DF3"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6.6.2 Encerrado o prazo previsto no subitem anterior, o sistema abrirá oportunidade para que o autor da oferta de valor mais baixo ou maior percentual de desconto e os das ofertas com preços até 10% (dez por cento) superiores ou inferiores àquela, conforme o critério adotado, possam ofertar um lance final e fechado em até cinco minutos, o qual será sigiloso até o encerramento deste prazo.</w:t>
      </w:r>
    </w:p>
    <w:p w14:paraId="7A3703D2"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6.6.3 No procedimento de que trata o subitem supra, o licitante poderá optar por manter o seu último lance da etapa aberta, ou por ofertar melhor lance.</w:t>
      </w:r>
    </w:p>
    <w:p w14:paraId="2B9A999C"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6.6.4 </w:t>
      </w:r>
      <w:r>
        <w:rPr>
          <w:rFonts w:ascii="Arial" w:hAnsi="Arial" w:cs="Arial"/>
          <w:sz w:val="24"/>
          <w:szCs w:val="24"/>
        </w:rPr>
        <w:t>Na hipótese de haver duas ou menos propostas nas condições de que trata o subitem 6.6.2, serão convocados, na ordem de classificação, os autores dos três melhores lances subsequentes para oferecer um lance final e fechado nas mesmas circunstâncias.</w:t>
      </w:r>
      <w:r>
        <w:rPr>
          <w:rFonts w:ascii="Arial" w:eastAsia="MS Mincho" w:hAnsi="Arial" w:cs="Arial"/>
          <w:sz w:val="24"/>
          <w:szCs w:val="24"/>
          <w:lang w:eastAsia="pt-BR"/>
        </w:rPr>
        <w:t xml:space="preserve"> </w:t>
      </w:r>
    </w:p>
    <w:p w14:paraId="6503B522" w14:textId="77777777" w:rsidR="00901CDC" w:rsidRDefault="00DD550A">
      <w:pPr>
        <w:spacing w:before="288" w:after="288" w:line="312" w:lineRule="auto"/>
        <w:ind w:left="567"/>
        <w:jc w:val="both"/>
        <w:rPr>
          <w:rFonts w:ascii="Arial" w:hAnsi="Arial" w:cs="Arial"/>
          <w:sz w:val="24"/>
          <w:szCs w:val="24"/>
          <w:highlight w:val="white"/>
        </w:rPr>
      </w:pPr>
      <w:r>
        <w:rPr>
          <w:rFonts w:ascii="Arial" w:eastAsia="MS Mincho" w:hAnsi="Arial" w:cs="Arial"/>
          <w:sz w:val="24"/>
          <w:szCs w:val="24"/>
          <w:lang w:eastAsia="pt-BR"/>
        </w:rPr>
        <w:t xml:space="preserve">6.6.5 Após o término dos prazos estabelecidos nos itens anteriores, o sistema ordenará e divulgará os lances </w:t>
      </w:r>
      <w:r>
        <w:rPr>
          <w:rFonts w:ascii="Arial" w:hAnsi="Arial" w:cs="Arial"/>
          <w:sz w:val="24"/>
          <w:szCs w:val="24"/>
          <w:shd w:val="clear" w:color="auto" w:fill="FFFFFF"/>
        </w:rPr>
        <w:t xml:space="preserve">da seguinte forma: </w:t>
      </w:r>
    </w:p>
    <w:p w14:paraId="5A48D3C8"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6.6.5.1 ordem crescente, quando adotado o critério de julgamento por menor preço;</w:t>
      </w:r>
    </w:p>
    <w:p w14:paraId="36F19837"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6.6.5.2 ordem decrescente, quando adotado o critério de julgamento por maior desconto.</w:t>
      </w:r>
      <w:bookmarkStart w:id="49" w:name="_Hlk113698144"/>
      <w:bookmarkEnd w:id="49"/>
    </w:p>
    <w:p w14:paraId="6D6959C8"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6.7 Durante o transcurso da sessão pública, os licitantes serão informados, em tempo real, do valor do melhor lance registrado, vedada a identificação do licitante. </w:t>
      </w:r>
    </w:p>
    <w:p w14:paraId="7DA64BC2"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6.8 </w:t>
      </w:r>
      <w:r>
        <w:rPr>
          <w:rFonts w:ascii="Arial" w:hAnsi="Arial" w:cs="Arial"/>
          <w:sz w:val="24"/>
          <w:szCs w:val="24"/>
        </w:rPr>
        <w:t>Na hipótese de o sistema eletrônico se desconectar no decorrer da etapa de envio de lances da sessão pública e permanecer acessível aos licitantes, os lances continuarão sendo recebidos, sem prejuízo dos atos realizados.</w:t>
      </w:r>
    </w:p>
    <w:p w14:paraId="6FB5464A"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6.9 </w:t>
      </w:r>
      <w:r>
        <w:rPr>
          <w:rFonts w:ascii="Arial" w:hAnsi="Arial" w:cs="Arial"/>
          <w:sz w:val="24"/>
          <w:szCs w:val="24"/>
          <w:shd w:val="clear" w:color="auto" w:fill="FFFFFF"/>
        </w:rPr>
        <w:t>Quando a desconexão do sistema eletrônico persistir por tempo superior a 10 minutos para o órgão ou para a entidade promotora da licitação, a sessão pública será suspensa, após a finalização do envio dos lances, e reiniciada somente decorridas 24 horas após a comunicação do fato aos participantes no sítio eletrônico utilizado para divulgação.</w:t>
      </w:r>
    </w:p>
    <w:p w14:paraId="1856659E"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6.10 Caso o licitante não apresente lances, concorrerá com o valor de sua proposta.</w:t>
      </w:r>
    </w:p>
    <w:p w14:paraId="4585250E"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0" w:name="art60%25C2%25A71iv"/>
      <w:bookmarkStart w:id="51" w:name="art60%25C2%25A71iii"/>
      <w:bookmarkStart w:id="52" w:name="art60%25C2%25A71ii"/>
      <w:bookmarkStart w:id="53" w:name="art60%25C2%25A71i"/>
      <w:bookmarkStart w:id="54" w:name="_Toc122606108"/>
      <w:bookmarkStart w:id="55" w:name="_Toc176954835"/>
      <w:bookmarkEnd w:id="50"/>
      <w:bookmarkEnd w:id="51"/>
      <w:bookmarkEnd w:id="52"/>
      <w:bookmarkEnd w:id="53"/>
      <w:r>
        <w:rPr>
          <w:rFonts w:ascii="Arial" w:eastAsia="MS Gothic" w:hAnsi="Arial" w:cs="Arial"/>
          <w:b/>
          <w:bCs/>
          <w:sz w:val="24"/>
          <w:szCs w:val="24"/>
          <w:lang w:eastAsia="pt-BR"/>
        </w:rPr>
        <w:t>7. DA FASE DE JULGAMENTO</w:t>
      </w:r>
      <w:bookmarkEnd w:id="54"/>
      <w:bookmarkEnd w:id="55"/>
    </w:p>
    <w:p w14:paraId="1FEB6EF1" w14:textId="77777777" w:rsidR="00901CDC" w:rsidRDefault="00DD550A">
      <w:pPr>
        <w:spacing w:before="288" w:after="288" w:line="312" w:lineRule="auto"/>
        <w:jc w:val="both"/>
        <w:rPr>
          <w:rFonts w:ascii="Arial" w:eastAsia="MS Mincho" w:hAnsi="Arial" w:cs="Arial"/>
          <w:sz w:val="24"/>
          <w:szCs w:val="24"/>
          <w:lang w:eastAsia="pt-BR"/>
        </w:rPr>
      </w:pPr>
      <w:bookmarkStart w:id="56" w:name="_Ref117019424"/>
      <w:r>
        <w:rPr>
          <w:rFonts w:ascii="Arial" w:eastAsia="MS Mincho" w:hAnsi="Arial" w:cs="Arial"/>
          <w:sz w:val="24"/>
          <w:szCs w:val="24"/>
          <w:lang w:eastAsia="pt-BR"/>
        </w:rPr>
        <w:t xml:space="preserve">7.1 Encerrada a etapa de lances, o pregoeiro verificará se o licitante provisoriamente classificado em primeiro lugar atende às condições de participação no certame, conforme previsto no </w:t>
      </w:r>
      <w:hyperlink r:id="rId20" w:anchor="art14" w:history="1">
        <w:r>
          <w:rPr>
            <w:rStyle w:val="ListLabel28"/>
            <w:rFonts w:eastAsia="MS Mincho"/>
          </w:rPr>
          <w:t xml:space="preserve">art. 14 da </w:t>
        </w:r>
      </w:hyperlink>
      <w:r>
        <w:rPr>
          <w:rStyle w:val="ListLabel28"/>
          <w:rFonts w:eastAsiaTheme="minorHAnsi"/>
        </w:rPr>
        <w:t>Lei Federal nº 14.133/21</w:t>
      </w:r>
      <w:r>
        <w:rPr>
          <w:rFonts w:ascii="Arial" w:eastAsia="MS Mincho" w:hAnsi="Arial" w:cs="Arial"/>
          <w:sz w:val="24"/>
          <w:szCs w:val="24"/>
          <w:lang w:eastAsia="pt-BR"/>
        </w:rPr>
        <w:t xml:space="preserve">, legislação correlata e no item 4.7 do edital, </w:t>
      </w:r>
      <w:bookmarkEnd w:id="56"/>
      <w:r>
        <w:rPr>
          <w:rFonts w:ascii="Arial" w:eastAsia="MS Mincho" w:hAnsi="Arial" w:cs="Arial"/>
          <w:sz w:val="24"/>
          <w:szCs w:val="24"/>
          <w:lang w:eastAsia="ar-SA"/>
        </w:rPr>
        <w:t xml:space="preserve">especialmente quanto à existência de sanção que impeça a participação no certame ou a futura contratação, mediante a consulta aos seguintes cadastros: </w:t>
      </w:r>
    </w:p>
    <w:p w14:paraId="260BD9C3"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a) Cadastro Geral de Fornecedores – CAGEF;</w:t>
      </w:r>
    </w:p>
    <w:p w14:paraId="2FADC8E2" w14:textId="77777777" w:rsidR="00901CDC" w:rsidRDefault="00DD550A">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b) Cadastro Nacional de Empresas Inidôneas e Suspensas - CEIS, mantido pela Controladoria-Geral da União (</w:t>
      </w:r>
      <w:hyperlink r:id="rId21">
        <w:r>
          <w:rPr>
            <w:rStyle w:val="ListLabel29"/>
            <w:rFonts w:eastAsiaTheme="minorHAnsi"/>
          </w:rPr>
          <w:t>https://www.portaltransparencia.gov.br/sancoes/ceis</w:t>
        </w:r>
      </w:hyperlink>
      <w:r>
        <w:rPr>
          <w:rFonts w:ascii="Arial" w:eastAsia="Times New Roman" w:hAnsi="Arial" w:cs="Arial"/>
          <w:kern w:val="2"/>
          <w:sz w:val="24"/>
          <w:szCs w:val="24"/>
          <w:lang w:eastAsia="ar-SA"/>
        </w:rPr>
        <w:t xml:space="preserve">);  </w:t>
      </w:r>
    </w:p>
    <w:p w14:paraId="39006509" w14:textId="77777777" w:rsidR="00901CDC" w:rsidRDefault="00DD550A">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c) Cadastro Nacional de Empresas Punidas – CNEP, mantido pela Controladoria-Geral da União (</w:t>
      </w:r>
      <w:proofErr w:type="spellStart"/>
      <w:r>
        <w:rPr>
          <w:rFonts w:ascii="Arial" w:eastAsia="Times New Roman" w:hAnsi="Arial" w:cs="Arial"/>
          <w:kern w:val="2"/>
          <w:sz w:val="24"/>
          <w:szCs w:val="24"/>
          <w:lang w:eastAsia="ar-SA"/>
        </w:rPr>
        <w:t>htpps</w:t>
      </w:r>
      <w:proofErr w:type="spellEnd"/>
      <w:r>
        <w:rPr>
          <w:rFonts w:ascii="Arial" w:eastAsia="Times New Roman" w:hAnsi="Arial" w:cs="Arial"/>
          <w:kern w:val="2"/>
          <w:sz w:val="24"/>
          <w:szCs w:val="24"/>
          <w:lang w:eastAsia="ar-SA"/>
        </w:rPr>
        <w:t>:</w:t>
      </w:r>
      <w:hyperlink r:id="rId22">
        <w:r>
          <w:rPr>
            <w:rStyle w:val="ListLabel30"/>
            <w:rFonts w:eastAsiaTheme="minorHAnsi"/>
          </w:rPr>
          <w:t>//www.portaltransparencia.gov.br/</w:t>
        </w:r>
        <w:proofErr w:type="spellStart"/>
        <w:r>
          <w:rPr>
            <w:rStyle w:val="ListLabel30"/>
            <w:rFonts w:eastAsiaTheme="minorHAnsi"/>
          </w:rPr>
          <w:t>sancoes</w:t>
        </w:r>
        <w:proofErr w:type="spellEnd"/>
        <w:r>
          <w:rPr>
            <w:rStyle w:val="ListLabel30"/>
            <w:rFonts w:eastAsiaTheme="minorHAnsi"/>
          </w:rPr>
          <w:t>/</w:t>
        </w:r>
        <w:proofErr w:type="spellStart"/>
        <w:r>
          <w:rPr>
            <w:rStyle w:val="ListLabel30"/>
            <w:rFonts w:eastAsiaTheme="minorHAnsi"/>
          </w:rPr>
          <w:t>cnep</w:t>
        </w:r>
        <w:proofErr w:type="spellEnd"/>
      </w:hyperlink>
      <w:r>
        <w:rPr>
          <w:rFonts w:ascii="Arial" w:eastAsia="Times New Roman" w:hAnsi="Arial" w:cs="Arial"/>
          <w:kern w:val="2"/>
          <w:sz w:val="24"/>
          <w:szCs w:val="24"/>
          <w:lang w:eastAsia="ar-SA"/>
        </w:rPr>
        <w:t>); e</w:t>
      </w:r>
    </w:p>
    <w:p w14:paraId="5F30E96D" w14:textId="77777777" w:rsidR="00901CDC" w:rsidRDefault="00DD550A">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d) Cadastro Nacional de Condenações Cíveis por Atos de Improbidade Administrativa e Inelegibilidade – CNIA, do Conselho Nacional de Justiça.</w:t>
      </w:r>
    </w:p>
    <w:p w14:paraId="7277EEA9"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7.2 A consulta aos </w:t>
      </w:r>
      <w:r>
        <w:rPr>
          <w:rFonts w:ascii="Arial" w:eastAsia="Times New Roman" w:hAnsi="Arial" w:cs="Arial"/>
          <w:kern w:val="2"/>
          <w:sz w:val="24"/>
          <w:szCs w:val="24"/>
          <w:lang w:eastAsia="ar-SA"/>
        </w:rPr>
        <w:t xml:space="preserve">cadastros será realizada em nome da empresa licitante e, no que tange especificamente ao CNIA, também será realizada em nome dos sócios majoritários da empresa, por força da vedação de que trata o </w:t>
      </w:r>
      <w:hyperlink r:id="rId23" w:anchor=":~:text=às seguintes cominações%3A-,Art.,nº 12.120%2C de 2009)." w:history="1">
        <w:r>
          <w:rPr>
            <w:rStyle w:val="ListLabel30"/>
            <w:rFonts w:eastAsiaTheme="minorHAnsi"/>
          </w:rPr>
          <w:t>artigo 12 da Lei n° 8.429, de 1992</w:t>
        </w:r>
      </w:hyperlink>
      <w:r>
        <w:rPr>
          <w:rFonts w:ascii="Arial" w:eastAsia="Times New Roman" w:hAnsi="Arial" w:cs="Arial"/>
          <w:kern w:val="2"/>
          <w:sz w:val="24"/>
          <w:szCs w:val="24"/>
          <w:lang w:eastAsia="ar-SA"/>
        </w:rPr>
        <w:t>.</w:t>
      </w:r>
    </w:p>
    <w:p w14:paraId="7E0BB118" w14:textId="77777777" w:rsidR="00901CDC" w:rsidRDefault="00DD550A">
      <w:pPr>
        <w:spacing w:before="288" w:after="288" w:line="312" w:lineRule="auto"/>
        <w:jc w:val="both"/>
        <w:rPr>
          <w:rFonts w:ascii="Arial" w:eastAsia="MS Mincho" w:hAnsi="Arial" w:cs="Arial"/>
          <w:b/>
          <w:bCs/>
          <w:sz w:val="24"/>
          <w:szCs w:val="24"/>
          <w:highlight w:val="red"/>
          <w:lang w:eastAsia="ar-SA"/>
        </w:rPr>
      </w:pPr>
      <w:r>
        <w:rPr>
          <w:rFonts w:ascii="Arial" w:eastAsia="MS Mincho" w:hAnsi="Arial" w:cs="Arial"/>
          <w:sz w:val="24"/>
          <w:szCs w:val="24"/>
          <w:lang w:eastAsia="pt-BR"/>
        </w:rPr>
        <w:lastRenderedPageBreak/>
        <w:t>7.3 Caso o licitante provisoriamente classificado em primeiro lugar tenha se utilizado de algum tratamento favorecido às ME/</w:t>
      </w:r>
      <w:proofErr w:type="spellStart"/>
      <w:r>
        <w:rPr>
          <w:rFonts w:ascii="Arial" w:eastAsia="MS Mincho" w:hAnsi="Arial" w:cs="Arial"/>
          <w:sz w:val="24"/>
          <w:szCs w:val="24"/>
          <w:lang w:eastAsia="pt-BR"/>
        </w:rPr>
        <w:t>EPPs</w:t>
      </w:r>
      <w:proofErr w:type="spellEnd"/>
      <w:r>
        <w:rPr>
          <w:rFonts w:ascii="Arial" w:eastAsia="MS Mincho" w:hAnsi="Arial" w:cs="Arial"/>
          <w:sz w:val="24"/>
          <w:szCs w:val="24"/>
          <w:lang w:eastAsia="pt-BR"/>
        </w:rPr>
        <w:t>, o pregoeiro verificará se faz jus ao benefício, em conformidade com os itens 4.5.1 e 5.2.6 deste edital.</w:t>
      </w:r>
    </w:p>
    <w:p w14:paraId="2195CE8C"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7.4 Verificadas as condições de participação e de utilização do tratamento favorecido, o pregoeiro examinará a proposta classificada em primeiro lugar quanto à adequação ao objeto e à compatibilidade dos preços unitários e global ou desconto final em relação ao máximo estipulado para contratação neste Edital. </w:t>
      </w:r>
    </w:p>
    <w:p w14:paraId="0B2188D6"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7.5 Será desclassificada a proposta vencedora que: </w:t>
      </w:r>
    </w:p>
    <w:p w14:paraId="208B2128"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7.5.1 contiver vícios insanáveis;</w:t>
      </w:r>
    </w:p>
    <w:p w14:paraId="1483C3D7"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7.5.2 não obedecer às especificações técnicas contidas no Termo de Referência;</w:t>
      </w:r>
    </w:p>
    <w:p w14:paraId="1DFCCD73"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7.5.3 apresentar preços inexequíveis ou permanecerem acima dos preços máximos unitários e global definidos para a contratação;</w:t>
      </w:r>
    </w:p>
    <w:p w14:paraId="06626D0D"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7.5.4 não tiverem sua exequibilidade demonstrada, quando exigido pela Administração;</w:t>
      </w:r>
    </w:p>
    <w:p w14:paraId="08FE4F03"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7.5.5 apresentar desconformidade com quaisquer outras exigências deste Edital ou seus anexos, desde que insanável.</w:t>
      </w:r>
    </w:p>
    <w:p w14:paraId="1F29DDEA"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7.6 No caso de bens e serviços em geral, é indício de inexequibilidade das propostas valores inferiores a 50% (cinquenta por cento) do valor orçado pela Administração.</w:t>
      </w:r>
    </w:p>
    <w:p w14:paraId="243319D9"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7.6.1 A inexequibilidade, na hipótese de que trata o caput, só será considerada após diligência do pregoeiro, que comprove:</w:t>
      </w:r>
    </w:p>
    <w:p w14:paraId="57736A61"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7.6.1.1 que o custo do licitante ultrapassa o valor da proposta, mediante a apresentação de planilha de custos e outros documentos que o pregoeiro achar necessários; e</w:t>
      </w:r>
    </w:p>
    <w:p w14:paraId="01C4EF32"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 xml:space="preserve">7.6.1.2 inexistirem custos de oportunidade capazes de justificar o vulto da oferta. </w:t>
      </w:r>
    </w:p>
    <w:p w14:paraId="7B19107A"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7.7 Em contratação de serviços de engenharia, além das disposições acima, a análise de exequibilidade e sobrepreço considerará o seguinte:</w:t>
      </w:r>
    </w:p>
    <w:p w14:paraId="0B9A04D3"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7.7.1 Nos regimes de execução por tarefa, empreitada por preço global ou empreitada integral, </w:t>
      </w:r>
      <w:proofErr w:type="spellStart"/>
      <w:r>
        <w:rPr>
          <w:rFonts w:ascii="Arial" w:eastAsia="MS Mincho" w:hAnsi="Arial" w:cs="Arial"/>
          <w:sz w:val="24"/>
          <w:szCs w:val="24"/>
          <w:lang w:eastAsia="pt-BR"/>
        </w:rPr>
        <w:t>semi-integrada</w:t>
      </w:r>
      <w:proofErr w:type="spellEnd"/>
      <w:r>
        <w:rPr>
          <w:rFonts w:ascii="Arial" w:eastAsia="MS Mincho" w:hAnsi="Arial" w:cs="Arial"/>
          <w:sz w:val="24"/>
          <w:szCs w:val="24"/>
          <w:lang w:eastAsia="pt-BR"/>
        </w:rPr>
        <w:t xml:space="preserve"> ou integrada, a caracterização do sobrepreço se dará pela superação do valor global estimado;</w:t>
      </w:r>
    </w:p>
    <w:p w14:paraId="2EB7B772"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7.7.2 No regime de empreitada por preço unitário, a caracterização do sobrepreço se dará pela superação do valor global estimado e pela superação de custo unitário tido como relevante, conforme planilha anexa ao edital;</w:t>
      </w:r>
    </w:p>
    <w:p w14:paraId="59054B02"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7.7.3 No caso de serviços de engenharia, serão consideradas inexequíveis as propostas cujos valores forem inferiores a 75% (setenta e cinco por cento) do valor orçado pela Administração, independentemente do regime de execução;</w:t>
      </w:r>
    </w:p>
    <w:p w14:paraId="3B1B6737"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7.7.4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5537A81"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7.8 Se houver indícios de inexequibilidade da proposta de preço, ou em caso da necessidade de esclarecimentos complementares, poderão ser efetuadas diligências, para que a empresa comprove a exequibilidade da proposta.</w:t>
      </w:r>
    </w:p>
    <w:p w14:paraId="0E8F7252"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02163E5"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7.10 Em se tratando de serviços de engenharia, o licitante vencedor deverá ser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rFonts w:ascii="Arial" w:eastAsia="MS Mincho" w:hAnsi="Arial" w:cs="Arial"/>
          <w:sz w:val="24"/>
          <w:szCs w:val="24"/>
          <w:lang w:eastAsia="pt-BR"/>
        </w:rPr>
        <w:t>semi-integrada</w:t>
      </w:r>
      <w:proofErr w:type="spellEnd"/>
      <w:r>
        <w:rPr>
          <w:rFonts w:ascii="Arial" w:eastAsia="MS Mincho" w:hAnsi="Arial" w:cs="Arial"/>
          <w:sz w:val="24"/>
          <w:szCs w:val="24"/>
          <w:lang w:eastAsia="pt-BR"/>
        </w:rPr>
        <w:t xml:space="preserve"> e </w:t>
      </w:r>
      <w:r>
        <w:rPr>
          <w:rFonts w:ascii="Arial" w:eastAsia="MS Mincho" w:hAnsi="Arial" w:cs="Arial"/>
          <w:sz w:val="24"/>
          <w:szCs w:val="24"/>
          <w:lang w:eastAsia="pt-BR"/>
        </w:rPr>
        <w:lastRenderedPageBreak/>
        <w:t xml:space="preserve">contratação integrada, exclusivamente para eventuais adequações indispensáveis no cronograma físico-financeiro e para balizar excepcional aditamento posterior do contrato.  </w:t>
      </w:r>
    </w:p>
    <w:p w14:paraId="0C021333"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7.11.</w:t>
      </w:r>
      <w:r>
        <w:rPr>
          <w:rFonts w:ascii="Arial" w:eastAsia="MS Mincho" w:hAnsi="Arial" w:cs="Arial"/>
          <w:sz w:val="24"/>
          <w:szCs w:val="24"/>
          <w:lang w:eastAsia="pt-BR"/>
        </w:rPr>
        <w:tab/>
        <w:t>Erros ou falhas no preenchimento da proposta não constituem motivo para a desclassificação. A proposta poderá́ ser ajustada pelo licitante, no prazo indicado pelo sistema, desde que não haja majoração do preço.</w:t>
      </w:r>
    </w:p>
    <w:p w14:paraId="46A7382F"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7.11.1</w:t>
      </w:r>
      <w:r>
        <w:rPr>
          <w:rFonts w:ascii="Arial" w:eastAsia="MS Mincho" w:hAnsi="Arial" w:cs="Arial"/>
          <w:sz w:val="24"/>
          <w:szCs w:val="24"/>
          <w:lang w:eastAsia="pt-BR"/>
        </w:rPr>
        <w:tab/>
        <w:t>O ajuste de que trata este dispositivo se limita a sanar erros ou falhas que não alterem a substância das propostas.</w:t>
      </w:r>
    </w:p>
    <w:p w14:paraId="182346CE"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7.12 Definido o resultado do julgamento, o pregoeiro poderá negociar condições mais vantajosas com o primeiro colocado. </w:t>
      </w:r>
      <w:bookmarkStart w:id="57" w:name="_Hlk163132218"/>
      <w:bookmarkEnd w:id="57"/>
    </w:p>
    <w:p w14:paraId="1C601D9C"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7.12.1 A negociação poderá ser feita com os demais licitantes, segundo a ordem de classificação inicialmente estabelecida, quando o primeiro colocado, mesmo após a negociação, for desclassificado em razão de sua proposta permanecer acima do preço máximo ou inferior ao desconto definido pela Administração ou por estar em desacordo com os termos previstos no edital e seus anexos.</w:t>
      </w:r>
    </w:p>
    <w:p w14:paraId="2E5CBC2B" w14:textId="77777777" w:rsidR="00901CDC" w:rsidRDefault="00DD550A">
      <w:pPr>
        <w:spacing w:before="288" w:after="288" w:line="312" w:lineRule="auto"/>
        <w:ind w:left="567"/>
        <w:jc w:val="both"/>
        <w:rPr>
          <w:rFonts w:ascii="Arial" w:eastAsia="Times New Roman" w:hAnsi="Arial" w:cs="Arial"/>
          <w:sz w:val="24"/>
          <w:szCs w:val="24"/>
          <w:lang w:eastAsia="pt-BR"/>
        </w:rPr>
      </w:pPr>
      <w:r>
        <w:rPr>
          <w:rFonts w:ascii="Arial" w:eastAsia="Times New Roman" w:hAnsi="Arial" w:cs="Arial"/>
          <w:sz w:val="24"/>
          <w:szCs w:val="24"/>
          <w:lang w:eastAsia="pt-BR"/>
        </w:rPr>
        <w:t xml:space="preserve">7.12.2 A </w:t>
      </w:r>
      <w:r>
        <w:rPr>
          <w:rFonts w:ascii="Arial" w:eastAsia="MS Mincho" w:hAnsi="Arial" w:cs="Arial"/>
          <w:sz w:val="24"/>
          <w:szCs w:val="24"/>
          <w:lang w:eastAsia="pt-BR"/>
        </w:rPr>
        <w:t>negociação será realizada por meio do sistema, podendo ser acompanhada pelos demais licitantes.</w:t>
      </w:r>
    </w:p>
    <w:p w14:paraId="36AB96F0" w14:textId="77777777" w:rsidR="00901CDC" w:rsidRDefault="00DD550A">
      <w:pPr>
        <w:spacing w:before="288" w:after="288" w:line="312" w:lineRule="auto"/>
        <w:ind w:left="567"/>
        <w:jc w:val="both"/>
        <w:rPr>
          <w:rFonts w:ascii="Arial" w:eastAsia="Times New Roman" w:hAnsi="Arial" w:cs="Arial"/>
          <w:sz w:val="24"/>
          <w:szCs w:val="24"/>
          <w:lang w:eastAsia="pt-BR"/>
        </w:rPr>
      </w:pPr>
      <w:r>
        <w:rPr>
          <w:rFonts w:ascii="Arial" w:eastAsia="Times New Roman" w:hAnsi="Arial" w:cs="Arial"/>
          <w:sz w:val="24"/>
          <w:szCs w:val="24"/>
          <w:lang w:eastAsia="pt-BR"/>
        </w:rPr>
        <w:t>7.12.3 O resultado da negociação será divulgado a todos os licitantes e anexado aos autos do processo licitatório.</w:t>
      </w:r>
    </w:p>
    <w:p w14:paraId="6FCA3C71" w14:textId="77777777" w:rsidR="00901CDC" w:rsidRDefault="00DD550A">
      <w:pPr>
        <w:spacing w:before="288" w:after="288" w:line="312" w:lineRule="auto"/>
        <w:ind w:left="567"/>
        <w:jc w:val="both"/>
        <w:rPr>
          <w:rFonts w:ascii="Arial" w:eastAsia="Arial" w:hAnsi="Arial" w:cs="Arial"/>
          <w:sz w:val="24"/>
          <w:szCs w:val="24"/>
          <w:lang w:eastAsia="pt-BR"/>
        </w:rPr>
      </w:pPr>
      <w:r>
        <w:rPr>
          <w:rFonts w:ascii="Arial" w:eastAsia="MS Mincho" w:hAnsi="Arial" w:cs="Arial"/>
          <w:sz w:val="24"/>
          <w:szCs w:val="24"/>
          <w:lang w:eastAsia="pt-BR"/>
        </w:rPr>
        <w:t>7.12.4 O pregoeiro solicitará ao licitante mais bem classificado que, no prazo de 4 (quatro) horas,</w:t>
      </w:r>
      <w:r>
        <w:rPr>
          <w:rFonts w:ascii="Arial" w:eastAsia="Open Sans" w:hAnsi="Arial" w:cs="Arial"/>
          <w:sz w:val="24"/>
          <w:szCs w:val="24"/>
        </w:rPr>
        <w:t xml:space="preserve"> </w:t>
      </w:r>
      <w:r>
        <w:rPr>
          <w:rFonts w:ascii="Arial" w:eastAsia="Arial" w:hAnsi="Arial" w:cs="Arial"/>
          <w:sz w:val="24"/>
          <w:szCs w:val="24"/>
        </w:rPr>
        <w:t>prorrogável por igual período,</w:t>
      </w:r>
      <w:r>
        <w:rPr>
          <w:rFonts w:ascii="Arial" w:eastAsia="Arial" w:hAnsi="Arial" w:cs="Arial"/>
          <w:sz w:val="24"/>
          <w:szCs w:val="24"/>
          <w:lang w:eastAsia="pt-BR"/>
        </w:rPr>
        <w:t xml:space="preserve"> </w:t>
      </w:r>
      <w:r>
        <w:rPr>
          <w:rFonts w:ascii="Arial" w:eastAsia="MS Mincho" w:hAnsi="Arial" w:cs="Arial"/>
          <w:sz w:val="24"/>
          <w:szCs w:val="24"/>
          <w:lang w:eastAsia="pt-BR"/>
        </w:rPr>
        <w:t xml:space="preserve">envie a proposta adequada ao último lance ofertado após a negociação realizada, acompanhada, se for o caso, dos documentos complementares, quando necessários à confirmação </w:t>
      </w:r>
      <w:r>
        <w:rPr>
          <w:rFonts w:ascii="Arial" w:eastAsia="Arial" w:hAnsi="Arial" w:cs="Arial"/>
          <w:sz w:val="24"/>
          <w:szCs w:val="24"/>
          <w:lang w:eastAsia="pt-BR"/>
        </w:rPr>
        <w:t>daqueles exigidos neste Edital e já apresentados.</w:t>
      </w:r>
    </w:p>
    <w:p w14:paraId="3C7DB14A" w14:textId="77777777" w:rsidR="00901CDC" w:rsidRDefault="00DD550A">
      <w:pPr>
        <w:spacing w:before="288" w:after="288" w:line="360" w:lineRule="auto"/>
        <w:ind w:left="567"/>
        <w:jc w:val="both"/>
        <w:rPr>
          <w:rFonts w:ascii="Arial" w:eastAsia="Arial" w:hAnsi="Arial" w:cs="Arial"/>
          <w:sz w:val="24"/>
          <w:szCs w:val="24"/>
        </w:rPr>
      </w:pPr>
      <w:r>
        <w:rPr>
          <w:rFonts w:ascii="Arial" w:eastAsia="Arial" w:hAnsi="Arial" w:cs="Arial"/>
          <w:sz w:val="24"/>
          <w:szCs w:val="24"/>
          <w:lang w:eastAsia="pt-BR"/>
        </w:rPr>
        <w:t>7.12.5</w:t>
      </w:r>
      <w:r>
        <w:rPr>
          <w:rFonts w:ascii="Arial" w:eastAsia="Arial" w:hAnsi="Arial" w:cs="Arial"/>
          <w:sz w:val="24"/>
          <w:szCs w:val="24"/>
        </w:rPr>
        <w:t xml:space="preserve"> A prorrogação de que trata subitem anterior poderá ocorrer nas seguintes situações:</w:t>
      </w:r>
    </w:p>
    <w:p w14:paraId="3D072FA3" w14:textId="77777777" w:rsidR="00901CDC" w:rsidRDefault="00DD550A">
      <w:pPr>
        <w:spacing w:before="288" w:after="288" w:line="360" w:lineRule="auto"/>
        <w:ind w:left="1134"/>
        <w:jc w:val="both"/>
        <w:rPr>
          <w:rFonts w:ascii="Arial" w:eastAsia="Arial" w:hAnsi="Arial" w:cs="Arial"/>
          <w:sz w:val="24"/>
          <w:szCs w:val="24"/>
        </w:rPr>
      </w:pPr>
      <w:r>
        <w:rPr>
          <w:rFonts w:ascii="Arial" w:eastAsia="Arial" w:hAnsi="Arial" w:cs="Arial"/>
          <w:sz w:val="24"/>
          <w:szCs w:val="24"/>
        </w:rPr>
        <w:t>7.12.5.1 por solicitação do licitante, mediante justificativa aceita pelo pregoeiro;</w:t>
      </w:r>
    </w:p>
    <w:p w14:paraId="57BB4C31" w14:textId="77777777" w:rsidR="00901CDC" w:rsidRDefault="00DD550A">
      <w:pPr>
        <w:spacing w:before="288" w:after="288" w:line="360" w:lineRule="auto"/>
        <w:ind w:left="1134"/>
        <w:jc w:val="both"/>
        <w:rPr>
          <w:rFonts w:ascii="Arial" w:eastAsia="Arial" w:hAnsi="Arial" w:cs="Arial"/>
          <w:sz w:val="24"/>
          <w:szCs w:val="24"/>
        </w:rPr>
      </w:pPr>
      <w:r>
        <w:rPr>
          <w:rFonts w:ascii="Arial" w:eastAsia="Arial" w:hAnsi="Arial" w:cs="Arial"/>
          <w:sz w:val="24"/>
          <w:szCs w:val="24"/>
        </w:rPr>
        <w:lastRenderedPageBreak/>
        <w:t>7.12.5.2 de ofício, a critério do pregoeiro, quando constatado que o prazo estabelecido não é suficiente para o envio dos documentos exigidos no edital.</w:t>
      </w:r>
    </w:p>
    <w:p w14:paraId="4766D4AF"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7.13 Caso o Termo de Referência exija a apresentação de amostra, o licitante classificado em primeiro lugar deverá apresentá-la, conforme disciplinado no referido documento, sob pena de não aceitação da proposta.</w:t>
      </w:r>
    </w:p>
    <w:p w14:paraId="4EFA1218" w14:textId="77777777" w:rsidR="00901CDC" w:rsidRDefault="00DD550A">
      <w:pPr>
        <w:spacing w:before="288" w:after="288" w:line="312" w:lineRule="auto"/>
        <w:jc w:val="both"/>
        <w:rPr>
          <w:rFonts w:ascii="Arial" w:eastAsia="MS Mincho" w:hAnsi="Arial" w:cs="Arial"/>
          <w:sz w:val="24"/>
          <w:szCs w:val="24"/>
          <w:highlight w:val="yellow"/>
          <w:lang w:eastAsia="pt-BR"/>
        </w:rPr>
      </w:pPr>
      <w:r>
        <w:rPr>
          <w:rFonts w:ascii="Arial" w:eastAsia="MS Mincho" w:hAnsi="Arial" w:cs="Arial"/>
          <w:sz w:val="24"/>
          <w:szCs w:val="24"/>
          <w:lang w:eastAsia="pt-BR"/>
        </w:rPr>
        <w:t>7.14 No “chat” do sistema, o pregoeiro orientará os licitantes interessados acerca das medidas necessárias ao acompanhamento do procedimento de análise das amostras eventualmente apresentadas.</w:t>
      </w:r>
    </w:p>
    <w:p w14:paraId="6A94F85C"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7.15 Os resultados das avaliações serão divulgados por meio de mensagem no sistema.</w:t>
      </w:r>
    </w:p>
    <w:p w14:paraId="7008D2DC"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7.16 No caso de não haver entrega da amostra ou ocorrer atraso na entrega, sem justificativa aceita pelo pregoeiro, ou havendo entrega de amostra fora das especificações previstas neste Edital, a proposta do licitante será recusada/reprovada.</w:t>
      </w:r>
    </w:p>
    <w:p w14:paraId="1D8E4247"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7591571C" w14:textId="77777777" w:rsidR="00901CDC" w:rsidRDefault="00DD550A">
      <w:pPr>
        <w:spacing w:before="288" w:after="288" w:line="312" w:lineRule="auto"/>
        <w:jc w:val="both"/>
        <w:rPr>
          <w:rFonts w:ascii="Arial" w:eastAsia="Segoe UI" w:hAnsi="Arial" w:cs="Arial"/>
          <w:sz w:val="24"/>
          <w:szCs w:val="24"/>
          <w:highlight w:val="yellow"/>
          <w:lang w:eastAsia="pt-BR"/>
        </w:rPr>
      </w:pPr>
      <w:r>
        <w:rPr>
          <w:rFonts w:ascii="Arial" w:eastAsia="Segoe UI" w:hAnsi="Arial" w:cs="Arial"/>
          <w:sz w:val="24"/>
          <w:szCs w:val="24"/>
          <w:lang w:eastAsia="pt-BR"/>
        </w:rPr>
        <w:t>7.18 As amostras poderão ser dispensadas, a pedido do setor técnico/demandante, em caso de apresentação de parecer/laudo técnico a respeito da qualidade do objeto; ou quando houver a participação de apenas uma empresa no certame, caso o produto seja conhecido pelo setor técnico, por já ter sido utilizado anteriormente. A análise das amostras, quando solicitada pelo setor técnico/demandante, poderá ser acompanhada por quaisquer licitantes.</w:t>
      </w:r>
    </w:p>
    <w:p w14:paraId="63C7CBA6"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7.19 A(s) amostra(s) apresentada(s) pelo(s) licitante(s) deverá(</w:t>
      </w:r>
      <w:proofErr w:type="spellStart"/>
      <w:r>
        <w:rPr>
          <w:rFonts w:ascii="Arial" w:eastAsia="MS Mincho" w:hAnsi="Arial" w:cs="Arial"/>
          <w:sz w:val="24"/>
          <w:szCs w:val="24"/>
          <w:lang w:eastAsia="pt-BR"/>
        </w:rPr>
        <w:t>ão</w:t>
      </w:r>
      <w:proofErr w:type="spellEnd"/>
      <w:r>
        <w:rPr>
          <w:rFonts w:ascii="Arial" w:eastAsia="MS Mincho" w:hAnsi="Arial" w:cs="Arial"/>
          <w:sz w:val="24"/>
          <w:szCs w:val="24"/>
          <w:lang w:eastAsia="pt-BR"/>
        </w:rPr>
        <w:t>) ser recolhida(s) em até 30 (trinta) dias, contados da homologação do processo licitatório, ressalvados os casos em que for conveniente para a Administração mantê-la(s) em sua posse até a entrega definitiva do objeto.</w:t>
      </w:r>
    </w:p>
    <w:p w14:paraId="02DC9087" w14:textId="77777777" w:rsidR="00901CDC" w:rsidRDefault="00DD550A">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lastRenderedPageBreak/>
        <w:t xml:space="preserve">7.19.1 O recolhimento da(s) amostra(s), mencionado no subitem anterior, deverá ser realizado por representante da empresa com poderes devidamente comprovados, eximindo-se a Procuradoria-Geral de Justiça de qualquer ônus por inutilização ou danos decorrentes de testes efetuados no produto. </w:t>
      </w:r>
    </w:p>
    <w:p w14:paraId="62A129C3" w14:textId="77777777" w:rsidR="00901CDC" w:rsidRDefault="00DD550A">
      <w:pPr>
        <w:spacing w:before="288" w:after="288" w:line="312" w:lineRule="auto"/>
        <w:ind w:left="567"/>
        <w:jc w:val="both"/>
        <w:rPr>
          <w:rFonts w:ascii="Arial" w:eastAsia="Times New Roman" w:hAnsi="Arial" w:cs="Arial"/>
          <w:kern w:val="2"/>
          <w:sz w:val="24"/>
          <w:szCs w:val="24"/>
          <w:lang w:eastAsia="ar-SA"/>
        </w:rPr>
      </w:pPr>
      <w:r>
        <w:rPr>
          <w:rFonts w:ascii="Arial" w:eastAsia="Times New Roman" w:hAnsi="Arial" w:cs="Arial"/>
          <w:kern w:val="2"/>
          <w:sz w:val="24"/>
          <w:szCs w:val="24"/>
          <w:lang w:eastAsia="ar-SA"/>
        </w:rPr>
        <w:t>7.19.2 À(s) amostra(s) não recolhida(s) no prazo estipulado será dado destino que melhor convier à Procuradoria-Geral de Justiça, a critério deste Órgão.</w:t>
      </w:r>
    </w:p>
    <w:p w14:paraId="5BCC09D0" w14:textId="77777777" w:rsidR="00901CDC" w:rsidRDefault="00DD550A">
      <w:pPr>
        <w:widowControl w:val="0"/>
        <w:tabs>
          <w:tab w:val="decimal" w:pos="567"/>
          <w:tab w:val="left" w:pos="709"/>
        </w:tabs>
        <w:spacing w:before="120" w:after="120" w:line="360" w:lineRule="auto"/>
        <w:ind w:right="-8"/>
        <w:jc w:val="both"/>
        <w:rPr>
          <w:rFonts w:ascii="Arial" w:eastAsia="Arial" w:hAnsi="Arial" w:cs="Arial"/>
          <w:sz w:val="24"/>
          <w:szCs w:val="24"/>
        </w:rPr>
      </w:pPr>
      <w:r>
        <w:rPr>
          <w:rFonts w:ascii="Arial" w:eastAsia="Times New Roman" w:hAnsi="Arial" w:cs="Arial"/>
          <w:kern w:val="2"/>
          <w:sz w:val="24"/>
          <w:szCs w:val="24"/>
          <w:lang w:eastAsia="ar-SA"/>
        </w:rPr>
        <w:t xml:space="preserve">7.20 </w:t>
      </w:r>
      <w:r>
        <w:rPr>
          <w:rFonts w:ascii="Arial" w:eastAsia="Arial" w:hAnsi="Arial" w:cs="Arial"/>
          <w:sz w:val="24"/>
          <w:szCs w:val="24"/>
        </w:rPr>
        <w:t>Encerrada a análise quanto ao julgamento e aceitabilidade da proposta, o responsável pelo procedimento realizará a verificação da habilitação do licitante classificado em primeiro lugar.</w:t>
      </w:r>
    </w:p>
    <w:p w14:paraId="3DA15797"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58" w:name="_Toc52971590"/>
      <w:bookmarkStart w:id="59" w:name="_Toc413082123"/>
      <w:bookmarkStart w:id="60" w:name="_Toc413073740"/>
      <w:bookmarkStart w:id="61" w:name="_Toc412732755"/>
      <w:bookmarkStart w:id="62" w:name="_Toc412454038"/>
      <w:bookmarkStart w:id="63" w:name="_Toc412453497"/>
      <w:bookmarkStart w:id="64" w:name="_Toc412453468"/>
      <w:bookmarkStart w:id="65" w:name="_Toc412453446"/>
      <w:bookmarkStart w:id="66" w:name="_Toc412453283"/>
      <w:bookmarkStart w:id="67" w:name="_Toc52476971"/>
      <w:bookmarkStart w:id="68" w:name="_Toc52290130"/>
      <w:bookmarkStart w:id="69" w:name="_Toc51780336"/>
      <w:bookmarkStart w:id="70" w:name="_Toc51236271"/>
      <w:bookmarkStart w:id="71" w:name="_Toc51082985"/>
      <w:bookmarkStart w:id="72" w:name="_Toc51082836"/>
      <w:bookmarkStart w:id="73" w:name="_Toc51066513"/>
      <w:bookmarkStart w:id="74" w:name="_Toc52476970"/>
      <w:bookmarkStart w:id="75" w:name="_Toc52290129"/>
      <w:bookmarkStart w:id="76" w:name="_Toc51780335"/>
      <w:bookmarkStart w:id="77" w:name="_Toc51236270"/>
      <w:bookmarkStart w:id="78" w:name="_Toc51082984"/>
      <w:bookmarkStart w:id="79" w:name="_Toc51082835"/>
      <w:bookmarkStart w:id="80" w:name="_Toc51066512"/>
      <w:bookmarkStart w:id="81" w:name="_Toc52476969"/>
      <w:bookmarkStart w:id="82" w:name="_Toc52290128"/>
      <w:bookmarkStart w:id="83" w:name="_Toc51780334"/>
      <w:bookmarkStart w:id="84" w:name="_Toc51236269"/>
      <w:bookmarkStart w:id="85" w:name="_Toc51082983"/>
      <w:bookmarkStart w:id="86" w:name="_Toc51082834"/>
      <w:bookmarkStart w:id="87" w:name="_Toc51066511"/>
      <w:bookmarkStart w:id="88" w:name="_Toc52476968"/>
      <w:bookmarkStart w:id="89" w:name="_Toc52290127"/>
      <w:bookmarkStart w:id="90" w:name="_Toc51780333"/>
      <w:bookmarkStart w:id="91" w:name="_Toc51236268"/>
      <w:bookmarkStart w:id="92" w:name="_Toc51082982"/>
      <w:bookmarkStart w:id="93" w:name="_Toc51082833"/>
      <w:bookmarkStart w:id="94" w:name="_Toc51066510"/>
      <w:bookmarkStart w:id="95" w:name="_Toc52476967"/>
      <w:bookmarkStart w:id="96" w:name="_Toc52290126"/>
      <w:bookmarkStart w:id="97" w:name="_Toc51780332"/>
      <w:bookmarkStart w:id="98" w:name="_Toc51236267"/>
      <w:bookmarkStart w:id="99" w:name="_Toc51082981"/>
      <w:bookmarkStart w:id="100" w:name="_Toc51082832"/>
      <w:bookmarkStart w:id="101" w:name="_Toc51066509"/>
      <w:bookmarkStart w:id="102" w:name="_Toc478133177"/>
      <w:bookmarkStart w:id="103" w:name="_Toc478130743"/>
      <w:bookmarkStart w:id="104" w:name="_Toc477877062"/>
      <w:bookmarkStart w:id="105" w:name="_Toc477515220"/>
      <w:bookmarkStart w:id="106" w:name="_Toc477360928"/>
      <w:bookmarkStart w:id="107" w:name="_Toc477353337"/>
      <w:bookmarkStart w:id="108" w:name="_Toc477352129"/>
      <w:bookmarkStart w:id="109" w:name="_Toc477351668"/>
      <w:bookmarkStart w:id="110" w:name="_Toc477350957"/>
      <w:bookmarkStart w:id="111" w:name="_Toc478133176"/>
      <w:bookmarkStart w:id="112" w:name="_Toc478130742"/>
      <w:bookmarkStart w:id="113" w:name="_Toc477877061"/>
      <w:bookmarkStart w:id="114" w:name="_Toc477515219"/>
      <w:bookmarkStart w:id="115" w:name="_Toc477360927"/>
      <w:bookmarkStart w:id="116" w:name="_Toc477353336"/>
      <w:bookmarkStart w:id="117" w:name="_Toc477352128"/>
      <w:bookmarkStart w:id="118" w:name="_Toc477351667"/>
      <w:bookmarkStart w:id="119" w:name="_Toc477350956"/>
      <w:bookmarkStart w:id="120" w:name="_Toc413082118"/>
      <w:bookmarkStart w:id="121" w:name="_Toc413073735"/>
      <w:bookmarkStart w:id="122" w:name="_Toc412732750"/>
      <w:bookmarkStart w:id="123" w:name="_Toc413143392"/>
      <w:bookmarkStart w:id="124" w:name="_Toc416454196"/>
      <w:bookmarkStart w:id="125" w:name="_Toc416454104"/>
      <w:bookmarkStart w:id="126" w:name="_Toc416453555"/>
      <w:bookmarkStart w:id="127" w:name="_Toc416451478"/>
      <w:bookmarkStart w:id="128" w:name="_Toc416449377"/>
      <w:bookmarkStart w:id="129" w:name="_Toc416449284"/>
      <w:bookmarkStart w:id="130" w:name="_Toc416454195"/>
      <w:bookmarkStart w:id="131" w:name="_Toc416454103"/>
      <w:bookmarkStart w:id="132" w:name="_Toc416453554"/>
      <w:bookmarkStart w:id="133" w:name="_Toc416451477"/>
      <w:bookmarkStart w:id="134" w:name="_Toc416449376"/>
      <w:bookmarkStart w:id="135" w:name="_Toc416449283"/>
      <w:bookmarkStart w:id="136" w:name="_Toc413143390"/>
      <w:bookmarkStart w:id="137" w:name="_Toc122606109"/>
      <w:bookmarkStart w:id="138" w:name="_Toc176954836"/>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ascii="Arial" w:eastAsia="MS Gothic" w:hAnsi="Arial" w:cs="Arial"/>
          <w:b/>
          <w:bCs/>
          <w:sz w:val="24"/>
          <w:szCs w:val="24"/>
          <w:lang w:eastAsia="pt-BR"/>
        </w:rPr>
        <w:t>8. DA FASE DE HABILITAÇÃO</w:t>
      </w:r>
      <w:bookmarkEnd w:id="137"/>
      <w:bookmarkEnd w:id="138"/>
    </w:p>
    <w:p w14:paraId="71AA0C53"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8.1 Os documentos previstos no Anexo IV, necessários e suficientes para demonstrar a capacidade do licitante de realizar o objeto da licitação, serão exigidos para fins de habilitação, nos termos dos </w:t>
      </w:r>
      <w:hyperlink r:id="rId24" w:anchor="art62" w:history="1">
        <w:proofErr w:type="spellStart"/>
        <w:r>
          <w:rPr>
            <w:rStyle w:val="ListLabel28"/>
            <w:rFonts w:eastAsia="MS Mincho"/>
          </w:rPr>
          <w:t>arts</w:t>
        </w:r>
        <w:proofErr w:type="spellEnd"/>
        <w:r>
          <w:rPr>
            <w:rStyle w:val="ListLabel28"/>
            <w:rFonts w:eastAsia="MS Mincho"/>
          </w:rPr>
          <w:t xml:space="preserve">. 62 a 70 da </w:t>
        </w:r>
      </w:hyperlink>
      <w:r>
        <w:rPr>
          <w:rStyle w:val="ListLabel28"/>
          <w:rFonts w:eastAsiaTheme="minorHAnsi"/>
        </w:rPr>
        <w:t>Lei Federal nº 14.133/21</w:t>
      </w:r>
      <w:r>
        <w:rPr>
          <w:rFonts w:ascii="Arial" w:eastAsia="MS Mincho" w:hAnsi="Arial" w:cs="Arial"/>
          <w:sz w:val="24"/>
          <w:szCs w:val="24"/>
          <w:lang w:eastAsia="pt-BR"/>
        </w:rPr>
        <w:t xml:space="preserve"> e </w:t>
      </w:r>
      <w:proofErr w:type="spellStart"/>
      <w:r>
        <w:rPr>
          <w:rFonts w:ascii="Arial" w:eastAsia="MS Mincho" w:hAnsi="Arial" w:cs="Arial"/>
          <w:sz w:val="24"/>
          <w:szCs w:val="24"/>
          <w:lang w:eastAsia="pt-BR"/>
        </w:rPr>
        <w:t>arts</w:t>
      </w:r>
      <w:proofErr w:type="spellEnd"/>
      <w:r>
        <w:rPr>
          <w:rFonts w:ascii="Arial" w:eastAsia="MS Mincho" w:hAnsi="Arial" w:cs="Arial"/>
          <w:sz w:val="24"/>
          <w:szCs w:val="24"/>
          <w:lang w:eastAsia="pt-BR"/>
        </w:rPr>
        <w:t xml:space="preserve">. 32 a 36 do </w:t>
      </w:r>
      <w:proofErr w:type="spellStart"/>
      <w:r>
        <w:rPr>
          <w:rFonts w:ascii="Arial" w:eastAsia="MS Mincho" w:hAnsi="Arial" w:cs="Arial"/>
          <w:sz w:val="24"/>
          <w:szCs w:val="24"/>
          <w:lang w:eastAsia="pt-BR"/>
        </w:rPr>
        <w:t>do</w:t>
      </w:r>
      <w:proofErr w:type="spellEnd"/>
      <w:r>
        <w:rPr>
          <w:rFonts w:ascii="Arial" w:eastAsia="MS Mincho" w:hAnsi="Arial" w:cs="Arial"/>
          <w:sz w:val="24"/>
          <w:szCs w:val="24"/>
          <w:lang w:eastAsia="pt-BR"/>
        </w:rPr>
        <w:t xml:space="preserve"> Decreto Estadual nº 48.723/23, de 2023.</w:t>
      </w:r>
    </w:p>
    <w:p w14:paraId="23A7CF81"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8.2 A habilitação será verificada por meio do CAGEF, nos documentos por ele abrangidos.</w:t>
      </w:r>
    </w:p>
    <w:p w14:paraId="77D04B5F"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8.3 A documentação exigida para fins de habilitação jurídica, fiscal, social e trabalhista e econômico-</w:t>
      </w:r>
      <w:proofErr w:type="spellStart"/>
      <w:r>
        <w:rPr>
          <w:rFonts w:ascii="Arial" w:eastAsia="MS Mincho" w:hAnsi="Arial" w:cs="Arial"/>
          <w:sz w:val="24"/>
          <w:szCs w:val="24"/>
          <w:lang w:eastAsia="pt-BR"/>
        </w:rPr>
        <w:t>ﬁnanceira</w:t>
      </w:r>
      <w:proofErr w:type="spellEnd"/>
      <w:r>
        <w:rPr>
          <w:rFonts w:ascii="Arial" w:eastAsia="MS Mincho" w:hAnsi="Arial" w:cs="Arial"/>
          <w:sz w:val="24"/>
          <w:szCs w:val="24"/>
          <w:lang w:eastAsia="pt-BR"/>
        </w:rPr>
        <w:t>, poderá ser substituída, total ou parcialmente, pelo Certificado de Registro Cadastral – CRC, emitido eletronicamente por meio do Sistema Integrado de Administração de Materiais e Serviços do Estado de Minas Gerais (SIAD/MG), gerido pela Secretaria de Estado de Planejamento e Gestão de Minas Gerais (SEPLAG/MG).</w:t>
      </w:r>
    </w:p>
    <w:p w14:paraId="0CE86E9B"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8.4 É responsabilidade do fornecedor zelar pela exatidão de todos os seus dados no CAGEF e mantê-los atualizados, devendo solicitar, imediatamente, a correção ou a alteração do registro tão logo identifique incorreção ou desatualização, conforme previsto no art. 34 do Decreto Estadual nº 47.524/18.</w:t>
      </w:r>
    </w:p>
    <w:p w14:paraId="4BE7E3C9"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8.5 A não observância do disposto no item anterior poderá implicar na inabilitação do licitante. </w:t>
      </w:r>
    </w:p>
    <w:p w14:paraId="1A1A67B2"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8.6 A verificação pelo pregoeiro, em sítios eletrônicos oficiais de órgãos e entidades emissores de certidões constitui meio legal de prova, para fins de habilitação.</w:t>
      </w:r>
    </w:p>
    <w:p w14:paraId="0208CAB2" w14:textId="77777777" w:rsidR="00901CDC" w:rsidRDefault="00DD550A">
      <w:pPr>
        <w:spacing w:before="24" w:after="24" w:line="312" w:lineRule="auto"/>
        <w:jc w:val="both"/>
        <w:rPr>
          <w:rFonts w:ascii="Arial" w:eastAsia="MS Mincho" w:hAnsi="Arial" w:cs="Arial"/>
          <w:sz w:val="24"/>
          <w:szCs w:val="24"/>
          <w:lang w:eastAsia="pt-BR"/>
        </w:rPr>
      </w:pPr>
      <w:r>
        <w:rPr>
          <w:rFonts w:ascii="Arial" w:eastAsia="MS Mincho" w:hAnsi="Arial" w:cs="Arial"/>
          <w:sz w:val="24"/>
          <w:szCs w:val="24"/>
          <w:lang w:eastAsia="pt-BR"/>
        </w:rPr>
        <w:t>8.7 Os documentos exigidos para habilitação que não estejam contemplados no CAGEF serão enviados por meio do sistema, em formato digital, no prazo mínimo de 4 (quatro) horas, prorrogável por igual período, contado da solicitação do pregoeiro. A verificação no CAGEF ou a exigência dos documentos nele não contidos somente será feita em relação ao licitante vencedor.</w:t>
      </w:r>
    </w:p>
    <w:p w14:paraId="2654B687"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8.8 Os documentos relativos à regularidade fiscal que constem do Anexo IV somente serão exigidos, em qualquer caso, em momento posterior ao julgamento das propostas, e apenas do licitante mais bem classificado.</w:t>
      </w:r>
    </w:p>
    <w:p w14:paraId="1AEB24CD"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8.9 Ainda que o CRC contemple toda a documentação exigida no Edital, caso entenda necessário dirimir dúvida acerca da regularidade do licitante, o pregoeiro poderá exigir a apresentação de qualquer dos documentos exigidos para habilitação, bem como poderá proceder à consulta de certidões nos sítios eletrônicos públicos.</w:t>
      </w:r>
    </w:p>
    <w:p w14:paraId="49EF8917"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8.10 A apresentação do CRC não dispensa o envio do documento de identificação, com foto, contendo números do RG e CPF do representante legal da empresa licitante e, se for o caso, da procuração conferindo poderes ao signatário da proposta.</w:t>
      </w:r>
      <w:bookmarkStart w:id="139" w:name="_Ref114663777"/>
      <w:bookmarkEnd w:id="139"/>
    </w:p>
    <w:p w14:paraId="056B0F2D" w14:textId="77777777" w:rsidR="00901CDC" w:rsidRDefault="00DD550A">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8.11 Quando permitida a participação de empresas estrangeiras que não funcionem no País, as exigências de habilitação serão atendidas mediante documentos equivalentes, inicialmente apresentados em tradução livre.</w:t>
      </w:r>
    </w:p>
    <w:p w14:paraId="7731E053" w14:textId="77777777" w:rsidR="00901CDC" w:rsidRDefault="00DD550A">
      <w:pPr>
        <w:spacing w:before="288" w:after="288" w:line="312" w:lineRule="auto"/>
        <w:ind w:left="567"/>
        <w:jc w:val="both"/>
        <w:rPr>
          <w:rFonts w:ascii="Arial" w:eastAsia="MS Mincho" w:hAnsi="Arial" w:cs="Arial"/>
          <w:i/>
          <w:iCs/>
          <w:sz w:val="24"/>
          <w:szCs w:val="24"/>
          <w:lang w:eastAsia="pt-BR"/>
        </w:rPr>
      </w:pPr>
      <w:r>
        <w:rPr>
          <w:rFonts w:ascii="Arial" w:eastAsia="MS Mincho" w:hAnsi="Arial" w:cs="Arial"/>
          <w:sz w:val="24"/>
          <w:szCs w:val="24"/>
          <w:lang w:eastAsia="pt-BR"/>
        </w:rPr>
        <w:t xml:space="preserve">8.11.1 Na hipótese de o licitante vencedor ser empresa estrangeira que não funcione no País, para </w:t>
      </w:r>
      <w:proofErr w:type="spellStart"/>
      <w:r>
        <w:rPr>
          <w:rFonts w:ascii="Arial" w:eastAsia="MS Mincho" w:hAnsi="Arial" w:cs="Arial"/>
          <w:sz w:val="24"/>
          <w:szCs w:val="24"/>
          <w:lang w:eastAsia="pt-BR"/>
        </w:rPr>
        <w:t>ﬁns</w:t>
      </w:r>
      <w:proofErr w:type="spellEnd"/>
      <w:r>
        <w:rPr>
          <w:rFonts w:ascii="Arial" w:eastAsia="MS Mincho" w:hAnsi="Arial" w:cs="Arial"/>
          <w:sz w:val="24"/>
          <w:szCs w:val="24"/>
          <w:lang w:eastAsia="pt-BR"/>
        </w:rPr>
        <w:t xml:space="preserve"> de assinatura do contrato ou da ata de registro de preços, os documentos exigidos para a habilitação serão traduzidos por tradutor juramentado no País e apostilados nos termos do disposto no </w:t>
      </w:r>
      <w:hyperlink r:id="rId25">
        <w:r>
          <w:rPr>
            <w:rStyle w:val="ListLabel26"/>
          </w:rPr>
          <w:t>Decreto nº 8.660, de 29 de janeiro de 2016</w:t>
        </w:r>
      </w:hyperlink>
      <w:r>
        <w:rPr>
          <w:rFonts w:ascii="Arial" w:eastAsia="MS Mincho" w:hAnsi="Arial" w:cs="Arial"/>
          <w:sz w:val="24"/>
          <w:szCs w:val="24"/>
          <w:lang w:eastAsia="pt-BR"/>
        </w:rPr>
        <w:t xml:space="preserve">, ou de outro que venha a substituí-lo, ou </w:t>
      </w:r>
      <w:proofErr w:type="spellStart"/>
      <w:r>
        <w:rPr>
          <w:rFonts w:ascii="Arial" w:eastAsia="MS Mincho" w:hAnsi="Arial" w:cs="Arial"/>
          <w:sz w:val="24"/>
          <w:szCs w:val="24"/>
          <w:lang w:eastAsia="pt-BR"/>
        </w:rPr>
        <w:t>consularizados</w:t>
      </w:r>
      <w:proofErr w:type="spellEnd"/>
      <w:r>
        <w:rPr>
          <w:rFonts w:ascii="Arial" w:eastAsia="MS Mincho" w:hAnsi="Arial" w:cs="Arial"/>
          <w:sz w:val="24"/>
          <w:szCs w:val="24"/>
          <w:lang w:eastAsia="pt-BR"/>
        </w:rPr>
        <w:t xml:space="preserve"> pelos respectivos consulados ou embaixadas.</w:t>
      </w:r>
    </w:p>
    <w:p w14:paraId="4F77CC15" w14:textId="77777777" w:rsidR="00901CDC" w:rsidRDefault="00DD550A">
      <w:pPr>
        <w:spacing w:before="288" w:after="288" w:line="312" w:lineRule="auto"/>
        <w:jc w:val="both"/>
        <w:rPr>
          <w:rFonts w:ascii="Arial" w:eastAsia="MS Mincho" w:hAnsi="Arial" w:cs="Arial"/>
          <w:i/>
          <w:iCs/>
          <w:sz w:val="24"/>
          <w:szCs w:val="24"/>
          <w:lang w:eastAsia="pt-BR"/>
        </w:rPr>
      </w:pPr>
      <w:r>
        <w:rPr>
          <w:rFonts w:ascii="Arial" w:eastAsia="MS Mincho" w:hAnsi="Arial" w:cs="Arial"/>
          <w:sz w:val="24"/>
          <w:szCs w:val="24"/>
          <w:lang w:eastAsia="pt-BR"/>
        </w:rPr>
        <w:t>8.12 Quando houver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1DD2C41"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8.13 Os documentos exigidos para fins de habilitação poderão ser apresentados em original, por cópia ou por qualquer outro meio admitido pela Administração.</w:t>
      </w:r>
    </w:p>
    <w:p w14:paraId="1DDB5D9B" w14:textId="137FC936" w:rsidR="00901CDC" w:rsidRPr="00F51790" w:rsidRDefault="00DD550A">
      <w:pPr>
        <w:spacing w:before="288" w:after="288" w:line="312" w:lineRule="auto"/>
        <w:jc w:val="both"/>
        <w:rPr>
          <w:rFonts w:ascii="Arial" w:eastAsia="MS Mincho" w:hAnsi="Arial" w:cs="Arial"/>
          <w:sz w:val="24"/>
          <w:szCs w:val="24"/>
          <w:lang w:eastAsia="pt-BR"/>
        </w:rPr>
      </w:pPr>
      <w:r w:rsidRPr="00F51790">
        <w:rPr>
          <w:rFonts w:ascii="Arial" w:eastAsia="MS Mincho" w:hAnsi="Arial" w:cs="Arial"/>
          <w:sz w:val="24"/>
          <w:szCs w:val="24"/>
          <w:lang w:eastAsia="pt-BR"/>
        </w:rPr>
        <w:t>8.1</w:t>
      </w:r>
      <w:r w:rsidR="00DB1E23" w:rsidRPr="00F51790">
        <w:rPr>
          <w:rFonts w:ascii="Arial" w:eastAsia="MS Mincho" w:hAnsi="Arial" w:cs="Arial"/>
          <w:sz w:val="24"/>
          <w:szCs w:val="24"/>
          <w:lang w:eastAsia="pt-BR"/>
        </w:rPr>
        <w:t>4</w:t>
      </w:r>
      <w:r w:rsidRPr="00F51790">
        <w:rPr>
          <w:rFonts w:ascii="Arial" w:eastAsia="MS Mincho" w:hAnsi="Arial" w:cs="Arial"/>
          <w:sz w:val="24"/>
          <w:szCs w:val="24"/>
          <w:lang w:eastAsia="pt-BR"/>
        </w:rPr>
        <w:t xml:space="preserve"> Após a entrega dos documentos para habilitação, não será permitida a substituição ou a apresentação de novos documentos, salvo em sede de diligência, para (art. 64 da </w:t>
      </w:r>
      <w:r w:rsidRPr="00F51790">
        <w:rPr>
          <w:rFonts w:ascii="Arial" w:eastAsia="Times New Roman" w:hAnsi="Arial" w:cs="Arial"/>
          <w:color w:val="000000"/>
          <w:sz w:val="24"/>
          <w:szCs w:val="24"/>
          <w:lang w:eastAsia="pt-BR"/>
        </w:rPr>
        <w:t>Lei Federal nº 14.133/21</w:t>
      </w:r>
      <w:r w:rsidRPr="00F51790">
        <w:rPr>
          <w:rFonts w:ascii="Arial" w:eastAsia="MS Mincho" w:hAnsi="Arial" w:cs="Arial"/>
          <w:sz w:val="24"/>
          <w:szCs w:val="24"/>
          <w:lang w:eastAsia="pt-BR"/>
        </w:rPr>
        <w:t>):</w:t>
      </w:r>
    </w:p>
    <w:p w14:paraId="03A2B25E" w14:textId="0CECB01F" w:rsidR="00901CDC" w:rsidRPr="00F51790" w:rsidRDefault="00DD550A">
      <w:pPr>
        <w:spacing w:before="288" w:after="288" w:line="312" w:lineRule="auto"/>
        <w:ind w:left="708"/>
        <w:jc w:val="both"/>
        <w:rPr>
          <w:rFonts w:ascii="Arial" w:eastAsia="MS Mincho" w:hAnsi="Arial" w:cs="Arial"/>
          <w:i/>
          <w:iCs/>
          <w:sz w:val="24"/>
          <w:szCs w:val="24"/>
          <w:lang w:eastAsia="pt-BR"/>
        </w:rPr>
      </w:pPr>
      <w:r w:rsidRPr="00F51790">
        <w:rPr>
          <w:rFonts w:ascii="Arial" w:eastAsia="MS Mincho" w:hAnsi="Arial" w:cs="Arial"/>
          <w:sz w:val="24"/>
          <w:szCs w:val="24"/>
          <w:lang w:eastAsia="pt-BR"/>
        </w:rPr>
        <w:t>8.1</w:t>
      </w:r>
      <w:r w:rsidR="00DB1E23" w:rsidRPr="00F51790">
        <w:rPr>
          <w:rFonts w:ascii="Arial" w:eastAsia="MS Mincho" w:hAnsi="Arial" w:cs="Arial"/>
          <w:sz w:val="24"/>
          <w:szCs w:val="24"/>
          <w:lang w:eastAsia="pt-BR"/>
        </w:rPr>
        <w:t>4</w:t>
      </w:r>
      <w:r w:rsidRPr="00F51790">
        <w:rPr>
          <w:rFonts w:ascii="Arial" w:eastAsia="MS Mincho" w:hAnsi="Arial" w:cs="Arial"/>
          <w:sz w:val="24"/>
          <w:szCs w:val="24"/>
          <w:lang w:eastAsia="pt-BR"/>
        </w:rPr>
        <w:t>.1 Complementação de informações acerca dos documentos já apresentados pelos licitantes e desde que necessária para apurar fatos existentes à época da abertura do certame; e</w:t>
      </w:r>
    </w:p>
    <w:p w14:paraId="13A17653" w14:textId="37A84832" w:rsidR="00901CDC" w:rsidRPr="00F51790" w:rsidRDefault="00DD550A">
      <w:pPr>
        <w:spacing w:before="288" w:after="288" w:line="312" w:lineRule="auto"/>
        <w:ind w:left="708"/>
        <w:jc w:val="both"/>
        <w:rPr>
          <w:rFonts w:ascii="Arial" w:eastAsia="MS Mincho" w:hAnsi="Arial" w:cs="Arial"/>
          <w:i/>
          <w:iCs/>
          <w:sz w:val="24"/>
          <w:szCs w:val="24"/>
          <w:lang w:eastAsia="pt-BR"/>
        </w:rPr>
      </w:pPr>
      <w:r w:rsidRPr="00F51790">
        <w:rPr>
          <w:rFonts w:ascii="Arial" w:eastAsia="MS Mincho" w:hAnsi="Arial" w:cs="Arial"/>
          <w:sz w:val="24"/>
          <w:szCs w:val="24"/>
          <w:lang w:eastAsia="pt-BR"/>
        </w:rPr>
        <w:t>8.1</w:t>
      </w:r>
      <w:r w:rsidR="00DB1E23" w:rsidRPr="00F51790">
        <w:rPr>
          <w:rFonts w:ascii="Arial" w:eastAsia="MS Mincho" w:hAnsi="Arial" w:cs="Arial"/>
          <w:sz w:val="24"/>
          <w:szCs w:val="24"/>
          <w:lang w:eastAsia="pt-BR"/>
        </w:rPr>
        <w:t>4</w:t>
      </w:r>
      <w:r w:rsidRPr="00F51790">
        <w:rPr>
          <w:rFonts w:ascii="Arial" w:eastAsia="MS Mincho" w:hAnsi="Arial" w:cs="Arial"/>
          <w:sz w:val="24"/>
          <w:szCs w:val="24"/>
          <w:lang w:eastAsia="pt-BR"/>
        </w:rPr>
        <w:t>.2 Atualização de documentos cuja validade tenha expirado após a data de recebimento das propostas.</w:t>
      </w:r>
    </w:p>
    <w:p w14:paraId="34450E24" w14:textId="1C3A1586" w:rsidR="00901CDC" w:rsidRPr="00F51790" w:rsidRDefault="00DD550A">
      <w:pPr>
        <w:spacing w:before="288" w:after="288" w:line="312" w:lineRule="auto"/>
        <w:jc w:val="both"/>
        <w:rPr>
          <w:rFonts w:ascii="Arial" w:eastAsia="MS Mincho" w:hAnsi="Arial" w:cs="Arial"/>
          <w:i/>
          <w:sz w:val="24"/>
          <w:szCs w:val="24"/>
          <w:lang w:eastAsia="pt-BR"/>
        </w:rPr>
      </w:pPr>
      <w:bookmarkStart w:id="140" w:name="_Ref114670319"/>
      <w:r w:rsidRPr="00F51790">
        <w:rPr>
          <w:rFonts w:ascii="Arial" w:eastAsia="MS Mincho" w:hAnsi="Arial" w:cs="Arial"/>
          <w:sz w:val="24"/>
          <w:szCs w:val="24"/>
          <w:lang w:eastAsia="pt-BR"/>
        </w:rPr>
        <w:t>8.1</w:t>
      </w:r>
      <w:r w:rsidR="00DB1E23" w:rsidRPr="00F51790">
        <w:rPr>
          <w:rFonts w:ascii="Arial" w:eastAsia="MS Mincho" w:hAnsi="Arial" w:cs="Arial"/>
          <w:sz w:val="24"/>
          <w:szCs w:val="24"/>
          <w:lang w:eastAsia="pt-BR"/>
        </w:rPr>
        <w:t>5</w:t>
      </w:r>
      <w:r w:rsidRPr="00F51790">
        <w:rPr>
          <w:rFonts w:ascii="Arial" w:eastAsia="MS Mincho" w:hAnsi="Arial" w:cs="Arial"/>
          <w:sz w:val="24"/>
          <w:szCs w:val="24"/>
          <w:lang w:eastAsia="pt-BR"/>
        </w:rPr>
        <w:t xml:space="preserve"> 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F51790">
        <w:rPr>
          <w:rFonts w:ascii="Arial" w:eastAsia="MS Mincho" w:hAnsi="Arial" w:cs="Arial"/>
          <w:sz w:val="24"/>
          <w:szCs w:val="24"/>
          <w:lang w:eastAsia="pt-BR"/>
        </w:rPr>
        <w:t>eﬁcácia</w:t>
      </w:r>
      <w:proofErr w:type="spellEnd"/>
      <w:r w:rsidRPr="00F51790">
        <w:rPr>
          <w:rFonts w:ascii="Arial" w:eastAsia="MS Mincho" w:hAnsi="Arial" w:cs="Arial"/>
          <w:sz w:val="24"/>
          <w:szCs w:val="24"/>
          <w:lang w:eastAsia="pt-BR"/>
        </w:rPr>
        <w:t xml:space="preserve"> para fins de habilitação e classificação.</w:t>
      </w:r>
      <w:bookmarkEnd w:id="140"/>
    </w:p>
    <w:p w14:paraId="583C5990" w14:textId="0C8A1564" w:rsidR="00901CDC" w:rsidRPr="00F51790" w:rsidRDefault="00DD550A">
      <w:pPr>
        <w:spacing w:before="288" w:after="288" w:line="312" w:lineRule="auto"/>
        <w:jc w:val="both"/>
        <w:rPr>
          <w:rFonts w:ascii="Arial" w:eastAsia="MS Mincho" w:hAnsi="Arial" w:cs="Arial"/>
          <w:i/>
          <w:iCs/>
          <w:sz w:val="24"/>
          <w:szCs w:val="24"/>
          <w:lang w:eastAsia="pt-BR"/>
        </w:rPr>
      </w:pPr>
      <w:bookmarkStart w:id="141" w:name="_Ref114665528"/>
      <w:r w:rsidRPr="00F51790">
        <w:rPr>
          <w:rFonts w:ascii="Arial" w:eastAsia="MS Mincho" w:hAnsi="Arial" w:cs="Arial"/>
          <w:sz w:val="24"/>
          <w:szCs w:val="24"/>
          <w:lang w:eastAsia="pt-BR"/>
        </w:rPr>
        <w:t>8.1</w:t>
      </w:r>
      <w:r w:rsidR="00DB1E23" w:rsidRPr="00F51790">
        <w:rPr>
          <w:rFonts w:ascii="Arial" w:eastAsia="MS Mincho" w:hAnsi="Arial" w:cs="Arial"/>
          <w:sz w:val="24"/>
          <w:szCs w:val="24"/>
          <w:lang w:eastAsia="pt-BR"/>
        </w:rPr>
        <w:t>6</w:t>
      </w:r>
      <w:r w:rsidRPr="00F51790">
        <w:rPr>
          <w:rFonts w:ascii="Arial" w:eastAsia="MS Mincho" w:hAnsi="Arial" w:cs="Arial"/>
          <w:sz w:val="24"/>
          <w:szCs w:val="24"/>
          <w:lang w:eastAsia="pt-BR"/>
        </w:rPr>
        <w:t xml:space="preserve"> Na hipótese de o licitante não atender às exigências para habilitação, o pregoeiro examinará a proposta subsequente e assim sucessivamente, na ordem de classificação, até a apuração de uma proposta que atenda ao presente edital, </w:t>
      </w:r>
      <w:bookmarkEnd w:id="141"/>
    </w:p>
    <w:p w14:paraId="1E44C507" w14:textId="085B9B44" w:rsidR="00901CDC" w:rsidRPr="00F51790" w:rsidRDefault="00DD550A">
      <w:pPr>
        <w:spacing w:before="288" w:after="288" w:line="312" w:lineRule="auto"/>
        <w:jc w:val="both"/>
        <w:rPr>
          <w:rFonts w:ascii="Arial" w:eastAsia="MS Mincho" w:hAnsi="Arial" w:cs="Arial"/>
          <w:i/>
          <w:iCs/>
          <w:sz w:val="24"/>
          <w:szCs w:val="24"/>
          <w:lang w:eastAsia="pt-BR"/>
        </w:rPr>
      </w:pPr>
      <w:bookmarkStart w:id="142" w:name="_Ref114665515"/>
      <w:r w:rsidRPr="00F51790">
        <w:rPr>
          <w:rFonts w:ascii="Arial" w:eastAsia="MS Mincho" w:hAnsi="Arial" w:cs="Arial"/>
          <w:sz w:val="24"/>
          <w:szCs w:val="24"/>
          <w:lang w:eastAsia="pt-BR"/>
        </w:rPr>
        <w:t>8.1</w:t>
      </w:r>
      <w:r w:rsidR="00DB1E23" w:rsidRPr="00F51790">
        <w:rPr>
          <w:rFonts w:ascii="Arial" w:eastAsia="MS Mincho" w:hAnsi="Arial" w:cs="Arial"/>
          <w:sz w:val="24"/>
          <w:szCs w:val="24"/>
          <w:lang w:eastAsia="pt-BR"/>
        </w:rPr>
        <w:t>7</w:t>
      </w:r>
      <w:r w:rsidRPr="00F51790">
        <w:rPr>
          <w:rFonts w:ascii="Arial" w:eastAsia="MS Mincho" w:hAnsi="Arial" w:cs="Arial"/>
          <w:sz w:val="24"/>
          <w:szCs w:val="24"/>
          <w:lang w:eastAsia="pt-BR"/>
        </w:rPr>
        <w:t xml:space="preserve"> </w:t>
      </w:r>
      <w:bookmarkEnd w:id="142"/>
      <w:r w:rsidRPr="00F51790">
        <w:rPr>
          <w:rFonts w:ascii="Arial" w:eastAsia="MS Mincho" w:hAnsi="Arial" w:cs="Arial"/>
          <w:sz w:val="24"/>
          <w:szCs w:val="24"/>
          <w:lang w:eastAsia="pt-BR"/>
        </w:rPr>
        <w:t>Serão disponibilizados para acesso público os documentos de habilitação dos licitantes cuja análise foi realizada pelo pregoeiro, depois de definido o resultado do seu julgamento.</w:t>
      </w:r>
    </w:p>
    <w:p w14:paraId="4F475D9B" w14:textId="2EE2FA06" w:rsidR="00901CDC" w:rsidRDefault="00DD550A">
      <w:pPr>
        <w:jc w:val="both"/>
        <w:rPr>
          <w:rFonts w:ascii="Arial" w:eastAsia="MS Mincho" w:hAnsi="Arial" w:cs="Arial"/>
          <w:sz w:val="24"/>
          <w:szCs w:val="24"/>
          <w:lang w:eastAsia="pt-BR"/>
        </w:rPr>
      </w:pPr>
      <w:r w:rsidRPr="00F51790">
        <w:rPr>
          <w:rFonts w:ascii="Arial" w:eastAsia="MS Mincho" w:hAnsi="Arial" w:cs="Arial"/>
          <w:sz w:val="24"/>
          <w:szCs w:val="24"/>
          <w:lang w:eastAsia="pt-BR"/>
        </w:rPr>
        <w:t>8.1</w:t>
      </w:r>
      <w:r w:rsidR="00DB1E23" w:rsidRPr="00F51790">
        <w:rPr>
          <w:rFonts w:ascii="Arial" w:eastAsia="MS Mincho" w:hAnsi="Arial" w:cs="Arial"/>
          <w:sz w:val="24"/>
          <w:szCs w:val="24"/>
          <w:lang w:eastAsia="pt-BR"/>
        </w:rPr>
        <w:t>8</w:t>
      </w:r>
      <w:r w:rsidRPr="00F51790">
        <w:rPr>
          <w:rFonts w:ascii="Arial" w:eastAsia="MS Mincho" w:hAnsi="Arial" w:cs="Arial"/>
          <w:sz w:val="24"/>
          <w:szCs w:val="24"/>
          <w:lang w:eastAsia="pt-BR"/>
        </w:rPr>
        <w:t xml:space="preserve"> A comprovação de regularidade fiscal e trabalhista das microempresas e das empresas</w:t>
      </w:r>
      <w:r>
        <w:rPr>
          <w:rFonts w:ascii="Arial" w:eastAsia="MS Mincho" w:hAnsi="Arial" w:cs="Arial"/>
          <w:sz w:val="24"/>
          <w:szCs w:val="24"/>
          <w:lang w:eastAsia="pt-BR"/>
        </w:rPr>
        <w:t xml:space="preserve"> de pequeno porte somente será exigida para efeito de contratação, e não como condição para participação na licitação (art. 6º do Decreto Estadual nº 47.437/18).</w:t>
      </w:r>
    </w:p>
    <w:p w14:paraId="7FDEE8C2"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3" w:name="_Toc122606110"/>
      <w:bookmarkStart w:id="144" w:name="_Toc176954837"/>
      <w:r>
        <w:rPr>
          <w:rFonts w:ascii="Arial" w:eastAsia="MS Gothic" w:hAnsi="Arial" w:cs="Arial"/>
          <w:b/>
          <w:bCs/>
          <w:sz w:val="24"/>
          <w:szCs w:val="24"/>
          <w:lang w:eastAsia="pt-BR"/>
        </w:rPr>
        <w:t>9. DOS RECURSOS</w:t>
      </w:r>
      <w:bookmarkEnd w:id="143"/>
      <w:bookmarkEnd w:id="144"/>
    </w:p>
    <w:p w14:paraId="2594586F"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9.1</w:t>
      </w:r>
      <w:r>
        <w:rPr>
          <w:rFonts w:ascii="Arial" w:hAnsi="Arial" w:cs="Arial"/>
          <w:sz w:val="24"/>
          <w:szCs w:val="24"/>
        </w:rPr>
        <w:t xml:space="preserve"> Qualquer licitante poderá, no prazo de 10 (dez) minutos, de forma imediata após o término do julgamento das propostas e do ato de habilitação ou inabilitação, manifestar sua intenção de recorrer, sob pena de preclusão.</w:t>
      </w:r>
      <w:r>
        <w:rPr>
          <w:rFonts w:ascii="Arial" w:eastAsia="MS Mincho" w:hAnsi="Arial" w:cs="Arial"/>
          <w:sz w:val="24"/>
          <w:szCs w:val="24"/>
          <w:lang w:eastAsia="pt-BR"/>
        </w:rPr>
        <w:t xml:space="preserve"> </w:t>
      </w:r>
    </w:p>
    <w:p w14:paraId="47115AD6"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9.2 </w:t>
      </w:r>
      <w:r>
        <w:rPr>
          <w:rFonts w:ascii="Arial" w:hAnsi="Arial" w:cs="Arial"/>
          <w:sz w:val="24"/>
          <w:szCs w:val="24"/>
        </w:rPr>
        <w:t xml:space="preserve">O juízo de admissibilidade relativo às manifestações de intenção de recorrer será realizado após a etapa de manifestação de intenção de recorrer de que trata o subitem anterior ao final da etapa de habilitação. </w:t>
      </w:r>
    </w:p>
    <w:p w14:paraId="7FD6ACA3"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9.3 </w:t>
      </w:r>
      <w:r>
        <w:rPr>
          <w:rFonts w:ascii="Arial" w:hAnsi="Arial" w:cs="Arial"/>
          <w:sz w:val="24"/>
          <w:szCs w:val="24"/>
          <w:shd w:val="clear" w:color="auto" w:fill="FFFFFF"/>
        </w:rPr>
        <w:t>As razões do recurso deverão ser apresentadas em momento único, em campo próprio no sistema, no prazo de 3 dias úteis, contados a partir da notificação acerca da conclusão do juízo de admissibilidade, realizado pelo pregoeiro.</w:t>
      </w:r>
      <w:r>
        <w:rPr>
          <w:rFonts w:ascii="Arial" w:eastAsia="MS Mincho" w:hAnsi="Arial" w:cs="Arial"/>
          <w:sz w:val="24"/>
          <w:szCs w:val="24"/>
          <w:lang w:eastAsia="pt-BR"/>
        </w:rPr>
        <w:t xml:space="preserve"> </w:t>
      </w:r>
    </w:p>
    <w:p w14:paraId="69A9F4CE"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9.4 </w:t>
      </w:r>
      <w:r>
        <w:rPr>
          <w:rFonts w:ascii="Arial" w:hAnsi="Arial" w:cs="Arial"/>
          <w:sz w:val="24"/>
          <w:szCs w:val="24"/>
          <w:shd w:val="clear" w:color="auto" w:fill="FFFFFF"/>
        </w:rPr>
        <w:t>Os demais licitantes ficarão intimados para, se desejarem, apresentarem suas contrarrazões, no prazo de 3 dias úteis, contados da data final do prazo do recorrente, pelas mesmas formas de apresentação do recurso.</w:t>
      </w:r>
      <w:r>
        <w:rPr>
          <w:rFonts w:ascii="Arial" w:eastAsia="MS Mincho" w:hAnsi="Arial" w:cs="Arial"/>
          <w:sz w:val="24"/>
          <w:szCs w:val="24"/>
          <w:lang w:eastAsia="pt-BR"/>
        </w:rPr>
        <w:t xml:space="preserve"> </w:t>
      </w:r>
    </w:p>
    <w:p w14:paraId="38216BF6"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5379022"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9.6 Os recursos interpostos fora do prazo não serão conhecidos. </w:t>
      </w:r>
    </w:p>
    <w:p w14:paraId="6FA16B66"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9.7 O recurso terá efeito suspensivo do ato ou da decisão recorrida até que sobrevenha decisão final da autoridade competente. </w:t>
      </w:r>
    </w:p>
    <w:p w14:paraId="1EA21C6C"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9.8 O acolhimento do recurso invalida tão somente os atos insuscetíveis de aproveitamento. </w:t>
      </w:r>
    </w:p>
    <w:p w14:paraId="4C291228"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9.9 Recursos contra a decisão de anulação ou revogação do certame devem ser dirigidos ao Procurador-Geral de Justiça Adjunto Administrativo, observado o disposto no art. 42 do Decreto Estadual n. 48.723/23.</w:t>
      </w:r>
    </w:p>
    <w:p w14:paraId="5EAA67D7"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9.10 Os interessados em consultar os autos do processo licitatório poderão solicitar a consulta através do e-mail </w:t>
      </w:r>
      <w:hyperlink r:id="rId26">
        <w:r>
          <w:rPr>
            <w:rStyle w:val="ListLabel25"/>
          </w:rPr>
          <w:t>dgcl@mpmg.mp.br</w:t>
        </w:r>
      </w:hyperlink>
      <w:r>
        <w:rPr>
          <w:rFonts w:ascii="Arial" w:eastAsia="MS Mincho" w:hAnsi="Arial" w:cs="Arial"/>
          <w:sz w:val="24"/>
          <w:szCs w:val="24"/>
          <w:lang w:eastAsia="pt-BR"/>
        </w:rPr>
        <w:t>, sendo disponibilizado o processo na íntegra ou em parte através do arquivo em PDF, extraído do Sistema Eletrônico de Informações (SEI), que será encaminhado por e-mail ao solicitante, de segunda a sexta-feira, das 9 às 18 horas.</w:t>
      </w:r>
    </w:p>
    <w:p w14:paraId="4A5E7EBE"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45" w:name="_Toc176954838"/>
      <w:r>
        <w:rPr>
          <w:rFonts w:ascii="Arial" w:eastAsia="MS Gothic" w:hAnsi="Arial" w:cs="Arial"/>
          <w:b/>
          <w:bCs/>
          <w:sz w:val="24"/>
          <w:szCs w:val="24"/>
          <w:lang w:eastAsia="pt-BR"/>
        </w:rPr>
        <w:lastRenderedPageBreak/>
        <w:t>10. DA ADJUDICAÇÃO E DA HOMOLOGAÇÃO</w:t>
      </w:r>
      <w:bookmarkStart w:id="146" w:name="_Hlk130220426"/>
      <w:bookmarkEnd w:id="145"/>
    </w:p>
    <w:p w14:paraId="26311E7C" w14:textId="77777777" w:rsidR="00901CDC" w:rsidRDefault="00DD550A">
      <w:pPr>
        <w:widowControl w:val="0"/>
        <w:tabs>
          <w:tab w:val="decimal" w:pos="567"/>
        </w:tabs>
        <w:spacing w:before="120" w:after="120" w:line="360" w:lineRule="auto"/>
        <w:ind w:right="-8"/>
        <w:jc w:val="both"/>
        <w:rPr>
          <w:rFonts w:ascii="Arial" w:hAnsi="Arial" w:cs="Arial"/>
          <w:sz w:val="24"/>
          <w:szCs w:val="24"/>
          <w:lang w:eastAsia="pt-BR"/>
        </w:rPr>
      </w:pPr>
      <w:r>
        <w:rPr>
          <w:rFonts w:ascii="Arial" w:hAnsi="Arial" w:cs="Arial"/>
          <w:sz w:val="24"/>
          <w:szCs w:val="24"/>
          <w:shd w:val="clear" w:color="auto" w:fill="FFFFFF"/>
        </w:rPr>
        <w:t>10.1 E</w:t>
      </w:r>
      <w:r>
        <w:rPr>
          <w:rFonts w:ascii="Arial" w:hAnsi="Arial" w:cs="Arial"/>
          <w:sz w:val="24"/>
          <w:szCs w:val="24"/>
          <w:lang w:eastAsia="pt-BR"/>
        </w:rPr>
        <w:t>ncerradas as fases de julgamento e habilitação, e exauridos os recursos administrativos, o Pregoeiro registrará o preço do licitante vencedor.</w:t>
      </w:r>
    </w:p>
    <w:p w14:paraId="456B3E42" w14:textId="77777777" w:rsidR="00901CDC" w:rsidRDefault="00DD550A">
      <w:pPr>
        <w:spacing w:before="288" w:after="288" w:line="312" w:lineRule="auto"/>
        <w:jc w:val="both"/>
        <w:rPr>
          <w:rFonts w:ascii="Arial" w:hAnsi="Arial" w:cs="Arial"/>
          <w:sz w:val="24"/>
          <w:szCs w:val="24"/>
        </w:rPr>
      </w:pPr>
      <w:r>
        <w:rPr>
          <w:rFonts w:ascii="Arial" w:hAnsi="Arial" w:cs="Arial"/>
          <w:sz w:val="24"/>
          <w:szCs w:val="24"/>
        </w:rPr>
        <w:t>10.2 Após registrado o preço do licitante vencedor, o Pregoeiro convidará e incentivará os demais licitantes a realizarem o registro adicional de preços para compor o cadastro de reserva na forma do item 12 deste edital.</w:t>
      </w:r>
    </w:p>
    <w:p w14:paraId="3E404132" w14:textId="77777777" w:rsidR="00901CDC" w:rsidRDefault="00DD550A">
      <w:pPr>
        <w:spacing w:before="288" w:after="288" w:line="312" w:lineRule="auto"/>
        <w:jc w:val="both"/>
        <w:rPr>
          <w:rFonts w:ascii="Arial" w:eastAsia="MS Mincho" w:hAnsi="Arial" w:cs="Arial"/>
          <w:sz w:val="24"/>
          <w:szCs w:val="24"/>
          <w:lang w:eastAsia="pt-BR"/>
        </w:rPr>
      </w:pPr>
      <w:r>
        <w:rPr>
          <w:rStyle w:val="eop"/>
          <w:rFonts w:ascii="Arial" w:hAnsi="Arial" w:cs="Arial"/>
          <w:sz w:val="24"/>
          <w:szCs w:val="24"/>
        </w:rPr>
        <w:t>10.3 O</w:t>
      </w:r>
      <w:r>
        <w:rPr>
          <w:rFonts w:ascii="Arial" w:hAnsi="Arial" w:cs="Arial"/>
          <w:sz w:val="24"/>
          <w:szCs w:val="24"/>
          <w:lang w:eastAsia="pt-BR"/>
        </w:rPr>
        <w:t xml:space="preserve"> processo licitatório será encaminhado à autoridade superior </w:t>
      </w:r>
      <w:r>
        <w:rPr>
          <w:rFonts w:ascii="Arial" w:eastAsia="Arial" w:hAnsi="Arial" w:cs="Arial"/>
          <w:sz w:val="24"/>
          <w:szCs w:val="24"/>
        </w:rPr>
        <w:t>para adjudicar o objeto e homologar o procedimento, observado o disposto no art. 71 da</w:t>
      </w:r>
      <w:r>
        <w:rPr>
          <w:rFonts w:ascii="Arial" w:hAnsi="Arial" w:cs="Arial"/>
          <w:sz w:val="24"/>
          <w:szCs w:val="24"/>
        </w:rPr>
        <w:t xml:space="preserve"> </w:t>
      </w:r>
      <w:r>
        <w:rPr>
          <w:rFonts w:ascii="Arial" w:eastAsia="Times New Roman" w:hAnsi="Arial" w:cs="Arial"/>
          <w:color w:val="000000"/>
          <w:sz w:val="24"/>
          <w:szCs w:val="24"/>
          <w:lang w:eastAsia="pt-BR"/>
        </w:rPr>
        <w:t>Lei Federal nº 14.133/21</w:t>
      </w:r>
      <w:r>
        <w:rPr>
          <w:rFonts w:ascii="Arial" w:eastAsia="Arial" w:hAnsi="Arial" w:cs="Arial"/>
          <w:sz w:val="24"/>
          <w:szCs w:val="24"/>
        </w:rPr>
        <w:t>.</w:t>
      </w:r>
    </w:p>
    <w:p w14:paraId="4211DF20" w14:textId="77777777" w:rsidR="00901CDC" w:rsidRDefault="00DD550A">
      <w:pPr>
        <w:pStyle w:val="PargrafodaLista"/>
        <w:widowControl w:val="0"/>
        <w:tabs>
          <w:tab w:val="decimal" w:pos="567"/>
        </w:tabs>
        <w:spacing w:before="120" w:after="120" w:line="360" w:lineRule="auto"/>
        <w:ind w:left="0" w:right="-8"/>
        <w:jc w:val="both"/>
        <w:rPr>
          <w:rFonts w:eastAsia="Arial"/>
        </w:rPr>
      </w:pPr>
      <w:r>
        <w:rPr>
          <w:rFonts w:eastAsia="Arial"/>
        </w:rPr>
        <w:t>10.4 Ao homologar o procedimento, as informações serão enviadas ao PNCP automaticamente, e ficarão disponíveis para consulta no Portal de Compras.</w:t>
      </w:r>
    </w:p>
    <w:p w14:paraId="42A99ECC" w14:textId="77777777" w:rsidR="00901CDC" w:rsidRDefault="00DD550A">
      <w:pPr>
        <w:pStyle w:val="itemnivel3"/>
        <w:tabs>
          <w:tab w:val="decimal" w:pos="1134"/>
        </w:tabs>
        <w:suppressAutoHyphens/>
        <w:spacing w:before="120" w:beforeAutospacing="0" w:after="120" w:afterAutospacing="0" w:line="360" w:lineRule="auto"/>
        <w:ind w:left="710" w:right="-8"/>
        <w:jc w:val="both"/>
        <w:rPr>
          <w:rFonts w:ascii="Arial" w:eastAsia="Arial" w:hAnsi="Arial" w:cs="Arial"/>
        </w:rPr>
      </w:pPr>
      <w:r>
        <w:rPr>
          <w:rFonts w:ascii="Arial" w:eastAsia="Arial" w:hAnsi="Arial" w:cs="Arial"/>
        </w:rPr>
        <w:t xml:space="preserve">10.4.1 A ata ficará disponível no sítio </w:t>
      </w:r>
      <w:r>
        <w:rPr>
          <w:rFonts w:ascii="Arial" w:eastAsia="MS Mincho" w:hAnsi="Arial" w:cs="Arial"/>
        </w:rPr>
        <w:t>www.compras.mg.gov.br.</w:t>
      </w:r>
      <w:r>
        <w:rPr>
          <w:rFonts w:ascii="Arial" w:eastAsia="Arial" w:hAnsi="Arial" w:cs="Arial"/>
        </w:rPr>
        <w:t>Portal de Compras, bem como será apensada aos autos do processo de contratação.</w:t>
      </w:r>
    </w:p>
    <w:p w14:paraId="003DDF97" w14:textId="77777777" w:rsidR="00901CDC" w:rsidRDefault="00DD550A">
      <w:pPr>
        <w:keepNext/>
        <w:keepLines/>
        <w:tabs>
          <w:tab w:val="left" w:pos="567"/>
        </w:tabs>
        <w:spacing w:before="288" w:after="288" w:line="312" w:lineRule="auto"/>
        <w:jc w:val="both"/>
        <w:outlineLvl w:val="0"/>
        <w:rPr>
          <w:rFonts w:ascii="Arial" w:eastAsia="MS Mincho" w:hAnsi="Arial" w:cs="Arial"/>
          <w:b/>
          <w:sz w:val="24"/>
          <w:szCs w:val="24"/>
          <w:lang w:eastAsia="pt-BR"/>
        </w:rPr>
      </w:pPr>
      <w:bookmarkStart w:id="147" w:name="_Toc176954839"/>
      <w:r>
        <w:rPr>
          <w:rFonts w:ascii="Arial" w:eastAsia="MS Gothic" w:hAnsi="Arial" w:cs="Arial"/>
          <w:b/>
          <w:bCs/>
          <w:sz w:val="24"/>
          <w:szCs w:val="24"/>
          <w:lang w:eastAsia="pt-BR"/>
        </w:rPr>
        <w:t xml:space="preserve">11. </w:t>
      </w:r>
      <w:r>
        <w:rPr>
          <w:rFonts w:ascii="Arial" w:eastAsia="MS Mincho" w:hAnsi="Arial" w:cs="Arial"/>
          <w:b/>
          <w:sz w:val="24"/>
          <w:szCs w:val="24"/>
          <w:lang w:eastAsia="pt-BR"/>
        </w:rPr>
        <w:t>DA ATA DE REGISTRO DE PREÇOS</w:t>
      </w:r>
      <w:bookmarkEnd w:id="147"/>
    </w:p>
    <w:p w14:paraId="60B75169" w14:textId="77777777" w:rsidR="00901CDC" w:rsidRDefault="00DD550A">
      <w:pPr>
        <w:pStyle w:val="PargrafodaLista"/>
        <w:widowControl w:val="0"/>
        <w:numPr>
          <w:ilvl w:val="1"/>
          <w:numId w:val="3"/>
        </w:numPr>
        <w:tabs>
          <w:tab w:val="decimal" w:pos="567"/>
        </w:tabs>
        <w:spacing w:before="120" w:after="120" w:line="360" w:lineRule="auto"/>
        <w:ind w:left="0" w:right="-8" w:firstLine="0"/>
        <w:jc w:val="both"/>
        <w:rPr>
          <w:rFonts w:eastAsia="Arial"/>
        </w:rPr>
      </w:pPr>
      <w:r>
        <w:rPr>
          <w:rFonts w:eastAsia="Arial"/>
        </w:rPr>
        <w:t xml:space="preserve">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w:t>
      </w:r>
      <w:r>
        <w:rPr>
          <w:color w:val="000000"/>
          <w:lang w:eastAsia="pt-BR"/>
        </w:rPr>
        <w:t>Lei Federal nº 14.133/21</w:t>
      </w:r>
      <w:r>
        <w:rPr>
          <w:rFonts w:eastAsia="Arial"/>
        </w:rPr>
        <w:t>.</w:t>
      </w:r>
    </w:p>
    <w:p w14:paraId="73BB13C4" w14:textId="77777777" w:rsidR="00901CDC" w:rsidRDefault="00DD550A">
      <w:pPr>
        <w:pStyle w:val="itemnivel3"/>
        <w:numPr>
          <w:ilvl w:val="2"/>
          <w:numId w:val="3"/>
        </w:numPr>
        <w:tabs>
          <w:tab w:val="decimal" w:pos="1134"/>
        </w:tabs>
        <w:suppressAutoHyphens/>
        <w:spacing w:before="120" w:beforeAutospacing="0" w:after="0" w:afterAutospacing="0" w:line="360" w:lineRule="auto"/>
        <w:ind w:left="709" w:right="-8" w:firstLine="11"/>
        <w:jc w:val="both"/>
        <w:rPr>
          <w:rFonts w:ascii="Arial" w:eastAsia="Arial" w:hAnsi="Arial" w:cs="Arial"/>
        </w:rPr>
      </w:pPr>
      <w:bookmarkStart w:id="148" w:name="_Toc161865855"/>
      <w:r>
        <w:rPr>
          <w:rFonts w:ascii="Arial" w:eastAsia="Arial" w:hAnsi="Arial" w:cs="Arial"/>
        </w:rPr>
        <w:t xml:space="preserve"> O prazo previsto acima poderá ser prorrogado uma vez, por igual período, mediante solicitação do convocado, devidamente justificada e dentro do prazo, e desde que o motivo apresentado seja aceito pelo órgão ou pela entidade gerenciadora.</w:t>
      </w:r>
      <w:bookmarkEnd w:id="148"/>
    </w:p>
    <w:p w14:paraId="6AF240A2" w14:textId="77777777" w:rsidR="00901CDC" w:rsidRDefault="00DD550A">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49" w:name="_Toc161865856"/>
      <w:r>
        <w:rPr>
          <w:rFonts w:eastAsia="Arial"/>
        </w:rPr>
        <w:t>Na hipótese de o convocado não assinar a ARP no prazo e nas condições estabelecidos, o órgão gerenciador poderá convocar os licitantes ou fornecedores remanescentes do cadastro de reserva, na ordem de classificação, para assinar a ARP em igual prazo e nas condições propostas pelo primeiro classificado.</w:t>
      </w:r>
      <w:bookmarkEnd w:id="149"/>
    </w:p>
    <w:p w14:paraId="6AA67F8F" w14:textId="77777777" w:rsidR="00901CDC" w:rsidRDefault="00DD550A">
      <w:pPr>
        <w:pStyle w:val="itemnivel3"/>
        <w:numPr>
          <w:ilvl w:val="2"/>
          <w:numId w:val="3"/>
        </w:numPr>
        <w:tabs>
          <w:tab w:val="decimal" w:pos="1134"/>
        </w:tabs>
        <w:suppressAutoHyphens/>
        <w:spacing w:before="120" w:beforeAutospacing="0" w:after="0" w:afterAutospacing="0" w:line="360" w:lineRule="auto"/>
        <w:ind w:left="567" w:right="-8" w:firstLine="0"/>
        <w:jc w:val="both"/>
        <w:rPr>
          <w:rFonts w:ascii="Arial" w:eastAsia="Arial" w:hAnsi="Arial" w:cs="Arial"/>
        </w:rPr>
      </w:pPr>
      <w:bookmarkStart w:id="150" w:name="_Toc161865857"/>
      <w:r>
        <w:rPr>
          <w:rFonts w:ascii="Arial" w:eastAsia="Arial" w:hAnsi="Arial" w:cs="Arial"/>
        </w:rPr>
        <w:lastRenderedPageBreak/>
        <w:t>Na hipótese de nenhum dos licitantes ou fornecedores de que trata o item acima aceitar a contratação, o órgão gerenciador, observados o valor estimado e sua eventual atualização nos termos do instrumento convocatório, poderá:</w:t>
      </w:r>
      <w:bookmarkEnd w:id="150"/>
    </w:p>
    <w:p w14:paraId="107882C5" w14:textId="77777777" w:rsidR="00901CDC" w:rsidRDefault="00DD550A">
      <w:pPr>
        <w:pStyle w:val="PargrafodaLista"/>
        <w:widowControl w:val="0"/>
        <w:numPr>
          <w:ilvl w:val="3"/>
          <w:numId w:val="3"/>
        </w:numPr>
        <w:tabs>
          <w:tab w:val="left" w:pos="1701"/>
        </w:tabs>
        <w:spacing w:before="120" w:after="120" w:line="360" w:lineRule="auto"/>
        <w:ind w:left="1134" w:right="-8" w:firstLine="0"/>
        <w:jc w:val="both"/>
        <w:rPr>
          <w:lang w:eastAsia="pt-BR"/>
        </w:rPr>
      </w:pPr>
      <w:bookmarkStart w:id="151" w:name="_Toc161865858"/>
      <w:r>
        <w:rPr>
          <w:lang w:eastAsia="pt-BR"/>
        </w:rPr>
        <w:t>convocar os licitantes ou fornecedores remanescentes que mantiveram a sua proposta original para negociação, na ordem de classificação, com vistas à obtenção de preço melhor, mesmo que acima do preço do adjudicatário;</w:t>
      </w:r>
      <w:bookmarkEnd w:id="151"/>
    </w:p>
    <w:p w14:paraId="7A3D6FAB" w14:textId="77777777" w:rsidR="00901CDC" w:rsidRDefault="00DD550A">
      <w:pPr>
        <w:pStyle w:val="PargrafodaLista"/>
        <w:widowControl w:val="0"/>
        <w:numPr>
          <w:ilvl w:val="3"/>
          <w:numId w:val="3"/>
        </w:numPr>
        <w:tabs>
          <w:tab w:val="left" w:pos="1701"/>
        </w:tabs>
        <w:spacing w:before="120" w:after="120" w:line="360" w:lineRule="auto"/>
        <w:ind w:left="1134" w:right="-8" w:firstLine="0"/>
        <w:jc w:val="both"/>
        <w:rPr>
          <w:lang w:eastAsia="pt-BR"/>
        </w:rPr>
      </w:pPr>
      <w:bookmarkStart w:id="152" w:name="_Toc161865859"/>
      <w:r>
        <w:rPr>
          <w:lang w:eastAsia="pt-BR"/>
        </w:rPr>
        <w:t>adjudicar e firmar a ARP nas condições ofertadas pelos licitantes ou fornecedores remanescentes, observada a ordem de classificação, quando frustrada a negociação de melhor condição.</w:t>
      </w:r>
      <w:bookmarkEnd w:id="152"/>
    </w:p>
    <w:p w14:paraId="21F1E47D" w14:textId="77777777" w:rsidR="00901CDC" w:rsidRDefault="00DD550A">
      <w:pPr>
        <w:pStyle w:val="PargrafodaLista"/>
        <w:widowControl w:val="0"/>
        <w:numPr>
          <w:ilvl w:val="1"/>
          <w:numId w:val="3"/>
        </w:numPr>
        <w:tabs>
          <w:tab w:val="decimal" w:pos="567"/>
          <w:tab w:val="decimal" w:pos="1134"/>
        </w:tabs>
        <w:spacing w:before="120" w:after="120" w:line="360" w:lineRule="auto"/>
        <w:ind w:left="0" w:right="-8" w:firstLine="0"/>
        <w:jc w:val="both"/>
        <w:rPr>
          <w:lang w:eastAsia="pt-BR"/>
        </w:rPr>
      </w:pPr>
      <w:bookmarkStart w:id="153" w:name="_Toc161865860"/>
      <w:r>
        <w:rPr>
          <w:rFonts w:eastAsia="Arial"/>
        </w:rPr>
        <w:t xml:space="preserve"> A assinatura da ata de registro de preços e demais atos firmados com a Administração </w:t>
      </w:r>
      <w:r>
        <w:rPr>
          <w:iCs/>
        </w:rPr>
        <w:t xml:space="preserve">ocorrerá obrigatoriamente via Sistema Eletrônico de Informações (SEI), mediante cadastro como usuário externo. </w:t>
      </w:r>
      <w:bookmarkEnd w:id="153"/>
    </w:p>
    <w:p w14:paraId="57D76281" w14:textId="77777777" w:rsidR="00901CDC" w:rsidRDefault="00DD550A">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54" w:name="_Toc161865865"/>
      <w:r>
        <w:rPr>
          <w:rFonts w:eastAsia="Arial"/>
        </w:rPr>
        <w:t>As informações do preço registrado, com a indicação dos fornecedores serão enviadas ao PNCP automaticamente, e ficarão disponíveis para consulta no Portal de Compras.</w:t>
      </w:r>
      <w:bookmarkEnd w:id="154"/>
    </w:p>
    <w:p w14:paraId="7CEAD98F" w14:textId="77777777" w:rsidR="00901CDC" w:rsidRDefault="00DD550A">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55" w:name="_Toc161865866"/>
      <w:r>
        <w:rPr>
          <w:rFonts w:eastAsia="Arial"/>
        </w:rPr>
        <w:t>A recusa injustificada do licitante vencedor em assinar a ata de registro de preços no prazo estabelecido pela Administração caracterizará o descumprimento total da obrigação assumida e o sujeitará às penalidades legalmente estabelecidas e à imediata perda da garantia de proposta em favor do órgão ou da entidade promotora da licitação.</w:t>
      </w:r>
      <w:bookmarkEnd w:id="155"/>
    </w:p>
    <w:p w14:paraId="58A935F7" w14:textId="77777777" w:rsidR="00901CDC" w:rsidRDefault="00DD550A">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56" w:name="_Toc161865867"/>
      <w:r>
        <w:rPr>
          <w:rFonts w:eastAsia="Arial"/>
        </w:rPr>
        <w:t>Decorrido o prazo de validade da proposta indicado no edital sem convocação para a assinatura da ata de registro de preços, ficarão os licitantes liberados dos compromissos assumidos.</w:t>
      </w:r>
      <w:bookmarkEnd w:id="156"/>
    </w:p>
    <w:p w14:paraId="6E8817AC" w14:textId="77777777" w:rsidR="00901CDC" w:rsidRDefault="00DD550A">
      <w:pPr>
        <w:pStyle w:val="PargrafodaLista"/>
        <w:widowControl w:val="0"/>
        <w:numPr>
          <w:ilvl w:val="1"/>
          <w:numId w:val="3"/>
        </w:numPr>
        <w:tabs>
          <w:tab w:val="decimal" w:pos="567"/>
        </w:tabs>
        <w:spacing w:before="120" w:after="120" w:line="360" w:lineRule="auto"/>
        <w:ind w:left="0" w:right="-8" w:firstLine="0"/>
        <w:jc w:val="both"/>
        <w:rPr>
          <w:rFonts w:eastAsia="Arial"/>
        </w:rPr>
      </w:pPr>
      <w:bookmarkStart w:id="157" w:name="_Toc161865879"/>
      <w:r>
        <w:rPr>
          <w:rFonts w:eastAsia="Arial"/>
        </w:rPr>
        <w:t>As regras referentes à vigência e às alterações da Ata de Registro de Preços e ao cancelamento do registro do Fornecedor e dos preços registrados estão dispostas na Ata de Registro de Preços (Anexo I).</w:t>
      </w:r>
      <w:bookmarkEnd w:id="157"/>
      <w:r>
        <w:rPr>
          <w:rFonts w:eastAsia="Arial"/>
        </w:rPr>
        <w:t xml:space="preserve"> </w:t>
      </w:r>
    </w:p>
    <w:p w14:paraId="7601249B" w14:textId="77777777" w:rsidR="00901CDC" w:rsidRDefault="00DD550A">
      <w:pPr>
        <w:pStyle w:val="PargrafodaLista"/>
        <w:widowControl w:val="0"/>
        <w:tabs>
          <w:tab w:val="decimal" w:pos="567"/>
        </w:tabs>
        <w:spacing w:before="120" w:after="120" w:line="360" w:lineRule="auto"/>
        <w:ind w:left="567" w:right="-8"/>
        <w:jc w:val="both"/>
        <w:rPr>
          <w:rFonts w:eastAsia="Arial"/>
        </w:rPr>
      </w:pPr>
      <w:r>
        <w:rPr>
          <w:rFonts w:eastAsia="Arial"/>
        </w:rPr>
        <w:t xml:space="preserve">11.7.1 </w:t>
      </w:r>
      <w:r>
        <w:t xml:space="preserve">A ARP poderá ser prorrogada, desde que comprovado que o preço é </w:t>
      </w:r>
      <w:r>
        <w:lastRenderedPageBreak/>
        <w:t>vantajoso, nos termos do art. 84 da Lei nº 14.133/2021 e do art. 20 do Decreto nº 48.779/24.</w:t>
      </w:r>
    </w:p>
    <w:p w14:paraId="24E649B8" w14:textId="77777777" w:rsidR="00901CDC" w:rsidRDefault="00DD550A">
      <w:pPr>
        <w:keepNext/>
        <w:keepLines/>
        <w:tabs>
          <w:tab w:val="left" w:pos="567"/>
        </w:tabs>
        <w:spacing w:before="120" w:after="240" w:line="360" w:lineRule="auto"/>
        <w:jc w:val="both"/>
        <w:outlineLvl w:val="0"/>
        <w:rPr>
          <w:rFonts w:ascii="Arial" w:eastAsia="MS Gothic" w:hAnsi="Arial" w:cs="Arial"/>
          <w:b/>
          <w:bCs/>
          <w:sz w:val="24"/>
          <w:szCs w:val="24"/>
          <w:lang w:eastAsia="pt-BR"/>
        </w:rPr>
      </w:pPr>
      <w:bookmarkStart w:id="158" w:name="_Toc160206111"/>
      <w:bookmarkStart w:id="159" w:name="_Toc176954840"/>
      <w:r>
        <w:rPr>
          <w:rFonts w:ascii="Arial" w:eastAsia="MS Gothic" w:hAnsi="Arial" w:cs="Arial"/>
          <w:b/>
          <w:bCs/>
          <w:sz w:val="24"/>
          <w:szCs w:val="24"/>
          <w:lang w:eastAsia="pt-BR"/>
        </w:rPr>
        <w:t>12. DA FORMAÇÃO DO CADASTRO DE RESERVA</w:t>
      </w:r>
      <w:bookmarkEnd w:id="158"/>
      <w:bookmarkEnd w:id="159"/>
    </w:p>
    <w:p w14:paraId="31A6D19D" w14:textId="77777777" w:rsidR="00901CDC" w:rsidRDefault="00DD550A">
      <w:pPr>
        <w:spacing w:before="120" w:after="240" w:line="360" w:lineRule="auto"/>
        <w:jc w:val="both"/>
        <w:rPr>
          <w:rFonts w:ascii="Arial" w:eastAsia="Arial" w:hAnsi="Arial" w:cs="Arial"/>
          <w:kern w:val="2"/>
          <w:sz w:val="24"/>
          <w:szCs w:val="24"/>
          <w:lang w:eastAsia="ar-SA"/>
        </w:rPr>
      </w:pPr>
      <w:r>
        <w:rPr>
          <w:rFonts w:ascii="Arial" w:eastAsia="MS Mincho" w:hAnsi="Arial" w:cs="Arial"/>
          <w:sz w:val="24"/>
          <w:szCs w:val="24"/>
          <w:lang w:eastAsia="pt-BR"/>
        </w:rPr>
        <w:t>12.1</w:t>
      </w:r>
      <w:r>
        <w:rPr>
          <w:rFonts w:ascii="Arial" w:eastAsia="MS Mincho" w:hAnsi="Arial" w:cs="Arial"/>
          <w:sz w:val="24"/>
          <w:szCs w:val="24"/>
          <w:lang w:eastAsia="pt-BR"/>
        </w:rPr>
        <w:tab/>
      </w:r>
      <w:r>
        <w:rPr>
          <w:rFonts w:ascii="Arial" w:eastAsia="Arial" w:hAnsi="Arial" w:cs="Arial"/>
          <w:kern w:val="2"/>
          <w:sz w:val="24"/>
          <w:szCs w:val="24"/>
          <w:lang w:eastAsia="ar-SA"/>
        </w:rPr>
        <w:t>Após a homologação da licitação, será incluído na ata, na forma de anexo, o registro:</w:t>
      </w:r>
    </w:p>
    <w:p w14:paraId="67C44F98" w14:textId="77777777" w:rsidR="00901CDC" w:rsidRDefault="00DD550A">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12.1.1</w:t>
      </w:r>
      <w:r>
        <w:rPr>
          <w:rFonts w:ascii="Arial" w:eastAsia="Arial" w:hAnsi="Arial" w:cs="Arial"/>
          <w:kern w:val="2"/>
          <w:sz w:val="24"/>
          <w:szCs w:val="24"/>
          <w:lang w:eastAsia="ar-SA"/>
        </w:rPr>
        <w:tab/>
        <w:t xml:space="preserve">dos licitantes que aceitarem cotar o objeto com preço igual ao do adjudicatário, observada a classificação na licitação; e </w:t>
      </w:r>
    </w:p>
    <w:p w14:paraId="712E7912" w14:textId="77777777" w:rsidR="00901CDC" w:rsidRDefault="00DD550A">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12.1.2</w:t>
      </w:r>
      <w:r>
        <w:rPr>
          <w:rFonts w:ascii="Arial" w:eastAsia="Arial" w:hAnsi="Arial" w:cs="Arial"/>
          <w:kern w:val="2"/>
          <w:sz w:val="24"/>
          <w:szCs w:val="24"/>
          <w:lang w:eastAsia="ar-SA"/>
        </w:rPr>
        <w:tab/>
        <w:t>dos licitantes que mantiverem sua proposta original.</w:t>
      </w:r>
    </w:p>
    <w:p w14:paraId="1EE7953D" w14:textId="77777777" w:rsidR="00901CDC" w:rsidRDefault="00DD550A">
      <w:pPr>
        <w:spacing w:before="120" w:after="120" w:line="360" w:lineRule="auto"/>
        <w:jc w:val="both"/>
        <w:rPr>
          <w:rFonts w:ascii="Arial" w:eastAsia="Arial" w:hAnsi="Arial" w:cs="Arial"/>
          <w:kern w:val="2"/>
          <w:sz w:val="24"/>
          <w:szCs w:val="24"/>
          <w:lang w:eastAsia="ar-SA"/>
        </w:rPr>
      </w:pPr>
      <w:r>
        <w:rPr>
          <w:rFonts w:ascii="Arial" w:eastAsia="Arial" w:hAnsi="Arial" w:cs="Arial"/>
          <w:kern w:val="2"/>
          <w:sz w:val="24"/>
          <w:szCs w:val="24"/>
          <w:lang w:eastAsia="ar-SA"/>
        </w:rPr>
        <w:t>12.2 Será respeitada, nas contratações, a ordem de classificação dos licitantes ou fornecedores registrados na ata.</w:t>
      </w:r>
    </w:p>
    <w:p w14:paraId="3554F5A4" w14:textId="77777777" w:rsidR="00901CDC" w:rsidRDefault="00DD550A">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12.2.1</w:t>
      </w:r>
      <w:r>
        <w:rPr>
          <w:rFonts w:ascii="Arial" w:eastAsia="Arial" w:hAnsi="Arial" w:cs="Arial"/>
          <w:kern w:val="2"/>
          <w:sz w:val="24"/>
          <w:szCs w:val="24"/>
          <w:lang w:eastAsia="ar-SA"/>
        </w:rPr>
        <w:tab/>
        <w:t xml:space="preserve">A apresentação de novas propostas na forma deste item não prejudicará o resultado do certame em relação ao licitante mais bem classificado. </w:t>
      </w:r>
    </w:p>
    <w:p w14:paraId="17605C10" w14:textId="77777777" w:rsidR="00901CDC" w:rsidRDefault="00DD550A">
      <w:pPr>
        <w:spacing w:before="120" w:after="120" w:line="360" w:lineRule="auto"/>
        <w:ind w:left="567"/>
        <w:jc w:val="both"/>
        <w:rPr>
          <w:rFonts w:ascii="Arial" w:eastAsia="Arial" w:hAnsi="Arial" w:cs="Arial"/>
          <w:kern w:val="2"/>
          <w:sz w:val="24"/>
          <w:szCs w:val="24"/>
          <w:lang w:eastAsia="ar-SA"/>
        </w:rPr>
      </w:pPr>
      <w:r>
        <w:rPr>
          <w:rFonts w:ascii="Arial" w:eastAsia="Arial" w:hAnsi="Arial" w:cs="Arial"/>
          <w:kern w:val="2"/>
          <w:sz w:val="24"/>
          <w:szCs w:val="24"/>
          <w:lang w:eastAsia="ar-SA"/>
        </w:rPr>
        <w:t>12.2.2</w:t>
      </w:r>
      <w:r>
        <w:rPr>
          <w:rFonts w:ascii="Arial" w:eastAsia="Arial" w:hAnsi="Arial" w:cs="Arial"/>
          <w:kern w:val="2"/>
          <w:sz w:val="24"/>
          <w:szCs w:val="24"/>
          <w:lang w:eastAsia="ar-SA"/>
        </w:rPr>
        <w:tab/>
        <w:t>Para fins da ordem de classificação, os licitantes ou fornecedores que aceitarem cotar o objeto com preço igual ao do adjudicatário antecederão aqueles que mantiverem sua proposta original.</w:t>
      </w:r>
    </w:p>
    <w:p w14:paraId="66B8903A" w14:textId="77777777" w:rsidR="00901CDC" w:rsidRDefault="00DD550A">
      <w:pPr>
        <w:pStyle w:val="PargrafodaLista"/>
        <w:widowControl w:val="0"/>
        <w:tabs>
          <w:tab w:val="decimal" w:pos="567"/>
        </w:tabs>
        <w:spacing w:before="120" w:after="120" w:line="360" w:lineRule="auto"/>
        <w:ind w:left="0" w:right="-8"/>
        <w:jc w:val="both"/>
        <w:rPr>
          <w:rFonts w:eastAsia="Arial"/>
        </w:rPr>
      </w:pPr>
      <w:r>
        <w:rPr>
          <w:rFonts w:eastAsia="Arial"/>
        </w:rPr>
        <w:t>12.3</w:t>
      </w:r>
      <w:r>
        <w:rPr>
          <w:rFonts w:eastAsia="Arial"/>
        </w:rPr>
        <w:tab/>
        <w:t xml:space="preserve"> </w:t>
      </w:r>
      <w:bookmarkStart w:id="160" w:name="_Toc161865875"/>
      <w:r>
        <w:rPr>
          <w:rFonts w:eastAsia="Arial"/>
        </w:rPr>
        <w:t>A verificação da conformidade das propostas e a habilitação dos licitantes que comporão o cadastro de reserva serão efetuadas somente quando houver necessidade de contratação dos licitantes remanescentes, nas seguintes hipóteses:</w:t>
      </w:r>
      <w:bookmarkEnd w:id="160"/>
      <w:r>
        <w:rPr>
          <w:rFonts w:eastAsia="Arial"/>
        </w:rPr>
        <w:t> </w:t>
      </w:r>
    </w:p>
    <w:p w14:paraId="5181E6AC" w14:textId="77777777" w:rsidR="00901CDC" w:rsidRDefault="00DD550A">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12.3.1 quando o licitante vencedor não assinar a ata de registro de preços no prazo e nas condições estabelecidos no edital; ou</w:t>
      </w:r>
    </w:p>
    <w:p w14:paraId="7F7B3A02" w14:textId="77777777" w:rsidR="00901CDC" w:rsidRDefault="00DD550A">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12.3.2 quando houver o cancelamento do registro do fornecedor ou do registro de preços, nas hipóteses previstas nos art. 28 e art. 29 do Decreto Estadual nº 48.779/24.</w:t>
      </w:r>
    </w:p>
    <w:p w14:paraId="356D63A6" w14:textId="77777777" w:rsidR="00901CDC" w:rsidRDefault="00DD550A">
      <w:pPr>
        <w:spacing w:before="120" w:after="120" w:line="360" w:lineRule="auto"/>
        <w:jc w:val="both"/>
        <w:rPr>
          <w:rFonts w:ascii="Arial" w:eastAsia="MS Mincho" w:hAnsi="Arial" w:cs="Arial"/>
          <w:sz w:val="24"/>
          <w:szCs w:val="24"/>
          <w:lang w:eastAsia="pt-BR"/>
        </w:rPr>
      </w:pPr>
      <w:r>
        <w:rPr>
          <w:rFonts w:ascii="Arial" w:eastAsia="MS Mincho" w:hAnsi="Arial" w:cs="Arial"/>
          <w:sz w:val="24"/>
          <w:szCs w:val="24"/>
          <w:lang w:eastAsia="pt-BR"/>
        </w:rPr>
        <w:t>12.4</w:t>
      </w:r>
      <w:r>
        <w:rPr>
          <w:rFonts w:ascii="Arial" w:eastAsia="MS Mincho" w:hAnsi="Arial" w:cs="Arial"/>
          <w:sz w:val="24"/>
          <w:szCs w:val="24"/>
          <w:lang w:eastAsia="pt-BR"/>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094BA23" w14:textId="77777777" w:rsidR="00901CDC" w:rsidRDefault="00DD550A">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12.4.1</w:t>
      </w:r>
      <w:r>
        <w:rPr>
          <w:rFonts w:ascii="Arial" w:eastAsia="MS Mincho" w:hAnsi="Arial" w:cs="Arial"/>
          <w:sz w:val="24"/>
          <w:szCs w:val="24"/>
          <w:lang w:eastAsia="pt-BR"/>
        </w:rPr>
        <w:tab/>
        <w:t xml:space="preserve"> convocar os licitantes que mantiveram sua proposta original para negociação, na ordem de classificação, com vistas à obtenção de preço melhor, mesmo que acima do preço do adjudicatário; ou</w:t>
      </w:r>
    </w:p>
    <w:p w14:paraId="24B59A99" w14:textId="77777777" w:rsidR="00901CDC" w:rsidRDefault="00DD550A">
      <w:pPr>
        <w:spacing w:before="120" w:after="120" w:line="360"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12.4.2</w:t>
      </w:r>
      <w:r>
        <w:rPr>
          <w:rFonts w:ascii="Arial" w:eastAsia="MS Mincho" w:hAnsi="Arial" w:cs="Arial"/>
          <w:sz w:val="24"/>
          <w:szCs w:val="24"/>
          <w:lang w:eastAsia="pt-BR"/>
        </w:rPr>
        <w:tab/>
        <w:t xml:space="preserve"> adjudicar e firmar o contrato nas condições ofertadas pelos licitantes remanescentes, observada a ordem de classificação, quando frustrada a negociação de melhor condição.</w:t>
      </w:r>
    </w:p>
    <w:p w14:paraId="65F896CD"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61" w:name="_Toc122606111"/>
      <w:bookmarkStart w:id="162" w:name="_Toc176954841"/>
      <w:bookmarkEnd w:id="146"/>
      <w:r>
        <w:rPr>
          <w:rFonts w:ascii="Arial" w:eastAsia="MS Gothic" w:hAnsi="Arial" w:cs="Arial"/>
          <w:b/>
          <w:bCs/>
          <w:sz w:val="24"/>
          <w:szCs w:val="24"/>
          <w:lang w:eastAsia="pt-BR"/>
        </w:rPr>
        <w:t>13. DAS INFRAÇÕES ADMINISTRATIVAS E SANÇÕES</w:t>
      </w:r>
      <w:bookmarkEnd w:id="161"/>
      <w:bookmarkEnd w:id="162"/>
    </w:p>
    <w:p w14:paraId="0CBE31A9"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13.1 Comete infração administrativa, nos termos da lei, o licitante que, com dolo ou culpa: </w:t>
      </w:r>
    </w:p>
    <w:p w14:paraId="7783C52E" w14:textId="77777777" w:rsidR="00901CDC" w:rsidRDefault="00DD550A">
      <w:pPr>
        <w:spacing w:before="288" w:after="288" w:line="312" w:lineRule="auto"/>
        <w:ind w:left="567"/>
        <w:jc w:val="both"/>
        <w:rPr>
          <w:rFonts w:ascii="Arial" w:eastAsia="MS Mincho" w:hAnsi="Arial" w:cs="Arial"/>
          <w:sz w:val="24"/>
          <w:szCs w:val="24"/>
          <w:lang w:eastAsia="pt-BR"/>
        </w:rPr>
      </w:pPr>
      <w:bookmarkStart w:id="163" w:name="_Ref114668085"/>
      <w:r>
        <w:rPr>
          <w:rFonts w:ascii="Arial" w:eastAsia="MS Mincho" w:hAnsi="Arial" w:cs="Arial"/>
          <w:sz w:val="24"/>
          <w:szCs w:val="24"/>
          <w:lang w:eastAsia="pt-BR"/>
        </w:rPr>
        <w:t>13.1.1 Deixar de entregar a documentação exigida para o certame ou não entregar qualquer documento que tenha sido solicitado pelo/a pregoeiro/a durante o certame;</w:t>
      </w:r>
      <w:bookmarkEnd w:id="163"/>
    </w:p>
    <w:p w14:paraId="15307D09" w14:textId="77777777" w:rsidR="00901CDC" w:rsidRDefault="00DD550A">
      <w:pPr>
        <w:spacing w:before="288" w:after="288" w:line="312" w:lineRule="auto"/>
        <w:ind w:left="567"/>
        <w:jc w:val="both"/>
        <w:rPr>
          <w:rFonts w:ascii="Arial" w:eastAsia="MS Mincho" w:hAnsi="Arial" w:cs="Arial"/>
          <w:strike/>
          <w:sz w:val="24"/>
          <w:szCs w:val="24"/>
          <w:lang w:eastAsia="pt-BR"/>
        </w:rPr>
      </w:pPr>
      <w:bookmarkStart w:id="164" w:name="_Ref114668108"/>
      <w:r>
        <w:rPr>
          <w:rFonts w:ascii="Arial" w:eastAsia="MS Mincho" w:hAnsi="Arial" w:cs="Arial"/>
          <w:sz w:val="24"/>
          <w:szCs w:val="24"/>
          <w:lang w:eastAsia="pt-BR"/>
        </w:rPr>
        <w:t xml:space="preserve">13.1.2 Salvo em decorrência de fato superveniente devidamente justificado, não mantiver a proposta, nos termos do art. 155, inciso V, da </w:t>
      </w:r>
      <w:r>
        <w:rPr>
          <w:rFonts w:ascii="Arial" w:eastAsia="Times New Roman" w:hAnsi="Arial" w:cs="Arial"/>
          <w:color w:val="000000"/>
          <w:sz w:val="24"/>
          <w:szCs w:val="24"/>
          <w:lang w:eastAsia="pt-BR"/>
        </w:rPr>
        <w:t>Lei Federal nº 14.133/21</w:t>
      </w:r>
      <w:bookmarkEnd w:id="164"/>
      <w:r>
        <w:rPr>
          <w:rFonts w:ascii="Arial" w:eastAsia="MS Mincho" w:hAnsi="Arial" w:cs="Arial"/>
          <w:sz w:val="24"/>
          <w:szCs w:val="24"/>
          <w:lang w:eastAsia="pt-BR"/>
        </w:rPr>
        <w:t>;</w:t>
      </w:r>
    </w:p>
    <w:p w14:paraId="0039778C" w14:textId="77777777" w:rsidR="00901CDC" w:rsidRDefault="00DD550A">
      <w:pPr>
        <w:spacing w:before="288" w:after="288" w:line="312" w:lineRule="auto"/>
        <w:ind w:left="567"/>
        <w:jc w:val="both"/>
        <w:rPr>
          <w:rFonts w:ascii="Arial" w:eastAsia="MS Mincho" w:hAnsi="Arial" w:cs="Arial"/>
          <w:sz w:val="24"/>
          <w:szCs w:val="24"/>
          <w:lang w:eastAsia="pt-BR"/>
        </w:rPr>
      </w:pPr>
      <w:bookmarkStart w:id="165" w:name="_Ref114668139"/>
      <w:r>
        <w:rPr>
          <w:rFonts w:ascii="Arial" w:eastAsia="MS Mincho" w:hAnsi="Arial" w:cs="Arial"/>
          <w:sz w:val="24"/>
          <w:szCs w:val="24"/>
          <w:lang w:eastAsia="pt-BR"/>
        </w:rPr>
        <w:t>13.1.3 Não celebrar o contrato ou não entregar a documentação exigida para a contratação, quando convocado dentro do prazo de validade de sua proposta;</w:t>
      </w:r>
      <w:bookmarkEnd w:id="165"/>
    </w:p>
    <w:p w14:paraId="37ABEEF5"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13.1.3.1 Recusar-se, sem justificativa, a assinar o contrato ou a ata de registro de preço, ou a aceitar ou retirar o instrumento equivalente no prazo estabelecido pela Administração;</w:t>
      </w:r>
    </w:p>
    <w:p w14:paraId="59FAF037" w14:textId="77777777" w:rsidR="00901CDC" w:rsidRDefault="00DD550A">
      <w:pPr>
        <w:spacing w:before="288" w:after="288" w:line="312" w:lineRule="auto"/>
        <w:ind w:left="567"/>
        <w:jc w:val="both"/>
        <w:rPr>
          <w:rFonts w:ascii="Arial" w:eastAsia="MS Mincho" w:hAnsi="Arial" w:cs="Arial"/>
          <w:sz w:val="24"/>
          <w:szCs w:val="24"/>
          <w:lang w:eastAsia="pt-BR"/>
        </w:rPr>
      </w:pPr>
      <w:bookmarkStart w:id="166" w:name="_Ref114668249"/>
      <w:r>
        <w:rPr>
          <w:rFonts w:ascii="Arial" w:eastAsia="MS Mincho" w:hAnsi="Arial" w:cs="Arial"/>
          <w:sz w:val="24"/>
          <w:szCs w:val="24"/>
          <w:lang w:eastAsia="pt-BR"/>
        </w:rPr>
        <w:t>13.1.4 Apresentar declaração ou documentação falsa exigida para o certame ou prestar declaração falsa durante a licitação</w:t>
      </w:r>
      <w:bookmarkEnd w:id="166"/>
      <w:r>
        <w:rPr>
          <w:rFonts w:ascii="Arial" w:eastAsia="MS Mincho" w:hAnsi="Arial" w:cs="Arial"/>
          <w:sz w:val="24"/>
          <w:szCs w:val="24"/>
          <w:lang w:eastAsia="pt-BR"/>
        </w:rPr>
        <w:t>;</w:t>
      </w:r>
      <w:bookmarkStart w:id="167" w:name="_Ref114668245"/>
    </w:p>
    <w:p w14:paraId="0ADE5396"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13.1.5 Fraudar a licitação</w:t>
      </w:r>
      <w:bookmarkEnd w:id="167"/>
      <w:r>
        <w:rPr>
          <w:rFonts w:ascii="Arial" w:eastAsia="MS Mincho" w:hAnsi="Arial" w:cs="Arial"/>
          <w:sz w:val="24"/>
          <w:szCs w:val="24"/>
          <w:lang w:eastAsia="pt-BR"/>
        </w:rPr>
        <w:t>;</w:t>
      </w:r>
    </w:p>
    <w:p w14:paraId="0E3960A9" w14:textId="77777777" w:rsidR="00901CDC" w:rsidRDefault="00DD550A">
      <w:pPr>
        <w:spacing w:before="288" w:after="288" w:line="312" w:lineRule="auto"/>
        <w:ind w:left="567"/>
        <w:jc w:val="both"/>
        <w:rPr>
          <w:rFonts w:ascii="Arial" w:eastAsia="MS Mincho" w:hAnsi="Arial" w:cs="Arial"/>
          <w:sz w:val="24"/>
          <w:szCs w:val="24"/>
          <w:lang w:eastAsia="pt-BR"/>
        </w:rPr>
      </w:pPr>
      <w:bookmarkStart w:id="168" w:name="_Hlk161333677"/>
      <w:bookmarkStart w:id="169" w:name="_Ref114668247"/>
      <w:r>
        <w:rPr>
          <w:rFonts w:ascii="Arial" w:eastAsia="MS Mincho" w:hAnsi="Arial" w:cs="Arial"/>
          <w:sz w:val="24"/>
          <w:szCs w:val="24"/>
          <w:lang w:eastAsia="pt-BR"/>
        </w:rPr>
        <w:t xml:space="preserve">13.1.6 </w:t>
      </w:r>
      <w:bookmarkEnd w:id="168"/>
      <w:r>
        <w:rPr>
          <w:rFonts w:ascii="Arial" w:eastAsia="MS Mincho" w:hAnsi="Arial" w:cs="Arial"/>
          <w:sz w:val="24"/>
          <w:szCs w:val="24"/>
          <w:lang w:eastAsia="pt-BR"/>
        </w:rPr>
        <w:t>Comportar-se de modo inidôneo ou cometer fraude de qualquer natureza, em especial quando:</w:t>
      </w:r>
      <w:bookmarkEnd w:id="169"/>
    </w:p>
    <w:p w14:paraId="4A3DEB97"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 xml:space="preserve">13.1.6.1 Agir em conluio ou em desconformidade com a lei; </w:t>
      </w:r>
    </w:p>
    <w:p w14:paraId="4483E289"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lastRenderedPageBreak/>
        <w:t xml:space="preserve">13.1.6.2 Induzir deliberadamente a erro no julgamento; </w:t>
      </w:r>
    </w:p>
    <w:p w14:paraId="12968414" w14:textId="77777777" w:rsidR="00901CDC" w:rsidRDefault="00DD550A">
      <w:pPr>
        <w:spacing w:before="288" w:after="288" w:line="312" w:lineRule="auto"/>
        <w:ind w:left="1134"/>
        <w:jc w:val="both"/>
        <w:rPr>
          <w:rFonts w:ascii="Arial" w:eastAsia="MS Mincho" w:hAnsi="Arial" w:cs="Arial"/>
          <w:sz w:val="24"/>
          <w:szCs w:val="24"/>
          <w:lang w:eastAsia="pt-BR"/>
        </w:rPr>
      </w:pPr>
      <w:r>
        <w:rPr>
          <w:rFonts w:ascii="Arial" w:eastAsia="MS Mincho" w:hAnsi="Arial" w:cs="Arial"/>
          <w:sz w:val="24"/>
          <w:szCs w:val="24"/>
          <w:lang w:eastAsia="pt-BR"/>
        </w:rPr>
        <w:t xml:space="preserve">13.1.6.3 Apresentar amostra falsificada ou deteriorada; </w:t>
      </w:r>
      <w:bookmarkStart w:id="170" w:name="_Ref114668251"/>
    </w:p>
    <w:p w14:paraId="3355B2BB"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13.1.7 Praticar atos ilícitos com vistas a frustrar os objetivos da licitação</w:t>
      </w:r>
      <w:bookmarkEnd w:id="170"/>
      <w:r>
        <w:rPr>
          <w:rFonts w:ascii="Arial" w:eastAsia="MS Mincho" w:hAnsi="Arial" w:cs="Arial"/>
          <w:sz w:val="24"/>
          <w:szCs w:val="24"/>
          <w:lang w:eastAsia="pt-BR"/>
        </w:rPr>
        <w:t>;</w:t>
      </w:r>
    </w:p>
    <w:p w14:paraId="79B68400" w14:textId="77777777" w:rsidR="00901CDC" w:rsidRDefault="00DD550A">
      <w:pPr>
        <w:spacing w:before="288" w:after="288" w:line="312" w:lineRule="auto"/>
        <w:ind w:left="567"/>
        <w:jc w:val="both"/>
        <w:rPr>
          <w:rFonts w:ascii="Arial" w:eastAsia="MS Mincho" w:hAnsi="Arial" w:cs="Arial"/>
          <w:sz w:val="24"/>
          <w:szCs w:val="24"/>
          <w:lang w:eastAsia="pt-BR"/>
        </w:rPr>
      </w:pPr>
      <w:bookmarkStart w:id="171" w:name="_Ref114668252"/>
      <w:r>
        <w:rPr>
          <w:rFonts w:ascii="Arial" w:eastAsia="MS Mincho" w:hAnsi="Arial" w:cs="Arial"/>
          <w:sz w:val="24"/>
          <w:szCs w:val="24"/>
          <w:lang w:eastAsia="pt-BR"/>
        </w:rPr>
        <w:t xml:space="preserve">13.1.8 Praticar ato lesivo previsto no </w:t>
      </w:r>
      <w:hyperlink r:id="rId27" w:anchor="art5" w:history="1">
        <w:r>
          <w:rPr>
            <w:rStyle w:val="ListLabel26"/>
          </w:rPr>
          <w:t>art. 5º da Lei n.º 12.846, de 2013</w:t>
        </w:r>
      </w:hyperlink>
      <w:r>
        <w:rPr>
          <w:rFonts w:ascii="Arial" w:eastAsia="MS Mincho" w:hAnsi="Arial" w:cs="Arial"/>
          <w:sz w:val="24"/>
          <w:szCs w:val="24"/>
          <w:lang w:eastAsia="pt-BR"/>
        </w:rPr>
        <w:t>.</w:t>
      </w:r>
      <w:bookmarkStart w:id="172" w:name="_Hlk114652595"/>
      <w:bookmarkEnd w:id="171"/>
      <w:bookmarkEnd w:id="172"/>
    </w:p>
    <w:p w14:paraId="69F2EC8F"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13.2 Com fulcro na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xml:space="preserve">, a Administração poderá, garantida a prévia defesa, aplicar aos licitantes e/ou adjudicatários as seguintes sanções, sem prejuízo das responsabilidades civil e criminal: </w:t>
      </w:r>
    </w:p>
    <w:p w14:paraId="276A0DD5"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 xml:space="preserve">13.2.1 advertência; </w:t>
      </w:r>
    </w:p>
    <w:p w14:paraId="2AA15CBA"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13.2.2 multa;</w:t>
      </w:r>
    </w:p>
    <w:p w14:paraId="0B6F15D4"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13.2.3 impedimento de licitar e contratar; e</w:t>
      </w:r>
    </w:p>
    <w:p w14:paraId="3FA519B7"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13.2.4 declaração de inidoneidade para licitar ou contratar.</w:t>
      </w:r>
    </w:p>
    <w:p w14:paraId="3BD8680F"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13.3 Na aplicação das sanções serão considerados:</w:t>
      </w:r>
    </w:p>
    <w:p w14:paraId="781CD479"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13.3.1 A natureza e a gravidade da infração cometida;</w:t>
      </w:r>
    </w:p>
    <w:p w14:paraId="05101BAC"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13.3.2 As peculiaridades do caso concreto;</w:t>
      </w:r>
    </w:p>
    <w:p w14:paraId="560256BF"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13.3.3 As circunstâncias agravantes ou atenuantes;</w:t>
      </w:r>
    </w:p>
    <w:p w14:paraId="32C6BF3F"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13.3.4 Os danos que dela provierem para a Administração Pública;</w:t>
      </w:r>
    </w:p>
    <w:p w14:paraId="0DA38FE8"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13.3.5 A implantação ou o aperfeiçoamento de programa de integridade, conforme normas e orientações dos órgãos de controle.</w:t>
      </w:r>
    </w:p>
    <w:p w14:paraId="56D47DB6"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13.4 A multa será fixada em percentual de 0,5% a 30% incidente sobre o valor do objeto licitado, recolhida no prazo máximo de </w:t>
      </w:r>
      <w:r>
        <w:rPr>
          <w:rFonts w:ascii="Arial" w:eastAsia="MS Mincho" w:hAnsi="Arial" w:cs="Arial"/>
          <w:b/>
          <w:bCs/>
          <w:sz w:val="24"/>
          <w:szCs w:val="24"/>
          <w:lang w:eastAsia="pt-BR"/>
        </w:rPr>
        <w:t>15 (quinze) dias</w:t>
      </w:r>
      <w:r>
        <w:rPr>
          <w:rFonts w:ascii="Arial" w:eastAsia="MS Mincho" w:hAnsi="Arial" w:cs="Arial"/>
          <w:sz w:val="24"/>
          <w:szCs w:val="24"/>
          <w:lang w:eastAsia="pt-BR"/>
        </w:rPr>
        <w:t xml:space="preserve"> úteis, a contar da comunicação oficial. </w:t>
      </w:r>
    </w:p>
    <w:p w14:paraId="30E7A56E"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13.4.1 Para as infrações previstas nos itens 13.1.1, 13.1.2 e 13.1.3, a multa será de 0,5% a 30% do valor do contrato licitado.</w:t>
      </w:r>
      <w:bookmarkStart w:id="173" w:name="_Hlk113876035"/>
      <w:bookmarkEnd w:id="173"/>
    </w:p>
    <w:p w14:paraId="41C23F88"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lastRenderedPageBreak/>
        <w:t>13.4.2 Para as infrações previstas nos itens 13.1.4, 13.1.5, 13.1.6, 13.1.7, 13.1.8, a multa será de 15% a 30% do valor do contrato licitado.</w:t>
      </w:r>
    </w:p>
    <w:p w14:paraId="540C24B0"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13.5 As sanções de advertência, impedimento de licitar e contratar e declaração de inidoneidade para licitar ou contratar poderão ser aplicadas, cumulativamente ou não, à penalidade de multa.</w:t>
      </w:r>
    </w:p>
    <w:p w14:paraId="70E85D6F"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13.6 A sanção de impedimento de licitar e contratar poderá ser aplicada ao responsável em decorrência das infrações administrativas relacionadas nos itens 13.1.1, 13.1.2, 13.1.3, quando não se justificar a imposição de penalidade mais grave, e impedirá o responsável de licitar e contratar no âmbito da Administração Pública direta e indireta do ente federativo a qual pertencer o órgão ou entidade, observado o disposto no art. 156, §4º,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w:t>
      </w:r>
    </w:p>
    <w:p w14:paraId="1D5561F0"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13.7 Poderá ser aplicada ao responsável a sanção de declaração de inidoneidade para licitar ou contratar, em decorrência da prática das infrações dispostas nos itens 13.1.4, 13.1.5, 13.1.6, 13.1.7, 13.1.8, bem como pelas infrações administrativas previstas nos itens 13.1.1, 13.1.2, 13.1.3 que justifiquem a imposição de penalidade mais grave que a sanção de impedimento de licitar e contratar, nos termos do </w:t>
      </w:r>
      <w:hyperlink r:id="rId28" w:anchor="art156§5" w:history="1">
        <w:r>
          <w:rPr>
            <w:rStyle w:val="ListLabel28"/>
            <w:rFonts w:eastAsia="MS Mincho"/>
          </w:rPr>
          <w:t xml:space="preserve">art. 156, §5º, </w:t>
        </w:r>
      </w:hyperlink>
      <w:r>
        <w:rPr>
          <w:rStyle w:val="ListLabel28"/>
          <w:rFonts w:eastAsiaTheme="minorHAnsi"/>
        </w:rPr>
        <w:t>Lei Federal nº 14.133/21</w:t>
      </w:r>
      <w:r>
        <w:rPr>
          <w:rFonts w:ascii="Arial" w:eastAsia="MS Mincho" w:hAnsi="Arial" w:cs="Arial"/>
          <w:sz w:val="24"/>
          <w:szCs w:val="24"/>
          <w:lang w:eastAsia="pt-BR"/>
        </w:rPr>
        <w:t>.</w:t>
      </w:r>
    </w:p>
    <w:p w14:paraId="6F9AFC57"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13.8 A recusa injustificada do adjudicatário em assinar o contrato ou a ata de registro de preço, ou em aceitar ou retirar o instrumento equivalente no prazo estabelecido pela Administração, descrita no item 13.1.3.1, caracterizará o descumprimento total da obrigação assumida e o sujeitará às penalidades e à imediata perda da eventual garantia de proposta em favor do órgão ou entidade promotora da licitação. </w:t>
      </w:r>
    </w:p>
    <w:p w14:paraId="27CF92BD"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13.9 A apuração de responsabilidade relativa ao cometimento dos ilícitos administrativos dispostos nesse edital ocorrerá por meio de instauração do devido processo administrativo, resguardando-se aos interessados os direitos de contraditório e ampla defesa, observados os ditames da </w:t>
      </w:r>
      <w:r>
        <w:rPr>
          <w:rFonts w:ascii="Arial" w:eastAsia="Times New Roman" w:hAnsi="Arial" w:cs="Arial"/>
          <w:color w:val="000000"/>
          <w:sz w:val="24"/>
          <w:szCs w:val="24"/>
          <w:lang w:eastAsia="pt-BR"/>
        </w:rPr>
        <w:t>Lei Federal nº 14.133/21</w:t>
      </w:r>
      <w:r>
        <w:rPr>
          <w:rFonts w:ascii="Arial" w:eastAsia="MS Mincho" w:hAnsi="Arial" w:cs="Arial"/>
          <w:sz w:val="24"/>
          <w:szCs w:val="24"/>
          <w:lang w:eastAsia="pt-BR"/>
        </w:rPr>
        <w:t>, regulamentada, nesse aspecto, pela Resolução PGJ nº 02/2023.</w:t>
      </w:r>
    </w:p>
    <w:p w14:paraId="613D1D52"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13.10 A aplicação das sanções previstas neste edital não exclui, em hipótese alguma, a obrigação de reparação integral dos danos causados à Administração.</w:t>
      </w:r>
    </w:p>
    <w:p w14:paraId="009AC9A1"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74" w:name="_Toc176954842"/>
      <w:r>
        <w:rPr>
          <w:rFonts w:ascii="Arial" w:eastAsia="MS Gothic" w:hAnsi="Arial" w:cs="Arial"/>
          <w:b/>
          <w:bCs/>
          <w:sz w:val="24"/>
          <w:szCs w:val="24"/>
          <w:lang w:eastAsia="pt-BR"/>
        </w:rPr>
        <w:lastRenderedPageBreak/>
        <w:t>14. DA CONTRATAÇÃO</w:t>
      </w:r>
      <w:bookmarkEnd w:id="174"/>
    </w:p>
    <w:p w14:paraId="4D35DC1C" w14:textId="77777777" w:rsidR="00901CDC" w:rsidRDefault="00DD550A">
      <w:pPr>
        <w:pStyle w:val="PargrafodaLista"/>
        <w:widowControl w:val="0"/>
        <w:tabs>
          <w:tab w:val="decimal" w:pos="567"/>
        </w:tabs>
        <w:spacing w:before="120" w:after="120" w:line="360" w:lineRule="auto"/>
        <w:ind w:left="0" w:right="-6"/>
        <w:jc w:val="both"/>
        <w:rPr>
          <w:rFonts w:eastAsia="Arial"/>
        </w:rPr>
      </w:pPr>
      <w:bookmarkStart w:id="175" w:name="_Toc161865881"/>
      <w:r>
        <w:rPr>
          <w:rFonts w:eastAsia="Arial"/>
        </w:rPr>
        <w:t>14.1 A contratação com os fornecedores com preços registrados na ata será formalizada pelo órgão ou pela entidade interessada por intermédio de instrumento contratual, emissão da autorização de fornecimento, ordem de serviço ou outro instrumento hábil, conforme o disposto no art. 95 da Lei Federal nº 14.133, de 2021.</w:t>
      </w:r>
      <w:bookmarkEnd w:id="175"/>
    </w:p>
    <w:p w14:paraId="264A07F9"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6" w:name="_Toc161865882"/>
      <w:r>
        <w:rPr>
          <w:rFonts w:ascii="Arial" w:eastAsia="Arial" w:hAnsi="Arial" w:cs="Arial"/>
        </w:rPr>
        <w:t>14.1.1 Os instrumentos de que trata o caput serão assinados, aceitos ou retirados no prazo de validade da ata de registro de preços.</w:t>
      </w:r>
      <w:bookmarkEnd w:id="176"/>
    </w:p>
    <w:p w14:paraId="0120ACAF"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7" w:name="_Toc161865883"/>
      <w:r>
        <w:rPr>
          <w:rFonts w:ascii="Arial" w:eastAsia="Arial" w:hAnsi="Arial" w:cs="Arial"/>
        </w:rPr>
        <w:t>14.1.2 Os contratos decorrentes do SRP poderão ser alterados, observado o disposto no art. 124 da Lei nº 14.133/2021.</w:t>
      </w:r>
      <w:bookmarkEnd w:id="177"/>
    </w:p>
    <w:p w14:paraId="5D8D6527" w14:textId="77777777" w:rsidR="00901CDC" w:rsidRDefault="00DD550A">
      <w:pPr>
        <w:pStyle w:val="PargrafodaLista"/>
        <w:widowControl w:val="0"/>
        <w:tabs>
          <w:tab w:val="decimal" w:pos="567"/>
        </w:tabs>
        <w:spacing w:before="120" w:after="120" w:line="360" w:lineRule="auto"/>
        <w:ind w:left="0" w:right="-6"/>
        <w:jc w:val="both"/>
        <w:rPr>
          <w:rFonts w:eastAsia="Arial"/>
        </w:rPr>
      </w:pPr>
      <w:r>
        <w:rPr>
          <w:rFonts w:eastAsia="Arial"/>
        </w:rPr>
        <w:t>14.2 O representante legal do licitante que tiver registrado em ata a proposta vencedora deverá aceitar ou retirar o termo de contrato, autorização de fornecimento, ordem de serviço ou documento equivalente, dentro do prazo máximo de 5 (cinco) dias úteis a contar do recebimento da comunicação, sem prejuízo das sanções previstas no Edital e das demais cominações legais.</w:t>
      </w:r>
    </w:p>
    <w:p w14:paraId="146E7020"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bookmarkStart w:id="178" w:name="_Toc161865884"/>
      <w:r>
        <w:rPr>
          <w:rFonts w:ascii="Arial" w:eastAsia="Arial" w:hAnsi="Arial" w:cs="Arial"/>
        </w:rPr>
        <w:t>14.2.1 O prazo de convocação poderá ser prorrogado uma vez, por igual período, mediante solicitação da parte durante seu transcurso, devidamente justificada, e desde que o motivo apresentado seja aceito pela Administração.</w:t>
      </w:r>
      <w:bookmarkEnd w:id="178"/>
    </w:p>
    <w:p w14:paraId="6BD02A3A"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14.2.2 Qualquer solicitação de prorrogação de prazo para firmar o termo de contrato, aceitar ou retirar o instrumento substitutivo decorrentes deste Edital, somente será analisada se apresentada antes do decurso do prazo para tal e devidamente fundamentada.  </w:t>
      </w:r>
    </w:p>
    <w:p w14:paraId="2BF0F286"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14.2.3 O fornecedor detentor do preço registrado deverá comprovar a manutenção das condições de habilitação para firmar o termo de contrato, aceitar ou retirar o instrumento substitutivo, que deverão ser mantidas pelo fornecedor durante a vigência da contratação.</w:t>
      </w:r>
    </w:p>
    <w:p w14:paraId="5594D778"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 xml:space="preserve">14.2.4 Será facultado à Administração, quando o convocado não apresentar situação regular no momento de assinar o contrato, não assinar o termo de contrato ou não aceitar ou não retirar o instrumento substitutivo no prazo e nas </w:t>
      </w:r>
      <w:r>
        <w:rPr>
          <w:rFonts w:ascii="Arial" w:eastAsia="Arial" w:hAnsi="Arial" w:cs="Arial"/>
        </w:rPr>
        <w:lastRenderedPageBreak/>
        <w:t>condições estabelecidas, convocar os licitantes remanescentes, na ordem de classificação, conforme cadastro de reserva, para a celebração do contrato ou retirada do instrumento substitutivo.</w:t>
      </w:r>
    </w:p>
    <w:p w14:paraId="4A1AF9CC"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14.2.5 A recusa injustificada do beneficiário da Ata de Registro de Preços em assinar o contrato, ou em aceitar ou retirar o instrumento substitutivo no prazo estabelecido pela Administração, caracterizará o descumprimento total da obrigação assumida e o sujeitará às penalidades legalmente estabelecidas.</w:t>
      </w:r>
    </w:p>
    <w:p w14:paraId="07EDF3D6" w14:textId="77777777" w:rsidR="00901CDC" w:rsidRDefault="00DD550A">
      <w:pPr>
        <w:pStyle w:val="PargrafodaLista"/>
        <w:widowControl w:val="0"/>
        <w:tabs>
          <w:tab w:val="decimal" w:pos="567"/>
        </w:tabs>
        <w:spacing w:before="120" w:after="120" w:line="360" w:lineRule="auto"/>
        <w:ind w:left="0" w:right="-6"/>
        <w:jc w:val="both"/>
        <w:rPr>
          <w:rFonts w:eastAsia="Arial"/>
        </w:rPr>
      </w:pPr>
      <w:bookmarkStart w:id="179" w:name="_Toc161865885"/>
      <w:r>
        <w:rPr>
          <w:rFonts w:eastAsia="Arial"/>
        </w:rPr>
        <w:t>14.3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bookmarkEnd w:id="179"/>
    </w:p>
    <w:p w14:paraId="4EAFFB5C"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14.3.1 Na formalização do contrato ou do instrumento substitutivo deverá haver a indicação da disponibilidade dos créditos orçamentários respectivos.</w:t>
      </w:r>
    </w:p>
    <w:p w14:paraId="504ACF1D" w14:textId="77777777" w:rsidR="00901CDC" w:rsidRDefault="00DD550A">
      <w:pPr>
        <w:pStyle w:val="PargrafodaLista"/>
        <w:widowControl w:val="0"/>
        <w:tabs>
          <w:tab w:val="decimal" w:pos="567"/>
        </w:tabs>
        <w:spacing w:before="120" w:after="120" w:line="360" w:lineRule="auto"/>
        <w:ind w:left="0" w:right="-6"/>
        <w:jc w:val="both"/>
        <w:rPr>
          <w:rFonts w:eastAsia="Arial"/>
        </w:rPr>
      </w:pPr>
      <w:bookmarkStart w:id="180" w:name="_Toc161865886"/>
      <w:r>
        <w:rPr>
          <w:rFonts w:eastAsia="Arial"/>
        </w:rPr>
        <w:t>14.4 O aceite do instrumento substitutivo, emitido ao fornecedor com preço registrado, implica o reconhecimento de que:</w:t>
      </w:r>
      <w:bookmarkEnd w:id="180"/>
      <w:r>
        <w:rPr>
          <w:rFonts w:eastAsia="Arial"/>
        </w:rPr>
        <w:t xml:space="preserve"> </w:t>
      </w:r>
    </w:p>
    <w:p w14:paraId="60F86B71"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14.4.1 O instrumento equivalente está substituindo o contrato, aplicando-se à relação de negócios ali estabelecida as disposições da Lei Federal nº 14.133, de 2021;</w:t>
      </w:r>
    </w:p>
    <w:p w14:paraId="353EBB13" w14:textId="77777777" w:rsidR="00901CDC" w:rsidRDefault="00DD550A">
      <w:pPr>
        <w:pStyle w:val="itemnivel3"/>
        <w:tabs>
          <w:tab w:val="decimal" w:pos="1134"/>
        </w:tabs>
        <w:suppressAutoHyphens/>
        <w:spacing w:before="120" w:beforeAutospacing="0" w:after="120" w:afterAutospacing="0" w:line="360" w:lineRule="auto"/>
        <w:ind w:left="567" w:right="-6"/>
        <w:jc w:val="both"/>
        <w:rPr>
          <w:rFonts w:ascii="Arial" w:eastAsia="Arial" w:hAnsi="Arial" w:cs="Arial"/>
        </w:rPr>
      </w:pPr>
      <w:r>
        <w:rPr>
          <w:rFonts w:ascii="Arial" w:eastAsia="Arial" w:hAnsi="Arial" w:cs="Arial"/>
        </w:rPr>
        <w:t>14.4.2 A contratada se vincula à sua proposta e às previsões contidas neste Edital e seus anexos;</w:t>
      </w:r>
    </w:p>
    <w:p w14:paraId="429B8665" w14:textId="77777777" w:rsidR="00901CDC" w:rsidRDefault="00DD550A">
      <w:pPr>
        <w:pStyle w:val="itemnivel3"/>
        <w:tabs>
          <w:tab w:val="decimal" w:pos="1134"/>
        </w:tabs>
        <w:suppressAutoHyphens/>
        <w:spacing w:before="120" w:beforeAutospacing="0" w:after="120" w:afterAutospacing="0" w:line="360" w:lineRule="auto"/>
        <w:ind w:right="-6"/>
        <w:jc w:val="both"/>
        <w:rPr>
          <w:rFonts w:ascii="Arial" w:eastAsia="Arial" w:hAnsi="Arial" w:cs="Arial"/>
        </w:rPr>
      </w:pPr>
      <w:r>
        <w:rPr>
          <w:rFonts w:ascii="Arial" w:hAnsi="Arial" w:cs="Arial"/>
        </w:rPr>
        <w:t>14.5 Caso o adjudicatário não apresente situação regular no ato de assinatura do termo de contrato ou de aceite do instrumento substitutivo ou ainda, em se tratando de ME/EPP ou equiparada, não regularize sua documentação fiscal e trabalhista no prazo de 5 dias úteis de que tratam o §1º do art. 6º do Decreto Estadual nº 47.437/18 e o §1º do art. 43 da Lei Complementar nº 123/2006, poderá ser convocado o licitante remanescente, observada a ordem de classificação.</w:t>
      </w:r>
    </w:p>
    <w:p w14:paraId="637F96E6" w14:textId="77777777" w:rsidR="00901CDC" w:rsidRDefault="00DD550A">
      <w:pPr>
        <w:pStyle w:val="PargrafodaLista"/>
        <w:widowControl w:val="0"/>
        <w:tabs>
          <w:tab w:val="decimal" w:pos="567"/>
        </w:tabs>
        <w:spacing w:before="120" w:after="120" w:line="360" w:lineRule="auto"/>
        <w:ind w:left="0" w:right="-6"/>
        <w:jc w:val="both"/>
        <w:rPr>
          <w:rFonts w:eastAsia="Arial"/>
        </w:rPr>
      </w:pPr>
      <w:bookmarkStart w:id="181" w:name="_Toc161865887"/>
      <w:r>
        <w:rPr>
          <w:rFonts w:eastAsia="Arial"/>
        </w:rPr>
        <w:t>14.6 A contratada reconhece que as hipóteses de rescisão são aquelas previstas nos artigos 137 e 138 da Lei nº 14.133/2021, e concorda com os direitos da Administração previstos nos artigos 137 a 139 da mesma lei.</w:t>
      </w:r>
      <w:bookmarkEnd w:id="181"/>
    </w:p>
    <w:p w14:paraId="30CCD6F6" w14:textId="77777777" w:rsidR="00901CDC" w:rsidRDefault="00DD550A">
      <w:pPr>
        <w:pStyle w:val="PargrafodaLista"/>
        <w:widowControl w:val="0"/>
        <w:tabs>
          <w:tab w:val="decimal" w:pos="567"/>
        </w:tabs>
        <w:spacing w:before="120" w:after="120" w:line="360" w:lineRule="auto"/>
        <w:ind w:left="0" w:right="-6"/>
        <w:jc w:val="both"/>
        <w:rPr>
          <w:rFonts w:eastAsia="Arial"/>
        </w:rPr>
      </w:pPr>
      <w:bookmarkStart w:id="182" w:name="_Toc161865888"/>
      <w:r>
        <w:rPr>
          <w:rFonts w:eastAsia="Arial"/>
        </w:rPr>
        <w:lastRenderedPageBreak/>
        <w:t>14.7 O prazo de vigência da contratação encontra-se previsto no Anexo V - Termo de Referência.</w:t>
      </w:r>
      <w:bookmarkEnd w:id="182"/>
      <w:r>
        <w:rPr>
          <w:rFonts w:eastAsia="Arial"/>
        </w:rPr>
        <w:t xml:space="preserve"> </w:t>
      </w:r>
    </w:p>
    <w:p w14:paraId="3D5F7A4D" w14:textId="77777777" w:rsidR="00901CDC" w:rsidRDefault="00DD550A">
      <w:pPr>
        <w:keepNext/>
        <w:keepLines/>
        <w:tabs>
          <w:tab w:val="left" w:pos="567"/>
        </w:tabs>
        <w:spacing w:before="288" w:after="288" w:line="312" w:lineRule="auto"/>
        <w:jc w:val="both"/>
        <w:outlineLvl w:val="0"/>
        <w:rPr>
          <w:rFonts w:ascii="Arial" w:eastAsia="MS Gothic" w:hAnsi="Arial" w:cs="Arial"/>
          <w:b/>
          <w:bCs/>
          <w:sz w:val="24"/>
          <w:szCs w:val="24"/>
          <w:lang w:eastAsia="pt-BR"/>
        </w:rPr>
      </w:pPr>
      <w:bookmarkStart w:id="183" w:name="_Toc122606113"/>
      <w:bookmarkStart w:id="184" w:name="_Toc176954843"/>
      <w:r>
        <w:rPr>
          <w:rFonts w:ascii="Arial" w:eastAsia="MS Gothic" w:hAnsi="Arial" w:cs="Arial"/>
          <w:b/>
          <w:bCs/>
          <w:sz w:val="24"/>
          <w:szCs w:val="24"/>
          <w:lang w:eastAsia="pt-BR"/>
        </w:rPr>
        <w:t>15. DAS DISPOSIÇÕES GERAIS</w:t>
      </w:r>
      <w:bookmarkEnd w:id="183"/>
      <w:bookmarkEnd w:id="184"/>
    </w:p>
    <w:p w14:paraId="12E3BB22" w14:textId="77777777" w:rsidR="00901CDC" w:rsidRDefault="00DD550A">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15.1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58ED50D" w14:textId="77777777" w:rsidR="00901CDC" w:rsidRDefault="00DD550A">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15.2 A homologação do resultado desta licitação não implicará direito à contratação.</w:t>
      </w:r>
    </w:p>
    <w:p w14:paraId="13903B6D" w14:textId="77777777" w:rsidR="00901CDC" w:rsidRDefault="00DD550A">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 xml:space="preserve">15.3 As normas disciplinadoras da licitação serão sempre interpretadas em favor da ampliação da disputa entre os interessados, desde que não comprometam o interesse da Administração, o princípio da isonomia, a finalidade e a segurança da contratação. </w:t>
      </w:r>
    </w:p>
    <w:p w14:paraId="1F448710" w14:textId="77777777" w:rsidR="00901CDC" w:rsidRDefault="00DD550A">
      <w:pPr>
        <w:spacing w:before="288" w:after="288" w:line="312" w:lineRule="auto"/>
        <w:jc w:val="both"/>
        <w:rPr>
          <w:rFonts w:ascii="Arial" w:eastAsia="Times New Roman" w:hAnsi="Arial" w:cs="Arial"/>
          <w:sz w:val="24"/>
          <w:szCs w:val="24"/>
          <w:lang w:eastAsia="pt-BR"/>
        </w:rPr>
      </w:pPr>
      <w:r>
        <w:rPr>
          <w:rFonts w:ascii="Arial" w:eastAsia="MS Mincho" w:hAnsi="Arial" w:cs="Arial"/>
          <w:sz w:val="24"/>
          <w:szCs w:val="24"/>
          <w:lang w:eastAsia="pt-BR"/>
        </w:rPr>
        <w:t>15.4 Os licitantes assumem todos os custos de preparação e apresentação de suas propostas e a Administração não será, em nenhum caso, responsável por esses custos, independentemente da condução ou do resultado do processo licitatório.</w:t>
      </w:r>
    </w:p>
    <w:p w14:paraId="22FE28B6"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 xml:space="preserve">15.5 É responsabilidade do licitante acompanhar o andamento desta licitação, devendo manter-se atualizado acerca de suas publicações e demais ocorrências por meio dos sites </w:t>
      </w:r>
      <w:hyperlink r:id="rId29">
        <w:r>
          <w:rPr>
            <w:rStyle w:val="ListLabel25"/>
          </w:rPr>
          <w:t>www.mpmg.mp.br</w:t>
        </w:r>
      </w:hyperlink>
      <w:r>
        <w:rPr>
          <w:rFonts w:ascii="Arial" w:eastAsia="MS Mincho" w:hAnsi="Arial" w:cs="Arial"/>
          <w:sz w:val="24"/>
          <w:szCs w:val="24"/>
          <w:lang w:eastAsia="pt-BR"/>
        </w:rPr>
        <w:t xml:space="preserve"> e </w:t>
      </w:r>
      <w:hyperlink r:id="rId30">
        <w:r>
          <w:rPr>
            <w:rStyle w:val="ListLabel25"/>
          </w:rPr>
          <w:t>www.compras.mg.gov.br</w:t>
        </w:r>
      </w:hyperlink>
      <w:r>
        <w:rPr>
          <w:rFonts w:ascii="Arial" w:eastAsia="MS Mincho" w:hAnsi="Arial" w:cs="Arial"/>
          <w:sz w:val="24"/>
          <w:szCs w:val="24"/>
          <w:lang w:eastAsia="pt-BR"/>
        </w:rPr>
        <w:t xml:space="preserve"> e do Diário Oficial Eletrônico do Ministério Público de Minas Gerais – DOMP/MG. </w:t>
      </w:r>
    </w:p>
    <w:p w14:paraId="0B6C94EE"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15.5.1 O pregão será conduzido pela Procuradoria-Geral de Justiça (órgão promotor da licitação), com apoio técnico e operacional da SEPLAG, que atuará como provedor do Portal de Compras do Estado de Minas Gerais.</w:t>
      </w:r>
    </w:p>
    <w:p w14:paraId="5F9A1486" w14:textId="77777777" w:rsidR="00901CDC" w:rsidRDefault="00DD550A">
      <w:pPr>
        <w:spacing w:before="288" w:after="288" w:line="312" w:lineRule="auto"/>
        <w:ind w:left="567"/>
        <w:jc w:val="both"/>
        <w:rPr>
          <w:rFonts w:ascii="Arial" w:eastAsia="MS Mincho" w:hAnsi="Arial" w:cs="Arial"/>
          <w:sz w:val="24"/>
          <w:szCs w:val="24"/>
          <w:lang w:eastAsia="pt-BR"/>
        </w:rPr>
      </w:pPr>
      <w:r>
        <w:rPr>
          <w:rFonts w:ascii="Arial" w:eastAsia="MS Mincho" w:hAnsi="Arial" w:cs="Arial"/>
          <w:sz w:val="24"/>
          <w:szCs w:val="24"/>
          <w:lang w:eastAsia="pt-BR"/>
        </w:rPr>
        <w:t>15.5.2 O gerenciamento do Portal de Compras – MG é realizado exclusivamente pela Secretaria de Estado de Planejamento e Gestão de Minas Gerais (SEPLAG), não cabendo à Procuradoria-Geral de Justiça solucionar eventuais problemas a ele relacionados.</w:t>
      </w:r>
    </w:p>
    <w:p w14:paraId="35123D02"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t>15.6 As demais condições ou exigências pertinentes ao objeto desta licitação são aquelas explicitadas ao longo do Anexo II e do Termo de Referência (Anexo V), sendo todos os anexos partes integrantes deste Edital.</w:t>
      </w:r>
    </w:p>
    <w:p w14:paraId="17BB57E3" w14:textId="77777777" w:rsidR="00901CDC" w:rsidRDefault="00DD550A">
      <w:pPr>
        <w:spacing w:before="288" w:after="288" w:line="312" w:lineRule="auto"/>
        <w:jc w:val="both"/>
        <w:rPr>
          <w:rFonts w:ascii="Arial" w:eastAsia="MS Mincho" w:hAnsi="Arial" w:cs="Arial"/>
          <w:sz w:val="24"/>
          <w:szCs w:val="24"/>
          <w:lang w:eastAsia="pt-BR"/>
        </w:rPr>
      </w:pPr>
      <w:r>
        <w:rPr>
          <w:rFonts w:ascii="Arial" w:eastAsia="MS Mincho" w:hAnsi="Arial" w:cs="Arial"/>
          <w:sz w:val="24"/>
          <w:szCs w:val="24"/>
          <w:lang w:eastAsia="pt-BR"/>
        </w:rPr>
        <w:lastRenderedPageBreak/>
        <w:t>15.7 Na contagem dos prazos estabelecidos neste Edital e seus Anexos, excluir-se-á o dia do início e incluir-se-á o do vencimento. Somente se iniciam e vencem os prazos em dias de expediente na Administração.</w:t>
      </w:r>
    </w:p>
    <w:p w14:paraId="092750FF" w14:textId="77777777" w:rsidR="00901CDC" w:rsidRDefault="00DD550A">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t>15.8</w:t>
      </w:r>
      <w:r>
        <w:rPr>
          <w:rFonts w:ascii="Arial" w:eastAsia="Times New Roman" w:hAnsi="Arial" w:cs="Arial"/>
          <w:sz w:val="24"/>
          <w:szCs w:val="24"/>
          <w:lang w:eastAsia="pt-BR"/>
        </w:rPr>
        <w:tab/>
        <w:t>Havendo a necessidade de realização de ato de qualquer natureza pelos licitantes, cujo prazo não conste deste Edital, deverá ser atendido o prazo indicado pelo Pregoeiro na respectiva notificação.</w:t>
      </w:r>
    </w:p>
    <w:p w14:paraId="445AFC96" w14:textId="77777777" w:rsidR="00901CDC" w:rsidRDefault="00DD550A">
      <w:pPr>
        <w:spacing w:before="288" w:after="288"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t>15.9</w:t>
      </w:r>
      <w:r>
        <w:rPr>
          <w:rFonts w:ascii="Arial" w:eastAsia="Times New Roman" w:hAnsi="Arial" w:cs="Arial"/>
          <w:sz w:val="24"/>
          <w:szCs w:val="24"/>
          <w:lang w:eastAsia="pt-BR"/>
        </w:rPr>
        <w:tab/>
        <w:t>É facultado ao Pregoeiro ou à Autoridade Superior, em qualquer fase do julgamento, promover diligência destinada a esclarecer ou complementar a instrução do processo e a aferição do ofertado, bem como solicitar a elaboração de pareceres técnicos destinados a fundamentar as decisões.</w:t>
      </w:r>
    </w:p>
    <w:p w14:paraId="7198D7F0" w14:textId="77777777" w:rsidR="00901CDC" w:rsidRDefault="00DD550A">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15.10 O desatendimento de exigências formais não essenciais não importará o afastamento do licitante, desde que seja possível o aproveitamento do ato, observados os princípios da isonomia e do interesse público.</w:t>
      </w:r>
    </w:p>
    <w:p w14:paraId="0FA0FD0A" w14:textId="77777777" w:rsidR="00901CDC" w:rsidRDefault="00DD550A">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15.11 Em caso de divergência entre disposições deste Edital e de seus anexos ou demais peças que compõem o processo, prevalecerá as deste Edital.</w:t>
      </w:r>
    </w:p>
    <w:p w14:paraId="2E181D02" w14:textId="77777777" w:rsidR="00901CDC" w:rsidRDefault="00DD550A">
      <w:pPr>
        <w:tabs>
          <w:tab w:val="left" w:pos="426"/>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15.12 Qualquer medida judicial oriunda da presente licitação será processada na Comarca de Belo Horizonte/MG.</w:t>
      </w:r>
    </w:p>
    <w:p w14:paraId="6E1DAE4A" w14:textId="77777777" w:rsidR="00901CDC" w:rsidRDefault="00DD550A">
      <w:pPr>
        <w:tabs>
          <w:tab w:val="left" w:pos="993"/>
        </w:tabs>
        <w:spacing w:before="240" w:after="240" w:line="312" w:lineRule="auto"/>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15.13 Demais informações podem ser obtidas pelo e-mail </w:t>
      </w:r>
      <w:hyperlink r:id="rId31">
        <w:r>
          <w:rPr>
            <w:rStyle w:val="ListLabel31"/>
          </w:rPr>
          <w:t>dgcl@mpmg.mp.br</w:t>
        </w:r>
      </w:hyperlink>
      <w:r>
        <w:rPr>
          <w:rFonts w:ascii="Arial" w:eastAsia="SimSun" w:hAnsi="Arial" w:cs="Arial"/>
          <w:kern w:val="2"/>
          <w:sz w:val="24"/>
          <w:szCs w:val="24"/>
          <w:lang w:eastAsia="hi-IN" w:bidi="hi-IN"/>
        </w:rPr>
        <w:t xml:space="preserve"> ou pelos telefones (31) 3330-8190, 3330-8233, estando este Edital e seus anexos disponíveis para download nos sites </w:t>
      </w:r>
      <w:hyperlink r:id="rId32">
        <w:r>
          <w:rPr>
            <w:rStyle w:val="ListLabel31"/>
          </w:rPr>
          <w:t>www.mpmg.mp.br</w:t>
        </w:r>
      </w:hyperlink>
      <w:r>
        <w:rPr>
          <w:rFonts w:ascii="Arial" w:eastAsia="SimSun" w:hAnsi="Arial" w:cs="Arial"/>
          <w:kern w:val="2"/>
          <w:sz w:val="24"/>
          <w:szCs w:val="24"/>
          <w:lang w:eastAsia="hi-IN" w:bidi="hi-IN"/>
        </w:rPr>
        <w:t xml:space="preserve"> e </w:t>
      </w:r>
      <w:hyperlink r:id="rId33">
        <w:r>
          <w:rPr>
            <w:rStyle w:val="ListLabel31"/>
          </w:rPr>
          <w:t>www.compras.mg.gov.br</w:t>
        </w:r>
      </w:hyperlink>
      <w:r>
        <w:rPr>
          <w:rFonts w:ascii="Arial" w:eastAsia="SimSun" w:hAnsi="Arial" w:cs="Arial"/>
          <w:kern w:val="2"/>
          <w:sz w:val="24"/>
          <w:szCs w:val="24"/>
          <w:lang w:eastAsia="hi-IN" w:bidi="hi-IN"/>
        </w:rPr>
        <w:t>.</w:t>
      </w:r>
    </w:p>
    <w:p w14:paraId="03B4418D" w14:textId="77777777" w:rsidR="00901CDC" w:rsidRDefault="00DD550A">
      <w:pPr>
        <w:spacing w:before="288" w:after="288" w:line="312" w:lineRule="auto"/>
        <w:jc w:val="both"/>
        <w:rPr>
          <w:rFonts w:ascii="Arial" w:eastAsia="Times New Roman" w:hAnsi="Arial" w:cs="Arial"/>
          <w:sz w:val="24"/>
          <w:szCs w:val="24"/>
          <w:lang w:eastAsia="pt-BR"/>
        </w:rPr>
      </w:pPr>
      <w:bookmarkStart w:id="185" w:name="_Hlk161336594"/>
      <w:r>
        <w:rPr>
          <w:rFonts w:ascii="Arial" w:eastAsia="MS Mincho" w:hAnsi="Arial" w:cs="Arial"/>
          <w:sz w:val="24"/>
          <w:szCs w:val="24"/>
          <w:lang w:eastAsia="pt-BR"/>
        </w:rPr>
        <w:t xml:space="preserve">15.14 </w:t>
      </w:r>
      <w:bookmarkEnd w:id="185"/>
      <w:r>
        <w:rPr>
          <w:rFonts w:ascii="Arial" w:eastAsia="MS Mincho" w:hAnsi="Arial" w:cs="Arial"/>
          <w:sz w:val="24"/>
          <w:szCs w:val="24"/>
          <w:lang w:eastAsia="pt-BR"/>
        </w:rPr>
        <w:t>Integram este Edital, para todos os fins e efeitos, os seguintes anexos:</w:t>
      </w:r>
    </w:p>
    <w:p w14:paraId="35436AA8" w14:textId="77777777" w:rsidR="00901CDC" w:rsidRDefault="00DD550A">
      <w:pPr>
        <w:spacing w:before="288" w:after="288" w:line="312" w:lineRule="auto"/>
        <w:ind w:left="709"/>
        <w:jc w:val="both"/>
        <w:rPr>
          <w:rFonts w:ascii="Arial" w:eastAsia="MS Mincho" w:hAnsi="Arial" w:cs="Arial"/>
          <w:sz w:val="24"/>
          <w:szCs w:val="24"/>
          <w:lang w:eastAsia="pt-BR"/>
        </w:rPr>
      </w:pPr>
      <w:r>
        <w:rPr>
          <w:rFonts w:ascii="Arial" w:eastAsia="MS Mincho" w:hAnsi="Arial" w:cs="Arial"/>
          <w:sz w:val="24"/>
          <w:szCs w:val="24"/>
          <w:lang w:eastAsia="pt-BR"/>
        </w:rPr>
        <w:t>15.14.1 Anexo I – Ata de Registro de Preços (Contrato);</w:t>
      </w:r>
    </w:p>
    <w:p w14:paraId="765F7DDA" w14:textId="77777777" w:rsidR="00901CDC" w:rsidRDefault="00DD550A">
      <w:pPr>
        <w:spacing w:before="288" w:after="288" w:line="312" w:lineRule="auto"/>
        <w:ind w:left="709"/>
        <w:jc w:val="both"/>
        <w:rPr>
          <w:rFonts w:ascii="Arial" w:eastAsia="MS Mincho" w:hAnsi="Arial" w:cs="Arial"/>
          <w:sz w:val="24"/>
          <w:szCs w:val="24"/>
          <w:lang w:eastAsia="pt-BR"/>
        </w:rPr>
      </w:pPr>
      <w:r>
        <w:rPr>
          <w:rFonts w:ascii="Arial" w:eastAsia="MS Mincho" w:hAnsi="Arial" w:cs="Arial"/>
          <w:sz w:val="24"/>
          <w:szCs w:val="24"/>
          <w:lang w:eastAsia="pt-BR"/>
        </w:rPr>
        <w:t>15.14.2 Anexo II – Minuta de Contrato;</w:t>
      </w:r>
    </w:p>
    <w:p w14:paraId="486C17B2" w14:textId="77777777" w:rsidR="00901CDC" w:rsidRDefault="00DD550A">
      <w:pPr>
        <w:spacing w:before="288" w:after="288" w:line="312" w:lineRule="auto"/>
        <w:ind w:left="709"/>
        <w:jc w:val="both"/>
        <w:rPr>
          <w:rFonts w:ascii="Arial" w:eastAsia="MS Mincho" w:hAnsi="Arial" w:cs="Arial"/>
          <w:sz w:val="24"/>
          <w:szCs w:val="24"/>
          <w:lang w:eastAsia="pt-BR"/>
        </w:rPr>
      </w:pPr>
      <w:r>
        <w:rPr>
          <w:rFonts w:ascii="Arial" w:eastAsia="MS Mincho" w:hAnsi="Arial" w:cs="Arial"/>
          <w:sz w:val="24"/>
          <w:szCs w:val="24"/>
          <w:lang w:eastAsia="pt-BR"/>
        </w:rPr>
        <w:t>15.14.3 Anexo III – Modelo de Proposta (Planilha de Preços);</w:t>
      </w:r>
    </w:p>
    <w:p w14:paraId="75D5D91C" w14:textId="77777777" w:rsidR="00901CDC" w:rsidRDefault="00DD550A">
      <w:pPr>
        <w:tabs>
          <w:tab w:val="left" w:pos="993"/>
        </w:tabs>
        <w:spacing w:before="240" w:after="240" w:line="312" w:lineRule="auto"/>
        <w:ind w:left="709"/>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15.14.4 Anexo IV – Relação de Documentos Exigidos;</w:t>
      </w:r>
    </w:p>
    <w:p w14:paraId="27F6F205" w14:textId="77777777" w:rsidR="00901CDC" w:rsidRDefault="00DD550A">
      <w:pPr>
        <w:tabs>
          <w:tab w:val="left" w:pos="993"/>
        </w:tabs>
        <w:spacing w:before="240" w:after="240" w:line="312" w:lineRule="auto"/>
        <w:ind w:left="709"/>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15.14.5 Anexo V – Termo de Referência;</w:t>
      </w:r>
    </w:p>
    <w:p w14:paraId="47AF848E" w14:textId="77777777" w:rsidR="00901CDC" w:rsidRDefault="00DD550A">
      <w:pPr>
        <w:tabs>
          <w:tab w:val="left" w:pos="993"/>
        </w:tabs>
        <w:spacing w:before="240" w:after="240" w:line="312" w:lineRule="auto"/>
        <w:ind w:left="709"/>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lastRenderedPageBreak/>
        <w:t xml:space="preserve">15.14.5.1 Apenso I ao Termo de Referência - </w:t>
      </w:r>
      <w:r>
        <w:rPr>
          <w:rFonts w:ascii="Arial" w:hAnsi="Arial" w:cs="Arial"/>
          <w:color w:val="000000"/>
          <w:sz w:val="24"/>
          <w:szCs w:val="24"/>
        </w:rPr>
        <w:t>Modelo da Cadeira Operacional: Fotografia do Modelo Atualmente Utilizado pelo MPMG;</w:t>
      </w:r>
    </w:p>
    <w:p w14:paraId="337D1427" w14:textId="1CFF8C76" w:rsidR="00901CDC" w:rsidRDefault="00DD550A">
      <w:pPr>
        <w:tabs>
          <w:tab w:val="left" w:pos="993"/>
        </w:tabs>
        <w:spacing w:before="240" w:after="240" w:line="312" w:lineRule="auto"/>
        <w:ind w:left="709"/>
        <w:jc w:val="both"/>
        <w:rPr>
          <w:rFonts w:ascii="Arial" w:eastAsia="SimSun" w:hAnsi="Arial" w:cs="Arial"/>
          <w:kern w:val="2"/>
          <w:sz w:val="24"/>
          <w:szCs w:val="24"/>
          <w:lang w:eastAsia="hi-IN" w:bidi="hi-IN"/>
        </w:rPr>
      </w:pPr>
      <w:r>
        <w:rPr>
          <w:rFonts w:ascii="Arial" w:eastAsia="SimSun" w:hAnsi="Arial" w:cs="Arial"/>
          <w:kern w:val="2"/>
          <w:sz w:val="24"/>
          <w:szCs w:val="24"/>
          <w:lang w:eastAsia="hi-IN" w:bidi="hi-IN"/>
        </w:rPr>
        <w:t>15.14.6 Anexo VI –</w:t>
      </w:r>
      <w:r w:rsidR="00DB1E23">
        <w:rPr>
          <w:rFonts w:ascii="Arial" w:eastAsia="SimSun" w:hAnsi="Arial" w:cs="Arial"/>
          <w:kern w:val="2"/>
          <w:sz w:val="24"/>
          <w:szCs w:val="24"/>
          <w:lang w:eastAsia="hi-IN" w:bidi="hi-IN"/>
        </w:rPr>
        <w:t xml:space="preserve"> </w:t>
      </w:r>
      <w:r w:rsidRPr="00F51790">
        <w:rPr>
          <w:rFonts w:ascii="Arial" w:eastAsia="SimSun" w:hAnsi="Arial" w:cs="Arial"/>
          <w:kern w:val="2"/>
          <w:sz w:val="24"/>
          <w:szCs w:val="24"/>
          <w:lang w:eastAsia="hi-IN" w:bidi="hi-IN"/>
        </w:rPr>
        <w:t>Declara</w:t>
      </w:r>
      <w:r w:rsidR="00DB1E23" w:rsidRPr="00F51790">
        <w:rPr>
          <w:rFonts w:ascii="Arial" w:eastAsia="SimSun" w:hAnsi="Arial" w:cs="Arial"/>
          <w:kern w:val="2"/>
          <w:sz w:val="24"/>
          <w:szCs w:val="24"/>
          <w:lang w:eastAsia="hi-IN" w:bidi="hi-IN"/>
        </w:rPr>
        <w:t>ções</w:t>
      </w:r>
      <w:r w:rsidRPr="00F51790">
        <w:rPr>
          <w:rFonts w:ascii="Arial" w:eastAsia="SimSun" w:hAnsi="Arial" w:cs="Arial"/>
          <w:kern w:val="2"/>
          <w:sz w:val="24"/>
          <w:szCs w:val="24"/>
          <w:lang w:eastAsia="hi-IN" w:bidi="hi-IN"/>
        </w:rPr>
        <w:t>;</w:t>
      </w:r>
    </w:p>
    <w:p w14:paraId="607AEA77" w14:textId="77777777" w:rsidR="00901CDC" w:rsidRDefault="00DD550A">
      <w:pPr>
        <w:tabs>
          <w:tab w:val="left" w:pos="993"/>
        </w:tabs>
        <w:spacing w:before="240" w:after="240" w:line="312" w:lineRule="auto"/>
        <w:ind w:left="709"/>
        <w:jc w:val="both"/>
        <w:rPr>
          <w:rFonts w:ascii="Arial" w:eastAsia="Arial" w:hAnsi="Arial" w:cs="Arial"/>
          <w:kern w:val="2"/>
          <w:sz w:val="24"/>
          <w:szCs w:val="24"/>
          <w:lang w:eastAsia="hi-IN" w:bidi="hi-IN"/>
        </w:rPr>
      </w:pPr>
      <w:r>
        <w:rPr>
          <w:rFonts w:ascii="Arial" w:eastAsia="Arial" w:hAnsi="Arial" w:cs="Arial"/>
          <w:kern w:val="2"/>
          <w:sz w:val="24"/>
          <w:szCs w:val="24"/>
          <w:lang w:eastAsia="hi-IN" w:bidi="hi-IN"/>
        </w:rPr>
        <w:t>15.14.7 Anexo VII –</w:t>
      </w:r>
      <w:hyperlink w:anchor="_Toc161914789">
        <w:r>
          <w:rPr>
            <w:rStyle w:val="ListLabel32"/>
          </w:rPr>
          <w:t xml:space="preserve">  Informações sobre o Órgão Gerenciador</w:t>
        </w:r>
      </w:hyperlink>
      <w:r>
        <w:rPr>
          <w:rFonts w:ascii="Arial" w:eastAsia="Arial" w:hAnsi="Arial" w:cs="Arial"/>
          <w:kern w:val="2"/>
          <w:sz w:val="24"/>
          <w:szCs w:val="24"/>
          <w:lang w:eastAsia="hi-IN" w:bidi="hi-IN"/>
        </w:rPr>
        <w:t>;</w:t>
      </w:r>
    </w:p>
    <w:p w14:paraId="6681D050" w14:textId="77777777" w:rsidR="00901CDC" w:rsidRDefault="00DD550A">
      <w:pPr>
        <w:tabs>
          <w:tab w:val="left" w:pos="993"/>
        </w:tabs>
        <w:spacing w:before="240" w:after="240" w:line="312" w:lineRule="auto"/>
        <w:ind w:left="709"/>
        <w:jc w:val="both"/>
        <w:rPr>
          <w:rFonts w:ascii="Arial" w:eastAsia="Arial" w:hAnsi="Arial" w:cs="Arial"/>
          <w:kern w:val="2"/>
          <w:sz w:val="24"/>
          <w:szCs w:val="24"/>
          <w:lang w:eastAsia="hi-IN" w:bidi="hi-IN"/>
        </w:rPr>
      </w:pPr>
      <w:r>
        <w:rPr>
          <w:rFonts w:ascii="Arial" w:eastAsia="Arial" w:hAnsi="Arial" w:cs="Arial"/>
          <w:kern w:val="2"/>
          <w:sz w:val="24"/>
          <w:szCs w:val="24"/>
          <w:lang w:eastAsia="hi-IN" w:bidi="hi-IN"/>
        </w:rPr>
        <w:t xml:space="preserve">15.14.8 </w:t>
      </w:r>
      <w:hyperlink w:anchor="_Toc161914791">
        <w:r>
          <w:rPr>
            <w:rStyle w:val="LinkdaInternet"/>
            <w:rFonts w:ascii="Arial" w:hAnsi="Arial" w:cs="Arial"/>
            <w:color w:val="auto"/>
            <w:kern w:val="2"/>
            <w:sz w:val="24"/>
            <w:szCs w:val="24"/>
            <w:u w:val="none"/>
            <w:lang w:eastAsia="ar-SA"/>
          </w:rPr>
          <w:t>Anexo VIII – Termo de Adesão Do(s) Órgão(s) não Participante(s)</w:t>
        </w:r>
      </w:hyperlink>
      <w:r>
        <w:rPr>
          <w:rStyle w:val="LinkdaInternet"/>
          <w:rFonts w:ascii="Arial" w:hAnsi="Arial" w:cs="Arial"/>
          <w:color w:val="auto"/>
          <w:kern w:val="2"/>
          <w:sz w:val="24"/>
          <w:szCs w:val="24"/>
          <w:u w:val="none"/>
          <w:lang w:eastAsia="ar-SA"/>
        </w:rPr>
        <w:t>.</w:t>
      </w:r>
      <w:bookmarkStart w:id="186" w:name="_Hlk160541594"/>
      <w:bookmarkEnd w:id="186"/>
    </w:p>
    <w:p w14:paraId="1D217B49" w14:textId="77777777" w:rsidR="00901CDC" w:rsidRDefault="00901CDC">
      <w:pPr>
        <w:spacing w:before="240" w:after="240" w:line="240" w:lineRule="auto"/>
        <w:ind w:left="709"/>
        <w:jc w:val="center"/>
        <w:rPr>
          <w:rFonts w:ascii="Arial" w:eastAsia="SimSun" w:hAnsi="Arial" w:cs="Arial"/>
          <w:kern w:val="2"/>
          <w:sz w:val="24"/>
          <w:szCs w:val="24"/>
          <w:lang w:eastAsia="hi-IN" w:bidi="hi-IN"/>
        </w:rPr>
      </w:pPr>
    </w:p>
    <w:p w14:paraId="28835A6A" w14:textId="766FAAB9" w:rsidR="00901CDC" w:rsidRDefault="00DD550A">
      <w:pPr>
        <w:spacing w:before="240" w:after="240" w:line="240" w:lineRule="auto"/>
        <w:ind w:left="360"/>
        <w:jc w:val="center"/>
        <w:rPr>
          <w:rFonts w:ascii="Arial" w:eastAsia="SimSun" w:hAnsi="Arial" w:cs="Arial"/>
          <w:kern w:val="2"/>
          <w:sz w:val="24"/>
          <w:szCs w:val="24"/>
          <w:lang w:eastAsia="hi-IN" w:bidi="hi-IN"/>
        </w:rPr>
      </w:pPr>
      <w:r>
        <w:rPr>
          <w:rFonts w:ascii="Arial" w:eastAsia="SimSun" w:hAnsi="Arial" w:cs="Arial"/>
          <w:kern w:val="2"/>
          <w:sz w:val="24"/>
          <w:szCs w:val="24"/>
          <w:lang w:eastAsia="hi-IN" w:bidi="hi-IN"/>
        </w:rPr>
        <w:t xml:space="preserve">Belo Horizonte, </w:t>
      </w:r>
      <w:r w:rsidR="00F51790">
        <w:rPr>
          <w:rFonts w:ascii="Arial" w:eastAsia="SimSun" w:hAnsi="Arial" w:cs="Arial"/>
          <w:kern w:val="2"/>
          <w:sz w:val="24"/>
          <w:szCs w:val="24"/>
          <w:lang w:eastAsia="hi-IN" w:bidi="hi-IN"/>
        </w:rPr>
        <w:t>11 de setembro de 2024.</w:t>
      </w:r>
    </w:p>
    <w:p w14:paraId="52306581" w14:textId="77777777" w:rsidR="00901CDC" w:rsidRDefault="00901CDC">
      <w:pPr>
        <w:spacing w:before="240" w:after="240" w:line="240" w:lineRule="auto"/>
        <w:ind w:left="360"/>
        <w:jc w:val="center"/>
        <w:rPr>
          <w:rFonts w:ascii="Arial" w:eastAsia="SimSun" w:hAnsi="Arial" w:cs="Arial"/>
          <w:kern w:val="2"/>
          <w:sz w:val="24"/>
          <w:szCs w:val="24"/>
          <w:lang w:eastAsia="hi-IN" w:bidi="hi-IN"/>
        </w:rPr>
      </w:pPr>
    </w:p>
    <w:p w14:paraId="5C4516A7" w14:textId="77777777" w:rsidR="00901CDC" w:rsidRDefault="00DD550A">
      <w:pPr>
        <w:spacing w:before="240" w:after="240" w:line="240" w:lineRule="auto"/>
        <w:ind w:left="360"/>
        <w:jc w:val="center"/>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Márcio Gomes de Souza</w:t>
      </w:r>
    </w:p>
    <w:p w14:paraId="6182F369" w14:textId="77777777" w:rsidR="00901CDC" w:rsidRDefault="00DD550A">
      <w:pPr>
        <w:snapToGrid w:val="0"/>
        <w:spacing w:before="240" w:after="240" w:line="240" w:lineRule="auto"/>
        <w:jc w:val="center"/>
        <w:rPr>
          <w:rFonts w:ascii="Arial" w:eastAsia="SimSun" w:hAnsi="Arial" w:cs="Arial"/>
          <w:bCs/>
          <w:kern w:val="2"/>
          <w:sz w:val="24"/>
          <w:szCs w:val="24"/>
          <w:lang w:eastAsia="hi-IN" w:bidi="hi-IN"/>
        </w:rPr>
      </w:pPr>
      <w:r>
        <w:rPr>
          <w:rFonts w:ascii="Arial" w:eastAsia="SimSun" w:hAnsi="Arial" w:cs="Arial"/>
          <w:bCs/>
          <w:kern w:val="2"/>
          <w:sz w:val="24"/>
          <w:szCs w:val="24"/>
          <w:lang w:eastAsia="hi-IN" w:bidi="hi-IN"/>
        </w:rPr>
        <w:t>Procurador-Geral de Justiça Adjunto Administrativo</w:t>
      </w:r>
    </w:p>
    <w:p w14:paraId="77C0EED0" w14:textId="77777777" w:rsidR="00901CDC" w:rsidRDefault="00901CDC">
      <w:pPr>
        <w:snapToGrid w:val="0"/>
        <w:spacing w:before="240" w:after="240" w:line="240" w:lineRule="auto"/>
        <w:jc w:val="center"/>
        <w:rPr>
          <w:rFonts w:ascii="Arial" w:eastAsia="SimSun" w:hAnsi="Arial" w:cs="Arial"/>
          <w:bCs/>
          <w:kern w:val="2"/>
          <w:sz w:val="24"/>
          <w:szCs w:val="24"/>
          <w:lang w:eastAsia="hi-IN" w:bidi="hi-IN"/>
        </w:rPr>
      </w:pPr>
    </w:p>
    <w:p w14:paraId="3F96A271" w14:textId="77777777" w:rsidR="00901CDC" w:rsidRDefault="00901CDC">
      <w:pPr>
        <w:snapToGrid w:val="0"/>
        <w:spacing w:before="240" w:after="240" w:line="240" w:lineRule="auto"/>
        <w:jc w:val="center"/>
        <w:rPr>
          <w:rFonts w:ascii="Arial" w:eastAsia="SimSun" w:hAnsi="Arial" w:cs="Arial"/>
          <w:bCs/>
          <w:kern w:val="2"/>
          <w:sz w:val="24"/>
          <w:szCs w:val="24"/>
          <w:lang w:eastAsia="hi-IN" w:bidi="hi-IN"/>
        </w:rPr>
      </w:pPr>
    </w:p>
    <w:p w14:paraId="10E28CB7" w14:textId="77777777" w:rsidR="00901CDC" w:rsidRDefault="00901CDC">
      <w:pPr>
        <w:snapToGrid w:val="0"/>
        <w:spacing w:before="240" w:after="240" w:line="240" w:lineRule="auto"/>
        <w:jc w:val="center"/>
        <w:rPr>
          <w:rFonts w:ascii="Arial" w:eastAsia="SimSun" w:hAnsi="Arial" w:cs="Arial"/>
          <w:bCs/>
          <w:kern w:val="2"/>
          <w:sz w:val="24"/>
          <w:szCs w:val="24"/>
          <w:lang w:eastAsia="hi-IN" w:bidi="hi-IN"/>
        </w:rPr>
      </w:pPr>
    </w:p>
    <w:p w14:paraId="5E3CFCC7" w14:textId="77777777" w:rsidR="00901CDC" w:rsidRDefault="00DD550A">
      <w:bookmarkStart w:id="187" w:name="_Toc160206110"/>
      <w:bookmarkEnd w:id="187"/>
      <w:r>
        <w:br w:type="page"/>
      </w:r>
    </w:p>
    <w:p w14:paraId="64BA5640" w14:textId="77777777" w:rsidR="00901CDC" w:rsidRDefault="00DD550A">
      <w:pPr>
        <w:keepNext/>
        <w:keepLines/>
        <w:tabs>
          <w:tab w:val="left" w:pos="567"/>
        </w:tabs>
        <w:spacing w:before="288" w:after="288" w:line="240" w:lineRule="auto"/>
        <w:jc w:val="both"/>
        <w:outlineLvl w:val="0"/>
        <w:rPr>
          <w:rFonts w:ascii="Arial" w:eastAsia="MS Gothic" w:hAnsi="Arial" w:cs="Arial"/>
          <w:b/>
          <w:bCs/>
          <w:sz w:val="24"/>
          <w:szCs w:val="24"/>
          <w:lang w:eastAsia="pt-BR"/>
        </w:rPr>
      </w:pPr>
      <w:bookmarkStart w:id="188" w:name="_Toc1602061101"/>
      <w:bookmarkStart w:id="189" w:name="_Toc176954844"/>
      <w:bookmarkEnd w:id="188"/>
      <w:r>
        <w:rPr>
          <w:rFonts w:ascii="Arial" w:eastAsia="MS Gothic" w:hAnsi="Arial" w:cs="Arial"/>
          <w:b/>
          <w:bCs/>
          <w:sz w:val="24"/>
          <w:szCs w:val="24"/>
          <w:lang w:eastAsia="pt-BR"/>
        </w:rPr>
        <w:lastRenderedPageBreak/>
        <w:t>ANEXO I – MINUTA DA ATA DE REGISTRO DE PREÇOS (CONTRATO)</w:t>
      </w:r>
      <w:bookmarkEnd w:id="189"/>
      <w:r>
        <w:rPr>
          <w:rFonts w:ascii="Arial" w:eastAsia="MS Gothic" w:hAnsi="Arial" w:cs="Arial"/>
          <w:b/>
          <w:bCs/>
          <w:sz w:val="24"/>
          <w:szCs w:val="24"/>
          <w:lang w:eastAsia="pt-BR"/>
        </w:rPr>
        <w:t xml:space="preserve"> </w:t>
      </w:r>
    </w:p>
    <w:p w14:paraId="5B8BCE08"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ATA DE REGISTRO DE PREÇOS N.º _____/_____</w:t>
      </w:r>
    </w:p>
    <w:p w14:paraId="1D6C019E"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386D5C7"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bookmarkStart w:id="190" w:name="_Toc389566211"/>
      <w:bookmarkEnd w:id="190"/>
    </w:p>
    <w:p w14:paraId="76C402CA" w14:textId="77777777" w:rsidR="00901CDC" w:rsidRDefault="00DD550A">
      <w:pPr>
        <w:spacing w:before="120" w:after="120" w:line="240" w:lineRule="auto"/>
        <w:ind w:right="120"/>
        <w:jc w:val="both"/>
        <w:rPr>
          <w:rFonts w:ascii="Arial" w:eastAsia="Times New Roman" w:hAnsi="Arial" w:cs="Arial"/>
          <w:b/>
          <w:color w:val="000000"/>
          <w:sz w:val="24"/>
          <w:szCs w:val="24"/>
          <w:lang w:eastAsia="pt-BR"/>
        </w:rPr>
      </w:pPr>
      <w:r>
        <w:rPr>
          <w:rFonts w:ascii="Arial" w:eastAsia="Times New Roman" w:hAnsi="Arial" w:cs="Arial"/>
          <w:b/>
          <w:bCs/>
          <w:color w:val="000000"/>
          <w:sz w:val="24"/>
          <w:szCs w:val="24"/>
          <w:lang w:eastAsia="pt-BR"/>
        </w:rPr>
        <w:t>ATA DE REGISTRO DE PREÇOS DECORRENTE DE </w:t>
      </w:r>
      <w:r>
        <w:rPr>
          <w:rFonts w:ascii="Arial" w:hAnsi="Arial" w:cs="Arial"/>
          <w:b/>
          <w:color w:val="000000"/>
          <w:sz w:val="24"/>
          <w:szCs w:val="24"/>
        </w:rPr>
        <w:t>PREGÃO ELETRÔNICO</w:t>
      </w:r>
      <w:r>
        <w:rPr>
          <w:rFonts w:ascii="Arial" w:eastAsia="Times New Roman" w:hAnsi="Arial" w:cs="Arial"/>
          <w:b/>
          <w:bCs/>
          <w:color w:val="000000"/>
          <w:sz w:val="24"/>
          <w:szCs w:val="24"/>
          <w:shd w:val="clear" w:color="auto" w:fill="F1C40F"/>
          <w:lang w:eastAsia="pt-BR"/>
        </w:rPr>
        <w:t xml:space="preserve"> </w:t>
      </w:r>
      <w:r>
        <w:rPr>
          <w:rFonts w:ascii="Arial" w:eastAsia="Times New Roman" w:hAnsi="Arial" w:cs="Arial"/>
          <w:b/>
          <w:bCs/>
          <w:color w:val="000000"/>
          <w:sz w:val="24"/>
          <w:szCs w:val="24"/>
          <w:lang w:eastAsia="pt-BR"/>
        </w:rPr>
        <w:t xml:space="preserve">PARA AQUISIÇÃO </w:t>
      </w:r>
      <w:r>
        <w:rPr>
          <w:rFonts w:ascii="Arial" w:hAnsi="Arial" w:cs="Arial"/>
          <w:b/>
          <w:color w:val="000000"/>
          <w:sz w:val="24"/>
          <w:szCs w:val="24"/>
        </w:rPr>
        <w:t>DE CADEIRAS OPERACIONAIS, CONFORME ESPECIFICAÇÕES, EXIGÊNCIAS E QUANTIDADES ESTABELECIDAS NO TERMO DE REFERÊNCIA</w:t>
      </w:r>
      <w:r>
        <w:rPr>
          <w:rFonts w:ascii="Arial" w:eastAsia="Times New Roman" w:hAnsi="Arial" w:cs="Arial"/>
          <w:b/>
          <w:color w:val="000000"/>
          <w:sz w:val="24"/>
          <w:szCs w:val="24"/>
          <w:lang w:eastAsia="pt-BR"/>
        </w:rPr>
        <w:t xml:space="preserve">, </w:t>
      </w:r>
      <w:r>
        <w:rPr>
          <w:rFonts w:ascii="Arial" w:eastAsia="Times New Roman" w:hAnsi="Arial" w:cs="Arial"/>
          <w:b/>
          <w:bCs/>
          <w:color w:val="000000"/>
          <w:sz w:val="24"/>
          <w:szCs w:val="24"/>
          <w:lang w:eastAsia="pt-BR"/>
        </w:rPr>
        <w:t>MEDIANTE CONTRATO.</w:t>
      </w:r>
    </w:p>
    <w:p w14:paraId="58ABF4DF" w14:textId="77777777" w:rsidR="00901CDC" w:rsidRDefault="00DD550A">
      <w:pPr>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7DDE1A8" w14:textId="77777777" w:rsidR="00901CDC" w:rsidRDefault="00DD550A">
      <w:pPr>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PLANEJAMENTO Nº 142/2024</w:t>
      </w:r>
    </w:p>
    <w:p w14:paraId="7626D148" w14:textId="77777777" w:rsidR="00901CDC" w:rsidRDefault="00DD550A">
      <w:pPr>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A379C89" w14:textId="77777777" w:rsidR="00901CDC" w:rsidRDefault="00DD550A">
      <w:pPr>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w:t>
      </w:r>
      <w:r>
        <w:rPr>
          <w:rFonts w:ascii="Arial" w:eastAsia="Times New Roman" w:hAnsi="Arial" w:cs="Arial"/>
          <w:b/>
          <w:bCs/>
          <w:color w:val="000000"/>
          <w:sz w:val="24"/>
          <w:szCs w:val="24"/>
          <w:lang w:eastAsia="pt-BR"/>
        </w:rPr>
        <w:t>Ministério Público do Estado de Minas Gerais</w:t>
      </w:r>
      <w:r>
        <w:rPr>
          <w:rFonts w:ascii="Arial" w:eastAsia="Times New Roman" w:hAnsi="Arial" w:cs="Arial"/>
          <w:color w:val="000000"/>
          <w:sz w:val="24"/>
          <w:szCs w:val="24"/>
          <w:lang w:eastAsia="pt-BR"/>
        </w:rPr>
        <w:t>, por intermédio da </w:t>
      </w:r>
      <w:r>
        <w:rPr>
          <w:rFonts w:ascii="Arial" w:eastAsia="Times New Roman" w:hAnsi="Arial" w:cs="Arial"/>
          <w:b/>
          <w:bCs/>
          <w:color w:val="000000"/>
          <w:sz w:val="24"/>
          <w:szCs w:val="24"/>
          <w:lang w:eastAsia="pt-BR"/>
        </w:rPr>
        <w:t>Procuradoria-Geral de Justiça</w:t>
      </w:r>
      <w:r>
        <w:rPr>
          <w:rFonts w:ascii="Arial" w:eastAsia="Times New Roman" w:hAnsi="Arial" w:cs="Arial"/>
          <w:color w:val="000000"/>
          <w:sz w:val="24"/>
          <w:szCs w:val="24"/>
          <w:lang w:eastAsia="pt-BR"/>
        </w:rPr>
        <w:t>, com sede na Av. Álvares Cabral, nº 1.690, bairro Santo Agostinho, Belo Horizonte, MG, inscrita no CNPJ sob o nº 20.971.057/0001-45, isenta de inscrição estadual, doravante denominada </w:t>
      </w:r>
      <w:r>
        <w:rPr>
          <w:rFonts w:ascii="Arial" w:eastAsia="Times New Roman" w:hAnsi="Arial" w:cs="Arial"/>
          <w:b/>
          <w:bCs/>
          <w:color w:val="000000"/>
          <w:sz w:val="24"/>
          <w:szCs w:val="24"/>
          <w:lang w:eastAsia="pt-BR"/>
        </w:rPr>
        <w:t>ÓRGÃO GERENCIADOR</w:t>
      </w:r>
      <w:r>
        <w:rPr>
          <w:rFonts w:ascii="Arial" w:eastAsia="Times New Roman" w:hAnsi="Arial" w:cs="Arial"/>
          <w:color w:val="000000"/>
          <w:sz w:val="24"/>
          <w:szCs w:val="24"/>
          <w:lang w:eastAsia="pt-BR"/>
        </w:rPr>
        <w:t>, e as empresas abaixo identificadas,</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doravante denominadas</w:t>
      </w:r>
      <w:r>
        <w:rPr>
          <w:rFonts w:ascii="Arial" w:eastAsia="Times New Roman" w:hAnsi="Arial" w:cs="Arial"/>
          <w:b/>
          <w:bCs/>
          <w:color w:val="000000"/>
          <w:sz w:val="24"/>
          <w:szCs w:val="24"/>
          <w:lang w:eastAsia="pt-BR"/>
        </w:rPr>
        <w:t> FORNECEDORES</w:t>
      </w:r>
      <w:r>
        <w:rPr>
          <w:rFonts w:ascii="Arial" w:eastAsia="Times New Roman" w:hAnsi="Arial" w:cs="Arial"/>
          <w:color w:val="000000"/>
          <w:sz w:val="24"/>
          <w:szCs w:val="24"/>
          <w:lang w:eastAsia="pt-BR"/>
        </w:rPr>
        <w:t>, firmam a presente </w:t>
      </w:r>
      <w:r>
        <w:rPr>
          <w:rFonts w:ascii="Arial" w:eastAsia="Times New Roman" w:hAnsi="Arial" w:cs="Arial"/>
          <w:b/>
          <w:bCs/>
          <w:color w:val="000000"/>
          <w:sz w:val="24"/>
          <w:szCs w:val="24"/>
          <w:lang w:eastAsia="pt-BR"/>
        </w:rPr>
        <w:t>Ata de Registro de Preços</w:t>
      </w:r>
      <w:r>
        <w:rPr>
          <w:rFonts w:ascii="Arial" w:eastAsia="Times New Roman" w:hAnsi="Arial" w:cs="Arial"/>
          <w:color w:val="000000"/>
          <w:sz w:val="24"/>
          <w:szCs w:val="24"/>
          <w:lang w:eastAsia="pt-BR"/>
        </w:rPr>
        <w:t>, mediante as cláusulas e condições a seguir estabelecidas, com fundamento no Decreto Estadual nº 45.902/12, no Decreto Estadual nº 47.524/18 e no Decreto Estadual nº 48.779/24.</w:t>
      </w:r>
    </w:p>
    <w:p w14:paraId="527D0477"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bl>
      <w:tblPr>
        <w:tblW w:w="8923" w:type="dxa"/>
        <w:tblCellMar>
          <w:top w:w="15" w:type="dxa"/>
          <w:left w:w="22" w:type="dxa"/>
          <w:bottom w:w="15" w:type="dxa"/>
          <w:right w:w="22" w:type="dxa"/>
        </w:tblCellMar>
        <w:tblLook w:val="04A0" w:firstRow="1" w:lastRow="0" w:firstColumn="1" w:lastColumn="0" w:noHBand="0" w:noVBand="1"/>
      </w:tblPr>
      <w:tblGrid>
        <w:gridCol w:w="8923"/>
      </w:tblGrid>
      <w:tr w:rsidR="00901CDC" w14:paraId="12E5F1B3" w14:textId="77777777">
        <w:trPr>
          <w:trHeight w:val="531"/>
        </w:trPr>
        <w:tc>
          <w:tcPr>
            <w:tcW w:w="89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1213B20"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QUALIFICAÇÃO DAS EMPRESAS</w:t>
            </w:r>
          </w:p>
        </w:tc>
      </w:tr>
      <w:tr w:rsidR="00901CDC" w14:paraId="41BF8C0A" w14:textId="77777777">
        <w:trPr>
          <w:trHeight w:val="1400"/>
        </w:trPr>
        <w:tc>
          <w:tcPr>
            <w:tcW w:w="89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A7626EA"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w:t>
            </w:r>
            <w:r>
              <w:rPr>
                <w:rFonts w:ascii="Arial" w:eastAsia="Times New Roman" w:hAnsi="Arial" w:cs="Arial"/>
                <w:color w:val="000000"/>
                <w:sz w:val="24"/>
                <w:szCs w:val="24"/>
                <w:lang w:eastAsia="pt-BR"/>
              </w:rPr>
              <w:t>, vencedora do </w:t>
            </w:r>
            <w:r>
              <w:rPr>
                <w:rFonts w:ascii="Arial" w:eastAsia="Times New Roman" w:hAnsi="Arial" w:cs="Arial"/>
                <w:b/>
                <w:bCs/>
                <w:color w:val="000000"/>
                <w:sz w:val="24"/>
                <w:szCs w:val="24"/>
                <w:lang w:eastAsia="pt-BR"/>
              </w:rPr>
              <w:t>lote ___</w:t>
            </w:r>
            <w:r>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Pr>
                <w:rFonts w:ascii="Arial" w:eastAsia="Times New Roman" w:hAnsi="Arial" w:cs="Arial"/>
                <w:b/>
                <w:bCs/>
                <w:color w:val="000000"/>
                <w:sz w:val="24"/>
                <w:szCs w:val="24"/>
                <w:lang w:eastAsia="pt-BR"/>
              </w:rPr>
              <w:t>__________________</w:t>
            </w:r>
            <w:r>
              <w:rPr>
                <w:rFonts w:ascii="Arial" w:eastAsia="Times New Roman" w:hAnsi="Arial" w:cs="Arial"/>
                <w:color w:val="000000"/>
                <w:sz w:val="24"/>
                <w:szCs w:val="24"/>
                <w:lang w:eastAsia="pt-BR"/>
              </w:rPr>
              <w:t>, inscrita no Cadastro de Pessoas Físicas sob o n.º ________________.</w:t>
            </w:r>
          </w:p>
        </w:tc>
      </w:tr>
      <w:tr w:rsidR="00901CDC" w14:paraId="0F4089A4" w14:textId="77777777">
        <w:trPr>
          <w:trHeight w:val="1400"/>
        </w:trPr>
        <w:tc>
          <w:tcPr>
            <w:tcW w:w="89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C6C3BD7" w14:textId="77777777" w:rsidR="00901CDC" w:rsidRDefault="00DD550A">
            <w:pPr>
              <w:spacing w:before="120" w:after="120" w:line="240" w:lineRule="auto"/>
              <w:ind w:left="120" w:right="120"/>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_______________________</w:t>
            </w:r>
            <w:r>
              <w:rPr>
                <w:rFonts w:ascii="Arial" w:eastAsia="Times New Roman" w:hAnsi="Arial" w:cs="Arial"/>
                <w:color w:val="000000"/>
                <w:sz w:val="24"/>
                <w:szCs w:val="24"/>
                <w:lang w:eastAsia="pt-BR"/>
              </w:rPr>
              <w:t>, vencedora do </w:t>
            </w:r>
            <w:r>
              <w:rPr>
                <w:rFonts w:ascii="Arial" w:eastAsia="Times New Roman" w:hAnsi="Arial" w:cs="Arial"/>
                <w:b/>
                <w:bCs/>
                <w:color w:val="000000"/>
                <w:sz w:val="24"/>
                <w:szCs w:val="24"/>
                <w:lang w:eastAsia="pt-BR"/>
              </w:rPr>
              <w:t>lote ___</w:t>
            </w:r>
            <w:r>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Pr>
                <w:rFonts w:ascii="Arial" w:eastAsia="Times New Roman" w:hAnsi="Arial" w:cs="Arial"/>
                <w:b/>
                <w:bCs/>
                <w:color w:val="000000"/>
                <w:sz w:val="24"/>
                <w:szCs w:val="24"/>
                <w:lang w:eastAsia="pt-BR"/>
              </w:rPr>
              <w:t>__________________</w:t>
            </w:r>
            <w:r>
              <w:rPr>
                <w:rFonts w:ascii="Arial" w:eastAsia="Times New Roman" w:hAnsi="Arial" w:cs="Arial"/>
                <w:color w:val="000000"/>
                <w:sz w:val="24"/>
                <w:szCs w:val="24"/>
                <w:lang w:eastAsia="pt-BR"/>
              </w:rPr>
              <w:t>, inscrita no Cadastro de Pessoas Físicas sob o n.º ________________.</w:t>
            </w:r>
          </w:p>
        </w:tc>
      </w:tr>
      <w:tr w:rsidR="00901CDC" w14:paraId="55255011" w14:textId="77777777">
        <w:trPr>
          <w:trHeight w:val="1400"/>
        </w:trPr>
        <w:tc>
          <w:tcPr>
            <w:tcW w:w="892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9ED06A9" w14:textId="77777777" w:rsidR="00901CDC" w:rsidRDefault="00DD550A">
            <w:pPr>
              <w:spacing w:before="120" w:after="120" w:line="240" w:lineRule="auto"/>
              <w:ind w:left="120" w:right="120"/>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_______________________</w:t>
            </w:r>
            <w:r>
              <w:rPr>
                <w:rFonts w:ascii="Arial" w:eastAsia="Times New Roman" w:hAnsi="Arial" w:cs="Arial"/>
                <w:color w:val="000000"/>
                <w:sz w:val="24"/>
                <w:szCs w:val="24"/>
                <w:lang w:eastAsia="pt-BR"/>
              </w:rPr>
              <w:t>, vencedora do </w:t>
            </w:r>
            <w:r>
              <w:rPr>
                <w:rFonts w:ascii="Arial" w:eastAsia="Times New Roman" w:hAnsi="Arial" w:cs="Arial"/>
                <w:b/>
                <w:bCs/>
                <w:color w:val="000000"/>
                <w:sz w:val="24"/>
                <w:szCs w:val="24"/>
                <w:lang w:eastAsia="pt-BR"/>
              </w:rPr>
              <w:t>lote ___</w:t>
            </w:r>
            <w:r>
              <w:rPr>
                <w:rFonts w:ascii="Arial" w:eastAsia="Times New Roman" w:hAnsi="Arial" w:cs="Arial"/>
                <w:color w:val="000000"/>
                <w:sz w:val="24"/>
                <w:szCs w:val="24"/>
                <w:lang w:eastAsia="pt-BR"/>
              </w:rPr>
              <w:t>, estabelecida na ________________________, CEP.: ......-..., inscrita no Cadastro de Pessoas Jurídicas sob o n.º __________________, neste ato representada por </w:t>
            </w:r>
            <w:r>
              <w:rPr>
                <w:rFonts w:ascii="Arial" w:eastAsia="Times New Roman" w:hAnsi="Arial" w:cs="Arial"/>
                <w:b/>
                <w:bCs/>
                <w:color w:val="000000"/>
                <w:sz w:val="24"/>
                <w:szCs w:val="24"/>
                <w:lang w:eastAsia="pt-BR"/>
              </w:rPr>
              <w:t>__________________</w:t>
            </w:r>
            <w:r>
              <w:rPr>
                <w:rFonts w:ascii="Arial" w:eastAsia="Times New Roman" w:hAnsi="Arial" w:cs="Arial"/>
                <w:color w:val="000000"/>
                <w:sz w:val="24"/>
                <w:szCs w:val="24"/>
                <w:lang w:eastAsia="pt-BR"/>
              </w:rPr>
              <w:t>, inscrita no Cadastro de Pessoas Físicas sob o n.º ________________.</w:t>
            </w:r>
          </w:p>
        </w:tc>
      </w:tr>
    </w:tbl>
    <w:p w14:paraId="137D91BE"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34CD946"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CLÁUSULA PRIMEIRA – DO OBJETO</w:t>
      </w:r>
    </w:p>
    <w:p w14:paraId="4638358F"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w:t>
      </w:r>
      <w:r>
        <w:rPr>
          <w:rFonts w:ascii="Arial" w:eastAsia="Times New Roman" w:hAnsi="Arial" w:cs="Arial"/>
          <w:color w:val="000000"/>
          <w:sz w:val="24"/>
          <w:szCs w:val="24"/>
          <w:lang w:eastAsia="pt-BR"/>
        </w:rPr>
        <w:t xml:space="preserve"> A presente ata tem por objeto o registro de preços para a eventual aquisição de </w:t>
      </w:r>
      <w:r>
        <w:rPr>
          <w:rFonts w:ascii="Arial" w:hAnsi="Arial" w:cs="Arial"/>
          <w:color w:val="000000"/>
          <w:sz w:val="24"/>
          <w:szCs w:val="24"/>
        </w:rPr>
        <w:t>CADEIRAS OPERACIONAIS, conforme especificações, exigências e quantidades estabelecidas no Termo de Referência</w:t>
      </w:r>
      <w:r>
        <w:rPr>
          <w:rFonts w:ascii="Arial" w:eastAsia="Times New Roman" w:hAnsi="Arial" w:cs="Arial"/>
          <w:color w:val="000000"/>
          <w:sz w:val="24"/>
          <w:szCs w:val="24"/>
          <w:lang w:eastAsia="pt-BR"/>
        </w:rPr>
        <w:t>, pela Procuradoria-Geral de Justiça do Estado de Minas Gerais, órgão gerenciador, e, se for o caso, pelos órgãos participantes.</w:t>
      </w:r>
    </w:p>
    <w:p w14:paraId="756B94B3"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B348A7E"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SEGUNDA – DOS PREÇOS REGISTRADOS</w:t>
      </w:r>
    </w:p>
    <w:p w14:paraId="69B1DA2A"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2.1. </w:t>
      </w:r>
      <w:r>
        <w:rPr>
          <w:rFonts w:ascii="Arial" w:eastAsia="Times New Roman" w:hAnsi="Arial" w:cs="Arial"/>
          <w:color w:val="000000"/>
          <w:sz w:val="24"/>
          <w:szCs w:val="24"/>
          <w:lang w:eastAsia="pt-BR"/>
        </w:rPr>
        <w:t>Estão consignados no Anexo II desta Ata de Registro de Preços os itens que a compõem acompanhados dos preços registrados, das especificações do objeto, incluindo as quantidades de cada item, o(s) fornecedor(es) e demais condições ofertadas na(s) proposta(a).</w:t>
      </w:r>
    </w:p>
    <w:p w14:paraId="670B67A7"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2.2. </w:t>
      </w:r>
      <w:r>
        <w:rPr>
          <w:rFonts w:ascii="Arial" w:eastAsia="Times New Roman" w:hAnsi="Arial" w:cs="Arial"/>
          <w:color w:val="000000"/>
          <w:sz w:val="24"/>
          <w:szCs w:val="24"/>
          <w:lang w:eastAsia="pt-BR"/>
        </w:rPr>
        <w:t>Nos preços fixados, estão incluídas todas as despesas necessárias à plena execução contratual e todos os encargos incidentes sobre o seu objeto.</w:t>
      </w:r>
    </w:p>
    <w:p w14:paraId="3B946F2C"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2.3. </w:t>
      </w:r>
      <w:r>
        <w:rPr>
          <w:rFonts w:ascii="Arial" w:eastAsia="Times New Roman" w:hAnsi="Arial" w:cs="Arial"/>
          <w:color w:val="000000"/>
          <w:sz w:val="24"/>
          <w:szCs w:val="24"/>
          <w:lang w:eastAsia="pt-BR"/>
        </w:rPr>
        <w:t>A existência de preços registrados implicará compromisso de fornecimento ou prestação de serviços nas condições estabelecidas, mas não obrigará a Administração Pública a contratar, nos termos do art. 19 do Decreto nº 48.779/24.</w:t>
      </w:r>
    </w:p>
    <w:p w14:paraId="4879CE57"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color w:val="000000"/>
          <w:sz w:val="24"/>
          <w:szCs w:val="24"/>
          <w:lang w:eastAsia="pt-BR"/>
        </w:rPr>
        <w:t> </w:t>
      </w:r>
    </w:p>
    <w:p w14:paraId="03EDB3E7" w14:textId="77777777" w:rsidR="00901CDC" w:rsidRDefault="00DD550A">
      <w:pPr>
        <w:spacing w:before="120" w:after="120" w:line="240" w:lineRule="auto"/>
        <w:ind w:left="120" w:right="120"/>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CLÁUSULA TERCEIRA – DO REAJUSTE</w:t>
      </w:r>
    </w:p>
    <w:p w14:paraId="511B65A8" w14:textId="77777777" w:rsidR="00901CDC" w:rsidRDefault="00DD550A">
      <w:pPr>
        <w:spacing w:before="120" w:after="120" w:line="240" w:lineRule="auto"/>
        <w:ind w:left="120" w:right="120"/>
        <w:jc w:val="both"/>
        <w:rPr>
          <w:rFonts w:ascii="Arial" w:eastAsia="Calibri" w:hAnsi="Arial" w:cs="Arial"/>
          <w:b/>
          <w:bCs/>
          <w:kern w:val="2"/>
          <w:sz w:val="24"/>
          <w:szCs w:val="24"/>
          <w14:ligatures w14:val="standardContextual"/>
        </w:rPr>
      </w:pPr>
      <w:r>
        <w:rPr>
          <w:rFonts w:ascii="Arial" w:eastAsia="Times New Roman" w:hAnsi="Arial" w:cs="Arial"/>
          <w:color w:val="000000"/>
          <w:sz w:val="24"/>
          <w:szCs w:val="24"/>
          <w:lang w:eastAsia="pt-BR"/>
        </w:rPr>
        <w:t>A periodicidade para o reajuste do objeto será de 12 (doze) meses, contados da data do orçamento estimado, em 24/04/2024,</w:t>
      </w:r>
      <w:r>
        <w:rPr>
          <w:rFonts w:ascii="Arial" w:eastAsia="Times New Roman" w:hAnsi="Arial" w:cs="Arial"/>
          <w:bCs/>
          <w:color w:val="000000"/>
          <w:sz w:val="24"/>
          <w:szCs w:val="24"/>
          <w:lang w:eastAsia="pt-BR"/>
        </w:rPr>
        <w:t xml:space="preserve"> no caso de primeiro reajuste, ou da data do reajuste anterior, na hipótese de reajustes posteriores, com base no  </w:t>
      </w:r>
      <w:r>
        <w:rPr>
          <w:rFonts w:ascii="Arial" w:hAnsi="Arial" w:cs="Arial"/>
          <w:sz w:val="24"/>
          <w:szCs w:val="24"/>
          <w:shd w:val="clear" w:color="auto" w:fill="FFFFFF"/>
        </w:rPr>
        <w:t>Índice Nacional de Preços ao Consumidor Amplo</w:t>
      </w:r>
      <w:r>
        <w:rPr>
          <w:rFonts w:ascii="Arial" w:eastAsia="Times New Roman" w:hAnsi="Arial" w:cs="Arial"/>
          <w:sz w:val="24"/>
          <w:szCs w:val="24"/>
          <w:lang w:eastAsia="pt-BR"/>
        </w:rPr>
        <w:t xml:space="preserve"> (</w:t>
      </w:r>
      <w:r>
        <w:rPr>
          <w:rFonts w:ascii="Arial" w:eastAsia="SimSun" w:hAnsi="Arial" w:cs="Arial"/>
          <w:sz w:val="24"/>
          <w:szCs w:val="24"/>
          <w:lang w:eastAsia="hi-IN" w:bidi="hi-IN"/>
        </w:rPr>
        <w:t>IPCA-IBGE)</w:t>
      </w:r>
      <w:r>
        <w:rPr>
          <w:rStyle w:val="ui-provider"/>
          <w:rFonts w:ascii="Arial" w:hAnsi="Arial" w:cs="Arial"/>
          <w:sz w:val="24"/>
          <w:szCs w:val="24"/>
        </w:rPr>
        <w:t xml:space="preserve"> </w:t>
      </w:r>
      <w:r>
        <w:rPr>
          <w:rFonts w:ascii="Arial" w:eastAsia="Times New Roman" w:hAnsi="Arial" w:cs="Arial"/>
          <w:bCs/>
          <w:color w:val="000000"/>
          <w:sz w:val="24"/>
          <w:szCs w:val="24"/>
          <w:lang w:eastAsia="pt-BR"/>
        </w:rPr>
        <w:t xml:space="preserve"> ou em outro índice que venha substituí-lo.</w:t>
      </w:r>
    </w:p>
    <w:p w14:paraId="2317B57A" w14:textId="77777777" w:rsidR="00901CDC" w:rsidRDefault="00DD550A">
      <w:pPr>
        <w:spacing w:before="120" w:after="120" w:line="276" w:lineRule="auto"/>
        <w:ind w:left="120" w:right="120"/>
        <w:jc w:val="both"/>
        <w:rPr>
          <w:rFonts w:ascii="Arial" w:eastAsia="Calibri" w:hAnsi="Arial" w:cs="Arial"/>
          <w:kern w:val="2"/>
          <w:sz w:val="24"/>
          <w:szCs w:val="24"/>
          <w14:ligatures w14:val="standardContextual"/>
        </w:rPr>
      </w:pPr>
      <w:r>
        <w:rPr>
          <w:rFonts w:ascii="Arial" w:eastAsia="Calibri" w:hAnsi="Arial" w:cs="Arial"/>
          <w:b/>
          <w:color w:val="000000"/>
          <w:kern w:val="2"/>
          <w:sz w:val="24"/>
          <w:szCs w:val="24"/>
          <w14:ligatures w14:val="standardContextual"/>
        </w:rPr>
        <w:t>Subcláusula Primeira:</w:t>
      </w:r>
      <w:r>
        <w:rPr>
          <w:rFonts w:ascii="Arial" w:eastAsia="Calibri" w:hAnsi="Arial" w:cs="Arial"/>
          <w:color w:val="000000"/>
          <w:kern w:val="2"/>
          <w:sz w:val="24"/>
          <w:szCs w:val="24"/>
          <w14:ligatures w14:val="standardContextual"/>
        </w:rPr>
        <w:t xml:space="preserve"> A concessão de reajuste será efetuada independentemente de pedido do fornecedor.</w:t>
      </w:r>
    </w:p>
    <w:p w14:paraId="5F99BBD2" w14:textId="77777777" w:rsidR="00901CDC" w:rsidRDefault="00DD550A">
      <w:pPr>
        <w:spacing w:before="120" w:after="120" w:line="276" w:lineRule="auto"/>
        <w:ind w:left="120" w:right="120"/>
        <w:jc w:val="both"/>
        <w:rPr>
          <w:rFonts w:ascii="Arial" w:eastAsia="Calibri" w:hAnsi="Arial" w:cs="Arial"/>
          <w:kern w:val="2"/>
          <w:sz w:val="24"/>
          <w:szCs w:val="24"/>
          <w14:ligatures w14:val="standardContextual"/>
        </w:rPr>
      </w:pPr>
      <w:r>
        <w:rPr>
          <w:rFonts w:ascii="Arial" w:eastAsia="Calibri" w:hAnsi="Arial" w:cs="Arial"/>
          <w:b/>
          <w:color w:val="000000"/>
          <w:kern w:val="2"/>
          <w:sz w:val="24"/>
          <w:szCs w:val="24"/>
          <w14:ligatures w14:val="standardContextual"/>
        </w:rPr>
        <w:t>Subcláusula Segunda:</w:t>
      </w:r>
      <w:r>
        <w:rPr>
          <w:rFonts w:ascii="Arial" w:eastAsia="Calibri" w:hAnsi="Arial" w:cs="Arial"/>
          <w:color w:val="000000"/>
          <w:kern w:val="2"/>
          <w:sz w:val="24"/>
          <w:szCs w:val="24"/>
          <w14:ligatures w14:val="standardContextual"/>
        </w:rPr>
        <w:t xml:space="preserve"> A redução do valor do reajuste estabelecido no caput desta cláusula ou sua dispensa poderão ainda ser objeto de acordo entre as partes.</w:t>
      </w:r>
    </w:p>
    <w:p w14:paraId="27C75177" w14:textId="77777777" w:rsidR="00901CDC" w:rsidRDefault="00DD550A">
      <w:pPr>
        <w:spacing w:before="120" w:after="120" w:line="285" w:lineRule="atLeast"/>
        <w:ind w:left="120" w:right="120"/>
        <w:jc w:val="both"/>
        <w:rPr>
          <w:rFonts w:ascii="Arial" w:eastAsia="Calibri" w:hAnsi="Arial" w:cs="Arial"/>
          <w:kern w:val="2"/>
          <w:sz w:val="24"/>
          <w:szCs w:val="24"/>
          <w14:ligatures w14:val="standardContextual"/>
        </w:rPr>
      </w:pPr>
      <w:r>
        <w:rPr>
          <w:rFonts w:ascii="Arial" w:eastAsia="Calibri" w:hAnsi="Arial" w:cs="Arial"/>
          <w:b/>
          <w:color w:val="000000"/>
          <w:kern w:val="2"/>
          <w:sz w:val="24"/>
          <w:szCs w:val="24"/>
          <w14:ligatures w14:val="standardContextual"/>
        </w:rPr>
        <w:t>Subcláusula Terceira</w:t>
      </w:r>
      <w:r>
        <w:rPr>
          <w:rFonts w:ascii="Arial" w:eastAsia="Calibri" w:hAnsi="Arial" w:cs="Arial"/>
          <w:i/>
          <w:color w:val="000000"/>
          <w:kern w:val="2"/>
          <w:sz w:val="24"/>
          <w:szCs w:val="24"/>
          <w14:ligatures w14:val="standardContextual"/>
        </w:rPr>
        <w:t xml:space="preserve">: </w:t>
      </w:r>
      <w:r>
        <w:rPr>
          <w:rFonts w:ascii="Arial" w:eastAsia="Calibri" w:hAnsi="Arial" w:cs="Arial"/>
          <w:color w:val="000000"/>
          <w:kern w:val="2"/>
          <w:sz w:val="24"/>
          <w:szCs w:val="24"/>
          <w14:ligatures w14:val="standardContextual"/>
        </w:rPr>
        <w:t>Em regra, o reajuste será realizado por apostilamento.</w:t>
      </w:r>
    </w:p>
    <w:p w14:paraId="248D0478" w14:textId="77777777" w:rsidR="00901CDC" w:rsidRDefault="00901CDC">
      <w:pPr>
        <w:spacing w:before="120" w:after="120" w:line="240" w:lineRule="auto"/>
        <w:ind w:left="120" w:right="120"/>
        <w:jc w:val="both"/>
        <w:rPr>
          <w:rFonts w:ascii="Arial" w:eastAsia="Times New Roman" w:hAnsi="Arial" w:cs="Arial"/>
          <w:color w:val="000000"/>
          <w:sz w:val="24"/>
          <w:szCs w:val="24"/>
          <w:lang w:eastAsia="pt-BR"/>
        </w:rPr>
      </w:pPr>
    </w:p>
    <w:p w14:paraId="50F138F3"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 xml:space="preserve">CLÁUSULA QUARTA – DA VIGÊNCIA </w:t>
      </w:r>
    </w:p>
    <w:p w14:paraId="51229572" w14:textId="77777777" w:rsidR="00901CDC" w:rsidRDefault="00DD550A">
      <w:pPr>
        <w:spacing w:before="120" w:after="120" w:line="240" w:lineRule="auto"/>
        <w:ind w:left="119" w:right="119"/>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4.1.</w:t>
      </w:r>
      <w:r>
        <w:rPr>
          <w:rFonts w:ascii="Arial" w:eastAsia="Times New Roman" w:hAnsi="Arial" w:cs="Arial"/>
          <w:color w:val="000000"/>
          <w:sz w:val="24"/>
          <w:szCs w:val="24"/>
          <w:lang w:eastAsia="pt-BR"/>
        </w:rPr>
        <w:t> A presente ata terá a vigência de 1 (um) ano, a partir da data da publicação deste instrumento, podendo ser prorrogada por igual período, desde que previsto no instrumento convocatório e comprovado o preço vantajoso, nos termos do art. 84 da Lei nº 14.133/21 e do art. 20 do Decreto Estadual nº 48.779/24.</w:t>
      </w:r>
    </w:p>
    <w:p w14:paraId="36CC2815"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w:t>
      </w:r>
      <w:r>
        <w:rPr>
          <w:rFonts w:ascii="Arial" w:eastAsia="Times New Roman" w:hAnsi="Arial" w:cs="Arial"/>
          <w:color w:val="000000"/>
          <w:sz w:val="24"/>
          <w:szCs w:val="24"/>
          <w:lang w:eastAsia="pt-BR"/>
        </w:rPr>
        <w:t> É admitida a prorrogação da ARP quando a proposta se mantiver vantajosa, e desde que: </w:t>
      </w:r>
    </w:p>
    <w:p w14:paraId="512A7629"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4.2.1. </w:t>
      </w:r>
      <w:r>
        <w:rPr>
          <w:rFonts w:ascii="Arial" w:eastAsia="Times New Roman" w:hAnsi="Arial" w:cs="Arial"/>
          <w:color w:val="000000"/>
          <w:sz w:val="24"/>
          <w:szCs w:val="24"/>
          <w:lang w:eastAsia="pt-BR"/>
        </w:rPr>
        <w:t>A intenção da prorrogação seja manifestada no período de sua vigência;</w:t>
      </w:r>
    </w:p>
    <w:p w14:paraId="6503D623"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4.2.2.</w:t>
      </w:r>
      <w:r>
        <w:rPr>
          <w:rFonts w:ascii="Arial" w:eastAsia="Times New Roman" w:hAnsi="Arial" w:cs="Arial"/>
          <w:color w:val="000000"/>
          <w:sz w:val="24"/>
          <w:szCs w:val="24"/>
          <w:lang w:eastAsia="pt-BR"/>
        </w:rPr>
        <w:t> O</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fornecedor manifeste sua concordância com a prorrogação;</w:t>
      </w:r>
    </w:p>
    <w:p w14:paraId="5F3AF559"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4.2.3. </w:t>
      </w:r>
      <w:r>
        <w:rPr>
          <w:rFonts w:ascii="Arial" w:eastAsia="Times New Roman" w:hAnsi="Arial" w:cs="Arial"/>
          <w:color w:val="000000"/>
          <w:sz w:val="24"/>
          <w:szCs w:val="24"/>
          <w:lang w:eastAsia="pt-BR"/>
        </w:rPr>
        <w:t>A publicação de termo aditivo seja realizada nos moldes do art. 18 do Decreto nº 48.779/24.</w:t>
      </w:r>
    </w:p>
    <w:p w14:paraId="73E3421A"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06BD96D"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QUINTA – DAS CONTRATAÇÕES</w:t>
      </w:r>
    </w:p>
    <w:p w14:paraId="74811FB5" w14:textId="77777777" w:rsidR="00901CDC" w:rsidRDefault="00DD550A">
      <w:pPr>
        <w:spacing w:before="120" w:after="120" w:line="240" w:lineRule="auto"/>
        <w:ind w:left="120" w:right="120"/>
        <w:jc w:val="both"/>
        <w:rPr>
          <w:rFonts w:ascii="Arial" w:eastAsia="Times New Roman" w:hAnsi="Arial" w:cs="Arial"/>
          <w:color w:val="FF0000"/>
          <w:sz w:val="24"/>
          <w:szCs w:val="24"/>
          <w:lang w:eastAsia="pt-BR"/>
        </w:rPr>
      </w:pPr>
      <w:r>
        <w:rPr>
          <w:rFonts w:ascii="Arial" w:eastAsia="Times New Roman" w:hAnsi="Arial" w:cs="Arial"/>
          <w:b/>
          <w:bCs/>
          <w:color w:val="000000"/>
          <w:sz w:val="24"/>
          <w:szCs w:val="24"/>
          <w:lang w:eastAsia="pt-BR"/>
        </w:rPr>
        <w:t>5.1. </w:t>
      </w:r>
      <w:r>
        <w:rPr>
          <w:rFonts w:ascii="Arial" w:eastAsia="Times New Roman" w:hAnsi="Arial" w:cs="Arial"/>
          <w:color w:val="000000"/>
          <w:sz w:val="24"/>
          <w:szCs w:val="24"/>
          <w:lang w:eastAsia="pt-BR"/>
        </w:rPr>
        <w:t>Durante a vigência desta ata, os fornecedores, obedecida obrigatoriamente a classificação final da licitação, poderão ser convocados a firmarem termo de contrato com o órgão gerenciador ou, quando for o caso, com qualquer órgão participante, devendo fazê-lo em, no máximo, 5 (cinco) dias úteis a contar da comunicação ou, no decurso desse prazo, devidamente fundamentado, apresentar pedido de prorrogação. </w:t>
      </w:r>
    </w:p>
    <w:p w14:paraId="18AA5F5D"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5.1.1.</w:t>
      </w:r>
      <w:r>
        <w:rPr>
          <w:rFonts w:ascii="Arial" w:eastAsia="Times New Roman" w:hAnsi="Arial" w:cs="Arial"/>
          <w:color w:val="000000"/>
          <w:sz w:val="24"/>
          <w:szCs w:val="24"/>
          <w:lang w:eastAsia="pt-BR"/>
        </w:rPr>
        <w:t> Para firmar o instrumento de Contrato, o beneficiário deverá comprovar a manutenção das mesmas condições de habilitação e apresentar-se regular perante o CAGEF.</w:t>
      </w:r>
    </w:p>
    <w:p w14:paraId="5B1928F5"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5.1.2.</w:t>
      </w:r>
      <w:r>
        <w:rPr>
          <w:rFonts w:ascii="Arial" w:eastAsia="Times New Roman" w:hAnsi="Arial" w:cs="Arial"/>
          <w:color w:val="000000"/>
          <w:sz w:val="24"/>
          <w:szCs w:val="24"/>
          <w:lang w:eastAsia="pt-BR"/>
        </w:rPr>
        <w:t> Caso o fornecedor vencedor da licitação não apresente situação regular no ato da assinatura do Contrato ou recuse-se a assiná-lo, poderão ser sucessivamente convocados a firmar o instrumento contratual os demais fornecedores desta ata, respeitada a classificação final da licitação.</w:t>
      </w:r>
    </w:p>
    <w:p w14:paraId="6F45255A"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5.2. </w:t>
      </w:r>
      <w:r>
        <w:rPr>
          <w:rFonts w:ascii="Arial" w:eastAsia="Times New Roman" w:hAnsi="Arial" w:cs="Arial"/>
          <w:color w:val="000000"/>
          <w:sz w:val="24"/>
          <w:szCs w:val="24"/>
          <w:lang w:eastAsia="pt-BR"/>
        </w:rPr>
        <w:t>A presente ata não obriga o órgão gerenciador ou, quando for o caso, os órgãos participantes a adquirirem os produtos nela registrados, nem firmarem contratações nas quantidades estimadas, podendo realizarem licitações específicas para aquisição de um ou mais itens, obedecida a legislação pertinente, hipótese que, em igualdade de condições, os fornecedores desta ata terão preferência.</w:t>
      </w:r>
    </w:p>
    <w:p w14:paraId="4AB6F28B"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5.2.1.</w:t>
      </w:r>
      <w:r>
        <w:rPr>
          <w:rFonts w:ascii="Arial" w:eastAsia="Times New Roman" w:hAnsi="Arial" w:cs="Arial"/>
          <w:color w:val="000000"/>
          <w:sz w:val="24"/>
          <w:szCs w:val="24"/>
          <w:lang w:eastAsia="pt-BR"/>
        </w:rPr>
        <w:t> O direito de preferência dos fornecedores de que trata o subitem anterior poderá ser exercido quando, feita a opção pela aquisição do objeto por outro meio legalmente permitido, o preço da contratação for igual ou superior àquele que se encontra registrado nesta ata.</w:t>
      </w:r>
    </w:p>
    <w:p w14:paraId="67839A4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EC2A98D"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SEXTA – DAS CONDIÇÕES DE FORNECIMENTO</w:t>
      </w:r>
    </w:p>
    <w:p w14:paraId="4CEF678E"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6.1. </w:t>
      </w:r>
      <w:r>
        <w:rPr>
          <w:rFonts w:ascii="Arial" w:eastAsia="Times New Roman" w:hAnsi="Arial" w:cs="Arial"/>
          <w:color w:val="000000"/>
          <w:sz w:val="24"/>
          <w:szCs w:val="24"/>
          <w:lang w:eastAsia="pt-BR"/>
        </w:rPr>
        <w:t>Após firmado o instrumento contratual, o objeto desta ata deverá ser executado pelo fornecedor de acordo com o Termo de Referência, a proposta vencedora da licitação e as cláusulas da Minuta de Contrato.</w:t>
      </w:r>
    </w:p>
    <w:p w14:paraId="17648A8E"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6.2</w:t>
      </w:r>
      <w:r>
        <w:rPr>
          <w:rFonts w:ascii="Arial" w:eastAsia="Times New Roman" w:hAnsi="Arial" w:cs="Arial"/>
          <w:color w:val="000000"/>
          <w:sz w:val="24"/>
          <w:szCs w:val="24"/>
          <w:lang w:eastAsia="pt-BR"/>
        </w:rPr>
        <w:t> Quando houver necessidade de fornecimento de produto de marca ou modelo diferente daquele originalmente registrado, por motivo ou fato superveniente à licitação, devidamente demonstrado pelo fornecedor, esta ata poderá ser alterada, desde que o novo produto possua, comprovadamente, desempenho ou qualidade igual ou superior ao inicialmente registrado, sendo vedado o aumento do preço para ele registrado. </w:t>
      </w:r>
    </w:p>
    <w:p w14:paraId="07242682"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6.3. </w:t>
      </w:r>
      <w:r>
        <w:rPr>
          <w:rFonts w:ascii="Arial" w:eastAsia="Times New Roman" w:hAnsi="Arial" w:cs="Arial"/>
          <w:color w:val="000000"/>
          <w:sz w:val="24"/>
          <w:szCs w:val="24"/>
          <w:lang w:eastAsia="pt-BR"/>
        </w:rPr>
        <w:t xml:space="preserve">Conforme previsto no art. 26 do Decreto Estadual nº 48.779/24, é vedado realizar acréscimos nos quantitativos fixados nesta ata, inclusive aquele de que trata </w:t>
      </w:r>
      <w:r>
        <w:rPr>
          <w:rFonts w:ascii="Arial" w:eastAsia="Times New Roman" w:hAnsi="Arial" w:cs="Arial"/>
          <w:color w:val="000000"/>
          <w:sz w:val="24"/>
          <w:szCs w:val="24"/>
          <w:lang w:eastAsia="pt-BR"/>
        </w:rPr>
        <w:lastRenderedPageBreak/>
        <w:t>o art. 125, da Lei Federal nº 14.133/21, o qual poderá ser efetuado apenas nos contratos.</w:t>
      </w:r>
    </w:p>
    <w:p w14:paraId="10E5F031"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bookmarkStart w:id="191" w:name="_Toc108857855"/>
      <w:bookmarkStart w:id="192" w:name="_Toc93722435"/>
      <w:bookmarkStart w:id="193" w:name="_Toc93722306"/>
      <w:bookmarkEnd w:id="191"/>
      <w:bookmarkEnd w:id="192"/>
      <w:bookmarkEnd w:id="193"/>
      <w:r>
        <w:rPr>
          <w:rFonts w:ascii="Arial" w:eastAsia="Times New Roman" w:hAnsi="Arial" w:cs="Arial"/>
          <w:color w:val="000000"/>
          <w:sz w:val="24"/>
          <w:szCs w:val="24"/>
          <w:lang w:eastAsia="pt-BR"/>
        </w:rPr>
        <w:t> </w:t>
      </w:r>
    </w:p>
    <w:p w14:paraId="603C4CA9"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bookmarkStart w:id="194" w:name="_Toc93722044"/>
      <w:r>
        <w:rPr>
          <w:rFonts w:ascii="Arial" w:eastAsia="Times New Roman" w:hAnsi="Arial" w:cs="Arial"/>
          <w:b/>
          <w:bCs/>
          <w:color w:val="000000"/>
          <w:sz w:val="24"/>
          <w:szCs w:val="24"/>
          <w:lang w:eastAsia="pt-BR"/>
        </w:rPr>
        <w:t>CLÁUSULA SÉTIMA – DAS ALTERAÇÕES DE PREÇOS</w:t>
      </w:r>
      <w:bookmarkEnd w:id="194"/>
    </w:p>
    <w:p w14:paraId="0455C677"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7.2. </w:t>
      </w:r>
      <w:r>
        <w:rPr>
          <w:rFonts w:ascii="Arial" w:eastAsia="Times New Roman" w:hAnsi="Arial" w:cs="Arial"/>
          <w:color w:val="000000"/>
          <w:sz w:val="24"/>
          <w:szCs w:val="24"/>
          <w:lang w:eastAsia="pt-BR"/>
        </w:rPr>
        <w:t>Os preços registrados poderão ser alterados ou atualizados em decorrência de eventual redução dos preços praticados no mercado ou de fato que eleve o custo dos bens, das obras ou dos serviços registrados, após negociações entre o órgão gerenciador e os fornecedores, obedecidas as normas previstas na Seção IV do Capítulo IV do Decreto Estadual nº 48.779/24.</w:t>
      </w:r>
    </w:p>
    <w:p w14:paraId="69AB7940"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2578B07"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OITAVA – DOS DIREITOS E OBRIGAÇÕES</w:t>
      </w:r>
    </w:p>
    <w:p w14:paraId="237D7246"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Compete ao órgão gerenciador desta ata:</w:t>
      </w:r>
    </w:p>
    <w:p w14:paraId="1E959C1B"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8.1.1.</w:t>
      </w:r>
      <w:r>
        <w:rPr>
          <w:rFonts w:ascii="Arial" w:eastAsia="Times New Roman" w:hAnsi="Arial" w:cs="Arial"/>
          <w:color w:val="000000"/>
          <w:sz w:val="24"/>
          <w:szCs w:val="24"/>
          <w:lang w:eastAsia="pt-BR"/>
        </w:rPr>
        <w:t> Administrar a presente ata, devendo, para tal, nomear um gestor para acompanhamento das prestações realizadas;</w:t>
      </w:r>
    </w:p>
    <w:p w14:paraId="6C9285E2"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8.1.2.</w:t>
      </w:r>
      <w:r>
        <w:rPr>
          <w:rFonts w:ascii="Arial" w:eastAsia="Times New Roman" w:hAnsi="Arial" w:cs="Arial"/>
          <w:color w:val="000000"/>
          <w:sz w:val="24"/>
          <w:szCs w:val="24"/>
          <w:lang w:eastAsia="pt-BR"/>
        </w:rPr>
        <w:t> Cuidar para que, durante a vigência da presente ata, sejam mantidas pelos fornecedores todas as condições de habilitação e qualificação exigidas na licitação, bem assim, a sua compatibilidade com as obrigações assumidas;</w:t>
      </w:r>
    </w:p>
    <w:p w14:paraId="4C271348"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8.1.3.</w:t>
      </w:r>
      <w:r>
        <w:rPr>
          <w:rFonts w:ascii="Arial" w:eastAsia="Times New Roman" w:hAnsi="Arial" w:cs="Arial"/>
          <w:color w:val="000000"/>
          <w:sz w:val="24"/>
          <w:szCs w:val="24"/>
          <w:lang w:eastAsia="pt-BR"/>
        </w:rPr>
        <w:t> Acompanhar e fiscalizar a perfeita execução do presente Registro de Preços;</w:t>
      </w:r>
    </w:p>
    <w:p w14:paraId="121B8574"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8.1.4. </w:t>
      </w:r>
      <w:r>
        <w:rPr>
          <w:rFonts w:ascii="Arial" w:eastAsia="Times New Roman" w:hAnsi="Arial" w:cs="Arial"/>
          <w:color w:val="000000"/>
          <w:sz w:val="24"/>
          <w:szCs w:val="24"/>
          <w:lang w:eastAsia="pt-BR"/>
        </w:rPr>
        <w:t>Autorizar as solicitações de adesão à ARP dos órgãos não participantes, procedendo ao atendimento das demandas, quando for possível, nos termos do art. 30 do Decreto Estadual nº 48.779/24;</w:t>
      </w:r>
    </w:p>
    <w:p w14:paraId="44DB73E1"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8.1.5.</w:t>
      </w:r>
      <w:r>
        <w:rPr>
          <w:rFonts w:ascii="Arial" w:eastAsia="Times New Roman" w:hAnsi="Arial" w:cs="Arial"/>
          <w:color w:val="000000"/>
          <w:sz w:val="24"/>
          <w:szCs w:val="24"/>
          <w:lang w:eastAsia="pt-BR"/>
        </w:rPr>
        <w:t> Atender a todas as práticas determinadas no art. 5º do Decreto Estadual nº 48.779/24;</w:t>
      </w:r>
    </w:p>
    <w:p w14:paraId="31F9562E"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8.1.6. </w:t>
      </w:r>
      <w:r>
        <w:rPr>
          <w:rFonts w:ascii="Arial" w:eastAsia="Times New Roman" w:hAnsi="Arial" w:cs="Arial"/>
          <w:color w:val="000000"/>
          <w:sz w:val="24"/>
          <w:szCs w:val="24"/>
          <w:lang w:eastAsia="pt-BR"/>
        </w:rPr>
        <w:t>Observar, no tocante às suas demandas de contratações, as obrigações previstas no subitem seguinte referente aos órgãos participantes.</w:t>
      </w:r>
    </w:p>
    <w:p w14:paraId="456BFB93"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 Compete aos órgãos participantes, quando houver:</w:t>
      </w:r>
    </w:p>
    <w:p w14:paraId="5A9F2093"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8.2.1.</w:t>
      </w:r>
      <w:r>
        <w:rPr>
          <w:rFonts w:ascii="Arial" w:eastAsia="Times New Roman" w:hAnsi="Arial" w:cs="Arial"/>
          <w:color w:val="000000"/>
          <w:sz w:val="24"/>
          <w:szCs w:val="24"/>
          <w:lang w:eastAsia="pt-BR"/>
        </w:rPr>
        <w:t> Requisitar via e-mail ou ofício a eventual execução do objeto cujos preços encontram-se registrados nesta ata;</w:t>
      </w:r>
    </w:p>
    <w:p w14:paraId="25B19001"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8.2.2.</w:t>
      </w:r>
      <w:r>
        <w:rPr>
          <w:rFonts w:ascii="Arial" w:eastAsia="Times New Roman" w:hAnsi="Arial" w:cs="Arial"/>
          <w:color w:val="000000"/>
          <w:sz w:val="24"/>
          <w:szCs w:val="24"/>
          <w:lang w:eastAsia="pt-BR"/>
        </w:rPr>
        <w:t> Emitir nota de empenho a crédito do fornecedor no valor total correspondente ao objeto solicitado;</w:t>
      </w:r>
    </w:p>
    <w:p w14:paraId="27EE3FB8"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8.2.3. </w:t>
      </w:r>
      <w:r>
        <w:rPr>
          <w:rFonts w:ascii="Arial" w:eastAsia="Times New Roman" w:hAnsi="Arial" w:cs="Arial"/>
          <w:color w:val="000000"/>
          <w:sz w:val="24"/>
          <w:szCs w:val="24"/>
          <w:lang w:eastAsia="pt-BR"/>
        </w:rPr>
        <w:t>Efetuar o pagamento referente ao objeto do contrato decorrente desta ata;</w:t>
      </w:r>
    </w:p>
    <w:p w14:paraId="7A0F4903"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8.2.4.</w:t>
      </w:r>
      <w:r>
        <w:rPr>
          <w:rFonts w:ascii="Arial" w:eastAsia="Times New Roman" w:hAnsi="Arial" w:cs="Arial"/>
          <w:color w:val="000000"/>
          <w:sz w:val="24"/>
          <w:szCs w:val="24"/>
          <w:lang w:eastAsia="pt-BR"/>
        </w:rPr>
        <w:t> Atender a todas as práticas determinadas no art. 6º do Decreto Estadual nº 48.779/24.</w:t>
      </w:r>
    </w:p>
    <w:p w14:paraId="3770E9C2"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8.3. Compete aos órgãos não participantes, quando houver:</w:t>
      </w:r>
    </w:p>
    <w:p w14:paraId="01C48016"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8.3.1.</w:t>
      </w:r>
      <w:r>
        <w:rPr>
          <w:rFonts w:ascii="Arial" w:eastAsia="Times New Roman" w:hAnsi="Arial" w:cs="Arial"/>
          <w:color w:val="000000"/>
          <w:sz w:val="24"/>
          <w:szCs w:val="24"/>
          <w:lang w:eastAsia="pt-BR"/>
        </w:rPr>
        <w:t> Encaminhar seu termo de adesão ao órgão gerenciador, com indicação do objeto de seu interesse e da quantidade estimada, para conhecimento e aprovação, utilizando, sempre que possível, sistema informatizado.</w:t>
      </w:r>
    </w:p>
    <w:p w14:paraId="6A727FD7"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8.3.2. </w:t>
      </w:r>
      <w:r>
        <w:rPr>
          <w:rFonts w:ascii="Arial" w:eastAsia="Times New Roman" w:hAnsi="Arial" w:cs="Arial"/>
          <w:color w:val="000000"/>
          <w:sz w:val="24"/>
          <w:szCs w:val="24"/>
          <w:lang w:eastAsia="pt-BR"/>
        </w:rPr>
        <w:t>Observar, no tocante às suas demandas de contratações, as obrigações previstas no subitem 8.2, referente aos órgãos participantes, bem como, no que couber, as disposições contidas no art. 6º do Decreto Estadual nº 48.779/24.</w:t>
      </w:r>
    </w:p>
    <w:p w14:paraId="459F4F9F"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shd w:val="clear" w:color="auto" w:fill="FFFFFF"/>
          <w:lang w:eastAsia="pt-BR"/>
        </w:rPr>
        <w:t>8.4</w:t>
      </w:r>
      <w:r>
        <w:rPr>
          <w:rFonts w:ascii="Arial" w:eastAsia="Times New Roman" w:hAnsi="Arial" w:cs="Arial"/>
          <w:b/>
          <w:bCs/>
          <w:color w:val="000000"/>
          <w:sz w:val="24"/>
          <w:szCs w:val="24"/>
          <w:lang w:eastAsia="pt-BR"/>
        </w:rPr>
        <w:t>.</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Compete ao(s) fornecedor(es) signatário(s) desta ata:</w:t>
      </w:r>
    </w:p>
    <w:p w14:paraId="0BBE628D" w14:textId="77777777" w:rsidR="00901CDC" w:rsidRDefault="00DD550A">
      <w:pP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8.4.1.</w:t>
      </w:r>
      <w:r>
        <w:rPr>
          <w:rFonts w:ascii="Arial" w:eastAsia="Times New Roman" w:hAnsi="Arial" w:cs="Arial"/>
          <w:color w:val="000000"/>
          <w:sz w:val="24"/>
          <w:szCs w:val="24"/>
          <w:lang w:eastAsia="pt-BR"/>
        </w:rPr>
        <w:t> Contratar com o órgão gerenciador e, quando for o caso, com os órgãos participantes, no período de vigência desta ata, bem como executar o objeto desta ata durante a vigência contratual em conformidade com o Edital do Pregão Eletrônico – Registro de Preços - Planejamento nº 142/2024 e seus anexos;</w:t>
      </w:r>
    </w:p>
    <w:p w14:paraId="21D78242"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8.4.2.</w:t>
      </w:r>
      <w:r>
        <w:rPr>
          <w:rFonts w:ascii="Arial" w:eastAsia="Times New Roman" w:hAnsi="Arial" w:cs="Arial"/>
          <w:color w:val="000000"/>
          <w:sz w:val="24"/>
          <w:szCs w:val="24"/>
          <w:lang w:eastAsia="pt-BR"/>
        </w:rPr>
        <w:t> Providenciar a imediata correção das deficiências, falhas ou irregularidades constatadas pelo órgão gerenciador e, quando for o caso, por órgãos participantes, referentes ao cumprimento das obrigações assumidas nesta ata;</w:t>
      </w:r>
    </w:p>
    <w:p w14:paraId="63ACD8F1"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8.4.3.</w:t>
      </w:r>
      <w:r>
        <w:rPr>
          <w:rFonts w:ascii="Arial" w:eastAsia="Times New Roman" w:hAnsi="Arial" w:cs="Arial"/>
          <w:color w:val="000000"/>
          <w:sz w:val="24"/>
          <w:szCs w:val="24"/>
          <w:lang w:eastAsia="pt-BR"/>
        </w:rPr>
        <w:t> Apresentar, durante todo o prazo de vigência desta ata, à medida que forem vencendo os prazos de validade da documentação apresentada, novo(s) documento(s) que comprove(m) as condições de habilitação e qualificação exigidas para a contratação, bem como os que comprovem a sua compatibilidade com as obrigações assumidas;</w:t>
      </w:r>
    </w:p>
    <w:p w14:paraId="790B93E0"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8.4.4.</w:t>
      </w:r>
      <w:r>
        <w:rPr>
          <w:rFonts w:ascii="Arial" w:eastAsia="Times New Roman" w:hAnsi="Arial" w:cs="Arial"/>
          <w:color w:val="000000"/>
          <w:sz w:val="24"/>
          <w:szCs w:val="24"/>
          <w:lang w:eastAsia="pt-BR"/>
        </w:rPr>
        <w:t> Ressarcir os eventuais prejuízos causados ao órgão gerenciador e, quando for o caso, aos órgãos participantes, bem como a terceiros, provocados por ineficiência ou irregularidades cometidas na execução das obrigações assumidas na presente ata;</w:t>
      </w:r>
    </w:p>
    <w:p w14:paraId="4C350205"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8.4.5.</w:t>
      </w:r>
      <w:r>
        <w:rPr>
          <w:rFonts w:ascii="Arial" w:eastAsia="Times New Roman" w:hAnsi="Arial" w:cs="Arial"/>
          <w:color w:val="000000"/>
          <w:sz w:val="24"/>
          <w:szCs w:val="24"/>
          <w:lang w:eastAsia="pt-BR"/>
        </w:rPr>
        <w:t> Cumprir as obrigações e os prazos previstos nesta ata e no Edital do Pregão Eletrônico – Registro de Preços – Planejamento nº 142/2024</w:t>
      </w:r>
    </w:p>
    <w:p w14:paraId="289B473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bookmarkStart w:id="195" w:name="_Toc108857856"/>
      <w:bookmarkStart w:id="196" w:name="_Toc93722436"/>
      <w:bookmarkStart w:id="197" w:name="_Toc93722307"/>
      <w:bookmarkEnd w:id="195"/>
      <w:bookmarkEnd w:id="196"/>
      <w:bookmarkEnd w:id="197"/>
      <w:r>
        <w:rPr>
          <w:rFonts w:ascii="Arial" w:eastAsia="Times New Roman" w:hAnsi="Arial" w:cs="Arial"/>
          <w:color w:val="000000"/>
          <w:sz w:val="24"/>
          <w:szCs w:val="24"/>
          <w:lang w:eastAsia="pt-BR"/>
        </w:rPr>
        <w:t> </w:t>
      </w:r>
    </w:p>
    <w:p w14:paraId="6807FB2B"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bookmarkStart w:id="198" w:name="_Toc93722045"/>
      <w:r>
        <w:rPr>
          <w:rFonts w:ascii="Arial" w:eastAsia="Times New Roman" w:hAnsi="Arial" w:cs="Arial"/>
          <w:b/>
          <w:bCs/>
          <w:color w:val="000000"/>
          <w:sz w:val="24"/>
          <w:szCs w:val="24"/>
          <w:lang w:eastAsia="pt-BR"/>
        </w:rPr>
        <w:t>CLÁUSULA NONA – DO CANCELAMENTO </w:t>
      </w:r>
      <w:bookmarkEnd w:id="198"/>
      <w:r>
        <w:rPr>
          <w:rFonts w:ascii="Arial" w:eastAsia="Times New Roman" w:hAnsi="Arial" w:cs="Arial"/>
          <w:b/>
          <w:bCs/>
          <w:color w:val="000000"/>
          <w:sz w:val="24"/>
          <w:szCs w:val="24"/>
          <w:lang w:eastAsia="pt-BR"/>
        </w:rPr>
        <w:t>DO REGISTRO</w:t>
      </w:r>
    </w:p>
    <w:p w14:paraId="153B99EF"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w:t>
      </w:r>
      <w:r>
        <w:rPr>
          <w:rFonts w:ascii="Arial" w:eastAsia="Times New Roman" w:hAnsi="Arial" w:cs="Arial"/>
          <w:color w:val="000000"/>
          <w:sz w:val="24"/>
          <w:szCs w:val="24"/>
          <w:lang w:eastAsia="pt-BR"/>
        </w:rPr>
        <w:t> O Registro de Preços do fornecedor signatário desta ata poderá ser cancelado de pleno direito nas seguintes situações:</w:t>
      </w:r>
    </w:p>
    <w:p w14:paraId="2A8D1C39"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Por iniciativa do órgão gerenciador desta ata:</w:t>
      </w:r>
    </w:p>
    <w:p w14:paraId="02808B9B"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9.1.1.1.</w:t>
      </w:r>
      <w:r>
        <w:rPr>
          <w:rFonts w:ascii="Arial" w:eastAsia="Times New Roman" w:hAnsi="Arial" w:cs="Arial"/>
          <w:color w:val="000000"/>
          <w:sz w:val="24"/>
          <w:szCs w:val="24"/>
          <w:lang w:eastAsia="pt-BR"/>
        </w:rPr>
        <w:t> Se o fornecedor descumprir as obrigações e condições constantes desta ata sem motivo justificado;</w:t>
      </w:r>
    </w:p>
    <w:p w14:paraId="18786512"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9.1.1.2.</w:t>
      </w:r>
      <w:r>
        <w:rPr>
          <w:rFonts w:ascii="Arial" w:eastAsia="Times New Roman" w:hAnsi="Arial" w:cs="Arial"/>
          <w:color w:val="000000"/>
          <w:sz w:val="24"/>
          <w:szCs w:val="24"/>
          <w:lang w:eastAsia="pt-BR"/>
        </w:rPr>
        <w:t> Se o fornecedor não firmar contrato decorrente desta ata ou não retirar o instrumento equivalente no prazo estabelecido pela Administração, sem justificativa razoável;</w:t>
      </w:r>
    </w:p>
    <w:p w14:paraId="5DCA1A03"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9.1.1.3.</w:t>
      </w:r>
      <w:r>
        <w:rPr>
          <w:rFonts w:ascii="Arial" w:eastAsia="Times New Roman" w:hAnsi="Arial" w:cs="Arial"/>
          <w:color w:val="000000"/>
          <w:sz w:val="24"/>
          <w:szCs w:val="24"/>
          <w:lang w:eastAsia="pt-BR"/>
        </w:rPr>
        <w:t> Se ocorrer qualquer das hipóteses de inexecução total ou parcial de contrato decorrente desta ata;</w:t>
      </w:r>
    </w:p>
    <w:p w14:paraId="2D54D7F5"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lastRenderedPageBreak/>
        <w:t>9.1.1.4. </w:t>
      </w:r>
      <w:r>
        <w:rPr>
          <w:rFonts w:ascii="Arial" w:eastAsia="Times New Roman" w:hAnsi="Arial" w:cs="Arial"/>
          <w:color w:val="000000"/>
          <w:sz w:val="24"/>
          <w:szCs w:val="24"/>
          <w:lang w:eastAsia="pt-BR"/>
        </w:rPr>
        <w:t>Se o fornecedor não aceitar reduzir seu preço registrado, na hipótese prevista no artigo 23, § 3º, do Decreto Estadual nº 48.779/24;</w:t>
      </w:r>
    </w:p>
    <w:p w14:paraId="2AED96F1"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9.1.1.5. </w:t>
      </w:r>
      <w:r>
        <w:rPr>
          <w:rFonts w:ascii="Arial" w:eastAsia="Times New Roman" w:hAnsi="Arial" w:cs="Arial"/>
          <w:color w:val="000000"/>
          <w:sz w:val="24"/>
          <w:szCs w:val="24"/>
          <w:lang w:eastAsia="pt-BR"/>
        </w:rPr>
        <w:t>Se o fornecedor não aceitar manter seu preço registrado, na hipótese prevista no artigo 24, §§ 2º e 4º, do Decreto Estadual nº 48.779/24;</w:t>
      </w:r>
    </w:p>
    <w:p w14:paraId="77C45338"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9.1.1.6.</w:t>
      </w:r>
      <w:r>
        <w:rPr>
          <w:rFonts w:ascii="Arial" w:eastAsia="Times New Roman" w:hAnsi="Arial" w:cs="Arial"/>
          <w:color w:val="000000"/>
          <w:sz w:val="24"/>
          <w:szCs w:val="24"/>
          <w:lang w:eastAsia="pt-BR"/>
        </w:rPr>
        <w:t> Se o fornecedor der causa à extinção de contrato decorrente desta ata, por um dos motivos discriminados no art. 137 da Lei Federal nº 14.133/21;</w:t>
      </w:r>
    </w:p>
    <w:p w14:paraId="41B989F9"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9.1.1.7.</w:t>
      </w:r>
      <w:r>
        <w:rPr>
          <w:rFonts w:ascii="Arial" w:eastAsia="Times New Roman" w:hAnsi="Arial" w:cs="Arial"/>
          <w:color w:val="000000"/>
          <w:sz w:val="24"/>
          <w:szCs w:val="24"/>
          <w:lang w:eastAsia="pt-BR"/>
        </w:rPr>
        <w:t> Se o fornecedor sofrer sanção prevista art. 156, III ou IV, da Lei Federal nº 14.133/21;</w:t>
      </w:r>
    </w:p>
    <w:p w14:paraId="05EEEE67"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9.1.1.8.</w:t>
      </w:r>
      <w:r>
        <w:rPr>
          <w:rFonts w:ascii="Arial" w:eastAsia="Times New Roman" w:hAnsi="Arial" w:cs="Arial"/>
          <w:color w:val="000000"/>
          <w:sz w:val="24"/>
          <w:szCs w:val="24"/>
          <w:lang w:eastAsia="pt-BR"/>
        </w:rPr>
        <w:t> Por razões de interesse público, devidamente demonstradas e justificadas pela Administração.</w:t>
      </w:r>
    </w:p>
    <w:p w14:paraId="3A3C89D5"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Por iniciativa do fornecedor signatário:</w:t>
      </w:r>
    </w:p>
    <w:p w14:paraId="3F8094DC"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9.1.2.1.</w:t>
      </w:r>
      <w:r>
        <w:rPr>
          <w:rFonts w:ascii="Arial" w:eastAsia="Times New Roman" w:hAnsi="Arial" w:cs="Arial"/>
          <w:color w:val="000000"/>
          <w:sz w:val="24"/>
          <w:szCs w:val="24"/>
          <w:lang w:eastAsia="pt-BR"/>
        </w:rPr>
        <w:t> Mediante requerimento escrito devidamente instruído, entregue ao órgão gerenciador no mínimo 30 (trinta) dias antes do pedido de fornecimento, comprovando estar impossibilitado de cumprir as exigências do instrumento convocatório que deu origem a esta ata, sem prejuízo da aplicação de penalidade prevista no instrumento convocatório, nesta ata, bem como de eventual ressarcimento por perdas e danos;</w:t>
      </w:r>
    </w:p>
    <w:p w14:paraId="42DB85A7"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9.1.2.2.</w:t>
      </w:r>
      <w:r>
        <w:rPr>
          <w:rFonts w:ascii="Arial" w:eastAsia="Times New Roman" w:hAnsi="Arial" w:cs="Arial"/>
          <w:color w:val="000000"/>
          <w:sz w:val="24"/>
          <w:szCs w:val="24"/>
          <w:lang w:eastAsia="pt-BR"/>
        </w:rPr>
        <w:t> Mediante requerimento escrito devidamente instruído, antes de ser convocado a assinar o contrato ou receber a autorização de fornecimento ou a nota de empenho, caso o preço de mercado se torne superior ao registrado e a negociação com o órgão gerenciador seja frustrada, hipótese em que deverá anexar comprovantes ao requerimento, tais como notas fiscais de aquisição de matérias-primas, lista de preços de fabricantes, entre outros;</w:t>
      </w:r>
    </w:p>
    <w:p w14:paraId="7AA32750"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9.1.2.3.</w:t>
      </w:r>
      <w:r>
        <w:rPr>
          <w:rFonts w:ascii="Arial" w:eastAsia="Times New Roman" w:hAnsi="Arial" w:cs="Arial"/>
          <w:color w:val="000000"/>
          <w:sz w:val="24"/>
          <w:szCs w:val="24"/>
          <w:lang w:eastAsia="pt-BR"/>
        </w:rPr>
        <w:t> Mediante requerimento escrito devidamente instruído, comprovando a ocorrência de fato superveniente, decorrente de caso fortuito ou força maior, que tenha tornado impossível o cumprimento das exigências do instrumento convocatório que deu origem a esta ata.</w:t>
      </w:r>
    </w:p>
    <w:p w14:paraId="60282B7C"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9.2.</w:t>
      </w:r>
      <w:r>
        <w:rPr>
          <w:rFonts w:ascii="Arial" w:eastAsia="Times New Roman" w:hAnsi="Arial" w:cs="Arial"/>
          <w:color w:val="000000"/>
          <w:sz w:val="24"/>
          <w:szCs w:val="24"/>
          <w:lang w:eastAsia="pt-BR"/>
        </w:rPr>
        <w:t> O cancelamento do registro, nas hipóteses previstas nesta cláusula, assegurados o contraditório e a ampla defesa, será formalizado por despacho da autoridade competente do órgão gerenciador.</w:t>
      </w:r>
    </w:p>
    <w:p w14:paraId="001924F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9.3. </w:t>
      </w:r>
      <w:r>
        <w:rPr>
          <w:rFonts w:ascii="Arial" w:eastAsia="Times New Roman" w:hAnsi="Arial" w:cs="Arial"/>
          <w:color w:val="000000"/>
          <w:sz w:val="24"/>
          <w:szCs w:val="24"/>
          <w:lang w:eastAsia="pt-BR"/>
        </w:rPr>
        <w:t>Ocorrendo o cancelamento do registro na forma dos subitens 9.1.1.4 e 9.1.2.2, o fornecedor signatário desta ata ficará exonerado da aplicação de qualquer penalidade.</w:t>
      </w:r>
    </w:p>
    <w:p w14:paraId="5FABE74D"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9.4 </w:t>
      </w:r>
      <w:r>
        <w:rPr>
          <w:rFonts w:ascii="Arial" w:eastAsia="Times New Roman" w:hAnsi="Arial" w:cs="Arial"/>
          <w:color w:val="000000"/>
          <w:sz w:val="24"/>
          <w:szCs w:val="24"/>
          <w:lang w:eastAsia="pt-BR"/>
        </w:rPr>
        <w:t>Ocorrendo o cancelamento do registro na forma do subitem 9.1.1.7, caso a penalidade aplicada ao fornecedor não ultrapasse o prazo de vigência desta ata, o órgão gerenciador poderá, mediante decisão fundamentada, decidir pela manutenção do registro de preços, vedadas novas contratações derivadas da ata enquanto perdurarem os efeitos da sanção.</w:t>
      </w:r>
    </w:p>
    <w:p w14:paraId="60D5716E"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9.5</w:t>
      </w:r>
      <w:r>
        <w:rPr>
          <w:rFonts w:ascii="Arial" w:eastAsia="Times New Roman" w:hAnsi="Arial" w:cs="Arial"/>
          <w:color w:val="000000"/>
          <w:sz w:val="24"/>
          <w:szCs w:val="24"/>
          <w:lang w:eastAsia="pt-BR"/>
        </w:rPr>
        <w:t> Ocorrendo o cancelamento do registro do fornecedor, o órgão gerenciador poderá convocar os licitantes que compõe o cadastro de reserva, observada a ordem de classificação. </w:t>
      </w:r>
    </w:p>
    <w:p w14:paraId="776D651F"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bookmarkStart w:id="199" w:name="_Toc108857858"/>
      <w:bookmarkStart w:id="200" w:name="_Toc93722438"/>
      <w:bookmarkStart w:id="201" w:name="_Toc93722309"/>
      <w:bookmarkEnd w:id="199"/>
      <w:bookmarkEnd w:id="200"/>
      <w:bookmarkEnd w:id="201"/>
      <w:r>
        <w:rPr>
          <w:rFonts w:ascii="Arial" w:eastAsia="Times New Roman" w:hAnsi="Arial" w:cs="Arial"/>
          <w:color w:val="000000"/>
          <w:sz w:val="24"/>
          <w:szCs w:val="24"/>
          <w:lang w:eastAsia="pt-BR"/>
        </w:rPr>
        <w:lastRenderedPageBreak/>
        <w:t> </w:t>
      </w:r>
    </w:p>
    <w:p w14:paraId="3ACD4023"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bookmarkStart w:id="202" w:name="_Toc93722047"/>
      <w:r>
        <w:rPr>
          <w:rFonts w:ascii="Arial" w:eastAsia="Times New Roman" w:hAnsi="Arial" w:cs="Arial"/>
          <w:b/>
          <w:bCs/>
          <w:color w:val="000000"/>
          <w:sz w:val="24"/>
          <w:szCs w:val="24"/>
          <w:lang w:eastAsia="pt-BR"/>
        </w:rPr>
        <w:t>CLÁUSULA DÉCIMA – </w:t>
      </w:r>
      <w:bookmarkEnd w:id="202"/>
      <w:r>
        <w:rPr>
          <w:rFonts w:ascii="Arial" w:eastAsia="Times New Roman" w:hAnsi="Arial" w:cs="Arial"/>
          <w:b/>
          <w:bCs/>
          <w:color w:val="000000"/>
          <w:sz w:val="24"/>
          <w:szCs w:val="24"/>
          <w:lang w:eastAsia="pt-BR"/>
        </w:rPr>
        <w:t>DOS ÓRGÃOS GERENCIADOR E PARTICIPANTES</w:t>
      </w:r>
    </w:p>
    <w:p w14:paraId="6F224B84"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10.1.</w:t>
      </w:r>
      <w:r>
        <w:rPr>
          <w:rFonts w:ascii="Arial" w:eastAsia="Times New Roman" w:hAnsi="Arial" w:cs="Arial"/>
          <w:color w:val="000000"/>
          <w:sz w:val="24"/>
          <w:szCs w:val="24"/>
          <w:lang w:eastAsia="pt-BR"/>
        </w:rPr>
        <w:t> O órgão gerenciador desta ata é a Procuradoria-Geral de Justiça do Estado de Minas Gerais, conforme consta do Anexo IV desta Ata de Registro de Preços.</w:t>
      </w:r>
    </w:p>
    <w:p w14:paraId="11B7E7C3"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10.2.</w:t>
      </w:r>
      <w:r>
        <w:rPr>
          <w:rFonts w:ascii="Arial" w:eastAsia="Times New Roman" w:hAnsi="Arial" w:cs="Arial"/>
          <w:color w:val="000000"/>
          <w:sz w:val="24"/>
          <w:szCs w:val="24"/>
          <w:lang w:eastAsia="pt-BR"/>
        </w:rPr>
        <w:t> O(s) órgão(s) e entidade(s) participante(s), quando houver, constarão do Anexo IV desta Ata de Registro de Preços.</w:t>
      </w:r>
    </w:p>
    <w:p w14:paraId="5742F164"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E336318"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DÉCIMA PRIMEIRA - DA ADESÃO À ATA DE REGISTRO DE PREÇOS</w:t>
      </w:r>
    </w:p>
    <w:p w14:paraId="546D5A6C"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11.1.</w:t>
      </w:r>
      <w:r>
        <w:rPr>
          <w:rFonts w:ascii="Arial" w:eastAsia="Times New Roman" w:hAnsi="Arial" w:cs="Arial"/>
          <w:color w:val="000000"/>
          <w:sz w:val="24"/>
          <w:szCs w:val="24"/>
          <w:lang w:eastAsia="pt-BR"/>
        </w:rPr>
        <w:t> </w:t>
      </w:r>
      <w:r>
        <w:rPr>
          <w:rStyle w:val="ui-provider"/>
          <w:rFonts w:ascii="Arial" w:hAnsi="Arial" w:cs="Arial"/>
          <w:sz w:val="24"/>
          <w:szCs w:val="24"/>
        </w:rPr>
        <w:t>Durante a vigência da ata, órgãos e entidades da Administração Pública estadual, distrital e municipal poderão aderir a esta ata na condição de não participantes, observados os seguintes requisitos: </w:t>
      </w:r>
    </w:p>
    <w:p w14:paraId="0232BEC0"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11.1.1.</w:t>
      </w:r>
      <w:r>
        <w:rPr>
          <w:rFonts w:ascii="Arial" w:eastAsia="Times New Roman" w:hAnsi="Arial" w:cs="Arial"/>
          <w:color w:val="000000"/>
          <w:sz w:val="24"/>
          <w:szCs w:val="24"/>
          <w:lang w:eastAsia="pt-BR"/>
        </w:rPr>
        <w:t> apresentação de justificativa da vantagem da adesão, inclusive em situações de provável desabastecimento ou descontinuidade de serviço público;</w:t>
      </w:r>
    </w:p>
    <w:p w14:paraId="6FCC733C"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11.1.2.</w:t>
      </w:r>
      <w:r>
        <w:rPr>
          <w:rFonts w:ascii="Arial" w:eastAsia="Times New Roman" w:hAnsi="Arial" w:cs="Arial"/>
          <w:color w:val="000000"/>
          <w:sz w:val="24"/>
          <w:szCs w:val="24"/>
          <w:lang w:eastAsia="pt-BR"/>
        </w:rPr>
        <w:t> demonstração de que os valores registrados estão compatíveis com os valores praticados pelo mercado na forma do art. 23 da Lei Federal nº 14.133/21; e</w:t>
      </w:r>
    </w:p>
    <w:p w14:paraId="116DBA71"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11.1.3. </w:t>
      </w:r>
      <w:r>
        <w:rPr>
          <w:rFonts w:ascii="Arial" w:eastAsia="Times New Roman" w:hAnsi="Arial" w:cs="Arial"/>
          <w:color w:val="000000"/>
          <w:sz w:val="24"/>
          <w:szCs w:val="24"/>
          <w:lang w:eastAsia="pt-BR"/>
        </w:rPr>
        <w:t>consulta e aceitação prévias do órgão ou da entidade gerenciadora e do fornecedor.</w:t>
      </w:r>
    </w:p>
    <w:p w14:paraId="39962BFC"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11.2. </w:t>
      </w:r>
      <w:r>
        <w:rPr>
          <w:rFonts w:ascii="Arial" w:eastAsia="Times New Roman" w:hAnsi="Arial" w:cs="Arial"/>
          <w:color w:val="000000"/>
          <w:sz w:val="24"/>
          <w:szCs w:val="24"/>
          <w:lang w:eastAsia="pt-BR"/>
        </w:rPr>
        <w:t>A autorização do órgão ou entidade gerenciadora apenas será </w:t>
      </w:r>
      <w:r>
        <w:rPr>
          <w:rFonts w:ascii="Arial" w:eastAsia="Times New Roman" w:hAnsi="Arial" w:cs="Arial"/>
          <w:color w:val="000000"/>
          <w:sz w:val="24"/>
          <w:szCs w:val="24"/>
          <w:shd w:val="clear" w:color="auto" w:fill="CCFFFF"/>
          <w:lang w:eastAsia="pt-BR"/>
        </w:rPr>
        <w:t>realizada após </w:t>
      </w:r>
      <w:r>
        <w:rPr>
          <w:rFonts w:ascii="Arial" w:eastAsia="Times New Roman" w:hAnsi="Arial" w:cs="Arial"/>
          <w:color w:val="000000"/>
          <w:sz w:val="24"/>
          <w:szCs w:val="24"/>
          <w:lang w:eastAsia="pt-BR"/>
        </w:rPr>
        <w:t>a aceitação da adesão pelo fornecedor.</w:t>
      </w:r>
    </w:p>
    <w:p w14:paraId="51223F75"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11.3.</w:t>
      </w:r>
      <w:r>
        <w:rPr>
          <w:rFonts w:ascii="Arial" w:eastAsia="Times New Roman" w:hAnsi="Arial" w:cs="Arial"/>
          <w:color w:val="000000"/>
          <w:sz w:val="24"/>
          <w:szCs w:val="24"/>
          <w:lang w:eastAsia="pt-BR"/>
        </w:rPr>
        <w:t> Após a autorização do órgão ou da entidade gerenciadora, o órgão ou entidade não participante deverá efetivar a aquisição ou a contratação solicitada em até noventa dias, observado o prazo de vigência da ata.</w:t>
      </w:r>
    </w:p>
    <w:p w14:paraId="29E94E56"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11.4.</w:t>
      </w:r>
      <w:r>
        <w:rPr>
          <w:rFonts w:ascii="Arial" w:eastAsia="Times New Roman" w:hAnsi="Arial" w:cs="Arial"/>
          <w:color w:val="000000"/>
          <w:sz w:val="24"/>
          <w:szCs w:val="24"/>
          <w:lang w:eastAsia="pt-BR"/>
        </w:rPr>
        <w:t>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766F031E"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11.5.</w:t>
      </w:r>
      <w:r>
        <w:rPr>
          <w:rFonts w:ascii="Arial" w:eastAsia="Times New Roman" w:hAnsi="Arial" w:cs="Arial"/>
          <w:color w:val="000000"/>
          <w:sz w:val="24"/>
          <w:szCs w:val="24"/>
          <w:lang w:eastAsia="pt-BR"/>
        </w:rPr>
        <w:t> O órgão ou a entidade poderá aderir a item da ata de registro de preços da qual seja integrante, na qualidade de não participante, para aqueles itens para os quais não tenha quantitativo registrado.</w:t>
      </w:r>
    </w:p>
    <w:p w14:paraId="1BD799DA"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11.6. Dos limites para as adesões:</w:t>
      </w:r>
    </w:p>
    <w:p w14:paraId="3935EEBA"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11.6.1.</w:t>
      </w:r>
      <w:r>
        <w:rPr>
          <w:rFonts w:ascii="Arial" w:eastAsia="Times New Roman" w:hAnsi="Arial" w:cs="Arial"/>
          <w:color w:val="000000"/>
          <w:sz w:val="24"/>
          <w:szCs w:val="24"/>
          <w:lang w:eastAsia="pt-BR"/>
        </w:rPr>
        <w:t> As aquisições ou contratações adicionais não poderão exceder, por órgão ou entidade, a cinquenta por cento dos quantitativos dos itens do instrumento convocatório registrados na ata de registro de preços para o gerenciador e para os participantes.</w:t>
      </w:r>
    </w:p>
    <w:p w14:paraId="651427B1" w14:textId="77777777" w:rsidR="00901CDC" w:rsidRDefault="00DD550A">
      <w:pPr>
        <w:spacing w:before="120" w:after="120" w:line="240" w:lineRule="auto"/>
        <w:ind w:left="60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11.6.2.</w:t>
      </w:r>
      <w:r>
        <w:rPr>
          <w:rFonts w:ascii="Arial" w:eastAsia="Times New Roman" w:hAnsi="Arial" w:cs="Arial"/>
          <w:color w:val="000000"/>
          <w:sz w:val="24"/>
          <w:szCs w:val="24"/>
          <w:lang w:eastAsia="pt-BR"/>
        </w:rPr>
        <w:t xml:space="preserve"> O quantitativo decorrente das adesões não poderá exceder, na totalidade, ao dobro do quantitativo de cada item registrado na ata de registro </w:t>
      </w:r>
      <w:r>
        <w:rPr>
          <w:rFonts w:ascii="Arial" w:eastAsia="Times New Roman" w:hAnsi="Arial" w:cs="Arial"/>
          <w:color w:val="000000"/>
          <w:sz w:val="24"/>
          <w:szCs w:val="24"/>
          <w:lang w:eastAsia="pt-BR"/>
        </w:rPr>
        <w:lastRenderedPageBreak/>
        <w:t>de preços para o gerenciador e os participantes, independentemente do número de órgãos ou entidades não participantes que aderirem a esta ata.</w:t>
      </w:r>
    </w:p>
    <w:p w14:paraId="51438E23" w14:textId="77777777" w:rsidR="00901CDC" w:rsidRDefault="00DD550A">
      <w:pPr>
        <w:spacing w:before="120" w:after="120" w:line="240" w:lineRule="auto"/>
        <w:ind w:right="-1"/>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7B0B094" w14:textId="77777777" w:rsidR="00901CDC" w:rsidRDefault="00DD550A">
      <w:pPr>
        <w:spacing w:before="120" w:after="120" w:line="240" w:lineRule="auto"/>
        <w:ind w:left="120" w:right="120"/>
        <w:jc w:val="both"/>
        <w:rPr>
          <w:rFonts w:ascii="Arial" w:eastAsia="Calibri" w:hAnsi="Arial" w:cs="Arial"/>
          <w:kern w:val="2"/>
          <w:sz w:val="24"/>
          <w:szCs w:val="24"/>
          <w14:ligatures w14:val="standardContextual"/>
        </w:rPr>
      </w:pPr>
      <w:r>
        <w:rPr>
          <w:rFonts w:ascii="Arial" w:eastAsia="Times New Roman" w:hAnsi="Arial" w:cs="Arial"/>
          <w:b/>
          <w:bCs/>
          <w:color w:val="000000"/>
          <w:sz w:val="24"/>
          <w:szCs w:val="24"/>
          <w:lang w:eastAsia="pt-BR"/>
        </w:rPr>
        <w:t>CLÁUSULA DÉCIMA SEGUNDA – DAS SANÇÕES</w:t>
      </w:r>
    </w:p>
    <w:p w14:paraId="4072EBC4"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12.1. </w:t>
      </w:r>
      <w:r>
        <w:rPr>
          <w:rFonts w:ascii="Arial" w:eastAsia="Times New Roman" w:hAnsi="Arial" w:cs="Arial"/>
          <w:color w:val="000000"/>
          <w:sz w:val="24"/>
          <w:szCs w:val="24"/>
          <w:lang w:eastAsia="pt-BR"/>
        </w:rPr>
        <w:t>A recusa injustificada do fornecedor signatário da Ata de Registro de Preços em assinar o Contrato caracteriza descumprimento total da obrigação assumida, sendo-lhe aplicada uma multa de 10% (dez por cento) sobre o valor total estimado para a contratação, sujeitando ainda o licitante a outras penalidades, nos termos do art. 90, § 5º, c/c art. 156 da Lei Federal nº 14.133/21.</w:t>
      </w:r>
    </w:p>
    <w:p w14:paraId="13CB9B6B"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12.2.</w:t>
      </w:r>
      <w:r>
        <w:rPr>
          <w:rFonts w:ascii="Arial" w:eastAsia="Times New Roman" w:hAnsi="Arial" w:cs="Arial"/>
          <w:color w:val="000000"/>
          <w:sz w:val="24"/>
          <w:szCs w:val="24"/>
          <w:lang w:eastAsia="pt-BR"/>
        </w:rPr>
        <w:t> As demais sanções aplicáveis aos fornecedores em função do descumprimento de qualquer obrigação decorrente desta ata estão disciplinadas no instrumento convocatório e na minuta de contrato, sem prejuízo da aplicação das penalidades previstas na Lei Federal nº 14.133/21 e na Lei Estadual nº 13.994/01, na forma do art. 17 do Decreto Estadual nº 48.779/24.</w:t>
      </w:r>
    </w:p>
    <w:p w14:paraId="051609DA"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984A997"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TERCEIRA – DAS DISPOSIÇÕES GERAIS</w:t>
      </w:r>
    </w:p>
    <w:p w14:paraId="316AE4F1"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13.1.</w:t>
      </w:r>
      <w:r>
        <w:rPr>
          <w:rFonts w:ascii="Arial" w:eastAsia="Times New Roman" w:hAnsi="Arial" w:cs="Arial"/>
          <w:color w:val="000000"/>
          <w:sz w:val="24"/>
          <w:szCs w:val="24"/>
          <w:lang w:eastAsia="pt-BR"/>
        </w:rPr>
        <w:t> A presente ata será disponibilizada para consulta no site www.mpmg.mp.br, Serviços, Consultas, Licitações e Contratos, Atas de Registro de Preços e somente terá eficácia após publicação do respectivo extrato no Diário Oficial Eletrônico do Ministério Público de Minas Gerais – DOMP/MG.</w:t>
      </w:r>
    </w:p>
    <w:p w14:paraId="6CDDB84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13.1.1. </w:t>
      </w:r>
      <w:r>
        <w:rPr>
          <w:rFonts w:ascii="Arial" w:eastAsia="Times New Roman" w:hAnsi="Arial" w:cs="Arial"/>
          <w:color w:val="000000"/>
          <w:sz w:val="24"/>
          <w:szCs w:val="24"/>
          <w:lang w:eastAsia="pt-BR"/>
        </w:rPr>
        <w:t>Após cumpridos os requisitos de publicidade, esta ata terá efeito de compromisso de fornecimento nas condições nela estabelecidas.</w:t>
      </w:r>
    </w:p>
    <w:p w14:paraId="10F38DFB"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13.2.</w:t>
      </w:r>
      <w:r>
        <w:rPr>
          <w:rFonts w:ascii="Arial" w:eastAsia="Times New Roman" w:hAnsi="Arial" w:cs="Arial"/>
          <w:color w:val="000000"/>
          <w:sz w:val="24"/>
          <w:szCs w:val="24"/>
          <w:lang w:eastAsia="pt-BR"/>
        </w:rPr>
        <w:t> Todas as alterações que se fizerem necessárias serão registradas por intermédio da lavratura de Termo Aditivo da presente ata, os quais deverão ser publicados nos moldes estabelecidos no subitem 13.1.</w:t>
      </w:r>
    </w:p>
    <w:p w14:paraId="6A9A985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13.3. </w:t>
      </w:r>
      <w:r>
        <w:rPr>
          <w:rFonts w:ascii="Arial" w:eastAsia="Times New Roman" w:hAnsi="Arial" w:cs="Arial"/>
          <w:color w:val="000000"/>
          <w:sz w:val="24"/>
          <w:szCs w:val="24"/>
          <w:lang w:eastAsia="pt-BR"/>
        </w:rPr>
        <w:t>É vedado caucionar ou utilizar contrato decorrente da presente ata para qualquer operação financeira.</w:t>
      </w:r>
    </w:p>
    <w:p w14:paraId="47D350B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13.4. </w:t>
      </w:r>
      <w:r>
        <w:rPr>
          <w:rFonts w:ascii="Arial" w:eastAsia="Times New Roman" w:hAnsi="Arial" w:cs="Arial"/>
          <w:color w:val="000000"/>
          <w:sz w:val="24"/>
          <w:szCs w:val="24"/>
          <w:lang w:eastAsia="pt-BR"/>
        </w:rPr>
        <w:t>Os interessados em consultar os autos do processo licitatório que deu origem a esta ata poderão solicitar a consulta através do e-mail dgcl@mpmg.mp.br, sendo disponibilizado o processo na íntegra ou em parte através do arquivo em PDF, extraído do Sistema Eletrônico de Informações (SEI), que será encaminhado por e-mail ao solicitante, de segunda a sexta-feira, das 9 às 18 horas.</w:t>
      </w:r>
    </w:p>
    <w:p w14:paraId="10CC7A23"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13.5.</w:t>
      </w:r>
      <w:r>
        <w:rPr>
          <w:rFonts w:ascii="Arial" w:eastAsia="Times New Roman" w:hAnsi="Arial" w:cs="Arial"/>
          <w:color w:val="000000"/>
          <w:sz w:val="24"/>
          <w:szCs w:val="24"/>
          <w:lang w:eastAsia="pt-BR"/>
        </w:rPr>
        <w:t> Integram a presente ata, independente de transcrição, todas as condições do Edital de Pregão Eletrônico – Registro de Preços – Planejamento nº 142/2024.</w:t>
      </w:r>
    </w:p>
    <w:p w14:paraId="0F765BA5"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13.6. </w:t>
      </w:r>
      <w:r>
        <w:rPr>
          <w:rFonts w:ascii="Arial" w:eastAsia="Times New Roman" w:hAnsi="Arial" w:cs="Arial"/>
          <w:color w:val="000000"/>
          <w:sz w:val="24"/>
          <w:szCs w:val="24"/>
          <w:lang w:eastAsia="pt-BR"/>
        </w:rPr>
        <w:t>É competente o foro da Comarca de Belo Horizonte/MG para dirimir quaisquer questões oriundas desta ata.</w:t>
      </w:r>
    </w:p>
    <w:p w14:paraId="4AA694FE" w14:textId="77777777" w:rsidR="00901CDC" w:rsidRDefault="00901CDC">
      <w:pPr>
        <w:spacing w:before="120" w:after="120" w:line="240" w:lineRule="auto"/>
        <w:ind w:left="120" w:right="120"/>
        <w:jc w:val="both"/>
        <w:rPr>
          <w:rFonts w:ascii="Arial" w:eastAsia="Times New Roman" w:hAnsi="Arial" w:cs="Arial"/>
          <w:color w:val="000000"/>
          <w:sz w:val="24"/>
          <w:szCs w:val="24"/>
          <w:lang w:eastAsia="pt-BR"/>
        </w:rPr>
      </w:pPr>
    </w:p>
    <w:p w14:paraId="73AEBC1F" w14:textId="77777777" w:rsidR="00901CDC" w:rsidRDefault="00901CDC">
      <w:pPr>
        <w:spacing w:before="120" w:after="120" w:line="240" w:lineRule="auto"/>
        <w:ind w:left="120" w:right="120"/>
        <w:jc w:val="both"/>
        <w:rPr>
          <w:rFonts w:ascii="Arial" w:eastAsia="Times New Roman" w:hAnsi="Arial" w:cs="Arial"/>
          <w:color w:val="000000"/>
          <w:sz w:val="24"/>
          <w:szCs w:val="24"/>
          <w:lang w:eastAsia="pt-BR"/>
        </w:rPr>
      </w:pPr>
    </w:p>
    <w:p w14:paraId="1173E807" w14:textId="77777777" w:rsidR="00901CDC" w:rsidRDefault="00901CDC">
      <w:pPr>
        <w:spacing w:before="120" w:after="120" w:line="240" w:lineRule="auto"/>
        <w:ind w:left="120" w:right="120"/>
        <w:jc w:val="both"/>
        <w:rPr>
          <w:rFonts w:ascii="Arial" w:eastAsia="Times New Roman" w:hAnsi="Arial" w:cs="Arial"/>
          <w:color w:val="000000"/>
          <w:sz w:val="24"/>
          <w:szCs w:val="24"/>
          <w:lang w:eastAsia="pt-BR"/>
        </w:rPr>
      </w:pPr>
    </w:p>
    <w:p w14:paraId="26990446" w14:textId="77777777" w:rsidR="00901CDC" w:rsidRDefault="00DD550A">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03" w:name="_Toc176954845"/>
      <w:r>
        <w:rPr>
          <w:rFonts w:ascii="Arial" w:eastAsia="Times New Roman" w:hAnsi="Arial" w:cs="Arial"/>
          <w:b/>
          <w:bCs/>
          <w:kern w:val="2"/>
          <w:sz w:val="24"/>
          <w:szCs w:val="24"/>
          <w:lang w:eastAsia="ar-SA"/>
        </w:rPr>
        <w:lastRenderedPageBreak/>
        <w:t>ANEXO II – MINUTA DE CONTRATO</w:t>
      </w:r>
      <w:bookmarkEnd w:id="203"/>
    </w:p>
    <w:p w14:paraId="5745BFF4" w14:textId="77777777" w:rsidR="00901CDC" w:rsidRDefault="00DD550A">
      <w:pPr>
        <w:spacing w:before="120" w:after="120" w:line="247" w:lineRule="auto"/>
        <w:ind w:right="120"/>
        <w:jc w:val="both"/>
        <w:rPr>
          <w:rFonts w:ascii="Arial" w:eastAsia="Times New Roman" w:hAnsi="Arial" w:cs="Arial"/>
          <w:sz w:val="24"/>
          <w:szCs w:val="24"/>
          <w:lang w:eastAsia="pt-BR"/>
        </w:rPr>
      </w:pPr>
      <w:r>
        <w:rPr>
          <w:rFonts w:ascii="Arial" w:eastAsia="Times New Roman" w:hAnsi="Arial" w:cs="Arial"/>
          <w:b/>
          <w:bCs/>
          <w:sz w:val="24"/>
          <w:szCs w:val="24"/>
          <w:lang w:eastAsia="pt-BR"/>
        </w:rPr>
        <w:t xml:space="preserve">CONTRATO Nº </w:t>
      </w:r>
    </w:p>
    <w:p w14:paraId="29E1DB45" w14:textId="77777777" w:rsidR="00901CDC" w:rsidRDefault="00DD550A">
      <w:pPr>
        <w:spacing w:beforeAutospacing="1" w:afterAutospacing="1" w:line="247"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 xml:space="preserve">CONTRATO SIAD Nº </w:t>
      </w:r>
    </w:p>
    <w:p w14:paraId="58A5A18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533CD5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CONTRATO DE AQUISIÇÃO QUE ENTRE SI CELEBRAM O MINISTÉRIO PÚBLICO DO ESTADO DE MINAS GERAIS, POR INTERMÉDIO DA PROCURADORIA-GERAL DE JUSTIÇA, E ______________________, NA FORMA AJUSTADA.</w:t>
      </w:r>
    </w:p>
    <w:p w14:paraId="0F58FC51"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t> </w:t>
      </w:r>
    </w:p>
    <w:p w14:paraId="63D45902"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CONTRATANTE:</w:t>
      </w: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Ministério Público do Estado de Minas Gerais</w:t>
      </w:r>
      <w:r>
        <w:rPr>
          <w:rFonts w:ascii="Arial" w:eastAsia="Times New Roman" w:hAnsi="Arial" w:cs="Arial"/>
          <w:color w:val="000000"/>
          <w:sz w:val="24"/>
          <w:szCs w:val="24"/>
          <w:lang w:eastAsia="pt-BR"/>
        </w:rPr>
        <w:t>, por intermédio da </w:t>
      </w:r>
      <w:r>
        <w:rPr>
          <w:rFonts w:ascii="Arial" w:eastAsia="Times New Roman" w:hAnsi="Arial" w:cs="Arial"/>
          <w:b/>
          <w:bCs/>
          <w:color w:val="000000"/>
          <w:sz w:val="24"/>
          <w:szCs w:val="24"/>
          <w:lang w:eastAsia="pt-BR"/>
        </w:rPr>
        <w:t>Procuradoria-Geral de Justiça</w:t>
      </w:r>
      <w:r>
        <w:rPr>
          <w:rFonts w:ascii="Arial" w:eastAsia="Times New Roman" w:hAnsi="Arial" w:cs="Arial"/>
          <w:color w:val="000000"/>
          <w:sz w:val="24"/>
          <w:szCs w:val="24"/>
          <w:lang w:eastAsia="pt-BR"/>
        </w:rPr>
        <w:t>, com sede na Av. Álvares Cabral, nº 1690, bairro Santo Agostinho, nesta Capital, CEP 30.170-008, inscrita no CNPJ sob o nº 20.971.057/0001-45, neste ato representado pelo Procurador-Geral de Justiça Adjunto Administrativo, </w:t>
      </w:r>
      <w:r>
        <w:rPr>
          <w:rFonts w:ascii="Arial" w:eastAsia="Times New Roman" w:hAnsi="Arial" w:cs="Arial"/>
          <w:b/>
          <w:bCs/>
          <w:color w:val="000000"/>
          <w:sz w:val="24"/>
          <w:szCs w:val="24"/>
          <w:lang w:eastAsia="pt-BR"/>
        </w:rPr>
        <w:t>_____________________</w:t>
      </w:r>
      <w:r>
        <w:rPr>
          <w:rFonts w:ascii="Arial" w:eastAsia="Times New Roman" w:hAnsi="Arial" w:cs="Arial"/>
          <w:color w:val="000000"/>
          <w:sz w:val="24"/>
          <w:szCs w:val="24"/>
          <w:lang w:eastAsia="pt-BR"/>
        </w:rPr>
        <w:t>.</w:t>
      </w:r>
    </w:p>
    <w:p w14:paraId="64679AA9"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5A525A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CONTRATADO(A):</w:t>
      </w:r>
      <w:r>
        <w:rPr>
          <w:rFonts w:ascii="Arial" w:eastAsia="Times New Roman" w:hAnsi="Arial" w:cs="Arial"/>
          <w:color w:val="000000"/>
          <w:sz w:val="24"/>
          <w:szCs w:val="24"/>
          <w:lang w:eastAsia="pt-BR"/>
        </w:rPr>
        <w:t> __________________, inscrito(a) no CNPJ sob o nº _________________, com sede na ____________________________________, neste ato representado(a) por __________________, inscrito(a) no CPF sob o nº ______________________. </w:t>
      </w:r>
    </w:p>
    <w:p w14:paraId="5BA3475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1F4F195" w14:textId="77777777" w:rsidR="00901CDC" w:rsidRDefault="00DD550A">
      <w:pPr>
        <w:spacing w:before="120" w:after="120" w:line="247" w:lineRule="auto"/>
        <w:ind w:left="120" w:right="120"/>
        <w:jc w:val="both"/>
        <w:rPr>
          <w:rFonts w:ascii="Arial" w:eastAsia="Times New Roman" w:hAnsi="Arial" w:cs="Arial"/>
          <w:b/>
          <w:color w:val="000000"/>
          <w:sz w:val="24"/>
          <w:szCs w:val="24"/>
          <w:lang w:eastAsia="pt-BR"/>
        </w:rPr>
      </w:pPr>
      <w:r>
        <w:rPr>
          <w:rFonts w:ascii="Arial" w:eastAsia="Times New Roman" w:hAnsi="Arial" w:cs="Arial"/>
          <w:b/>
          <w:color w:val="000000"/>
          <w:sz w:val="24"/>
          <w:szCs w:val="24"/>
          <w:lang w:eastAsia="pt-BR"/>
        </w:rPr>
        <w:t> </w:t>
      </w:r>
    </w:p>
    <w:p w14:paraId="4CE4A93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color w:val="000000"/>
          <w:sz w:val="24"/>
          <w:szCs w:val="24"/>
          <w:lang w:eastAsia="pt-BR"/>
        </w:rPr>
        <w:t>CONTRATADO(A):</w:t>
      </w:r>
      <w:r>
        <w:rPr>
          <w:rFonts w:ascii="Arial" w:eastAsia="Times New Roman" w:hAnsi="Arial" w:cs="Arial"/>
          <w:color w:val="000000"/>
          <w:sz w:val="24"/>
          <w:szCs w:val="24"/>
          <w:lang w:eastAsia="pt-BR"/>
        </w:rPr>
        <w:t> ___________________, inscrito(a) no CPF sob o nº _____________________.</w:t>
      </w:r>
    </w:p>
    <w:p w14:paraId="7B3C4C6A"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34C6981"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shd w:val="clear" w:color="auto" w:fill="FFFFFF"/>
          <w:lang w:eastAsia="pt-BR"/>
        </w:rPr>
        <w:t xml:space="preserve">As partes acima qualificadas celebram o presente contrato, com observância ao </w:t>
      </w:r>
      <w:r>
        <w:rPr>
          <w:rFonts w:ascii="Arial" w:eastAsia="Times New Roman" w:hAnsi="Arial" w:cs="Arial"/>
          <w:b/>
          <w:bCs/>
          <w:color w:val="000000"/>
          <w:sz w:val="24"/>
          <w:szCs w:val="24"/>
          <w:shd w:val="clear" w:color="auto" w:fill="FFFFFF"/>
          <w:lang w:eastAsia="pt-BR"/>
        </w:rPr>
        <w:t>Processo SEI n.º _______________</w:t>
      </w:r>
      <w:r>
        <w:rPr>
          <w:rFonts w:ascii="Arial" w:eastAsia="Times New Roman" w:hAnsi="Arial" w:cs="Arial"/>
          <w:color w:val="000000"/>
          <w:sz w:val="24"/>
          <w:szCs w:val="24"/>
          <w:shd w:val="clear" w:color="auto" w:fill="FFFFFF"/>
          <w:lang w:eastAsia="pt-BR"/>
        </w:rPr>
        <w:t>, nos termos da Lei Federal nº 14.133, de 1º de abril de 2021, da Resolução PGJ nº 02/2023</w:t>
      </w:r>
      <w:r>
        <w:rPr>
          <w:rFonts w:ascii="Arial" w:eastAsia="Times New Roman" w:hAnsi="Arial" w:cs="Arial"/>
          <w:color w:val="000000"/>
          <w:sz w:val="24"/>
          <w:szCs w:val="24"/>
          <w:lang w:eastAsia="pt-BR"/>
        </w:rPr>
        <w:t>, pelos Decretos Estaduais nº 48.779/2024</w:t>
      </w:r>
      <w:r>
        <w:rPr>
          <w:rFonts w:ascii="Arial" w:eastAsia="Times New Roman" w:hAnsi="Arial" w:cs="Arial"/>
          <w:color w:val="000000"/>
          <w:sz w:val="24"/>
          <w:szCs w:val="24"/>
          <w:shd w:val="clear" w:color="auto" w:fill="FFFFFF"/>
          <w:lang w:eastAsia="pt-BR"/>
        </w:rPr>
        <w:t xml:space="preserve">, 45.902/12 e 47.524/18, além das demais disposições legais aplicáveis e do disposto no Edital do Processo Licitatório SIAD nº 142/2024, devidamente adjudicado, homologado e publicado, na forma da Lei, observados os Anexos I, II, III (Anexos II, III e IV </w:t>
      </w:r>
      <w:r>
        <w:rPr>
          <w:rFonts w:ascii="Arial" w:eastAsia="Times New Roman" w:hAnsi="Arial" w:cs="Arial"/>
          <w:color w:val="000000"/>
          <w:sz w:val="24"/>
          <w:szCs w:val="24"/>
          <w:lang w:eastAsia="pt-BR"/>
        </w:rPr>
        <w:t>da Ata de Registro de Preços</w:t>
      </w:r>
      <w:r>
        <w:rPr>
          <w:rFonts w:ascii="Arial" w:eastAsia="Times New Roman" w:hAnsi="Arial" w:cs="Arial"/>
          <w:color w:val="000000"/>
          <w:sz w:val="24"/>
          <w:szCs w:val="24"/>
          <w:shd w:val="clear" w:color="auto" w:fill="FFFFFF"/>
          <w:lang w:eastAsia="pt-BR"/>
        </w:rPr>
        <w:t>) e respectivas atas de abertura e julgamento, mediante as cláusulas e condições seguintes:</w:t>
      </w:r>
    </w:p>
    <w:p w14:paraId="35786264" w14:textId="77777777" w:rsidR="00901CDC" w:rsidRDefault="00DD550A">
      <w:pPr>
        <w:spacing w:before="120" w:after="120" w:line="247" w:lineRule="auto"/>
        <w:ind w:left="120" w:right="120"/>
        <w:jc w:val="both"/>
      </w:pPr>
      <w:r>
        <w:rPr>
          <w:rFonts w:ascii="Arial" w:eastAsia="Times New Roman" w:hAnsi="Arial" w:cs="Arial"/>
          <w:color w:val="000000"/>
          <w:sz w:val="24"/>
          <w:szCs w:val="24"/>
          <w:lang w:eastAsia="pt-BR"/>
        </w:rPr>
        <w:t> </w:t>
      </w:r>
    </w:p>
    <w:p w14:paraId="666358B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CLÁUSULA PRIMEIRA – Do Objeto</w:t>
      </w:r>
    </w:p>
    <w:p w14:paraId="0C4F3BC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shd w:val="clear" w:color="auto" w:fill="FFFFFF"/>
          <w:lang w:eastAsia="pt-BR"/>
        </w:rPr>
        <w:lastRenderedPageBreak/>
        <w:t xml:space="preserve">O objeto deste contrato consiste no </w:t>
      </w:r>
      <w:r>
        <w:rPr>
          <w:rFonts w:ascii="Arial" w:hAnsi="Arial" w:cs="Arial"/>
          <w:color w:val="000000"/>
          <w:sz w:val="24"/>
          <w:szCs w:val="24"/>
        </w:rPr>
        <w:t>Registro de Preços para aquisição de CADEIRAS OPERACIONAIS, conforme especificações, exigências e quantidades estabelecidas neste Termo de Referência</w:t>
      </w:r>
      <w:r>
        <w:rPr>
          <w:rFonts w:ascii="Arial" w:eastAsia="Times New Roman" w:hAnsi="Arial" w:cs="Arial"/>
          <w:color w:val="000000"/>
          <w:sz w:val="24"/>
          <w:szCs w:val="24"/>
          <w:shd w:val="clear" w:color="auto" w:fill="FFFFFF"/>
          <w:lang w:eastAsia="pt-BR"/>
        </w:rPr>
        <w:t>.</w:t>
      </w:r>
    </w:p>
    <w:p w14:paraId="56B4E5DB"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4E2F4F9"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SEGUNDA – Da Vigência</w:t>
      </w:r>
    </w:p>
    <w:p w14:paraId="41DCDC4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prazo de vigência do presente contrato é de 12 (doze) meses, contados a partir da data da publicação do instrumento, conforme art. 105, da Lei Federal 14.133/21.</w:t>
      </w:r>
    </w:p>
    <w:p w14:paraId="50FC933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Primeira:</w:t>
      </w:r>
      <w:r>
        <w:rPr>
          <w:rFonts w:ascii="Arial" w:eastAsia="Times New Roman" w:hAnsi="Arial" w:cs="Arial"/>
          <w:color w:val="000000"/>
          <w:sz w:val="24"/>
          <w:szCs w:val="24"/>
          <w:lang w:eastAsia="pt-BR"/>
        </w:rPr>
        <w:t> O prazo de vigência será automaticamente prorrogado quando o objeto não for concluído no período determinado no caput desta cláusula, com fulcro no art. 111, da Lei Federal 14.133/21.</w:t>
      </w:r>
    </w:p>
    <w:p w14:paraId="04A9BBD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Primeira: </w:t>
      </w:r>
      <w:r>
        <w:rPr>
          <w:rFonts w:ascii="Arial" w:eastAsia="Times New Roman" w:hAnsi="Arial" w:cs="Arial"/>
          <w:color w:val="000000"/>
          <w:sz w:val="24"/>
          <w:szCs w:val="24"/>
          <w:lang w:eastAsia="pt-BR"/>
        </w:rPr>
        <w:t>Quando a não conclusão do objeto no prazo inicialmente pactuado decorrer de culpa do(a) Contratado(a), este será constituído em mora, além de observadas as demais sanções previstas neste instrumento e disposições legais pertinentes.</w:t>
      </w:r>
    </w:p>
    <w:p w14:paraId="7E980CC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A2F412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TERCEIRA – Dos Modelos de Execução e Gestão Contratuais</w:t>
      </w:r>
    </w:p>
    <w:p w14:paraId="71E34F9B"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regime de execução contratual, os modelos de gestão e de execução, assim como os prazos e condições de conclusão, entrega, observação e recebimento do objeto constam no Termo de Referência, anexo a este contrato.</w:t>
      </w:r>
    </w:p>
    <w:p w14:paraId="3871D05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1535EB9"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QUARTA – Das Obrigações do Contratante</w:t>
      </w:r>
    </w:p>
    <w:p w14:paraId="76659800"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São obrigações do Contratante, além de outras previstas neste contrato:</w:t>
      </w:r>
    </w:p>
    <w:p w14:paraId="32852C11"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4.1. Efetuar o pagamento dos valores devidos, no prazo e condições pactuadas;</w:t>
      </w:r>
    </w:p>
    <w:p w14:paraId="39F85521"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4.2. Acompanhar e fiscalizar a execução contratual, por intermédio do responsável pelo(s) setor(es) constante(s) do Anexo III deste instrumento, indicado pelo respectivo Órgão/Entidade ou por servidor designado por este, que deverá anotar todas as ocorrências relacionadas à referida execução, determinando o que for necessário à regularização das falhas ou defeitos detectados, e comunicar, antes de expirada a vigência contratual, as irregularidades apuradas aos superiores e aos órgãos competentes, caso haja necessidade de imposição de sanções, ou as medidas corretivas a serem adotadas estejam fora do seu âmbito de competência;</w:t>
      </w:r>
    </w:p>
    <w:p w14:paraId="06E69B5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4.3. Comunicar ao(à) Contratado(a), por escrito, a respeito da supressão ou acréscimo contratuais mencionados neste instrumento, encaminhando o respectivo termo aditivo para ser assinado;</w:t>
      </w:r>
    </w:p>
    <w:p w14:paraId="57E350D2"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4.4. Decidir sobre eventuais alterações neste contrato, nos limites permitidos por lei, para melhor adequação de seu objeto;</w:t>
      </w:r>
    </w:p>
    <w:p w14:paraId="46A062C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4.5. Explicitamente emitir decisão sobre todas as solicitações e reclamações relacionadas à execução do presente contrato, ressalvados os requerimentos </w:t>
      </w:r>
      <w:r>
        <w:rPr>
          <w:rFonts w:ascii="Arial" w:eastAsia="Times New Roman" w:hAnsi="Arial" w:cs="Arial"/>
          <w:color w:val="000000"/>
          <w:sz w:val="24"/>
          <w:szCs w:val="24"/>
          <w:lang w:eastAsia="pt-BR"/>
        </w:rPr>
        <w:lastRenderedPageBreak/>
        <w:t>manifestamente impertinentes, meramente protelatórios ou de nenhum interesse para a boa execução do ajuste;</w:t>
      </w:r>
    </w:p>
    <w:p w14:paraId="11FB3C80" w14:textId="77777777" w:rsidR="00901CDC" w:rsidRDefault="00DD550A">
      <w:pPr>
        <w:spacing w:before="120" w:after="120" w:line="247" w:lineRule="auto"/>
        <w:ind w:left="567"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4.5.1 Concluída a instrução do requerimento, a Administração terá o prazo de 60 (sessenta) dias para decidir, admitida a prorrogação motivada por igual período;</w:t>
      </w:r>
    </w:p>
    <w:p w14:paraId="6E4CAECC"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4.6. Responder eventuais pedidos de reestabelecimento do equilíbrio econômico-financeiro feitos pelo Contratado(a) no prazo de 90 (noventa) dias, contados da conclusão da instrução do requerimento, admitida a prorrogação motivada por 30 (trinta) dias OU por igual período;</w:t>
      </w:r>
    </w:p>
    <w:p w14:paraId="0EDAC013"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4.7. Notificar os emitentes das garantias quanto ao início de processo administrativo de responsabilização de fornecedores (PARF) para apuração de descumprimento de cláusulas contratuais.</w:t>
      </w:r>
    </w:p>
    <w:p w14:paraId="7907450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6F0439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QUINTA – Das Obrigações do(a) Contratado(a)</w:t>
      </w:r>
    </w:p>
    <w:p w14:paraId="6A5D98B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São obrigações do(a) Contratado(a), além de outras previstas neste contrato e em seu Anexo III (Termo de Referência):</w:t>
      </w:r>
    </w:p>
    <w:p w14:paraId="23B9CDA0"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5.1. Fornecer o objeto novo, em perfeito estado, e prestar o serviço pertinente, no prazo, local, quantidade, qualidade e condições estabelecidos, cumprindo fielmente todas as disposições constantes deste contrato e seu(s) anexo(s);</w:t>
      </w:r>
    </w:p>
    <w:p w14:paraId="2A123EBB"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5.2. Arcar com todas as despesas pertinentes à execução do objeto ora contratado, tais como tributos, fretes, embalagens, custos com mobilização, quando for o caso, e também os salários, encargos previdenciários, trabalhistas e sociais relacionados à execução do objeto, bem como os demais custos e encargos inerentes a tal execução, mantendo em dia os seus recolhimentos;</w:t>
      </w:r>
    </w:p>
    <w:p w14:paraId="18FD49FA"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5.3. Responder integralmente pelos danos causados diretamente ao Contratante ou a terceiros, por culpa ou dolo decorrentes da execução deste contrato, não havendo exclusão ou redução de responsabilidade decorrente da fiscalização ou do acompanhamento contratual exercido pelo Contratante;</w:t>
      </w:r>
    </w:p>
    <w:p w14:paraId="480BBE95" w14:textId="6D747533" w:rsidR="00901CDC" w:rsidRDefault="00DD550A">
      <w:pPr>
        <w:spacing w:before="120" w:after="120" w:line="247" w:lineRule="auto"/>
        <w:ind w:left="120" w:right="120"/>
        <w:jc w:val="both"/>
        <w:rPr>
          <w:rFonts w:ascii="Arial" w:hAnsi="Arial" w:cs="Arial"/>
          <w:sz w:val="24"/>
          <w:szCs w:val="24"/>
        </w:rPr>
      </w:pPr>
      <w:r>
        <w:rPr>
          <w:rFonts w:ascii="Arial" w:eastAsia="Times New Roman" w:hAnsi="Arial" w:cs="Arial"/>
          <w:color w:val="000000"/>
          <w:sz w:val="24"/>
          <w:szCs w:val="24"/>
          <w:lang w:eastAsia="pt-BR"/>
        </w:rPr>
        <w:t>5.4.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4">
        <w:r>
          <w:rPr>
            <w:rStyle w:val="ListLabel1"/>
            <w:rFonts w:ascii="Arial" w:eastAsiaTheme="minorHAnsi" w:hAnsi="Arial" w:cs="Arial"/>
          </w:rPr>
          <w:t>art. 124, II, d, da Lei nº 14.133, de 2021</w:t>
        </w:r>
      </w:hyperlink>
      <w:r>
        <w:rPr>
          <w:rFonts w:ascii="Arial" w:eastAsia="Times New Roman" w:hAnsi="Arial" w:cs="Arial"/>
          <w:color w:val="000000"/>
          <w:sz w:val="24"/>
          <w:szCs w:val="24"/>
          <w:lang w:eastAsia="pt-BR"/>
        </w:rPr>
        <w:t>, submetendo suas justificativas à apreciação do Contratante, para análise e deliberação a respeito de eventual necessidade de adequação contratual;</w:t>
      </w:r>
    </w:p>
    <w:p w14:paraId="059B2DE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5.5. Comunicar ao Contratante, imediatamente e por escrito, qualquer alteração que possa comprometer a execução dos serviços ou a comunicação entre as partes;</w:t>
      </w:r>
    </w:p>
    <w:p w14:paraId="2D3CAD3E"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5.6. Submeter à apreciação do Contratante, antes de expirado o prazo previsto para entrega do objeto contratado, solicitação de prorrogação, se assim entender </w:t>
      </w:r>
      <w:r>
        <w:rPr>
          <w:rFonts w:ascii="Arial" w:eastAsia="Times New Roman" w:hAnsi="Arial" w:cs="Arial"/>
          <w:color w:val="000000"/>
          <w:sz w:val="24"/>
          <w:szCs w:val="24"/>
          <w:lang w:eastAsia="pt-BR"/>
        </w:rPr>
        <w:lastRenderedPageBreak/>
        <w:t>necessário, demonstrada a ausência de culpa do Contratado(a), sob pena de ser constituída em mora e demais sanções administrativas;</w:t>
      </w:r>
    </w:p>
    <w:p w14:paraId="0BCEF17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5.7. Manter, durante toda a vigência contratual, as mesmas condições de regularidade fiscal e de qualificação exigidas e apresentadas na fase de habilitação do processo licitatório e/ou assinatura do presente contrato, inclusive as relativas à regularidade para com o INSS, FGTS, Justiça do Trabalho, Fazenda Municipal, bem como à regularidade tributária perante a Fazenda de Minas Gerais e, quando for o caso, perante a Fazenda Estadual do domicílio do Contratado(a), conservando atualizadas as informações no Cadastro Geral de Fornecedores – CAGEF e apresentando à Superintendência de Gestão Administrativa do Contratante as certidões referentes às condições supramencionadas sempre que tiverem suas validades vencidas e quando solicitadas;</w:t>
      </w:r>
    </w:p>
    <w:p w14:paraId="1D119F0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5.8. Informar, no corpo da nota fiscal (ou documento equivalente), seus dados bancários, a fim de possibilitar ao Contratante a realização dos depósitos pertinentes;</w:t>
      </w:r>
    </w:p>
    <w:p w14:paraId="480E5F4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5.9. Manter o sigilo sobre todos os dados, informações e documentos fornecidos por este Órgão ou obtidos em razão da execução contratual, sendo vedada toda e qualquer reprodução destes, durante a vigência deste contrato e mesmo após o seu término;</w:t>
      </w:r>
    </w:p>
    <w:p w14:paraId="6A6A062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5.10. Comunicar ao Contratante quaisquer operações de reorganização empresarial, tais como fusão, cisão e incorporação, as quais, quando caracterizarem a frustração das regras disciplinadoras da licitação, poderão ensejar a rescisão contratual;</w:t>
      </w:r>
    </w:p>
    <w:p w14:paraId="007BCEF5"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5.11. Comunicar à Secretaria da Receita Federal, nos termos do art. 30 da Lei Complementar Federal nº 123/06, o eventual desenquadramento da situação de microempresa, empresa de pequeno porte ou equiparada em decorrência da execução deste contrato, encaminhando cópia da comunicação ao Contratante, para ciência.</w:t>
      </w:r>
    </w:p>
    <w:p w14:paraId="27D3706B" w14:textId="77777777" w:rsidR="00DB1E23" w:rsidRPr="00F51790" w:rsidRDefault="00DB1E23" w:rsidP="00DB1E23">
      <w:pPr>
        <w:pStyle w:val="textojustificado"/>
        <w:suppressAutoHyphens/>
        <w:spacing w:before="120" w:beforeAutospacing="0" w:after="120" w:afterAutospacing="0"/>
        <w:ind w:left="142" w:right="119"/>
        <w:jc w:val="both"/>
        <w:rPr>
          <w:rFonts w:ascii="Arial" w:hAnsi="Arial" w:cs="Arial"/>
          <w:color w:val="000000"/>
        </w:rPr>
      </w:pPr>
      <w:r w:rsidRPr="00F51790">
        <w:rPr>
          <w:rFonts w:ascii="Arial" w:hAnsi="Arial" w:cs="Arial"/>
          <w:color w:val="000000"/>
        </w:rPr>
        <w:t>5.12 Cumprir, ao longo de toda a execução contratual, a reserva de cargos prevista em lei para pessoa com deficiência, para reabilitado da Previdência Social ou para aprendiz, bem como as reservas de cargos previstas em outras normas específicas (art. 116 da Lei 14.133/2021).</w:t>
      </w:r>
    </w:p>
    <w:p w14:paraId="758C74D0" w14:textId="77777777" w:rsidR="00DB1E23" w:rsidRPr="005D3BD1" w:rsidRDefault="00DB1E23" w:rsidP="00DB1E23">
      <w:pPr>
        <w:pStyle w:val="textojustificado"/>
        <w:suppressAutoHyphens/>
        <w:spacing w:before="120" w:beforeAutospacing="0" w:after="360" w:afterAutospacing="0"/>
        <w:ind w:left="142" w:right="119"/>
        <w:jc w:val="both"/>
        <w:rPr>
          <w:rFonts w:ascii="Arial" w:hAnsi="Arial" w:cs="Arial"/>
          <w:color w:val="000000"/>
        </w:rPr>
      </w:pPr>
      <w:r w:rsidRPr="00F51790">
        <w:rPr>
          <w:rFonts w:ascii="Arial" w:hAnsi="Arial" w:cs="Arial"/>
          <w:color w:val="000000"/>
        </w:rPr>
        <w:t>5.12.1 Comprovar o cumprimento da reserva de cargos a que se refere o item 5.12, sempre que solicitado pela Administração, com a indicação dos empregados que preencherem as referidas vagas (art. 116, parágrafo único).</w:t>
      </w:r>
    </w:p>
    <w:p w14:paraId="4C52FDC5"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SEXTA – Da Proteção de Dados Pessoais</w:t>
      </w:r>
    </w:p>
    <w:p w14:paraId="26DE4DC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6.1. É dever das partes observar e cumprir as regras impostas pela Lei Federal n.º 13.709/2018 (LGPD), suas alterações e regulamentações posteriores, devendo ser observadas, no tratamento de dados, a respectiva finalidade específica e a consonância ao interesse público.</w:t>
      </w:r>
    </w:p>
    <w:p w14:paraId="395A163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6.2. No presente contrato, o Contratante assume o papel de controlador, nos termos do artigo 5º, VI, da Lei n.º 13.709/2018, e o Contratado(a) assume o papel de operador, nos termos do artigo 5º, VII, da Lei n.º 13.709/2018.</w:t>
      </w:r>
    </w:p>
    <w:p w14:paraId="501431A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6.3. O(A) Contratado(a)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31C18113"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6.4. As partes se comprometem a adotar as medidas de segurança técnicas, administrativas e operacionais necessárias a resguardar os dados pessoais que lhe serão confiados, levando em conta as diretrizes de órgãos reguladores, padrões técnicos e boas práticas existentes.</w:t>
      </w:r>
    </w:p>
    <w:p w14:paraId="6781929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6.5. O Contratante terá o direito de acompanhar, monitorar, auditar e fiscalizar a conformidade do(a) Contratado(a), diante das obrigações de operador, para a proteção de dados pessoais referentes à execução deste contrato.</w:t>
      </w:r>
    </w:p>
    <w:p w14:paraId="70E178C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6.6.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14E366E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6.7. As partes deverão comunicar imediatamente entre si, ao titular dos dados, e à Autoridade Nacional de Proteção de Dados (ANPD) a ocorrência de incidente de segurança que possa acarretar risco ou dano relevante ao titular dos dados, em consonância com as providências dispostas no artigo 48 da Lei Federal n.º 13.709/2018.</w:t>
      </w:r>
    </w:p>
    <w:p w14:paraId="72EF621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6.8. As partes ficam obrigadas a indicar encarregado pela proteção de dados pessoais, ou preposto, para comunicação sobre os assuntos pertinentes à Lei n.º 13.709/2018, suas alterações e regulamentações posteriores.</w:t>
      </w:r>
    </w:p>
    <w:p w14:paraId="6492F2B5"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475E863"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SÉTIMA – Cláusula Declaratória e Compromissória Anticorrupção</w:t>
      </w:r>
    </w:p>
    <w:p w14:paraId="6A61079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7.1. O(A) Contratado(a) declara, por si e por seus administradores, funcionários, representantes e outras pessoas que agem em seu nome, direta ou indiretamente, estar ciente dos dispositivos contidos na Lei nº 12.846/2013.</w:t>
      </w:r>
    </w:p>
    <w:p w14:paraId="276DF05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7.2. O(A) Contratado(a) se obriga a tomar todas as providências para fazer com que seus administradores, funcionários e representantes tomem ciência quanto ao teor da mencionada Lei nº 12.846/2013.</w:t>
      </w:r>
    </w:p>
    <w:p w14:paraId="3FAB3A4A"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Primeira:</w:t>
      </w:r>
      <w:r>
        <w:rPr>
          <w:rFonts w:ascii="Arial" w:eastAsia="Times New Roman" w:hAnsi="Arial" w:cs="Arial"/>
          <w:color w:val="000000"/>
          <w:sz w:val="24"/>
          <w:szCs w:val="24"/>
          <w:lang w:eastAsia="pt-BR"/>
        </w:rPr>
        <w:t xml:space="preserve"> O(A) Contratado(a), no desempenho das atividades objeto deste Contrato, compromete-se perante o Contratante a abster-se de praticar ato(s) que possa(m) constituir violação à legislação aplicável ao presente instrumento </w:t>
      </w:r>
      <w:r>
        <w:rPr>
          <w:rFonts w:ascii="Arial" w:eastAsia="Times New Roman" w:hAnsi="Arial" w:cs="Arial"/>
          <w:color w:val="000000"/>
          <w:sz w:val="24"/>
          <w:szCs w:val="24"/>
          <w:lang w:eastAsia="pt-BR"/>
        </w:rPr>
        <w:lastRenderedPageBreak/>
        <w:t>pactual, incluindo aqueles descritos na Lei nº 12.846/2013, em especial no seu artigo 5º.</w:t>
      </w:r>
    </w:p>
    <w:p w14:paraId="26E7F131"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Segunda:</w:t>
      </w:r>
      <w:r>
        <w:rPr>
          <w:rFonts w:ascii="Arial" w:eastAsia="Times New Roman" w:hAnsi="Arial" w:cs="Arial"/>
          <w:color w:val="000000"/>
          <w:sz w:val="24"/>
          <w:szCs w:val="24"/>
          <w:lang w:eastAsia="pt-BR"/>
        </w:rPr>
        <w:t> O(A) Contratado(a) se compromete a não contratar como empregados ou firmarem qualquer forma de relacionamento com pessoa física ou jurídica envolvida em atividades criminosas, em especial pessoas investigadas por ilícitos da Lei Anticorrupção, Lei de Improbidade Administrativa, de Lavagem de Dinheiro e delitos da legislação penal.</w:t>
      </w:r>
    </w:p>
    <w:p w14:paraId="2B1CA325"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Terceira:</w:t>
      </w:r>
      <w:r>
        <w:rPr>
          <w:rFonts w:ascii="Arial" w:eastAsia="Times New Roman" w:hAnsi="Arial" w:cs="Arial"/>
          <w:color w:val="000000"/>
          <w:sz w:val="24"/>
          <w:szCs w:val="24"/>
          <w:lang w:eastAsia="pt-BR"/>
        </w:rPr>
        <w:t> O(A) Contratado(a) se obriga a notificar o Contratante, imediatamente e por escrito, sobre qualquer suspeita ou violação à legislação vigente, como casos em que tiver ciência acerca de prática de atos de suborno, corrupção ou fraudes em geral.</w:t>
      </w:r>
    </w:p>
    <w:p w14:paraId="04AB7AB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Quarta:</w:t>
      </w:r>
      <w:r>
        <w:rPr>
          <w:rFonts w:ascii="Arial" w:eastAsia="Times New Roman" w:hAnsi="Arial" w:cs="Arial"/>
          <w:color w:val="000000"/>
          <w:sz w:val="24"/>
          <w:szCs w:val="24"/>
          <w:lang w:eastAsia="pt-BR"/>
        </w:rPr>
        <w:t> O(A) Contratado(a) obriga-se a conduzir os seus negócios e práticas comerciais de forma ética e íntegra em conformidade com os preceitos legais vigentes no país.</w:t>
      </w:r>
    </w:p>
    <w:p w14:paraId="418F81C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Quinta:</w:t>
      </w:r>
      <w:r>
        <w:rPr>
          <w:rFonts w:ascii="Arial" w:eastAsia="Times New Roman" w:hAnsi="Arial" w:cs="Arial"/>
          <w:color w:val="000000"/>
          <w:sz w:val="24"/>
          <w:szCs w:val="24"/>
          <w:lang w:eastAsia="pt-BR"/>
        </w:rPr>
        <w:t> O descumprimento pelo(a) Contratado(a) das normas legais anticorrupção e das dispostas neste contrato será considerada infração grave e ensejará a possibilidade de rescisão do instrumento contratual pelo Contratante, sem qualquer ônus ou penalidade, respondendo o(a) Contratado(a), ainda, sobre eventuais perdas e danos.</w:t>
      </w:r>
    </w:p>
    <w:p w14:paraId="39721A6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96B2E2A"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OITAVA – Da Subcontratação</w:t>
      </w:r>
    </w:p>
    <w:p w14:paraId="4FD6F82B"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Contratado(a) não poderá subcontratar, ceder ou transferir, total ou parcialmente, o objeto deste ajuste.</w:t>
      </w:r>
    </w:p>
    <w:p w14:paraId="04FB6D9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CA78615"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NONA – Do Preço</w:t>
      </w:r>
    </w:p>
    <w:p w14:paraId="01CF99C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valor total da contratação é de R$ _______ (_________________).</w:t>
      </w:r>
    </w:p>
    <w:p w14:paraId="144AA848" w14:textId="77777777" w:rsidR="00901CDC" w:rsidRDefault="00DD550A">
      <w:pPr>
        <w:spacing w:before="120" w:after="120" w:line="240" w:lineRule="auto"/>
        <w:ind w:left="119" w:right="119"/>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268EDB"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543109E"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 Da Dotação Orçamentária</w:t>
      </w:r>
    </w:p>
    <w:p w14:paraId="08E16BEC"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shd w:val="clear" w:color="auto" w:fill="FFFFFF"/>
          <w:lang w:eastAsia="pt-BR"/>
        </w:rPr>
        <w:t>As despesas com a execução deste Contrato correrão à conta da dotação orçamentária n° __________________ – Fonte _____, com os respectivos valores reservados, e suas equivalentes nos exercícios seguintes quando for o caso.</w:t>
      </w:r>
    </w:p>
    <w:p w14:paraId="4AF5ED23"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7973E9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PRIMEIRA – Da Forma de Pagamento</w:t>
      </w:r>
    </w:p>
    <w:p w14:paraId="60490FC1"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A forma de pagamento do objeto contratado e demais condições a ela referentes encontram-se definidos no Termo de Referência, anexo a este Contrato.</w:t>
      </w:r>
    </w:p>
    <w:p w14:paraId="6DEE445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8C0A6A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SEGUNDA – Do Reajuste</w:t>
      </w:r>
    </w:p>
    <w:p w14:paraId="41C647FC"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A periodicidade para o reajuste do objeto será de 12 (doze) meses, contados da data do orçamento estimado, em </w:t>
      </w:r>
      <w:r>
        <w:rPr>
          <w:rFonts w:ascii="Arial" w:eastAsia="Times New Roman" w:hAnsi="Arial" w:cs="Arial"/>
          <w:bCs/>
          <w:color w:val="000000"/>
          <w:sz w:val="24"/>
          <w:szCs w:val="24"/>
          <w:lang w:eastAsia="pt-BR"/>
        </w:rPr>
        <w:t xml:space="preserve">24/04/2024, no caso de primeiro reajuste, ou da data do reajuste anterior, na hipótese de reajustes posteriores, com base no  </w:t>
      </w:r>
      <w:r>
        <w:rPr>
          <w:rFonts w:ascii="Arial" w:hAnsi="Arial" w:cs="Arial"/>
          <w:sz w:val="24"/>
          <w:szCs w:val="24"/>
          <w:shd w:val="clear" w:color="auto" w:fill="FFFFFF"/>
        </w:rPr>
        <w:t>Índice Nacional de Preços ao Consumidor Amplo</w:t>
      </w:r>
      <w:r>
        <w:rPr>
          <w:rFonts w:ascii="Arial" w:eastAsia="Times New Roman" w:hAnsi="Arial" w:cs="Arial"/>
          <w:sz w:val="24"/>
          <w:szCs w:val="24"/>
          <w:lang w:eastAsia="pt-BR"/>
        </w:rPr>
        <w:t xml:space="preserve"> (</w:t>
      </w:r>
      <w:r>
        <w:rPr>
          <w:rFonts w:ascii="Arial" w:eastAsia="SimSun" w:hAnsi="Arial" w:cs="Arial"/>
          <w:sz w:val="24"/>
          <w:szCs w:val="24"/>
          <w:lang w:eastAsia="hi-IN" w:bidi="hi-IN"/>
        </w:rPr>
        <w:t>IPCA-IBGE)</w:t>
      </w:r>
      <w:r>
        <w:rPr>
          <w:rFonts w:ascii="Arial" w:eastAsia="Times New Roman" w:hAnsi="Arial" w:cs="Arial"/>
          <w:color w:val="000000"/>
          <w:sz w:val="24"/>
          <w:szCs w:val="24"/>
          <w:lang w:eastAsia="pt-BR"/>
        </w:rPr>
        <w:t xml:space="preserve"> ou em outro índice que venha substituí-lo.</w:t>
      </w:r>
    </w:p>
    <w:p w14:paraId="6EC456E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Primeira:</w:t>
      </w:r>
      <w:r>
        <w:rPr>
          <w:rFonts w:ascii="Arial" w:eastAsia="Times New Roman" w:hAnsi="Arial" w:cs="Arial"/>
          <w:color w:val="000000"/>
          <w:sz w:val="24"/>
          <w:szCs w:val="24"/>
          <w:lang w:eastAsia="pt-BR"/>
        </w:rPr>
        <w:t> A concessão de reajuste será efetuada independentemente de pedido do Contratado(a).</w:t>
      </w:r>
    </w:p>
    <w:p w14:paraId="7D47ADC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Segunda:</w:t>
      </w:r>
      <w:r>
        <w:rPr>
          <w:rFonts w:ascii="Arial" w:eastAsia="Times New Roman" w:hAnsi="Arial" w:cs="Arial"/>
          <w:color w:val="000000"/>
          <w:sz w:val="24"/>
          <w:szCs w:val="24"/>
          <w:lang w:eastAsia="pt-BR"/>
        </w:rPr>
        <w:t> A redução do valor do reajuste estabelecido no caput desta cláusula ou sua dispensa poderão ainda ser objeto de acordo entre as partes.</w:t>
      </w:r>
    </w:p>
    <w:p w14:paraId="41E2392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Terceira:</w:t>
      </w:r>
      <w:r>
        <w:rPr>
          <w:rFonts w:ascii="Arial" w:eastAsia="Times New Roman" w:hAnsi="Arial" w:cs="Arial"/>
          <w:color w:val="000000"/>
          <w:sz w:val="24"/>
          <w:szCs w:val="24"/>
          <w:lang w:eastAsia="pt-BR"/>
        </w:rPr>
        <w:t xml:space="preserve"> Em regra, o reajuste será realizado por apostilamento.</w:t>
      </w:r>
    </w:p>
    <w:p w14:paraId="1EB77E3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072A150"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TERCEIRA – Do reequilíbrio econômico-financeiro</w:t>
      </w:r>
    </w:p>
    <w:p w14:paraId="48A3218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reconhecimento de desequilíbrio econômico-financeiro dependerá de expresso requerimento da parte interessada, devendo ser formulado durante a vigência deste contrato e antes de eventual prorrogação.</w:t>
      </w:r>
    </w:p>
    <w:p w14:paraId="354AED80"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única</w:t>
      </w:r>
      <w:r>
        <w:rPr>
          <w:rFonts w:ascii="Arial" w:eastAsia="Times New Roman" w:hAnsi="Arial" w:cs="Arial"/>
          <w:color w:val="000000"/>
          <w:sz w:val="24"/>
          <w:szCs w:val="24"/>
          <w:lang w:eastAsia="pt-BR"/>
        </w:rPr>
        <w:t>: Uma vez preenchidos os requisitos do caput, a extinção do contrato não configurará óbice para o reconhecimento da situação de desequilíbrio, hipótese na qual será concedida indenização por meio de termo indenizatório.</w:t>
      </w:r>
    </w:p>
    <w:p w14:paraId="16860D30"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FB49B11"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QUARTA – Das Alterações Contratuais</w:t>
      </w:r>
    </w:p>
    <w:p w14:paraId="3EADB09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w:t>
      </w:r>
      <w:r>
        <w:rPr>
          <w:rFonts w:ascii="Arial" w:eastAsia="Times New Roman" w:hAnsi="Arial" w:cs="Arial"/>
          <w:b/>
          <w:bCs/>
          <w:color w:val="000000"/>
          <w:sz w:val="24"/>
          <w:szCs w:val="24"/>
          <w:lang w:eastAsia="pt-BR"/>
        </w:rPr>
        <w:t>Contratado(a)</w:t>
      </w:r>
      <w:r>
        <w:rPr>
          <w:rFonts w:ascii="Arial" w:eastAsia="Times New Roman" w:hAnsi="Arial" w:cs="Arial"/>
          <w:color w:val="000000"/>
          <w:sz w:val="24"/>
          <w:szCs w:val="24"/>
          <w:lang w:eastAsia="pt-BR"/>
        </w:rPr>
        <w:t> fica obrigada a aceitar, nas mesmas condições contratuais, os acréscimos ou supressões que o Contratante, a seu critério e de acordo com sua disponibilidade orçamentária e financeira, determinar, até o limite de 25% do valor inicial atualizado do Contrato.</w:t>
      </w:r>
    </w:p>
    <w:p w14:paraId="285C93C2"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Primeira: </w:t>
      </w:r>
      <w:r>
        <w:rPr>
          <w:rFonts w:ascii="Arial" w:eastAsia="Times New Roman" w:hAnsi="Arial" w:cs="Arial"/>
          <w:color w:val="000000"/>
          <w:sz w:val="24"/>
          <w:szCs w:val="24"/>
          <w:lang w:eastAsia="pt-BR"/>
        </w:rPr>
        <w:t>O limite para acréscimo, nos termos do caput desta cláusula, será de 50% do valor inicial atualizado do Contrato quando o objeto contratado consistir em reforma de edifício ou de equipamento, conforme art. 125 da Lei Federal 14.133/21.</w:t>
      </w:r>
    </w:p>
    <w:p w14:paraId="029D397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Subcláusula Segunda</w:t>
      </w:r>
      <w:r>
        <w:rPr>
          <w:rFonts w:ascii="Arial" w:eastAsia="Times New Roman" w:hAnsi="Arial" w:cs="Arial"/>
          <w:color w:val="000000"/>
          <w:sz w:val="24"/>
          <w:szCs w:val="24"/>
          <w:lang w:eastAsia="pt-BR"/>
        </w:rPr>
        <w:t xml:space="preserve">: As demais alterações contratuais reger-se-ão pela disciplina dos </w:t>
      </w:r>
      <w:proofErr w:type="spellStart"/>
      <w:r>
        <w:rPr>
          <w:rFonts w:ascii="Arial" w:eastAsia="Times New Roman" w:hAnsi="Arial" w:cs="Arial"/>
          <w:color w:val="000000"/>
          <w:sz w:val="24"/>
          <w:szCs w:val="24"/>
          <w:lang w:eastAsia="pt-BR"/>
        </w:rPr>
        <w:t>arts</w:t>
      </w:r>
      <w:proofErr w:type="spellEnd"/>
      <w:r>
        <w:rPr>
          <w:rFonts w:ascii="Arial" w:eastAsia="Times New Roman" w:hAnsi="Arial" w:cs="Arial"/>
          <w:color w:val="000000"/>
          <w:sz w:val="24"/>
          <w:szCs w:val="24"/>
          <w:lang w:eastAsia="pt-BR"/>
        </w:rPr>
        <w:t>. 124 e seguintes da Lei Federal 14.133/21.</w:t>
      </w:r>
    </w:p>
    <w:p w14:paraId="64B268B7"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B681032"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QUINTA – Da Garantia do Objeto</w:t>
      </w:r>
    </w:p>
    <w:p w14:paraId="5242253B"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A garantia será prestada de acordo com o estabelecido na Proposta e no Termo de Referência, independentemente do término da vigência contratual.</w:t>
      </w:r>
    </w:p>
    <w:p w14:paraId="4E9B24D2"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0E064B5"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SEXTA – Da Garantia de Execução Contratual</w:t>
      </w:r>
    </w:p>
    <w:p w14:paraId="2B84341E"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Não haverá exigência de garantia contratual da execução.</w:t>
      </w:r>
    </w:p>
    <w:p w14:paraId="09D03DD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SÉTIMA – Das Infrações e Sanções Administrativas</w:t>
      </w:r>
    </w:p>
    <w:p w14:paraId="14E20E65"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inadimplência do(a) Contratado(a), sem justificativa aceita pelo Contratante, no cumprimento de qualquer cláusula ou condição prevista neste Contrato, inclusive quando configurar o cometimento de infrações, a sujeitará às sanções discriminadas no Termo de Referência, anexo a este contrato, as quais serão aplicadas de acordo com a natureza e a gravidade da infração, as peculiaridades do caso concreto, as circunstâncias agravantes ou atenuantes, os danos que dela provierem para o Contratante, a implantação ou o aperfeiçoamento de programa de integridade, conforme normas e orientações dos órgãos de controle, bem como eventual extinção unilateral do contrato, mediante processo administrativo, observada a aplicação da Lei Federal nº 14.133/2021.</w:t>
      </w:r>
    </w:p>
    <w:p w14:paraId="3F4EFAA1"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3F1C655"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DÉCIMA OITAVA – Da Extinção Contratual</w:t>
      </w:r>
    </w:p>
    <w:p w14:paraId="7D528E8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 O contrato pode ser extinto antes de cumpridas as obrigações nele estipuladas, ou antes do prazo nele fixado, por algum dos motivos previstos no artigo 137, da Lei nº 14.133/21, bem como amigavelmente, assegurados o contraditório e a ampla defesa.</w:t>
      </w:r>
    </w:p>
    <w:p w14:paraId="6332E792" w14:textId="77777777" w:rsidR="00901CDC" w:rsidRDefault="00DD550A">
      <w:pPr>
        <w:spacing w:before="120" w:after="120" w:line="247" w:lineRule="auto"/>
        <w:ind w:left="60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18.1.1 Nesta hipótese, aplicam-se também os artigos 138 e 139 da mesma Lei.</w:t>
      </w:r>
    </w:p>
    <w:p w14:paraId="32EAC918" w14:textId="77777777" w:rsidR="00901CDC" w:rsidRDefault="00DD550A">
      <w:pPr>
        <w:spacing w:before="120" w:after="120" w:line="247" w:lineRule="auto"/>
        <w:ind w:left="60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18.1.2 A alteração social ou a modificação da finalidade ou da estrutura da empresa não ensejará a rescisão se não restringir sua capacidade de concluir o contrato.</w:t>
      </w:r>
    </w:p>
    <w:p w14:paraId="74317DA0" w14:textId="77777777" w:rsidR="00901CDC" w:rsidRDefault="00DD550A">
      <w:pPr>
        <w:spacing w:before="120" w:after="120" w:line="247" w:lineRule="auto"/>
        <w:ind w:left="120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18.1.2.1 Se a operação implicar mudança da pessoa jurídica contratada, deverá ser formalizado termo aditivo para alteração subjetiva. </w:t>
      </w:r>
    </w:p>
    <w:p w14:paraId="29AD502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18.2. O termo de rescisão, sempre que possível, será precedido:</w:t>
      </w:r>
    </w:p>
    <w:p w14:paraId="78E8805E" w14:textId="77777777" w:rsidR="00901CDC" w:rsidRDefault="00DD550A">
      <w:pPr>
        <w:spacing w:before="120" w:after="120" w:line="247" w:lineRule="auto"/>
        <w:ind w:left="60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18.2.1 Balanço dos eventos contratuais já cumpridos ou parcialmente cumpridos;</w:t>
      </w:r>
    </w:p>
    <w:p w14:paraId="0A9189B1" w14:textId="77777777" w:rsidR="00901CDC" w:rsidRDefault="00DD550A">
      <w:pPr>
        <w:spacing w:before="120" w:after="120" w:line="247" w:lineRule="auto"/>
        <w:ind w:left="60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18.2.2 Relação dos pagamentos já efetuados e ainda devidos;</w:t>
      </w:r>
    </w:p>
    <w:p w14:paraId="0C5C0260" w14:textId="77777777" w:rsidR="00901CDC" w:rsidRDefault="00DD550A">
      <w:pPr>
        <w:spacing w:before="120" w:after="120" w:line="247" w:lineRule="auto"/>
        <w:ind w:left="60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18.2.3 Indenizações e multas.</w:t>
      </w:r>
    </w:p>
    <w:p w14:paraId="40D3E3C2"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18.3. A extinção do contrato não configura óbice para o reconhecimento do desequilíbrio econômico-financeiro, nos termos da Cláusula Décima Terceira</w:t>
      </w:r>
      <w:r>
        <w:rPr>
          <w:rFonts w:ascii="Arial" w:eastAsia="Times New Roman" w:hAnsi="Arial" w:cs="Arial"/>
          <w:b/>
          <w:bCs/>
          <w:color w:val="000000"/>
          <w:sz w:val="24"/>
          <w:szCs w:val="24"/>
          <w:lang w:eastAsia="pt-BR"/>
        </w:rPr>
        <w:t>.</w:t>
      </w:r>
    </w:p>
    <w:p w14:paraId="1BD55CE0"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r>
      <w:r>
        <w:rPr>
          <w:rFonts w:ascii="Arial" w:eastAsia="Times New Roman" w:hAnsi="Arial" w:cs="Arial"/>
          <w:b/>
          <w:bCs/>
          <w:color w:val="000000"/>
          <w:sz w:val="24"/>
          <w:szCs w:val="24"/>
          <w:lang w:eastAsia="pt-BR"/>
        </w:rPr>
        <w:t>CLÁUSULA DÉCIMA NONA – Da Publicação</w:t>
      </w:r>
    </w:p>
    <w:p w14:paraId="6358B73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O Contratante fará publicar no Diário Oficial Eletrônico do Ministério Público de Minas Gerais – DOMP/MG e no Portal Nacional de Contratações Públicas, bem como no respectivo sítio oficial do MPMG, o resumo do presente Contrato, nos termos e condições previstas na Lei Federal nº 14.133/21.</w:t>
      </w:r>
    </w:p>
    <w:p w14:paraId="5D79C1D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30F82B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VIGÉSIMA – Do Foro</w:t>
      </w:r>
    </w:p>
    <w:p w14:paraId="2517A11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É competente o foro da Comarca de Belo Horizonte/MG para dirimir quaisquer questões oriundas deste Contrato que não possam ser compostos pela conciliação, conforme art. 92, §1º, da Lei nº 14.133/21.</w:t>
      </w:r>
    </w:p>
    <w:p w14:paraId="168BE90B"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077FDE0"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VIGÉSIMA PRIMEIRA – Dos Documentos Integrantes</w:t>
      </w:r>
    </w:p>
    <w:p w14:paraId="66533AA9"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shd w:val="clear" w:color="auto" w:fill="FFFFFF"/>
          <w:lang w:eastAsia="pt-BR"/>
        </w:rPr>
        <w:t xml:space="preserve">Integram o presente Contrato, independentemente de transcrição, para todos os efeitos, o Termo de Referência, o </w:t>
      </w:r>
      <w:r>
        <w:rPr>
          <w:rFonts w:ascii="Arial" w:eastAsia="Times New Roman" w:hAnsi="Arial" w:cs="Arial"/>
          <w:color w:val="000000"/>
          <w:sz w:val="24"/>
          <w:szCs w:val="24"/>
          <w:lang w:eastAsia="pt-BR"/>
        </w:rPr>
        <w:t xml:space="preserve">Edital </w:t>
      </w:r>
      <w:r>
        <w:rPr>
          <w:rFonts w:ascii="Arial" w:eastAsia="Times New Roman" w:hAnsi="Arial" w:cs="Arial"/>
          <w:color w:val="000000"/>
          <w:sz w:val="24"/>
          <w:szCs w:val="24"/>
          <w:shd w:val="clear" w:color="auto" w:fill="FFFFFF"/>
          <w:lang w:eastAsia="pt-BR"/>
        </w:rPr>
        <w:t>da Licitação, a Ata de Registro de Preços, a Proposta do Contratado(a) e eventuais anexos dos documentos supracitados.</w:t>
      </w:r>
    </w:p>
    <w:p w14:paraId="21FE5FC1"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6AC3A58"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CLÁUSULA VIGÉSIMA SEGUNDA – Dos Casos Omissos</w:t>
      </w:r>
    </w:p>
    <w:p w14:paraId="08470389"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Os casos omissos serão decididos pelo Contratante, segundo as disposições contidas na Lei nº 14.133/21 e em normas e princípios gerais dos contratos.</w:t>
      </w:r>
    </w:p>
    <w:p w14:paraId="275F4FC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E8430D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051FCF3"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Assim ajustadas, as partes assinam o presente Contrato, para um só efeito de direito, por meio de senha/assinatura eletrônica, na presença de duas testemunhas.</w:t>
      </w:r>
    </w:p>
    <w:p w14:paraId="6461B823"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Contratante:</w:t>
      </w:r>
    </w:p>
    <w:p w14:paraId="13E209F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r>
      <w:r>
        <w:rPr>
          <w:rFonts w:ascii="Arial" w:eastAsia="Times New Roman" w:hAnsi="Arial" w:cs="Arial"/>
          <w:b/>
          <w:bCs/>
          <w:color w:val="000000"/>
          <w:sz w:val="24"/>
          <w:szCs w:val="24"/>
          <w:lang w:eastAsia="pt-BR"/>
        </w:rPr>
        <w:t>____________________________</w:t>
      </w:r>
    </w:p>
    <w:p w14:paraId="61A4CBC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Procurador-Geral de Justiça Adjunto Administrativo</w:t>
      </w:r>
    </w:p>
    <w:p w14:paraId="0A2B6279" w14:textId="77777777" w:rsidR="00901CDC" w:rsidRDefault="00DD550A">
      <w:pPr>
        <w:spacing w:after="0" w:line="247" w:lineRule="auto"/>
        <w:ind w:left="60" w:right="6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D6D7E1F"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Contratado(a):</w:t>
      </w:r>
    </w:p>
    <w:p w14:paraId="2C8C2DA6"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w:t>
      </w:r>
    </w:p>
    <w:p w14:paraId="18C01099"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______________________________________</w:t>
      </w:r>
    </w:p>
    <w:p w14:paraId="1B498883"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F06D5A4"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43EDC6D"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Testemunhas:</w:t>
      </w:r>
    </w:p>
    <w:p w14:paraId="2A9B3883"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w:t>
      </w:r>
    </w:p>
    <w:p w14:paraId="1FD3B742" w14:textId="77777777" w:rsidR="00901CDC" w:rsidRDefault="00DD550A">
      <w:pPr>
        <w:spacing w:before="120" w:after="120" w:line="247"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2)</w:t>
      </w:r>
    </w:p>
    <w:p w14:paraId="6A897C57" w14:textId="77777777" w:rsidR="00901CDC" w:rsidRPr="00C63608" w:rsidRDefault="00DD550A" w:rsidP="00C63608">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04" w:name="_Toc176954846"/>
      <w:r w:rsidRPr="00C63608">
        <w:rPr>
          <w:rFonts w:ascii="Arial" w:eastAsia="Times New Roman" w:hAnsi="Arial" w:cs="Arial"/>
          <w:b/>
          <w:bCs/>
          <w:kern w:val="2"/>
          <w:sz w:val="24"/>
          <w:szCs w:val="24"/>
          <w:lang w:eastAsia="ar-SA"/>
        </w:rPr>
        <w:lastRenderedPageBreak/>
        <w:t>ANEXO III – MODELO DE PROPOSTA (Planilha de Preços)</w:t>
      </w:r>
      <w:bookmarkEnd w:id="204"/>
    </w:p>
    <w:p w14:paraId="3774089F" w14:textId="77777777" w:rsidR="00901CDC" w:rsidRDefault="00DD550A">
      <w:pPr>
        <w:suppressAutoHyphens w:val="0"/>
        <w:spacing w:before="240" w:after="240"/>
        <w:jc w:val="both"/>
        <w:rPr>
          <w:rFonts w:ascii="Arial" w:hAnsi="Arial" w:cs="Arial"/>
          <w:sz w:val="24"/>
          <w:szCs w:val="24"/>
          <w:lang w:eastAsia="pt-BR"/>
        </w:rPr>
      </w:pPr>
      <w:r>
        <w:rPr>
          <w:rFonts w:ascii="Arial" w:hAnsi="Arial" w:cs="Arial"/>
          <w:sz w:val="24"/>
          <w:szCs w:val="24"/>
          <w:lang w:eastAsia="pt-BR"/>
        </w:rPr>
        <w:t xml:space="preserve">(Anexo II da Ata de Registro de Preços e Anexo I do Contrato) </w:t>
      </w:r>
    </w:p>
    <w:p w14:paraId="797B8EA1" w14:textId="77777777" w:rsidR="00901CDC" w:rsidRPr="003031F4" w:rsidRDefault="00901CDC" w:rsidP="003031F4">
      <w:pPr>
        <w:suppressAutoHyphens w:val="0"/>
        <w:spacing w:before="240" w:after="240"/>
        <w:jc w:val="both"/>
        <w:rPr>
          <w:rFonts w:ascii="Arial" w:hAnsi="Arial" w:cs="Arial"/>
          <w:sz w:val="24"/>
          <w:szCs w:val="24"/>
          <w:lang w:eastAsia="pt-BR"/>
        </w:rPr>
      </w:pPr>
    </w:p>
    <w:p w14:paraId="141BB2A6" w14:textId="77777777" w:rsidR="00901CDC" w:rsidRDefault="00DD550A">
      <w:pPr>
        <w:tabs>
          <w:tab w:val="left" w:pos="1980"/>
        </w:tabs>
        <w:spacing w:before="240" w:after="240" w:line="240" w:lineRule="auto"/>
        <w:jc w:val="both"/>
        <w:rPr>
          <w:rFonts w:ascii="Arial" w:hAnsi="Arial" w:cs="Arial"/>
          <w:color w:val="000000"/>
          <w:sz w:val="24"/>
          <w:szCs w:val="24"/>
        </w:rPr>
      </w:pPr>
      <w:r>
        <w:rPr>
          <w:rFonts w:ascii="Arial" w:eastAsia="Times New Roman" w:hAnsi="Arial" w:cs="Arial"/>
          <w:sz w:val="24"/>
          <w:szCs w:val="24"/>
          <w:lang w:eastAsia="pt-BR"/>
        </w:rPr>
        <w:t xml:space="preserve">Objeto: </w:t>
      </w:r>
      <w:r>
        <w:rPr>
          <w:rFonts w:ascii="Arial" w:hAnsi="Arial" w:cs="Arial"/>
          <w:color w:val="000000"/>
          <w:sz w:val="24"/>
          <w:szCs w:val="24"/>
        </w:rPr>
        <w:t>Registro de Preços para aquisição de CADEIRAS OPERACIONAIS, conforme especificações, exigências e quantidades estabelecidas neste Termo de Referência.</w:t>
      </w:r>
    </w:p>
    <w:p w14:paraId="05A13D09" w14:textId="77777777" w:rsidR="00901CDC" w:rsidRDefault="00DD550A">
      <w:pPr>
        <w:spacing w:before="240" w:after="240" w:line="240" w:lineRule="auto"/>
        <w:jc w:val="both"/>
        <w:rPr>
          <w:rFonts w:ascii="Arial" w:eastAsia="Times New Roman" w:hAnsi="Arial" w:cs="Arial"/>
          <w:sz w:val="24"/>
          <w:szCs w:val="24"/>
          <w:lang w:eastAsia="pt-BR"/>
        </w:rPr>
      </w:pPr>
      <w:r>
        <w:rPr>
          <w:rFonts w:ascii="Arial" w:eastAsia="Times New Roman" w:hAnsi="Arial" w:cs="Arial"/>
          <w:b/>
          <w:bCs/>
          <w:sz w:val="24"/>
          <w:szCs w:val="24"/>
          <w:lang w:eastAsia="pt-BR"/>
        </w:rPr>
        <w:t>1) IDENTIFICAÇÃO DO LICITANTE:</w:t>
      </w:r>
    </w:p>
    <w:tbl>
      <w:tblPr>
        <w:tblW w:w="9085" w:type="dxa"/>
        <w:jc w:val="center"/>
        <w:tblCellMar>
          <w:left w:w="7" w:type="dxa"/>
          <w:right w:w="0" w:type="dxa"/>
        </w:tblCellMar>
        <w:tblLook w:val="0000" w:firstRow="0" w:lastRow="0" w:firstColumn="0" w:lastColumn="0" w:noHBand="0" w:noVBand="0"/>
      </w:tblPr>
      <w:tblGrid>
        <w:gridCol w:w="2331"/>
        <w:gridCol w:w="1178"/>
        <w:gridCol w:w="732"/>
        <w:gridCol w:w="1602"/>
        <w:gridCol w:w="687"/>
        <w:gridCol w:w="1067"/>
        <w:gridCol w:w="602"/>
        <w:gridCol w:w="886"/>
      </w:tblGrid>
      <w:tr w:rsidR="00901CDC" w14:paraId="15748E7B" w14:textId="77777777">
        <w:trPr>
          <w:trHeight w:val="228"/>
          <w:jc w:val="center"/>
        </w:trPr>
        <w:tc>
          <w:tcPr>
            <w:tcW w:w="6532" w:type="dxa"/>
            <w:gridSpan w:val="5"/>
            <w:tcBorders>
              <w:top w:val="single" w:sz="6" w:space="0" w:color="000000"/>
              <w:left w:val="single" w:sz="6" w:space="0" w:color="000000"/>
              <w:bottom w:val="single" w:sz="6" w:space="0" w:color="000000"/>
            </w:tcBorders>
            <w:shd w:val="clear" w:color="auto" w:fill="auto"/>
          </w:tcPr>
          <w:p w14:paraId="15AF34A0" w14:textId="77777777" w:rsidR="00901CDC" w:rsidRDefault="00DD550A">
            <w:pPr>
              <w:widowControl w:val="0"/>
              <w:spacing w:before="120" w:after="120" w:line="228" w:lineRule="atLeast"/>
              <w:jc w:val="both"/>
              <w:rPr>
                <w:rFonts w:ascii="Arial" w:eastAsia="MS Mincho" w:hAnsi="Arial" w:cs="Arial"/>
                <w:sz w:val="24"/>
                <w:szCs w:val="24"/>
                <w:lang w:eastAsia="pt-BR"/>
              </w:rPr>
            </w:pPr>
            <w:r>
              <w:rPr>
                <w:rFonts w:ascii="Arial" w:eastAsia="MS Mincho" w:hAnsi="Arial" w:cs="Arial"/>
                <w:sz w:val="24"/>
                <w:szCs w:val="24"/>
                <w:lang w:eastAsia="pt-BR"/>
              </w:rPr>
              <w:t>Razão Social:</w:t>
            </w:r>
          </w:p>
        </w:tc>
        <w:tc>
          <w:tcPr>
            <w:tcW w:w="2553" w:type="dxa"/>
            <w:gridSpan w:val="3"/>
            <w:tcBorders>
              <w:top w:val="single" w:sz="6" w:space="0" w:color="000000"/>
              <w:left w:val="single" w:sz="6" w:space="0" w:color="000000"/>
              <w:bottom w:val="single" w:sz="6" w:space="0" w:color="000000"/>
              <w:right w:val="single" w:sz="6" w:space="0" w:color="000000"/>
            </w:tcBorders>
            <w:shd w:val="clear" w:color="auto" w:fill="auto"/>
          </w:tcPr>
          <w:p w14:paraId="7D8293FF" w14:textId="77777777" w:rsidR="00901CDC" w:rsidRDefault="00DD550A">
            <w:pPr>
              <w:widowControl w:val="0"/>
              <w:spacing w:before="120" w:after="120" w:line="228" w:lineRule="atLeast"/>
              <w:jc w:val="both"/>
              <w:rPr>
                <w:rFonts w:ascii="Arial" w:eastAsia="MS Mincho" w:hAnsi="Arial" w:cs="Arial"/>
                <w:sz w:val="24"/>
                <w:szCs w:val="24"/>
                <w:lang w:eastAsia="pt-BR"/>
              </w:rPr>
            </w:pPr>
            <w:r>
              <w:rPr>
                <w:rFonts w:ascii="Arial" w:eastAsia="MS Mincho" w:hAnsi="Arial" w:cs="Arial"/>
                <w:sz w:val="24"/>
                <w:szCs w:val="24"/>
                <w:lang w:eastAsia="pt-BR"/>
              </w:rPr>
              <w:t>CNPJ:</w:t>
            </w:r>
          </w:p>
        </w:tc>
      </w:tr>
      <w:tr w:rsidR="00901CDC" w14:paraId="1636D610" w14:textId="77777777">
        <w:trPr>
          <w:trHeight w:val="240"/>
          <w:jc w:val="center"/>
        </w:trPr>
        <w:tc>
          <w:tcPr>
            <w:tcW w:w="5845" w:type="dxa"/>
            <w:gridSpan w:val="4"/>
            <w:tcBorders>
              <w:left w:val="single" w:sz="6" w:space="0" w:color="000000"/>
              <w:bottom w:val="single" w:sz="6" w:space="0" w:color="000000"/>
            </w:tcBorders>
            <w:shd w:val="clear" w:color="auto" w:fill="auto"/>
          </w:tcPr>
          <w:p w14:paraId="338ACD71"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Endereço:</w:t>
            </w:r>
          </w:p>
        </w:tc>
        <w:tc>
          <w:tcPr>
            <w:tcW w:w="1754" w:type="dxa"/>
            <w:gridSpan w:val="2"/>
            <w:tcBorders>
              <w:left w:val="single" w:sz="6" w:space="0" w:color="000000"/>
              <w:bottom w:val="single" w:sz="6" w:space="0" w:color="000000"/>
            </w:tcBorders>
            <w:shd w:val="clear" w:color="auto" w:fill="auto"/>
          </w:tcPr>
          <w:p w14:paraId="6EF829D6"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Nº:</w:t>
            </w:r>
          </w:p>
        </w:tc>
        <w:tc>
          <w:tcPr>
            <w:tcW w:w="1486" w:type="dxa"/>
            <w:gridSpan w:val="2"/>
            <w:tcBorders>
              <w:left w:val="single" w:sz="6" w:space="0" w:color="000000"/>
              <w:bottom w:val="single" w:sz="6" w:space="0" w:color="000000"/>
              <w:right w:val="single" w:sz="6" w:space="0" w:color="000000"/>
            </w:tcBorders>
            <w:shd w:val="clear" w:color="auto" w:fill="auto"/>
          </w:tcPr>
          <w:p w14:paraId="4169E304"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Sala:</w:t>
            </w:r>
          </w:p>
        </w:tc>
      </w:tr>
      <w:tr w:rsidR="00901CDC" w14:paraId="54AA9D4C" w14:textId="77777777">
        <w:trPr>
          <w:trHeight w:val="240"/>
          <w:jc w:val="center"/>
        </w:trPr>
        <w:tc>
          <w:tcPr>
            <w:tcW w:w="3511" w:type="dxa"/>
            <w:gridSpan w:val="2"/>
            <w:tcBorders>
              <w:left w:val="single" w:sz="6" w:space="0" w:color="000000"/>
              <w:bottom w:val="single" w:sz="6" w:space="0" w:color="000000"/>
            </w:tcBorders>
            <w:shd w:val="clear" w:color="auto" w:fill="auto"/>
          </w:tcPr>
          <w:p w14:paraId="50BEF3D6"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Bairro:</w:t>
            </w:r>
          </w:p>
        </w:tc>
        <w:tc>
          <w:tcPr>
            <w:tcW w:w="3019" w:type="dxa"/>
            <w:gridSpan w:val="3"/>
            <w:tcBorders>
              <w:left w:val="single" w:sz="6" w:space="0" w:color="000000"/>
              <w:bottom w:val="single" w:sz="6" w:space="0" w:color="000000"/>
            </w:tcBorders>
            <w:shd w:val="clear" w:color="auto" w:fill="auto"/>
          </w:tcPr>
          <w:p w14:paraId="489D3248"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Cidade:</w:t>
            </w:r>
          </w:p>
        </w:tc>
        <w:tc>
          <w:tcPr>
            <w:tcW w:w="2555" w:type="dxa"/>
            <w:gridSpan w:val="3"/>
            <w:tcBorders>
              <w:left w:val="single" w:sz="6" w:space="0" w:color="000000"/>
              <w:bottom w:val="single" w:sz="6" w:space="0" w:color="000000"/>
              <w:right w:val="single" w:sz="6" w:space="0" w:color="000000"/>
            </w:tcBorders>
            <w:shd w:val="clear" w:color="auto" w:fill="auto"/>
          </w:tcPr>
          <w:p w14:paraId="519ED051"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CEP:</w:t>
            </w:r>
          </w:p>
        </w:tc>
      </w:tr>
      <w:tr w:rsidR="00901CDC" w14:paraId="135C082E" w14:textId="77777777">
        <w:trPr>
          <w:trHeight w:val="240"/>
          <w:jc w:val="center"/>
        </w:trPr>
        <w:tc>
          <w:tcPr>
            <w:tcW w:w="4243" w:type="dxa"/>
            <w:gridSpan w:val="3"/>
            <w:tcBorders>
              <w:left w:val="single" w:sz="6" w:space="0" w:color="000000"/>
              <w:bottom w:val="single" w:sz="6" w:space="0" w:color="000000"/>
            </w:tcBorders>
            <w:shd w:val="clear" w:color="auto" w:fill="auto"/>
          </w:tcPr>
          <w:p w14:paraId="30615FB3"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Telefone:</w:t>
            </w:r>
          </w:p>
        </w:tc>
        <w:tc>
          <w:tcPr>
            <w:tcW w:w="3958" w:type="dxa"/>
            <w:gridSpan w:val="4"/>
            <w:tcBorders>
              <w:left w:val="single" w:sz="6" w:space="0" w:color="000000"/>
              <w:bottom w:val="single" w:sz="6" w:space="0" w:color="000000"/>
            </w:tcBorders>
            <w:shd w:val="clear" w:color="auto" w:fill="auto"/>
          </w:tcPr>
          <w:p w14:paraId="22A12FDE"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E-mail:</w:t>
            </w:r>
          </w:p>
        </w:tc>
        <w:tc>
          <w:tcPr>
            <w:tcW w:w="884" w:type="dxa"/>
            <w:tcBorders>
              <w:left w:val="single" w:sz="6" w:space="0" w:color="000000"/>
              <w:bottom w:val="single" w:sz="6" w:space="0" w:color="000000"/>
              <w:right w:val="single" w:sz="6" w:space="0" w:color="000000"/>
            </w:tcBorders>
            <w:shd w:val="clear" w:color="auto" w:fill="auto"/>
          </w:tcPr>
          <w:p w14:paraId="1CB62953"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UF:</w:t>
            </w:r>
          </w:p>
        </w:tc>
      </w:tr>
      <w:tr w:rsidR="00901CDC" w14:paraId="4ACB1513" w14:textId="77777777">
        <w:trPr>
          <w:trHeight w:val="228"/>
          <w:jc w:val="center"/>
        </w:trPr>
        <w:tc>
          <w:tcPr>
            <w:tcW w:w="2332" w:type="dxa"/>
            <w:tcBorders>
              <w:left w:val="single" w:sz="6" w:space="0" w:color="000000"/>
              <w:bottom w:val="single" w:sz="6" w:space="0" w:color="000000"/>
            </w:tcBorders>
            <w:shd w:val="clear" w:color="auto" w:fill="auto"/>
          </w:tcPr>
          <w:p w14:paraId="4CB29AF0" w14:textId="77777777" w:rsidR="00901CDC" w:rsidRDefault="00DD550A">
            <w:pPr>
              <w:widowControl w:val="0"/>
              <w:spacing w:before="120" w:after="120" w:line="228" w:lineRule="atLeast"/>
              <w:jc w:val="both"/>
              <w:rPr>
                <w:rFonts w:ascii="Arial" w:eastAsia="MS Mincho" w:hAnsi="Arial" w:cs="Arial"/>
                <w:sz w:val="24"/>
                <w:szCs w:val="24"/>
                <w:lang w:eastAsia="pt-BR"/>
              </w:rPr>
            </w:pPr>
            <w:r>
              <w:rPr>
                <w:rFonts w:ascii="Arial" w:eastAsia="MS Mincho" w:hAnsi="Arial" w:cs="Arial"/>
                <w:sz w:val="24"/>
                <w:szCs w:val="24"/>
                <w:lang w:eastAsia="pt-BR"/>
              </w:rPr>
              <w:t>Banco:</w:t>
            </w:r>
          </w:p>
        </w:tc>
        <w:tc>
          <w:tcPr>
            <w:tcW w:w="3512" w:type="dxa"/>
            <w:gridSpan w:val="3"/>
            <w:tcBorders>
              <w:left w:val="single" w:sz="6" w:space="0" w:color="000000"/>
              <w:bottom w:val="single" w:sz="6" w:space="0" w:color="000000"/>
            </w:tcBorders>
            <w:shd w:val="clear" w:color="auto" w:fill="auto"/>
          </w:tcPr>
          <w:p w14:paraId="7AEEB4F0" w14:textId="77777777" w:rsidR="00901CDC" w:rsidRDefault="00DD550A">
            <w:pPr>
              <w:widowControl w:val="0"/>
              <w:spacing w:before="120" w:after="120" w:line="228" w:lineRule="atLeast"/>
              <w:jc w:val="both"/>
              <w:rPr>
                <w:rFonts w:ascii="Arial" w:eastAsia="MS Mincho" w:hAnsi="Arial" w:cs="Arial"/>
                <w:sz w:val="24"/>
                <w:szCs w:val="24"/>
                <w:lang w:eastAsia="pt-BR"/>
              </w:rPr>
            </w:pPr>
            <w:r>
              <w:rPr>
                <w:rFonts w:ascii="Arial" w:eastAsia="MS Mincho" w:hAnsi="Arial" w:cs="Arial"/>
                <w:sz w:val="24"/>
                <w:szCs w:val="24"/>
                <w:lang w:eastAsia="pt-BR"/>
              </w:rPr>
              <w:t>Agência:</w:t>
            </w:r>
          </w:p>
        </w:tc>
        <w:tc>
          <w:tcPr>
            <w:tcW w:w="3241" w:type="dxa"/>
            <w:gridSpan w:val="4"/>
            <w:tcBorders>
              <w:left w:val="single" w:sz="6" w:space="0" w:color="000000"/>
              <w:bottom w:val="single" w:sz="6" w:space="0" w:color="000000"/>
              <w:right w:val="single" w:sz="6" w:space="0" w:color="000000"/>
            </w:tcBorders>
            <w:shd w:val="clear" w:color="auto" w:fill="auto"/>
          </w:tcPr>
          <w:p w14:paraId="32A04D87" w14:textId="77777777" w:rsidR="00901CDC" w:rsidRDefault="00DD550A">
            <w:pPr>
              <w:widowControl w:val="0"/>
              <w:spacing w:before="120" w:after="120" w:line="228" w:lineRule="atLeast"/>
              <w:jc w:val="both"/>
              <w:rPr>
                <w:rFonts w:ascii="Arial" w:eastAsia="MS Mincho" w:hAnsi="Arial" w:cs="Arial"/>
                <w:sz w:val="24"/>
                <w:szCs w:val="24"/>
                <w:lang w:eastAsia="pt-BR"/>
              </w:rPr>
            </w:pPr>
            <w:r>
              <w:rPr>
                <w:rFonts w:ascii="Arial" w:eastAsia="MS Mincho" w:hAnsi="Arial" w:cs="Arial"/>
                <w:sz w:val="24"/>
                <w:szCs w:val="24"/>
                <w:lang w:eastAsia="pt-BR"/>
              </w:rPr>
              <w:t>Conta:</w:t>
            </w:r>
          </w:p>
        </w:tc>
      </w:tr>
    </w:tbl>
    <w:p w14:paraId="6BF45C5B" w14:textId="77777777" w:rsidR="00901CDC" w:rsidRDefault="00DD550A">
      <w:pPr>
        <w:spacing w:before="288" w:after="288"/>
        <w:jc w:val="both"/>
        <w:rPr>
          <w:rFonts w:ascii="Arial" w:eastAsia="Times New Roman" w:hAnsi="Arial" w:cs="Arial"/>
          <w:b/>
          <w:sz w:val="24"/>
          <w:szCs w:val="24"/>
          <w:lang w:eastAsia="pt-BR"/>
        </w:rPr>
      </w:pPr>
      <w:r>
        <w:rPr>
          <w:rFonts w:ascii="Arial" w:eastAsia="Times New Roman" w:hAnsi="Arial" w:cs="Arial"/>
          <w:b/>
          <w:sz w:val="24"/>
          <w:szCs w:val="24"/>
          <w:lang w:eastAsia="pt-BR"/>
        </w:rPr>
        <w:t>2) DAS EXIGÊNCIAS DA PROPOSTA:</w:t>
      </w:r>
    </w:p>
    <w:p w14:paraId="188802D3" w14:textId="77777777" w:rsidR="00901CDC" w:rsidRDefault="00DD550A">
      <w:pPr>
        <w:spacing w:before="288" w:after="288"/>
        <w:jc w:val="both"/>
        <w:rPr>
          <w:rFonts w:ascii="Arial" w:eastAsia="Times New Roman" w:hAnsi="Arial" w:cs="Arial"/>
          <w:sz w:val="24"/>
          <w:szCs w:val="24"/>
          <w:lang w:eastAsia="pt-BR"/>
        </w:rPr>
      </w:pPr>
      <w:r>
        <w:rPr>
          <w:rFonts w:ascii="Arial" w:eastAsia="Times New Roman" w:hAnsi="Arial" w:cs="Arial"/>
          <w:b/>
          <w:sz w:val="24"/>
          <w:szCs w:val="24"/>
          <w:lang w:eastAsia="pt-BR"/>
        </w:rPr>
        <w:t>2.1) PRAZO DE VALIDADE DA PROPOSTA:</w:t>
      </w:r>
      <w:r>
        <w:rPr>
          <w:rFonts w:ascii="Arial" w:eastAsia="Times New Roman" w:hAnsi="Arial" w:cs="Arial"/>
          <w:sz w:val="24"/>
          <w:szCs w:val="24"/>
          <w:lang w:eastAsia="pt-BR"/>
        </w:rPr>
        <w:t xml:space="preserve"> _____ DIAS, contados da data de sua apresentação (MÍNIMO 60 dias);</w:t>
      </w:r>
    </w:p>
    <w:p w14:paraId="34E1248E" w14:textId="77777777" w:rsidR="00901CDC" w:rsidRDefault="00DD550A">
      <w:pPr>
        <w:spacing w:before="288" w:after="288"/>
        <w:jc w:val="both"/>
        <w:rPr>
          <w:rFonts w:ascii="Arial" w:eastAsia="Times New Roman" w:hAnsi="Arial" w:cs="Arial"/>
          <w:sz w:val="24"/>
          <w:szCs w:val="24"/>
          <w:lang w:eastAsia="pt-BR"/>
        </w:rPr>
      </w:pPr>
      <w:r>
        <w:rPr>
          <w:rFonts w:ascii="Arial" w:eastAsia="Times New Roman" w:hAnsi="Arial" w:cs="Arial"/>
          <w:b/>
          <w:sz w:val="24"/>
          <w:szCs w:val="24"/>
          <w:lang w:eastAsia="pt-BR"/>
        </w:rPr>
        <w:t>2.2) PRAZO DE ENTREGA:</w:t>
      </w:r>
      <w:r>
        <w:rPr>
          <w:rFonts w:ascii="Arial" w:eastAsia="Times New Roman" w:hAnsi="Arial" w:cs="Arial"/>
          <w:sz w:val="24"/>
          <w:szCs w:val="24"/>
          <w:lang w:eastAsia="pt-BR"/>
        </w:rPr>
        <w:t xml:space="preserve"> _____ DIAS CORRIDOS, contados do recebimento, pela Contratada, da Autorização de Fornecimento (MÁXIMO 30 dias corridos) por meio eletrônico;</w:t>
      </w:r>
    </w:p>
    <w:p w14:paraId="3C443580" w14:textId="77777777" w:rsidR="00901CDC" w:rsidRDefault="00DD550A">
      <w:pPr>
        <w:spacing w:before="288" w:after="288"/>
        <w:jc w:val="both"/>
        <w:rPr>
          <w:rFonts w:ascii="Arial" w:eastAsia="Times New Roman" w:hAnsi="Arial" w:cs="Arial"/>
          <w:sz w:val="24"/>
          <w:szCs w:val="24"/>
          <w:lang w:eastAsia="pt-BR"/>
        </w:rPr>
      </w:pPr>
      <w:r>
        <w:rPr>
          <w:rFonts w:ascii="Arial" w:eastAsia="Times New Roman" w:hAnsi="Arial" w:cs="Arial"/>
          <w:b/>
          <w:sz w:val="24"/>
          <w:szCs w:val="24"/>
          <w:lang w:eastAsia="pt-BR"/>
        </w:rPr>
        <w:t>2.3) PRAZO DE SUBSTITUIÇÃO DO OBJETO COM DEFEITO:</w:t>
      </w:r>
      <w:r>
        <w:rPr>
          <w:rFonts w:ascii="Arial" w:eastAsia="Times New Roman" w:hAnsi="Arial" w:cs="Arial"/>
          <w:sz w:val="24"/>
          <w:szCs w:val="24"/>
          <w:lang w:eastAsia="pt-BR"/>
        </w:rPr>
        <w:t xml:space="preserve"> _____ DIAS ÚTEIS, contados do recebimento da solicitação (MÁXIMO 7 dias úteis);</w:t>
      </w:r>
    </w:p>
    <w:p w14:paraId="1FC54824" w14:textId="77777777" w:rsidR="00901CDC" w:rsidRDefault="00DD550A">
      <w:pPr>
        <w:spacing w:before="288" w:after="288"/>
        <w:jc w:val="both"/>
        <w:rPr>
          <w:rFonts w:ascii="Arial" w:eastAsia="Times New Roman" w:hAnsi="Arial" w:cs="Arial"/>
          <w:sz w:val="24"/>
          <w:szCs w:val="24"/>
          <w:lang w:eastAsia="pt-BR"/>
        </w:rPr>
      </w:pPr>
      <w:r>
        <w:rPr>
          <w:rFonts w:ascii="Arial" w:eastAsia="Times New Roman" w:hAnsi="Arial" w:cs="Arial"/>
          <w:b/>
          <w:sz w:val="24"/>
          <w:szCs w:val="24"/>
          <w:lang w:eastAsia="pt-BR"/>
        </w:rPr>
        <w:t>2.4) PRAZO DE GARANTIA (DO FABRICANTE OU FORNECEDOR):</w:t>
      </w:r>
      <w:r>
        <w:rPr>
          <w:rFonts w:ascii="Arial" w:eastAsia="Times New Roman" w:hAnsi="Arial" w:cs="Arial"/>
          <w:sz w:val="24"/>
          <w:szCs w:val="24"/>
          <w:lang w:eastAsia="pt-BR"/>
        </w:rPr>
        <w:t xml:space="preserve"> _____ ANOS, contados a partir da data da emissão da respectiva nota fiscal (ou documento equivalente) (MÍNIMO de </w:t>
      </w:r>
      <w:r>
        <w:rPr>
          <w:rFonts w:ascii="Arial" w:eastAsia="Times New Roman" w:hAnsi="Arial" w:cs="Arial"/>
          <w:b/>
          <w:bCs/>
          <w:sz w:val="24"/>
          <w:szCs w:val="24"/>
          <w:lang w:eastAsia="pt-BR"/>
        </w:rPr>
        <w:t>05 anos</w:t>
      </w:r>
      <w:r>
        <w:rPr>
          <w:rFonts w:ascii="Arial" w:eastAsia="Times New Roman" w:hAnsi="Arial" w:cs="Arial"/>
          <w:sz w:val="24"/>
          <w:szCs w:val="24"/>
          <w:lang w:eastAsia="pt-BR"/>
        </w:rPr>
        <w:t xml:space="preserve">); </w:t>
      </w:r>
    </w:p>
    <w:p w14:paraId="6E6D6258" w14:textId="77777777" w:rsidR="00901CDC" w:rsidRDefault="00DD550A">
      <w:pPr>
        <w:spacing w:before="288" w:after="288"/>
        <w:jc w:val="both"/>
        <w:rPr>
          <w:rFonts w:ascii="Arial" w:eastAsia="Times New Roman" w:hAnsi="Arial" w:cs="Arial"/>
          <w:sz w:val="24"/>
          <w:szCs w:val="24"/>
          <w:lang w:eastAsia="pt-BR"/>
        </w:rPr>
      </w:pPr>
      <w:r>
        <w:rPr>
          <w:rFonts w:ascii="Arial" w:eastAsia="Times New Roman" w:hAnsi="Arial" w:cs="Arial"/>
          <w:b/>
          <w:bCs/>
          <w:sz w:val="24"/>
          <w:szCs w:val="24"/>
          <w:lang w:eastAsia="pt-BR"/>
        </w:rPr>
        <w:t>2.5) PRESTAÇÃO DA GARANTIA:</w:t>
      </w:r>
      <w:r>
        <w:rPr>
          <w:rFonts w:ascii="Arial" w:eastAsia="Times New Roman" w:hAnsi="Arial" w:cs="Arial"/>
          <w:sz w:val="24"/>
          <w:szCs w:val="24"/>
          <w:lang w:eastAsia="pt-BR"/>
        </w:rPr>
        <w:t xml:space="preserve"> </w:t>
      </w:r>
      <w:r>
        <w:rPr>
          <w:rFonts w:ascii="Arial" w:eastAsia="Times New Roman" w:hAnsi="Arial" w:cs="Arial"/>
          <w:b/>
          <w:sz w:val="24"/>
          <w:szCs w:val="24"/>
          <w:lang w:eastAsia="pt-BR"/>
        </w:rPr>
        <w:t>Haja vista que o prazo de garantia é superior ao prazo legal</w:t>
      </w:r>
      <w:r>
        <w:rPr>
          <w:rFonts w:ascii="Arial" w:eastAsia="Times New Roman" w:hAnsi="Arial" w:cs="Arial"/>
          <w:sz w:val="24"/>
          <w:szCs w:val="24"/>
          <w:lang w:eastAsia="pt-BR"/>
        </w:rPr>
        <w:t xml:space="preserve">, o licitante deverá, no ato da entrega da nota fiscal </w:t>
      </w:r>
      <w:r>
        <w:rPr>
          <w:rFonts w:ascii="Arial" w:eastAsia="Times New Roman" w:hAnsi="Arial" w:cs="Arial"/>
          <w:kern w:val="2"/>
          <w:sz w:val="24"/>
          <w:szCs w:val="24"/>
          <w:lang w:eastAsia="ar-SA"/>
        </w:rPr>
        <w:t>(ou documento equivalente)</w:t>
      </w:r>
      <w:r>
        <w:rPr>
          <w:rFonts w:ascii="Arial" w:eastAsia="Times New Roman" w:hAnsi="Arial" w:cs="Arial"/>
          <w:sz w:val="24"/>
          <w:szCs w:val="24"/>
          <w:lang w:eastAsia="pt-BR"/>
        </w:rPr>
        <w:t xml:space="preserve">, repassar à contratante </w:t>
      </w:r>
      <w:r>
        <w:rPr>
          <w:rFonts w:ascii="Arial" w:eastAsia="Times New Roman" w:hAnsi="Arial" w:cs="Arial"/>
          <w:b/>
          <w:bCs/>
          <w:sz w:val="24"/>
          <w:szCs w:val="24"/>
          <w:lang w:eastAsia="pt-BR"/>
        </w:rPr>
        <w:t>termo ou certificado de garantia</w:t>
      </w:r>
      <w:r>
        <w:rPr>
          <w:rFonts w:ascii="Arial" w:eastAsia="Times New Roman" w:hAnsi="Arial" w:cs="Arial"/>
          <w:sz w:val="24"/>
          <w:szCs w:val="24"/>
          <w:lang w:eastAsia="pt-BR"/>
        </w:rPr>
        <w:t>, constando a cobertura de todo o objeto, pelo período definido no item 2.4 desta proposta;</w:t>
      </w:r>
    </w:p>
    <w:p w14:paraId="7562BEEE" w14:textId="77777777" w:rsidR="00901CDC" w:rsidRDefault="00DD550A">
      <w:pPr>
        <w:spacing w:before="288" w:after="288"/>
        <w:jc w:val="both"/>
        <w:rPr>
          <w:rFonts w:ascii="Arial" w:eastAsia="Times New Roman" w:hAnsi="Arial" w:cs="Arial"/>
          <w:sz w:val="24"/>
          <w:szCs w:val="24"/>
          <w:lang w:eastAsia="pt-BR"/>
        </w:rPr>
      </w:pPr>
      <w:r>
        <w:rPr>
          <w:rFonts w:ascii="Arial" w:eastAsia="Times New Roman" w:hAnsi="Arial" w:cs="Arial"/>
          <w:b/>
          <w:bCs/>
          <w:sz w:val="24"/>
          <w:szCs w:val="24"/>
          <w:lang w:eastAsia="pt-BR"/>
        </w:rPr>
        <w:t xml:space="preserve">2.5.1) </w:t>
      </w:r>
      <w:r>
        <w:rPr>
          <w:rFonts w:ascii="Arial" w:eastAsia="Times New Roman" w:hAnsi="Arial" w:cs="Arial"/>
          <w:sz w:val="24"/>
          <w:szCs w:val="24"/>
          <w:lang w:eastAsia="pt-BR"/>
        </w:rPr>
        <w:t xml:space="preserve">A garantia inclui todos os seus acessórios e será oferecida pelo ___________ (FABRICANTE OU FORNECEDOR); </w:t>
      </w:r>
    </w:p>
    <w:p w14:paraId="68439F21" w14:textId="77777777" w:rsidR="00901CDC" w:rsidRDefault="00901CDC">
      <w:pPr>
        <w:spacing w:before="288" w:after="288"/>
        <w:jc w:val="both"/>
        <w:rPr>
          <w:rFonts w:ascii="Arial" w:eastAsia="Times New Roman" w:hAnsi="Arial" w:cs="Arial"/>
          <w:sz w:val="24"/>
          <w:szCs w:val="24"/>
          <w:lang w:eastAsia="pt-BR"/>
        </w:rPr>
      </w:pPr>
    </w:p>
    <w:p w14:paraId="053C99C5" w14:textId="77777777" w:rsidR="00901CDC" w:rsidRDefault="00DD550A">
      <w:pPr>
        <w:spacing w:before="288" w:after="288"/>
        <w:jc w:val="both"/>
        <w:rPr>
          <w:rFonts w:ascii="Arial" w:eastAsia="Times New Roman" w:hAnsi="Arial" w:cs="Arial"/>
          <w:kern w:val="2"/>
          <w:sz w:val="24"/>
          <w:szCs w:val="24"/>
          <w:lang w:eastAsia="ar-SA"/>
        </w:rPr>
      </w:pPr>
      <w:r>
        <w:rPr>
          <w:rFonts w:ascii="Arial" w:eastAsia="Times New Roman" w:hAnsi="Arial" w:cs="Arial"/>
          <w:b/>
          <w:bCs/>
          <w:sz w:val="24"/>
          <w:szCs w:val="24"/>
          <w:lang w:eastAsia="pt-BR"/>
        </w:rPr>
        <w:t xml:space="preserve">2.5.2) </w:t>
      </w:r>
      <w:r>
        <w:rPr>
          <w:rFonts w:ascii="Arial" w:eastAsia="Times New Roman" w:hAnsi="Arial" w:cs="Arial"/>
          <w:kern w:val="2"/>
          <w:sz w:val="24"/>
          <w:szCs w:val="24"/>
          <w:lang w:eastAsia="ar-SA"/>
        </w:rPr>
        <w:t>Os custos com transporte para fins de execução de serviços relativos à garantia, inclusive quando realizados fora da RMBH, serão arcados exclusivamente pela contratada;</w:t>
      </w:r>
    </w:p>
    <w:p w14:paraId="00E3D9CF" w14:textId="77777777" w:rsidR="00901CDC" w:rsidRDefault="00DD550A">
      <w:pPr>
        <w:spacing w:before="288" w:after="288"/>
        <w:jc w:val="both"/>
        <w:rPr>
          <w:rFonts w:ascii="Arial" w:eastAsia="Times New Roman" w:hAnsi="Arial" w:cs="Arial"/>
          <w:b/>
          <w:kern w:val="2"/>
          <w:sz w:val="24"/>
          <w:szCs w:val="24"/>
          <w:lang w:eastAsia="ar-SA"/>
        </w:rPr>
      </w:pPr>
      <w:r>
        <w:rPr>
          <w:rFonts w:ascii="Arial" w:eastAsia="Times New Roman" w:hAnsi="Arial" w:cs="Arial"/>
          <w:b/>
          <w:kern w:val="2"/>
          <w:sz w:val="24"/>
          <w:szCs w:val="24"/>
          <w:lang w:eastAsia="ar-SA"/>
        </w:rPr>
        <w:t>OBS: preencher o próximo subitem apenas no caso de prestação da garantia pelo fabricante:</w:t>
      </w:r>
    </w:p>
    <w:p w14:paraId="4027995D" w14:textId="77777777" w:rsidR="00901CDC" w:rsidRDefault="00DD550A">
      <w:pPr>
        <w:spacing w:before="288" w:after="288"/>
        <w:jc w:val="both"/>
        <w:rPr>
          <w:rFonts w:ascii="Arial" w:eastAsia="Times New Roman" w:hAnsi="Arial" w:cs="Arial"/>
          <w:sz w:val="24"/>
          <w:szCs w:val="24"/>
          <w:lang w:eastAsia="pt-BR"/>
        </w:rPr>
      </w:pPr>
      <w:r>
        <w:rPr>
          <w:rFonts w:ascii="Arial" w:eastAsia="Times New Roman" w:hAnsi="Arial" w:cs="Arial"/>
          <w:b/>
          <w:bCs/>
          <w:sz w:val="24"/>
          <w:szCs w:val="24"/>
          <w:lang w:eastAsia="pt-BR"/>
        </w:rPr>
        <w:t>2.5.3)</w:t>
      </w:r>
      <w:r>
        <w:rPr>
          <w:rFonts w:ascii="Arial" w:eastAsia="Times New Roman" w:hAnsi="Arial" w:cs="Arial"/>
          <w:sz w:val="24"/>
          <w:szCs w:val="24"/>
          <w:lang w:eastAsia="pt-BR"/>
        </w:rPr>
        <w:t xml:space="preserve"> A garantia será prestada por empresa credenciada pelo fabricante, preferencialmente situada na Região Metropolitana de Belo Horizonte (RMBH – LC Nº 63/02), sendo indicada(s):</w:t>
      </w:r>
    </w:p>
    <w:tbl>
      <w:tblPr>
        <w:tblW w:w="9061" w:type="dxa"/>
        <w:jc w:val="center"/>
        <w:tblCellMar>
          <w:left w:w="70" w:type="dxa"/>
          <w:right w:w="70" w:type="dxa"/>
        </w:tblCellMar>
        <w:tblLook w:val="0000" w:firstRow="0" w:lastRow="0" w:firstColumn="0" w:lastColumn="0" w:noHBand="0" w:noVBand="0"/>
      </w:tblPr>
      <w:tblGrid>
        <w:gridCol w:w="4288"/>
        <w:gridCol w:w="4773"/>
      </w:tblGrid>
      <w:tr w:rsidR="00901CDC" w14:paraId="3077151D" w14:textId="77777777">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4A336358"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Empresa (razão social):</w:t>
            </w:r>
          </w:p>
        </w:tc>
      </w:tr>
      <w:tr w:rsidR="00901CDC" w14:paraId="20D81AC6" w14:textId="77777777">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6371D3D2"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CNPJ:</w:t>
            </w:r>
          </w:p>
        </w:tc>
      </w:tr>
      <w:tr w:rsidR="00901CDC" w14:paraId="00733DB2" w14:textId="77777777">
        <w:trPr>
          <w:cantSplit/>
          <w:jc w:val="center"/>
        </w:trPr>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1D87DE98"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Endereço:</w:t>
            </w:r>
          </w:p>
        </w:tc>
      </w:tr>
      <w:tr w:rsidR="00901CDC" w14:paraId="110B3904" w14:textId="77777777">
        <w:trPr>
          <w:cantSplit/>
          <w:jc w:val="center"/>
        </w:trPr>
        <w:tc>
          <w:tcPr>
            <w:tcW w:w="4288" w:type="dxa"/>
            <w:tcBorders>
              <w:top w:val="single" w:sz="4" w:space="0" w:color="000000"/>
              <w:left w:val="single" w:sz="4" w:space="0" w:color="000000"/>
              <w:bottom w:val="single" w:sz="4" w:space="0" w:color="000000"/>
              <w:right w:val="single" w:sz="4" w:space="0" w:color="000000"/>
            </w:tcBorders>
            <w:shd w:val="clear" w:color="auto" w:fill="auto"/>
          </w:tcPr>
          <w:p w14:paraId="60128C49"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Telefone:</w:t>
            </w:r>
          </w:p>
        </w:tc>
        <w:tc>
          <w:tcPr>
            <w:tcW w:w="4772" w:type="dxa"/>
            <w:tcBorders>
              <w:top w:val="single" w:sz="4" w:space="0" w:color="000000"/>
              <w:left w:val="single" w:sz="4" w:space="0" w:color="000000"/>
              <w:bottom w:val="single" w:sz="4" w:space="0" w:color="000000"/>
              <w:right w:val="single" w:sz="4" w:space="0" w:color="000000"/>
            </w:tcBorders>
            <w:shd w:val="clear" w:color="auto" w:fill="auto"/>
          </w:tcPr>
          <w:p w14:paraId="429CB652" w14:textId="77777777" w:rsidR="00901CDC" w:rsidRDefault="00DD550A">
            <w:pPr>
              <w:widowControl w:val="0"/>
              <w:spacing w:before="120" w:after="120" w:line="240" w:lineRule="auto"/>
              <w:jc w:val="both"/>
              <w:rPr>
                <w:rFonts w:ascii="Arial" w:eastAsia="MS Mincho" w:hAnsi="Arial" w:cs="Arial"/>
                <w:sz w:val="24"/>
                <w:szCs w:val="24"/>
                <w:lang w:eastAsia="pt-BR"/>
              </w:rPr>
            </w:pPr>
            <w:r>
              <w:rPr>
                <w:rFonts w:ascii="Arial" w:eastAsia="MS Mincho" w:hAnsi="Arial" w:cs="Arial"/>
                <w:sz w:val="24"/>
                <w:szCs w:val="24"/>
                <w:lang w:eastAsia="pt-BR"/>
              </w:rPr>
              <w:t>E-mail:</w:t>
            </w:r>
          </w:p>
        </w:tc>
      </w:tr>
    </w:tbl>
    <w:p w14:paraId="0E206009" w14:textId="77777777" w:rsidR="00DB1E23" w:rsidRPr="00F51790" w:rsidRDefault="00DD550A" w:rsidP="00DB1E23">
      <w:pPr>
        <w:spacing w:before="288" w:after="288"/>
        <w:jc w:val="both"/>
        <w:rPr>
          <w:rFonts w:ascii="Arial" w:eastAsia="SimSun" w:hAnsi="Arial"/>
          <w:bCs/>
          <w:kern w:val="2"/>
          <w:sz w:val="24"/>
          <w:szCs w:val="24"/>
          <w:lang w:eastAsia="hi-IN" w:bidi="hi-IN"/>
        </w:rPr>
      </w:pPr>
      <w:r w:rsidRPr="00F51790">
        <w:rPr>
          <w:rFonts w:ascii="Arial" w:eastAsia="SimSun" w:hAnsi="Arial" w:cs="Arial"/>
          <w:b/>
          <w:sz w:val="24"/>
          <w:szCs w:val="24"/>
          <w:lang w:eastAsia="pt-BR" w:bidi="hi-IN"/>
        </w:rPr>
        <w:t>2.6</w:t>
      </w:r>
      <w:r w:rsidRPr="00F51790">
        <w:rPr>
          <w:rFonts w:ascii="Arial" w:eastAsia="SimSun" w:hAnsi="Arial" w:cs="Arial"/>
          <w:b/>
          <w:bCs/>
          <w:sz w:val="24"/>
          <w:szCs w:val="24"/>
          <w:lang w:eastAsia="pt-BR" w:bidi="hi-IN"/>
        </w:rPr>
        <w:t xml:space="preserve">) </w:t>
      </w:r>
      <w:r w:rsidR="00DB1E23" w:rsidRPr="00F51790">
        <w:rPr>
          <w:rFonts w:ascii="Arial" w:eastAsia="SimSun" w:hAnsi="Arial"/>
          <w:b/>
          <w:bCs/>
          <w:sz w:val="24"/>
          <w:szCs w:val="24"/>
          <w:lang w:eastAsia="pt-BR" w:bidi="hi-IN"/>
        </w:rPr>
        <w:t xml:space="preserve">DECLARAÇÕES: </w:t>
      </w:r>
      <w:r w:rsidR="00DB1E23" w:rsidRPr="00F51790">
        <w:rPr>
          <w:rFonts w:ascii="Arial" w:eastAsia="SimSun" w:hAnsi="Arial"/>
          <w:bCs/>
          <w:kern w:val="2"/>
          <w:sz w:val="24"/>
          <w:szCs w:val="24"/>
          <w:lang w:eastAsia="hi-IN" w:bidi="hi-IN"/>
        </w:rPr>
        <w:t>deverão ser apresentadas, juntamente com esta Proposta, declarações conforme modelo constante do Anexo VI do Edital;</w:t>
      </w:r>
    </w:p>
    <w:p w14:paraId="199C5FDC" w14:textId="77777777" w:rsidR="00901CDC" w:rsidRPr="00F51790" w:rsidRDefault="00DD550A">
      <w:pPr>
        <w:spacing w:before="288" w:after="288"/>
        <w:jc w:val="both"/>
        <w:rPr>
          <w:rFonts w:ascii="Arial" w:eastAsia="Times New Roman" w:hAnsi="Arial" w:cs="Arial"/>
          <w:b/>
          <w:bCs/>
          <w:sz w:val="24"/>
          <w:szCs w:val="24"/>
          <w:lang w:eastAsia="pt-BR"/>
        </w:rPr>
      </w:pPr>
      <w:r w:rsidRPr="00F51790">
        <w:rPr>
          <w:rFonts w:ascii="Arial" w:eastAsia="Times New Roman" w:hAnsi="Arial" w:cs="Arial"/>
          <w:b/>
          <w:bCs/>
          <w:sz w:val="24"/>
          <w:szCs w:val="24"/>
          <w:lang w:eastAsia="pt-BR"/>
        </w:rPr>
        <w:t xml:space="preserve">2.7) VISITA AO LOCAL DE PRESTAÇÃO DOS SERVIÇOS: </w:t>
      </w:r>
    </w:p>
    <w:p w14:paraId="1F164494" w14:textId="77D39617" w:rsidR="00901CDC" w:rsidRDefault="00DD550A">
      <w:pPr>
        <w:spacing w:before="288" w:after="288"/>
        <w:jc w:val="both"/>
        <w:rPr>
          <w:rFonts w:ascii="Arial" w:eastAsia="Times New Roman" w:hAnsi="Arial" w:cs="Arial"/>
          <w:sz w:val="24"/>
          <w:szCs w:val="24"/>
          <w:lang w:eastAsia="pt-BR"/>
        </w:rPr>
      </w:pPr>
      <w:r w:rsidRPr="00F51790">
        <w:rPr>
          <w:rFonts w:ascii="Arial" w:eastAsia="Times New Roman" w:hAnsi="Arial" w:cs="Arial"/>
          <w:sz w:val="24"/>
          <w:szCs w:val="24"/>
          <w:lang w:eastAsia="pt-BR"/>
        </w:rPr>
        <w:t xml:space="preserve">2.7.1) A visita técnica </w:t>
      </w:r>
      <w:r w:rsidR="00495CB8" w:rsidRPr="00F51790">
        <w:rPr>
          <w:rFonts w:ascii="Arial" w:eastAsia="Times New Roman" w:hAnsi="Arial" w:cs="Arial"/>
          <w:sz w:val="24"/>
          <w:szCs w:val="24"/>
          <w:lang w:eastAsia="pt-BR"/>
        </w:rPr>
        <w:t xml:space="preserve">(facultativa) </w:t>
      </w:r>
      <w:r w:rsidRPr="00F51790">
        <w:rPr>
          <w:rFonts w:ascii="Arial" w:eastAsia="Times New Roman" w:hAnsi="Arial" w:cs="Arial"/>
          <w:sz w:val="24"/>
          <w:szCs w:val="24"/>
          <w:lang w:eastAsia="pt-BR"/>
        </w:rPr>
        <w:t>poderá</w:t>
      </w:r>
      <w:r>
        <w:rPr>
          <w:rFonts w:ascii="Arial" w:eastAsia="Times New Roman" w:hAnsi="Arial" w:cs="Arial"/>
          <w:sz w:val="24"/>
          <w:szCs w:val="24"/>
          <w:lang w:eastAsia="pt-BR"/>
        </w:rPr>
        <w:t xml:space="preserve"> ser realizada até 2 (dois) dias úteis antes da data marcada para a sessão de disputa, após agendamento pelos telefones (031) 3386-6565 / (031) 3386-6570, com o(a) Sr.(a) Fernanda Cabrini Vaz Mota ou Leonardo Batista Viana Correia- Divisão de Materiais - DIMAT.</w:t>
      </w:r>
    </w:p>
    <w:p w14:paraId="3C04B899" w14:textId="77777777" w:rsidR="00901CDC" w:rsidRDefault="00DD550A">
      <w:pPr>
        <w:spacing w:before="288" w:after="288"/>
        <w:jc w:val="both"/>
        <w:rPr>
          <w:rFonts w:ascii="Arial" w:eastAsia="SimSun" w:hAnsi="Arial" w:cs="Arial"/>
          <w:b/>
          <w:kern w:val="2"/>
          <w:sz w:val="24"/>
          <w:szCs w:val="24"/>
          <w:lang w:eastAsia="hi-IN" w:bidi="hi-IN"/>
        </w:rPr>
      </w:pPr>
      <w:r>
        <w:rPr>
          <w:rFonts w:ascii="Arial" w:eastAsia="SimSun" w:hAnsi="Arial" w:cs="Arial"/>
          <w:b/>
          <w:sz w:val="24"/>
          <w:szCs w:val="24"/>
          <w:lang w:eastAsia="pt-BR" w:bidi="hi-IN"/>
        </w:rPr>
        <w:t xml:space="preserve">2.8) DEVERÃO </w:t>
      </w:r>
      <w:r>
        <w:rPr>
          <w:rFonts w:ascii="Arial" w:eastAsia="SimSun" w:hAnsi="Arial" w:cs="Arial"/>
          <w:b/>
          <w:kern w:val="2"/>
          <w:sz w:val="24"/>
          <w:szCs w:val="24"/>
          <w:lang w:eastAsia="hi-IN" w:bidi="hi-IN"/>
        </w:rPr>
        <w:t xml:space="preserve">SER APRESENTADOS, </w:t>
      </w:r>
      <w:r>
        <w:rPr>
          <w:rFonts w:ascii="Arial" w:eastAsia="SimSun" w:hAnsi="Arial" w:cs="Arial"/>
          <w:b/>
          <w:sz w:val="24"/>
          <w:szCs w:val="24"/>
          <w:lang w:eastAsia="pt-BR" w:bidi="hi-IN"/>
        </w:rPr>
        <w:t xml:space="preserve">PARA TODOS OS ITENS DO LOTE ÚNÍCO, </w:t>
      </w:r>
      <w:r>
        <w:rPr>
          <w:rFonts w:ascii="Arial" w:eastAsia="SimSun" w:hAnsi="Arial" w:cs="Arial"/>
          <w:b/>
          <w:kern w:val="2"/>
          <w:sz w:val="24"/>
          <w:szCs w:val="24"/>
          <w:highlight w:val="white"/>
          <w:lang w:eastAsia="hi-IN" w:bidi="hi-IN"/>
        </w:rPr>
        <w:t>JUNTAMENTE COM A PROPOSTA INICIAL, OS DOCUMENTOS EXIGIDOS NO SUBITEM 8.1 DO ANEXO V DO EDITAL (TERMO DE REFERÊNCIA)</w:t>
      </w:r>
    </w:p>
    <w:p w14:paraId="1C2A8F9D" w14:textId="77777777" w:rsidR="00901CDC" w:rsidRDefault="00DD550A">
      <w:pPr>
        <w:spacing w:before="288" w:after="288"/>
        <w:jc w:val="both"/>
        <w:rPr>
          <w:rFonts w:ascii="Arial" w:eastAsia="Times New Roman" w:hAnsi="Arial" w:cs="Arial"/>
          <w:b/>
          <w:bCs/>
          <w:sz w:val="24"/>
          <w:szCs w:val="24"/>
          <w:lang w:eastAsia="pt-BR"/>
        </w:rPr>
      </w:pPr>
      <w:r>
        <w:rPr>
          <w:rFonts w:ascii="Arial" w:eastAsia="Times New Roman" w:hAnsi="Arial" w:cs="Arial"/>
          <w:b/>
          <w:bCs/>
          <w:sz w:val="24"/>
          <w:szCs w:val="24"/>
          <w:highlight w:val="white"/>
          <w:lang w:eastAsia="pt-BR"/>
        </w:rPr>
        <w:t>3) O PREÇO E AS ESPE</w:t>
      </w:r>
      <w:r>
        <w:rPr>
          <w:rFonts w:ascii="Arial" w:eastAsia="Times New Roman" w:hAnsi="Arial" w:cs="Arial"/>
          <w:b/>
          <w:bCs/>
          <w:sz w:val="24"/>
          <w:szCs w:val="24"/>
          <w:lang w:eastAsia="pt-BR"/>
        </w:rPr>
        <w:t>CIFICAÇÕES MÍNIMAS:</w:t>
      </w:r>
    </w:p>
    <w:tbl>
      <w:tblPr>
        <w:tblW w:w="5000" w:type="pct"/>
        <w:jc w:val="center"/>
        <w:tblCellMar>
          <w:left w:w="70" w:type="dxa"/>
          <w:right w:w="70" w:type="dxa"/>
        </w:tblCellMar>
        <w:tblLook w:val="0000" w:firstRow="0" w:lastRow="0" w:firstColumn="0" w:lastColumn="0" w:noHBand="0" w:noVBand="0"/>
      </w:tblPr>
      <w:tblGrid>
        <w:gridCol w:w="535"/>
        <w:gridCol w:w="567"/>
        <w:gridCol w:w="544"/>
        <w:gridCol w:w="2850"/>
        <w:gridCol w:w="801"/>
        <w:gridCol w:w="866"/>
        <w:gridCol w:w="599"/>
        <w:gridCol w:w="866"/>
        <w:gridCol w:w="599"/>
        <w:gridCol w:w="824"/>
      </w:tblGrid>
      <w:tr w:rsidR="00901CDC" w14:paraId="14892DBE" w14:textId="77777777" w:rsidTr="00F92333">
        <w:trPr>
          <w:trHeight w:val="324"/>
          <w:jc w:val="center"/>
        </w:trPr>
        <w:tc>
          <w:tcPr>
            <w:tcW w:w="9051" w:type="dxa"/>
            <w:gridSpan w:val="10"/>
            <w:tcBorders>
              <w:top w:val="single" w:sz="8" w:space="0" w:color="000000"/>
              <w:left w:val="single" w:sz="8" w:space="0" w:color="000000"/>
              <w:bottom w:val="single" w:sz="8" w:space="0" w:color="000000"/>
              <w:right w:val="single" w:sz="8" w:space="0" w:color="000000"/>
            </w:tcBorders>
            <w:shd w:val="clear" w:color="auto" w:fill="auto"/>
            <w:vAlign w:val="center"/>
          </w:tcPr>
          <w:p w14:paraId="27D43F32" w14:textId="77777777" w:rsidR="00901CDC" w:rsidRPr="00DD32CB" w:rsidRDefault="00DD550A">
            <w:pPr>
              <w:widowControl w:val="0"/>
              <w:spacing w:after="0" w:line="240" w:lineRule="auto"/>
              <w:jc w:val="center"/>
              <w:rPr>
                <w:rFonts w:ascii="Arial" w:eastAsia="MS Mincho" w:hAnsi="Arial" w:cs="Arial"/>
                <w:b/>
                <w:bCs/>
                <w:sz w:val="24"/>
                <w:szCs w:val="24"/>
                <w:lang w:val="en-US" w:eastAsia="pt-BR"/>
              </w:rPr>
            </w:pPr>
            <w:r w:rsidRPr="00DD32CB">
              <w:rPr>
                <w:rFonts w:ascii="Arial" w:eastAsia="MS Mincho" w:hAnsi="Arial" w:cs="Arial"/>
                <w:b/>
                <w:bCs/>
                <w:sz w:val="24"/>
                <w:szCs w:val="24"/>
                <w:lang w:val="en-US" w:eastAsia="pt-BR"/>
              </w:rPr>
              <w:t>LOTE ÚNICO – CADEIRAS OPERACIONAIS</w:t>
            </w:r>
          </w:p>
        </w:tc>
      </w:tr>
      <w:tr w:rsidR="00901CDC" w14:paraId="12336704" w14:textId="77777777" w:rsidTr="00F92333">
        <w:trPr>
          <w:trHeight w:val="324"/>
          <w:jc w:val="center"/>
        </w:trPr>
        <w:tc>
          <w:tcPr>
            <w:tcW w:w="9051" w:type="dxa"/>
            <w:gridSpan w:val="10"/>
            <w:tcBorders>
              <w:top w:val="single" w:sz="8" w:space="0" w:color="000000"/>
              <w:left w:val="single" w:sz="8" w:space="0" w:color="000000"/>
              <w:bottom w:val="single" w:sz="8" w:space="0" w:color="000000"/>
              <w:right w:val="single" w:sz="8" w:space="0" w:color="000000"/>
            </w:tcBorders>
            <w:shd w:val="clear" w:color="auto" w:fill="auto"/>
            <w:vAlign w:val="center"/>
          </w:tcPr>
          <w:p w14:paraId="6DAC9DEC" w14:textId="77777777" w:rsidR="00901CDC" w:rsidRPr="00DD32CB" w:rsidRDefault="00000000">
            <w:pPr>
              <w:widowControl w:val="0"/>
              <w:spacing w:after="0" w:line="240" w:lineRule="auto"/>
              <w:jc w:val="center"/>
              <w:rPr>
                <w:rFonts w:ascii="Arial" w:eastAsia="MS Mincho" w:hAnsi="Arial" w:cs="Arial"/>
                <w:b/>
                <w:bCs/>
                <w:sz w:val="24"/>
                <w:szCs w:val="24"/>
                <w:lang w:eastAsia="pt-BR"/>
              </w:rPr>
            </w:pPr>
            <w:sdt>
              <w:sdtPr>
                <w:rPr>
                  <w:b/>
                  <w:bCs/>
                  <w:sz w:val="24"/>
                  <w:szCs w:val="24"/>
                </w:rPr>
                <w:id w:val="-932433620"/>
                <w:dropDownList>
                  <w:listItem w:displayText="Escolher um item." w:value="Escolher um item."/>
                  <w:listItem w:displayText="ABERTO A TODOS OS LICITANTES (ampla competição)" w:value="ABERTO A TODOS OS LICITANTES (ampla competição)"/>
                  <w:listItem w:displayText="EXCLUSIVIDADE PARA ME/EPP OU EQUIPARADA (art. 48, I, LCF n° 123/06)" w:value="EXCLUSIVIDADE PARA ME/EPP OU EQUIPARADA (art. 48, I, LCF n° 123/06)"/>
                  <w:listItem w:displayText="COTA EXCLUSIVA PARA ME/EPP OU EQUIPARADA (art. 48, III, LCF n° 123/06)" w:value="COTA EXCLUSIVA PARA ME/EPP OU EQUIPARADA (art. 48, III, LCF n° 123/06)"/>
                </w:dropDownList>
              </w:sdtPr>
              <w:sdtContent>
                <w:r w:rsidR="00DD550A" w:rsidRPr="00DD32CB">
                  <w:rPr>
                    <w:b/>
                    <w:bCs/>
                    <w:sz w:val="24"/>
                    <w:szCs w:val="24"/>
                  </w:rPr>
                  <w:t>ABERTO A TODOS OS LICITANTES (ampla competição)</w:t>
                </w:r>
              </w:sdtContent>
            </w:sdt>
          </w:p>
        </w:tc>
      </w:tr>
      <w:tr w:rsidR="00901CDC" w:rsidRPr="00DD32CB" w14:paraId="1988FE9E" w14:textId="77777777" w:rsidTr="00F92333">
        <w:trPr>
          <w:cantSplit/>
          <w:trHeight w:val="480"/>
          <w:jc w:val="center"/>
        </w:trPr>
        <w:tc>
          <w:tcPr>
            <w:tcW w:w="545" w:type="dxa"/>
            <w:vMerge w:val="restart"/>
            <w:tcBorders>
              <w:left w:val="single" w:sz="8" w:space="0" w:color="000000"/>
              <w:bottom w:val="single" w:sz="8" w:space="0" w:color="000000"/>
              <w:right w:val="single" w:sz="8" w:space="0" w:color="000000"/>
            </w:tcBorders>
            <w:shd w:val="clear" w:color="auto" w:fill="auto"/>
            <w:vAlign w:val="center"/>
          </w:tcPr>
          <w:p w14:paraId="5903B6BB" w14:textId="77777777" w:rsidR="00901CDC" w:rsidRPr="00DD32CB" w:rsidRDefault="00DD550A">
            <w:pPr>
              <w:widowControl w:val="0"/>
              <w:spacing w:after="0" w:line="240" w:lineRule="auto"/>
              <w:jc w:val="center"/>
              <w:rPr>
                <w:rFonts w:ascii="Arial" w:eastAsia="MS Mincho" w:hAnsi="Arial" w:cs="Arial"/>
                <w:b/>
                <w:bCs/>
                <w:sz w:val="18"/>
                <w:szCs w:val="18"/>
                <w:lang w:val="en-US" w:eastAsia="pt-BR"/>
              </w:rPr>
            </w:pPr>
            <w:r w:rsidRPr="00DD32CB">
              <w:rPr>
                <w:rFonts w:ascii="Arial" w:eastAsia="MS Mincho" w:hAnsi="Arial" w:cs="Arial"/>
                <w:b/>
                <w:bCs/>
                <w:sz w:val="18"/>
                <w:szCs w:val="18"/>
                <w:lang w:val="en-US" w:eastAsia="pt-BR"/>
              </w:rPr>
              <w:t>Item</w:t>
            </w:r>
          </w:p>
        </w:tc>
        <w:tc>
          <w:tcPr>
            <w:tcW w:w="577" w:type="dxa"/>
            <w:vMerge w:val="restart"/>
            <w:tcBorders>
              <w:left w:val="single" w:sz="8" w:space="0" w:color="000000"/>
              <w:bottom w:val="single" w:sz="8" w:space="0" w:color="000000"/>
              <w:right w:val="single" w:sz="8" w:space="0" w:color="000000"/>
            </w:tcBorders>
            <w:shd w:val="clear" w:color="auto" w:fill="auto"/>
            <w:vAlign w:val="center"/>
          </w:tcPr>
          <w:p w14:paraId="7E85F933" w14:textId="77777777" w:rsidR="00901CDC" w:rsidRPr="00DD32CB" w:rsidRDefault="00DD550A">
            <w:pPr>
              <w:widowControl w:val="0"/>
              <w:spacing w:after="0" w:line="240" w:lineRule="auto"/>
              <w:jc w:val="center"/>
              <w:rPr>
                <w:rFonts w:ascii="Arial" w:eastAsia="MS Mincho" w:hAnsi="Arial" w:cs="Arial"/>
                <w:b/>
                <w:bCs/>
                <w:sz w:val="18"/>
                <w:szCs w:val="18"/>
                <w:lang w:val="en-US" w:eastAsia="pt-BR"/>
              </w:rPr>
            </w:pPr>
            <w:r w:rsidRPr="00DD32CB">
              <w:rPr>
                <w:rFonts w:ascii="Arial" w:eastAsia="MS Mincho" w:hAnsi="Arial" w:cs="Arial"/>
                <w:b/>
                <w:bCs/>
                <w:sz w:val="18"/>
                <w:szCs w:val="18"/>
                <w:lang w:val="en-US" w:eastAsia="pt-BR"/>
              </w:rPr>
              <w:t>QTD</w:t>
            </w:r>
          </w:p>
        </w:tc>
        <w:tc>
          <w:tcPr>
            <w:tcW w:w="554" w:type="dxa"/>
            <w:vMerge w:val="restart"/>
            <w:tcBorders>
              <w:left w:val="single" w:sz="8" w:space="0" w:color="000000"/>
              <w:bottom w:val="single" w:sz="8" w:space="0" w:color="000000"/>
              <w:right w:val="single" w:sz="8" w:space="0" w:color="000000"/>
            </w:tcBorders>
            <w:shd w:val="clear" w:color="auto" w:fill="auto"/>
            <w:vAlign w:val="center"/>
          </w:tcPr>
          <w:p w14:paraId="74B60E7D" w14:textId="77777777" w:rsidR="00901CDC" w:rsidRPr="00DD32CB" w:rsidRDefault="00DD550A">
            <w:pPr>
              <w:widowControl w:val="0"/>
              <w:spacing w:after="0" w:line="240" w:lineRule="auto"/>
              <w:ind w:left="-14"/>
              <w:jc w:val="center"/>
              <w:rPr>
                <w:rFonts w:ascii="Arial" w:eastAsia="MS Mincho" w:hAnsi="Arial" w:cs="Arial"/>
                <w:b/>
                <w:bCs/>
                <w:sz w:val="18"/>
                <w:szCs w:val="18"/>
                <w:lang w:val="en-US" w:eastAsia="pt-BR"/>
              </w:rPr>
            </w:pPr>
            <w:r w:rsidRPr="00DD32CB">
              <w:rPr>
                <w:rFonts w:ascii="Arial" w:eastAsia="MS Mincho" w:hAnsi="Arial" w:cs="Arial"/>
                <w:b/>
                <w:bCs/>
                <w:sz w:val="18"/>
                <w:szCs w:val="18"/>
                <w:lang w:val="en-US" w:eastAsia="pt-BR"/>
              </w:rPr>
              <w:t>UND</w:t>
            </w:r>
          </w:p>
        </w:tc>
        <w:tc>
          <w:tcPr>
            <w:tcW w:w="2992" w:type="dxa"/>
            <w:vMerge w:val="restart"/>
            <w:tcBorders>
              <w:left w:val="single" w:sz="8" w:space="0" w:color="000000"/>
              <w:bottom w:val="single" w:sz="8" w:space="0" w:color="000000"/>
              <w:right w:val="single" w:sz="8" w:space="0" w:color="000000"/>
            </w:tcBorders>
            <w:shd w:val="clear" w:color="auto" w:fill="auto"/>
            <w:vAlign w:val="center"/>
          </w:tcPr>
          <w:p w14:paraId="0756C015" w14:textId="77777777" w:rsidR="00901CDC" w:rsidRPr="00DD32CB" w:rsidRDefault="00DD550A">
            <w:pPr>
              <w:widowControl w:val="0"/>
              <w:spacing w:after="0" w:line="240" w:lineRule="auto"/>
              <w:jc w:val="center"/>
              <w:rPr>
                <w:rFonts w:ascii="Arial" w:eastAsia="MS Mincho" w:hAnsi="Arial" w:cs="Arial"/>
                <w:b/>
                <w:bCs/>
                <w:sz w:val="18"/>
                <w:szCs w:val="18"/>
                <w:lang w:eastAsia="pt-BR"/>
              </w:rPr>
            </w:pPr>
            <w:r w:rsidRPr="00DD32CB">
              <w:rPr>
                <w:rFonts w:ascii="Arial" w:eastAsia="MS Mincho" w:hAnsi="Arial" w:cs="Arial"/>
                <w:b/>
                <w:bCs/>
                <w:sz w:val="18"/>
                <w:szCs w:val="18"/>
                <w:lang w:eastAsia="pt-BR"/>
              </w:rPr>
              <w:t>Especificações do Item</w:t>
            </w:r>
          </w:p>
        </w:tc>
        <w:tc>
          <w:tcPr>
            <w:tcW w:w="557" w:type="dxa"/>
            <w:vMerge w:val="restart"/>
            <w:tcBorders>
              <w:left w:val="single" w:sz="8" w:space="0" w:color="000000"/>
              <w:bottom w:val="single" w:sz="8" w:space="0" w:color="000000"/>
              <w:right w:val="single" w:sz="8" w:space="0" w:color="000000"/>
            </w:tcBorders>
            <w:shd w:val="clear" w:color="auto" w:fill="auto"/>
            <w:vAlign w:val="center"/>
          </w:tcPr>
          <w:p w14:paraId="2613A40C" w14:textId="77777777" w:rsidR="00901CDC" w:rsidRPr="00DD32CB" w:rsidRDefault="00DD550A">
            <w:pPr>
              <w:widowControl w:val="0"/>
              <w:spacing w:after="0" w:line="240" w:lineRule="auto"/>
              <w:jc w:val="center"/>
              <w:rPr>
                <w:rFonts w:ascii="Arial" w:eastAsia="MS Mincho" w:hAnsi="Arial" w:cs="Arial"/>
                <w:b/>
                <w:bCs/>
                <w:sz w:val="18"/>
                <w:szCs w:val="18"/>
                <w:lang w:eastAsia="pt-BR"/>
              </w:rPr>
            </w:pPr>
            <w:r w:rsidRPr="00DD32CB">
              <w:rPr>
                <w:rFonts w:ascii="Arial" w:eastAsia="MS Mincho" w:hAnsi="Arial" w:cs="Arial"/>
                <w:b/>
                <w:bCs/>
                <w:sz w:val="18"/>
                <w:szCs w:val="18"/>
                <w:lang w:eastAsia="pt-BR"/>
              </w:rPr>
              <w:t>COD. SIAD</w:t>
            </w:r>
          </w:p>
        </w:tc>
        <w:tc>
          <w:tcPr>
            <w:tcW w:w="1493" w:type="dxa"/>
            <w:gridSpan w:val="2"/>
            <w:tcBorders>
              <w:top w:val="single" w:sz="8" w:space="0" w:color="000000"/>
              <w:bottom w:val="single" w:sz="8" w:space="0" w:color="000000"/>
              <w:right w:val="single" w:sz="8" w:space="0" w:color="000000"/>
            </w:tcBorders>
            <w:shd w:val="clear" w:color="auto" w:fill="auto"/>
            <w:vAlign w:val="center"/>
          </w:tcPr>
          <w:p w14:paraId="5A891F99" w14:textId="77777777" w:rsidR="00901CDC" w:rsidRPr="00DD32CB" w:rsidRDefault="00DD550A">
            <w:pPr>
              <w:widowControl w:val="0"/>
              <w:spacing w:after="0" w:line="240" w:lineRule="auto"/>
              <w:jc w:val="center"/>
              <w:rPr>
                <w:rFonts w:ascii="Arial" w:eastAsia="MS Mincho" w:hAnsi="Arial" w:cs="Arial"/>
                <w:b/>
                <w:bCs/>
                <w:sz w:val="18"/>
                <w:szCs w:val="18"/>
                <w:lang w:eastAsia="pt-BR"/>
              </w:rPr>
            </w:pPr>
            <w:r w:rsidRPr="00DD32CB">
              <w:rPr>
                <w:rFonts w:ascii="Arial" w:eastAsia="MS Mincho" w:hAnsi="Arial" w:cs="Arial"/>
                <w:b/>
                <w:bCs/>
                <w:sz w:val="18"/>
                <w:szCs w:val="18"/>
                <w:lang w:eastAsia="pt-BR"/>
              </w:rPr>
              <w:t>Preço</w:t>
            </w:r>
          </w:p>
        </w:tc>
        <w:tc>
          <w:tcPr>
            <w:tcW w:w="1493" w:type="dxa"/>
            <w:gridSpan w:val="2"/>
            <w:tcBorders>
              <w:top w:val="single" w:sz="8" w:space="0" w:color="000000"/>
              <w:bottom w:val="single" w:sz="8" w:space="0" w:color="000000"/>
              <w:right w:val="single" w:sz="8" w:space="0" w:color="000000"/>
            </w:tcBorders>
            <w:shd w:val="clear" w:color="auto" w:fill="auto"/>
            <w:vAlign w:val="center"/>
          </w:tcPr>
          <w:p w14:paraId="598E161C" w14:textId="77777777" w:rsidR="00901CDC" w:rsidRPr="00DD32CB" w:rsidRDefault="00DD550A">
            <w:pPr>
              <w:widowControl w:val="0"/>
              <w:spacing w:after="0" w:line="240" w:lineRule="auto"/>
              <w:jc w:val="center"/>
              <w:rPr>
                <w:rFonts w:ascii="Arial" w:eastAsia="MS Mincho" w:hAnsi="Arial" w:cs="Arial"/>
                <w:b/>
                <w:bCs/>
                <w:sz w:val="18"/>
                <w:szCs w:val="18"/>
                <w:lang w:eastAsia="pt-BR"/>
              </w:rPr>
            </w:pPr>
            <w:r w:rsidRPr="00DD32CB">
              <w:rPr>
                <w:rFonts w:ascii="Arial" w:eastAsia="MS Mincho" w:hAnsi="Arial" w:cs="Arial"/>
                <w:b/>
                <w:bCs/>
                <w:sz w:val="18"/>
                <w:szCs w:val="18"/>
                <w:lang w:eastAsia="pt-BR"/>
              </w:rPr>
              <w:t>Preço deduzido ICMS(*)</w:t>
            </w:r>
          </w:p>
        </w:tc>
        <w:tc>
          <w:tcPr>
            <w:tcW w:w="840" w:type="dxa"/>
            <w:tcBorders>
              <w:left w:val="single" w:sz="8" w:space="0" w:color="000000"/>
              <w:bottom w:val="single" w:sz="8" w:space="0" w:color="000000"/>
              <w:right w:val="single" w:sz="8" w:space="0" w:color="000000"/>
            </w:tcBorders>
            <w:shd w:val="clear" w:color="auto" w:fill="auto"/>
            <w:vAlign w:val="center"/>
          </w:tcPr>
          <w:p w14:paraId="3AF30EBB" w14:textId="77777777" w:rsidR="00901CDC" w:rsidRPr="00DD32CB" w:rsidRDefault="00DD550A">
            <w:pPr>
              <w:widowControl w:val="0"/>
              <w:spacing w:after="0" w:line="240" w:lineRule="auto"/>
              <w:jc w:val="center"/>
              <w:rPr>
                <w:rFonts w:ascii="Arial" w:eastAsia="MS Mincho" w:hAnsi="Arial" w:cs="Arial"/>
                <w:b/>
                <w:bCs/>
                <w:sz w:val="18"/>
                <w:szCs w:val="18"/>
                <w:lang w:eastAsia="pt-BR"/>
              </w:rPr>
            </w:pPr>
            <w:r w:rsidRPr="00DD32CB">
              <w:rPr>
                <w:rFonts w:ascii="Arial" w:eastAsia="MS Mincho" w:hAnsi="Arial" w:cs="Arial"/>
                <w:b/>
                <w:bCs/>
                <w:sz w:val="18"/>
                <w:szCs w:val="18"/>
                <w:lang w:eastAsia="pt-BR"/>
              </w:rPr>
              <w:t>Marca/ modelo</w:t>
            </w:r>
          </w:p>
        </w:tc>
      </w:tr>
      <w:tr w:rsidR="00F92333" w:rsidRPr="00DD32CB" w14:paraId="60F4A67B" w14:textId="77777777" w:rsidTr="00F92333">
        <w:trPr>
          <w:cantSplit/>
          <w:trHeight w:val="300"/>
          <w:jc w:val="center"/>
        </w:trPr>
        <w:tc>
          <w:tcPr>
            <w:tcW w:w="545" w:type="dxa"/>
            <w:vMerge/>
            <w:tcBorders>
              <w:left w:val="single" w:sz="8" w:space="0" w:color="000000"/>
              <w:bottom w:val="single" w:sz="8" w:space="0" w:color="000000"/>
              <w:right w:val="single" w:sz="8" w:space="0" w:color="000000"/>
            </w:tcBorders>
            <w:shd w:val="clear" w:color="auto" w:fill="auto"/>
            <w:vAlign w:val="center"/>
          </w:tcPr>
          <w:p w14:paraId="379CAF58" w14:textId="77777777" w:rsidR="00901CDC" w:rsidRPr="00DD32CB" w:rsidRDefault="00901CDC">
            <w:pPr>
              <w:widowControl w:val="0"/>
              <w:spacing w:after="0" w:line="240" w:lineRule="auto"/>
              <w:rPr>
                <w:rFonts w:ascii="Arial" w:eastAsia="MS Mincho" w:hAnsi="Arial" w:cs="Arial"/>
                <w:b/>
                <w:bCs/>
                <w:sz w:val="18"/>
                <w:szCs w:val="18"/>
                <w:lang w:eastAsia="pt-BR"/>
              </w:rPr>
            </w:pPr>
          </w:p>
        </w:tc>
        <w:tc>
          <w:tcPr>
            <w:tcW w:w="577" w:type="dxa"/>
            <w:vMerge/>
            <w:tcBorders>
              <w:left w:val="single" w:sz="8" w:space="0" w:color="000000"/>
              <w:bottom w:val="single" w:sz="8" w:space="0" w:color="000000"/>
              <w:right w:val="single" w:sz="8" w:space="0" w:color="000000"/>
            </w:tcBorders>
            <w:shd w:val="clear" w:color="auto" w:fill="auto"/>
            <w:vAlign w:val="center"/>
          </w:tcPr>
          <w:p w14:paraId="10FF8270" w14:textId="77777777" w:rsidR="00901CDC" w:rsidRPr="00DD32CB" w:rsidRDefault="00901CDC">
            <w:pPr>
              <w:widowControl w:val="0"/>
              <w:spacing w:after="0" w:line="240" w:lineRule="auto"/>
              <w:rPr>
                <w:rFonts w:ascii="Arial" w:eastAsia="MS Mincho" w:hAnsi="Arial" w:cs="Arial"/>
                <w:b/>
                <w:bCs/>
                <w:sz w:val="18"/>
                <w:szCs w:val="18"/>
                <w:lang w:eastAsia="pt-BR"/>
              </w:rPr>
            </w:pPr>
          </w:p>
        </w:tc>
        <w:tc>
          <w:tcPr>
            <w:tcW w:w="554" w:type="dxa"/>
            <w:vMerge/>
            <w:tcBorders>
              <w:left w:val="single" w:sz="8" w:space="0" w:color="000000"/>
              <w:bottom w:val="single" w:sz="8" w:space="0" w:color="000000"/>
              <w:right w:val="single" w:sz="8" w:space="0" w:color="000000"/>
            </w:tcBorders>
            <w:shd w:val="clear" w:color="auto" w:fill="auto"/>
            <w:vAlign w:val="center"/>
          </w:tcPr>
          <w:p w14:paraId="353BB065" w14:textId="77777777" w:rsidR="00901CDC" w:rsidRPr="00DD32CB" w:rsidRDefault="00901CDC">
            <w:pPr>
              <w:widowControl w:val="0"/>
              <w:spacing w:after="0" w:line="240" w:lineRule="auto"/>
              <w:rPr>
                <w:rFonts w:ascii="Arial" w:eastAsia="MS Mincho" w:hAnsi="Arial" w:cs="Arial"/>
                <w:b/>
                <w:bCs/>
                <w:sz w:val="18"/>
                <w:szCs w:val="18"/>
                <w:lang w:eastAsia="pt-BR"/>
              </w:rPr>
            </w:pPr>
          </w:p>
        </w:tc>
        <w:tc>
          <w:tcPr>
            <w:tcW w:w="2992" w:type="dxa"/>
            <w:vMerge/>
            <w:tcBorders>
              <w:left w:val="single" w:sz="8" w:space="0" w:color="000000"/>
              <w:bottom w:val="single" w:sz="8" w:space="0" w:color="000000"/>
              <w:right w:val="single" w:sz="8" w:space="0" w:color="000000"/>
            </w:tcBorders>
            <w:shd w:val="clear" w:color="auto" w:fill="auto"/>
            <w:vAlign w:val="center"/>
          </w:tcPr>
          <w:p w14:paraId="4DEAE4E3" w14:textId="77777777" w:rsidR="00901CDC" w:rsidRPr="00DD32CB" w:rsidRDefault="00901CDC">
            <w:pPr>
              <w:widowControl w:val="0"/>
              <w:spacing w:after="0" w:line="240" w:lineRule="auto"/>
              <w:rPr>
                <w:rFonts w:ascii="Arial" w:eastAsia="MS Mincho" w:hAnsi="Arial" w:cs="Arial"/>
                <w:b/>
                <w:bCs/>
                <w:sz w:val="18"/>
                <w:szCs w:val="18"/>
                <w:lang w:eastAsia="pt-BR"/>
              </w:rPr>
            </w:pPr>
          </w:p>
        </w:tc>
        <w:tc>
          <w:tcPr>
            <w:tcW w:w="557" w:type="dxa"/>
            <w:vMerge/>
            <w:tcBorders>
              <w:left w:val="single" w:sz="8" w:space="0" w:color="000000"/>
              <w:bottom w:val="single" w:sz="8" w:space="0" w:color="000000"/>
              <w:right w:val="single" w:sz="8" w:space="0" w:color="000000"/>
            </w:tcBorders>
            <w:shd w:val="clear" w:color="auto" w:fill="auto"/>
            <w:vAlign w:val="center"/>
          </w:tcPr>
          <w:p w14:paraId="475BBC45" w14:textId="77777777" w:rsidR="00901CDC" w:rsidRPr="00DD32CB" w:rsidRDefault="00901CDC">
            <w:pPr>
              <w:widowControl w:val="0"/>
              <w:spacing w:after="0" w:line="240" w:lineRule="auto"/>
              <w:rPr>
                <w:rFonts w:ascii="Arial" w:eastAsia="MS Mincho" w:hAnsi="Arial" w:cs="Arial"/>
                <w:b/>
                <w:bCs/>
                <w:sz w:val="18"/>
                <w:szCs w:val="18"/>
                <w:lang w:eastAsia="pt-BR"/>
              </w:rPr>
            </w:pPr>
          </w:p>
        </w:tc>
        <w:tc>
          <w:tcPr>
            <w:tcW w:w="883" w:type="dxa"/>
            <w:tcBorders>
              <w:bottom w:val="single" w:sz="8" w:space="0" w:color="000000"/>
              <w:right w:val="single" w:sz="8" w:space="0" w:color="000000"/>
            </w:tcBorders>
            <w:shd w:val="clear" w:color="auto" w:fill="auto"/>
            <w:vAlign w:val="center"/>
          </w:tcPr>
          <w:p w14:paraId="25527ACF" w14:textId="19D8CB90" w:rsidR="00901CDC" w:rsidRPr="00DD32CB" w:rsidRDefault="00DD550A">
            <w:pPr>
              <w:widowControl w:val="0"/>
              <w:spacing w:after="0" w:line="240" w:lineRule="auto"/>
              <w:jc w:val="center"/>
              <w:rPr>
                <w:rFonts w:ascii="Arial" w:eastAsia="MS Mincho" w:hAnsi="Arial" w:cs="Arial"/>
                <w:b/>
                <w:bCs/>
                <w:sz w:val="18"/>
                <w:szCs w:val="18"/>
                <w:lang w:eastAsia="pt-BR"/>
              </w:rPr>
            </w:pPr>
            <w:r w:rsidRPr="00DD32CB">
              <w:rPr>
                <w:rFonts w:ascii="Arial" w:eastAsia="MS Mincho" w:hAnsi="Arial" w:cs="Arial"/>
                <w:b/>
                <w:bCs/>
                <w:sz w:val="18"/>
                <w:szCs w:val="18"/>
                <w:lang w:eastAsia="pt-BR"/>
              </w:rPr>
              <w:t xml:space="preserve">Unitário </w:t>
            </w:r>
          </w:p>
        </w:tc>
        <w:tc>
          <w:tcPr>
            <w:tcW w:w="610" w:type="dxa"/>
            <w:tcBorders>
              <w:bottom w:val="single" w:sz="8" w:space="0" w:color="000000"/>
              <w:right w:val="single" w:sz="8" w:space="0" w:color="000000"/>
            </w:tcBorders>
            <w:shd w:val="clear" w:color="auto" w:fill="auto"/>
            <w:vAlign w:val="center"/>
          </w:tcPr>
          <w:p w14:paraId="683E2592" w14:textId="5CB2145F" w:rsidR="00901CDC" w:rsidRPr="00DD32CB" w:rsidRDefault="00DD550A">
            <w:pPr>
              <w:widowControl w:val="0"/>
              <w:spacing w:after="0" w:line="240" w:lineRule="auto"/>
              <w:jc w:val="center"/>
              <w:rPr>
                <w:rFonts w:ascii="Arial" w:eastAsia="MS Mincho" w:hAnsi="Arial" w:cs="Arial"/>
                <w:b/>
                <w:bCs/>
                <w:sz w:val="18"/>
                <w:szCs w:val="18"/>
                <w:lang w:eastAsia="pt-BR"/>
              </w:rPr>
            </w:pPr>
            <w:r w:rsidRPr="00DD32CB">
              <w:rPr>
                <w:rFonts w:ascii="Arial" w:eastAsia="MS Mincho" w:hAnsi="Arial" w:cs="Arial"/>
                <w:b/>
                <w:bCs/>
                <w:sz w:val="18"/>
                <w:szCs w:val="18"/>
                <w:lang w:eastAsia="pt-BR"/>
              </w:rPr>
              <w:t xml:space="preserve">Total </w:t>
            </w:r>
          </w:p>
        </w:tc>
        <w:tc>
          <w:tcPr>
            <w:tcW w:w="883" w:type="dxa"/>
            <w:tcBorders>
              <w:bottom w:val="single" w:sz="8" w:space="0" w:color="000000"/>
              <w:right w:val="single" w:sz="8" w:space="0" w:color="000000"/>
            </w:tcBorders>
            <w:shd w:val="clear" w:color="auto" w:fill="auto"/>
            <w:vAlign w:val="center"/>
          </w:tcPr>
          <w:p w14:paraId="33345218" w14:textId="36C45F5F" w:rsidR="00901CDC" w:rsidRPr="00DD32CB" w:rsidRDefault="00DD550A">
            <w:pPr>
              <w:widowControl w:val="0"/>
              <w:spacing w:after="0" w:line="240" w:lineRule="auto"/>
              <w:jc w:val="center"/>
              <w:rPr>
                <w:rFonts w:ascii="Arial" w:eastAsia="MS Mincho" w:hAnsi="Arial" w:cs="Arial"/>
                <w:b/>
                <w:bCs/>
                <w:sz w:val="18"/>
                <w:szCs w:val="18"/>
                <w:lang w:eastAsia="pt-BR"/>
              </w:rPr>
            </w:pPr>
            <w:r w:rsidRPr="00DD32CB">
              <w:rPr>
                <w:rFonts w:ascii="Arial" w:eastAsia="MS Mincho" w:hAnsi="Arial" w:cs="Arial"/>
                <w:b/>
                <w:bCs/>
                <w:sz w:val="18"/>
                <w:szCs w:val="18"/>
                <w:lang w:eastAsia="pt-BR"/>
              </w:rPr>
              <w:t xml:space="preserve">Unitário </w:t>
            </w:r>
          </w:p>
        </w:tc>
        <w:tc>
          <w:tcPr>
            <w:tcW w:w="610" w:type="dxa"/>
            <w:tcBorders>
              <w:bottom w:val="single" w:sz="8" w:space="0" w:color="000000"/>
              <w:right w:val="single" w:sz="8" w:space="0" w:color="000000"/>
            </w:tcBorders>
            <w:shd w:val="clear" w:color="auto" w:fill="auto"/>
            <w:vAlign w:val="center"/>
          </w:tcPr>
          <w:p w14:paraId="793E2673" w14:textId="268B97B4" w:rsidR="00901CDC" w:rsidRPr="00DD32CB" w:rsidRDefault="00DD550A">
            <w:pPr>
              <w:widowControl w:val="0"/>
              <w:spacing w:after="0" w:line="240" w:lineRule="auto"/>
              <w:jc w:val="center"/>
              <w:rPr>
                <w:rFonts w:ascii="Arial" w:eastAsia="MS Mincho" w:hAnsi="Arial" w:cs="Arial"/>
                <w:b/>
                <w:bCs/>
                <w:sz w:val="18"/>
                <w:szCs w:val="18"/>
                <w:lang w:eastAsia="pt-BR"/>
              </w:rPr>
            </w:pPr>
            <w:r w:rsidRPr="00DD32CB">
              <w:rPr>
                <w:rFonts w:ascii="Arial" w:eastAsia="MS Mincho" w:hAnsi="Arial" w:cs="Arial"/>
                <w:b/>
                <w:bCs/>
                <w:sz w:val="18"/>
                <w:szCs w:val="18"/>
                <w:lang w:eastAsia="pt-BR"/>
              </w:rPr>
              <w:t xml:space="preserve">Total </w:t>
            </w:r>
          </w:p>
        </w:tc>
        <w:tc>
          <w:tcPr>
            <w:tcW w:w="840" w:type="dxa"/>
            <w:tcBorders>
              <w:left w:val="single" w:sz="8" w:space="0" w:color="000000"/>
              <w:bottom w:val="single" w:sz="8" w:space="0" w:color="000000"/>
              <w:right w:val="single" w:sz="8" w:space="0" w:color="000000"/>
            </w:tcBorders>
            <w:shd w:val="clear" w:color="auto" w:fill="auto"/>
            <w:vAlign w:val="center"/>
          </w:tcPr>
          <w:p w14:paraId="605611C5" w14:textId="77777777" w:rsidR="00901CDC" w:rsidRPr="00DD32CB" w:rsidRDefault="00901CDC">
            <w:pPr>
              <w:widowControl w:val="0"/>
              <w:spacing w:after="0" w:line="240" w:lineRule="auto"/>
              <w:rPr>
                <w:rFonts w:ascii="Arial" w:eastAsia="MS Mincho" w:hAnsi="Arial" w:cs="Arial"/>
                <w:b/>
                <w:bCs/>
                <w:sz w:val="18"/>
                <w:szCs w:val="18"/>
                <w:lang w:eastAsia="pt-BR"/>
              </w:rPr>
            </w:pPr>
          </w:p>
        </w:tc>
      </w:tr>
      <w:tr w:rsidR="00F92333" w:rsidRPr="00DD32CB" w14:paraId="37E7085D" w14:textId="77777777" w:rsidTr="00F92333">
        <w:trPr>
          <w:trHeight w:val="708"/>
          <w:jc w:val="center"/>
        </w:trPr>
        <w:tc>
          <w:tcPr>
            <w:tcW w:w="545" w:type="dxa"/>
            <w:tcBorders>
              <w:left w:val="single" w:sz="8" w:space="0" w:color="000000"/>
              <w:bottom w:val="single" w:sz="8" w:space="0" w:color="000000"/>
              <w:right w:val="single" w:sz="8" w:space="0" w:color="000000"/>
            </w:tcBorders>
            <w:shd w:val="clear" w:color="auto" w:fill="auto"/>
            <w:vAlign w:val="center"/>
          </w:tcPr>
          <w:p w14:paraId="24A39673" w14:textId="77777777" w:rsidR="00901CDC" w:rsidRPr="00DD32CB" w:rsidRDefault="00DD550A">
            <w:pPr>
              <w:widowControl w:val="0"/>
              <w:spacing w:after="0" w:line="240" w:lineRule="auto"/>
              <w:jc w:val="center"/>
              <w:rPr>
                <w:rFonts w:ascii="Arial" w:eastAsia="MS Mincho" w:hAnsi="Arial" w:cs="Arial"/>
                <w:sz w:val="18"/>
                <w:szCs w:val="18"/>
                <w:lang w:eastAsia="pt-BR"/>
              </w:rPr>
            </w:pPr>
            <w:r w:rsidRPr="00DD32CB">
              <w:rPr>
                <w:rFonts w:ascii="Arial" w:hAnsi="Arial" w:cs="Arial"/>
                <w:sz w:val="18"/>
                <w:szCs w:val="18"/>
              </w:rPr>
              <w:lastRenderedPageBreak/>
              <w:t>1</w:t>
            </w:r>
          </w:p>
        </w:tc>
        <w:tc>
          <w:tcPr>
            <w:tcW w:w="577" w:type="dxa"/>
            <w:tcBorders>
              <w:bottom w:val="single" w:sz="8" w:space="0" w:color="000000"/>
              <w:right w:val="single" w:sz="8" w:space="0" w:color="000000"/>
            </w:tcBorders>
            <w:shd w:val="clear" w:color="auto" w:fill="auto"/>
            <w:vAlign w:val="center"/>
          </w:tcPr>
          <w:p w14:paraId="32CF847B" w14:textId="77777777" w:rsidR="00901CDC" w:rsidRPr="00DD32CB" w:rsidRDefault="00DD550A">
            <w:pPr>
              <w:widowControl w:val="0"/>
              <w:spacing w:after="0" w:line="240" w:lineRule="auto"/>
              <w:jc w:val="center"/>
              <w:rPr>
                <w:rFonts w:ascii="Arial" w:eastAsia="MS Mincho" w:hAnsi="Arial" w:cs="Arial"/>
                <w:sz w:val="18"/>
                <w:szCs w:val="18"/>
                <w:lang w:eastAsia="pt-BR"/>
              </w:rPr>
            </w:pPr>
            <w:r w:rsidRPr="00DD32CB">
              <w:rPr>
                <w:rFonts w:ascii="Arial" w:hAnsi="Arial" w:cs="Arial"/>
                <w:sz w:val="18"/>
                <w:szCs w:val="18"/>
              </w:rPr>
              <w:t>150</w:t>
            </w:r>
          </w:p>
        </w:tc>
        <w:tc>
          <w:tcPr>
            <w:tcW w:w="554" w:type="dxa"/>
            <w:tcBorders>
              <w:bottom w:val="single" w:sz="8" w:space="0" w:color="000000"/>
              <w:right w:val="single" w:sz="8" w:space="0" w:color="000000"/>
            </w:tcBorders>
            <w:shd w:val="clear" w:color="auto" w:fill="auto"/>
            <w:vAlign w:val="center"/>
          </w:tcPr>
          <w:p w14:paraId="5E1A4031" w14:textId="77777777" w:rsidR="00901CDC" w:rsidRPr="00DD32CB" w:rsidRDefault="00DD550A">
            <w:pPr>
              <w:widowControl w:val="0"/>
              <w:spacing w:after="0" w:line="240" w:lineRule="auto"/>
              <w:jc w:val="center"/>
              <w:rPr>
                <w:rFonts w:ascii="Arial" w:eastAsia="MS Mincho" w:hAnsi="Arial" w:cs="Arial"/>
                <w:sz w:val="18"/>
                <w:szCs w:val="18"/>
                <w:lang w:eastAsia="pt-BR"/>
              </w:rPr>
            </w:pPr>
            <w:proofErr w:type="spellStart"/>
            <w:r w:rsidRPr="00DD32CB">
              <w:rPr>
                <w:rFonts w:ascii="Arial" w:hAnsi="Arial" w:cs="Arial"/>
                <w:sz w:val="18"/>
                <w:szCs w:val="18"/>
              </w:rPr>
              <w:t>un</w:t>
            </w:r>
            <w:proofErr w:type="spellEnd"/>
          </w:p>
        </w:tc>
        <w:tc>
          <w:tcPr>
            <w:tcW w:w="2992" w:type="dxa"/>
            <w:tcBorders>
              <w:bottom w:val="single" w:sz="8" w:space="0" w:color="000000"/>
              <w:right w:val="single" w:sz="8" w:space="0" w:color="000000"/>
            </w:tcBorders>
            <w:shd w:val="clear" w:color="auto" w:fill="auto"/>
            <w:vAlign w:val="center"/>
          </w:tcPr>
          <w:p w14:paraId="301D8C04" w14:textId="77777777" w:rsidR="00901CDC" w:rsidRPr="00DD32CB" w:rsidRDefault="00DD550A">
            <w:pPr>
              <w:widowControl w:val="0"/>
              <w:spacing w:after="0" w:line="240" w:lineRule="auto"/>
              <w:jc w:val="both"/>
              <w:rPr>
                <w:rFonts w:ascii="Arial" w:eastAsia="MS Mincho" w:hAnsi="Arial" w:cs="Arial"/>
                <w:b/>
                <w:bCs/>
                <w:sz w:val="18"/>
                <w:szCs w:val="18"/>
                <w:lang w:eastAsia="pt-BR"/>
              </w:rPr>
            </w:pPr>
            <w:r w:rsidRPr="00DD32CB">
              <w:rPr>
                <w:rFonts w:ascii="Arial" w:hAnsi="Arial" w:cs="Arial"/>
                <w:color w:val="000000"/>
                <w:sz w:val="18"/>
                <w:szCs w:val="18"/>
              </w:rPr>
              <w:t>OBSERVAÇÃO: ESTA CADEIRA DEVE SER IGUAL À DO ITEM 2, PORÉM </w:t>
            </w:r>
            <w:r w:rsidRPr="00DD32CB">
              <w:rPr>
                <w:rFonts w:ascii="Arial" w:hAnsi="Arial" w:cs="Arial"/>
                <w:b/>
                <w:bCs/>
                <w:color w:val="000000"/>
                <w:sz w:val="18"/>
                <w:szCs w:val="18"/>
              </w:rPr>
              <w:t>COM O APOIO DE CABEÇA</w:t>
            </w:r>
            <w:r w:rsidRPr="00DD32CB">
              <w:rPr>
                <w:rFonts w:ascii="Arial" w:hAnsi="Arial" w:cs="Arial"/>
                <w:color w:val="000000"/>
                <w:sz w:val="18"/>
                <w:szCs w:val="18"/>
              </w:rPr>
              <w:t>. CARACTERÍSTICAS GERAIS</w:t>
            </w:r>
            <w:r w:rsidRPr="00DD32CB">
              <w:rPr>
                <w:rFonts w:ascii="Arial" w:hAnsi="Arial" w:cs="Arial"/>
                <w:color w:val="000000"/>
                <w:sz w:val="18"/>
                <w:szCs w:val="18"/>
              </w:rPr>
              <w:br/>
            </w:r>
            <w:r w:rsidRPr="00DD32CB">
              <w:rPr>
                <w:rFonts w:ascii="Arial" w:hAnsi="Arial" w:cs="Arial"/>
                <w:color w:val="000000"/>
                <w:sz w:val="18"/>
                <w:szCs w:val="18"/>
              </w:rPr>
              <w:br/>
              <w:t>Cadeira operacional, anatômica, concha dupla, sem visual monobloco, com apoio de cabeça. Design: encosto com desenho frontal de linhas retas, formato predominantemente retangular; braços com desenho de linhas retas, em T (estrutura e apoio de braço). O design visa à harmonia estética com o mobiliário já existente na PGJ.</w:t>
            </w:r>
            <w:r w:rsidRPr="00DD32CB">
              <w:rPr>
                <w:rFonts w:ascii="Arial" w:hAnsi="Arial" w:cs="Arial"/>
                <w:color w:val="000000"/>
                <w:sz w:val="18"/>
                <w:szCs w:val="18"/>
              </w:rPr>
              <w:br/>
            </w:r>
            <w:r w:rsidRPr="00DD32CB">
              <w:rPr>
                <w:rFonts w:ascii="Arial" w:hAnsi="Arial" w:cs="Arial"/>
                <w:color w:val="000000"/>
                <w:sz w:val="18"/>
                <w:szCs w:val="18"/>
              </w:rPr>
              <w:br/>
              <w:t>ENCOSTO</w:t>
            </w:r>
            <w:r w:rsidRPr="00DD32CB">
              <w:rPr>
                <w:rFonts w:ascii="Arial" w:hAnsi="Arial" w:cs="Arial"/>
                <w:color w:val="000000"/>
                <w:sz w:val="18"/>
                <w:szCs w:val="18"/>
              </w:rPr>
              <w:br/>
              <w:t xml:space="preserve">a) estrutura formada por quadro injetado de fibra sintética ou plástico de engenharia (resina termoplástica). Alta resistência mecânica e ao </w:t>
            </w:r>
            <w:proofErr w:type="spellStart"/>
            <w:r w:rsidRPr="00DD32CB">
              <w:rPr>
                <w:rFonts w:ascii="Arial" w:hAnsi="Arial" w:cs="Arial"/>
                <w:color w:val="000000"/>
                <w:sz w:val="18"/>
                <w:szCs w:val="18"/>
              </w:rPr>
              <w:t>esgaçamento</w:t>
            </w:r>
            <w:proofErr w:type="spellEnd"/>
            <w:r w:rsidRPr="00DD32CB">
              <w:rPr>
                <w:rFonts w:ascii="Arial" w:hAnsi="Arial" w:cs="Arial"/>
                <w:color w:val="000000"/>
                <w:sz w:val="18"/>
                <w:szCs w:val="18"/>
              </w:rPr>
              <w:t>. Indeformável. Cor preta. Curvatura anatômica para finalidade de cadeira operacional.</w:t>
            </w:r>
            <w:r w:rsidRPr="00DD32CB">
              <w:rPr>
                <w:rFonts w:ascii="Arial" w:hAnsi="Arial" w:cs="Arial"/>
                <w:color w:val="000000"/>
                <w:sz w:val="18"/>
                <w:szCs w:val="18"/>
              </w:rPr>
              <w:br/>
              <w:t>b) revestimento do encosto: de tela própria para o uso em cadeira operacional, resistente, durável, maleável, indeformável, constituída de fios entrelaçados de forma a permitir certa transparência, 100% poliéster, toque macio, fácil limpeza, ocupando toda a área frontal do encosto, sem cobrir a parte de trás, a fim de evitar danos na tela quando a cadeira apresentar atritos com os elementos fixos dos ambientes. Cor preta.</w:t>
            </w:r>
            <w:r w:rsidRPr="00DD32CB">
              <w:rPr>
                <w:rFonts w:ascii="Arial" w:hAnsi="Arial" w:cs="Arial"/>
                <w:color w:val="000000"/>
                <w:sz w:val="18"/>
                <w:szCs w:val="18"/>
              </w:rPr>
              <w:br/>
              <w:t>c) sistema de união do encosto/assento/mecanismo: peça estrutural de alumínio injetado polido e/ou de aço de alta resistência mecânica, tratado anticorrosão e antiferrugem e acabado, nas partes aparentes, com pintura eletrostática preta ou cromada, de alta resistência a intempéries e ao descascamento. Resistente. Indeformável.</w:t>
            </w:r>
            <w:r w:rsidRPr="00DD32CB">
              <w:rPr>
                <w:rFonts w:ascii="Arial" w:hAnsi="Arial" w:cs="Arial"/>
                <w:color w:val="000000"/>
                <w:sz w:val="18"/>
                <w:szCs w:val="18"/>
              </w:rPr>
              <w:br/>
              <w:t>d) regulagem: de inclinação através do uso de manivela/</w:t>
            </w:r>
            <w:proofErr w:type="spellStart"/>
            <w:r w:rsidRPr="00DD32CB">
              <w:rPr>
                <w:rFonts w:ascii="Arial" w:hAnsi="Arial" w:cs="Arial"/>
                <w:color w:val="000000"/>
                <w:sz w:val="18"/>
                <w:szCs w:val="18"/>
              </w:rPr>
              <w:t>manípolo</w:t>
            </w:r>
            <w:proofErr w:type="spellEnd"/>
            <w:r w:rsidRPr="00DD32CB">
              <w:rPr>
                <w:rFonts w:ascii="Arial" w:hAnsi="Arial" w:cs="Arial"/>
                <w:color w:val="000000"/>
                <w:sz w:val="18"/>
                <w:szCs w:val="18"/>
              </w:rPr>
              <w:t xml:space="preserve"> sob o assento. Inúmeras posições de bloqueio. Regulagem da região lombar (vertical) obtida a partir do deslocamento vertical de todo o encosto ou apenas da porção que proporciona o apoio lombar, como peça acoplada ao encosto.</w:t>
            </w:r>
            <w:r w:rsidRPr="00DD32CB">
              <w:rPr>
                <w:rFonts w:ascii="Arial" w:hAnsi="Arial" w:cs="Arial"/>
                <w:color w:val="000000"/>
                <w:sz w:val="18"/>
                <w:szCs w:val="18"/>
              </w:rPr>
              <w:br/>
            </w:r>
            <w:r w:rsidRPr="00DD32CB">
              <w:rPr>
                <w:rFonts w:ascii="Arial" w:hAnsi="Arial" w:cs="Arial"/>
                <w:color w:val="000000"/>
                <w:sz w:val="18"/>
                <w:szCs w:val="18"/>
              </w:rPr>
              <w:lastRenderedPageBreak/>
              <w:t>e) apoio lombar: caso existente como peça em separado sobreposta ao encosto, devem ser utilizados materiais resistentes e que proporcionem fácil ajuste pelo usuário, acessível e de fácil manuseio. Conforto térmico. Formato anatômico.</w:t>
            </w:r>
            <w:r w:rsidRPr="00DD32CB">
              <w:rPr>
                <w:rFonts w:ascii="Arial" w:hAnsi="Arial" w:cs="Arial"/>
                <w:color w:val="000000"/>
                <w:sz w:val="18"/>
                <w:szCs w:val="18"/>
              </w:rPr>
              <w:br/>
            </w:r>
            <w:r w:rsidRPr="00DD32CB">
              <w:rPr>
                <w:rFonts w:ascii="Arial" w:hAnsi="Arial" w:cs="Arial"/>
                <w:color w:val="000000"/>
                <w:sz w:val="18"/>
                <w:szCs w:val="18"/>
              </w:rPr>
              <w:br/>
              <w:t>Determinação do grau de inclinação do encosto, faixa de regulagem da inclinação do encosto: sugiro que a faixa de regulagem cubra esta extensão de angulação (95 a 110°), podendo ultrapassá-la. Faixa de regulagem de altura do apoio lombar: regulagem da altura do ponto S do encosto deve contemplar a altura mínima de 170mm e máxima de 220mm em relação ao ponto ‘a’ do assento formado pela interseção do plano mediano e do plano.</w:t>
            </w:r>
            <w:r w:rsidRPr="00DD32CB">
              <w:rPr>
                <w:rFonts w:ascii="Arial" w:hAnsi="Arial" w:cs="Arial"/>
                <w:color w:val="000000"/>
                <w:sz w:val="18"/>
                <w:szCs w:val="18"/>
              </w:rPr>
              <w:br/>
            </w:r>
            <w:r w:rsidRPr="00DD32CB">
              <w:rPr>
                <w:rFonts w:ascii="Arial" w:hAnsi="Arial" w:cs="Arial"/>
                <w:color w:val="000000"/>
                <w:sz w:val="18"/>
                <w:szCs w:val="18"/>
              </w:rPr>
              <w:br/>
              <w:t>Encosto com apoio lombar com raio mínimo de 400mm. Do ponto de vista da NR-17(Portaria PORTARIA/MTP Nº 423, DE 7 DE OUTUBRO DE 2021, nova redação da Norma Regulamentadora nº 17 – Ergonomia), não há outras considerações.</w:t>
            </w:r>
            <w:r w:rsidRPr="00DD32CB">
              <w:rPr>
                <w:rFonts w:ascii="Arial" w:hAnsi="Arial" w:cs="Arial"/>
                <w:color w:val="000000"/>
                <w:sz w:val="18"/>
                <w:szCs w:val="18"/>
              </w:rPr>
              <w:br/>
            </w:r>
            <w:r w:rsidRPr="00DD32CB">
              <w:rPr>
                <w:rFonts w:ascii="Arial" w:hAnsi="Arial" w:cs="Arial"/>
                <w:color w:val="000000"/>
                <w:sz w:val="18"/>
                <w:szCs w:val="18"/>
              </w:rPr>
              <w:br/>
              <w:t>ASSENTO</w:t>
            </w:r>
            <w:r w:rsidRPr="00DD32CB">
              <w:rPr>
                <w:rFonts w:ascii="Arial" w:hAnsi="Arial" w:cs="Arial"/>
                <w:color w:val="000000"/>
                <w:sz w:val="18"/>
                <w:szCs w:val="18"/>
              </w:rPr>
              <w:br/>
              <w:t xml:space="preserve">a) Estrutura formada por concha conformada anatomicamente. Fabricada por fibra sintética ou plástico de engenharia ou compensado de madeira espessura mínima 12mm ou material de funções, resistência e qualidade equivalentes, a critério do fabricante. Assento estruturado em compensado </w:t>
            </w:r>
            <w:proofErr w:type="spellStart"/>
            <w:r w:rsidRPr="00DD32CB">
              <w:rPr>
                <w:rFonts w:ascii="Arial" w:hAnsi="Arial" w:cs="Arial"/>
                <w:color w:val="000000"/>
                <w:sz w:val="18"/>
                <w:szCs w:val="18"/>
              </w:rPr>
              <w:t>multilaminado</w:t>
            </w:r>
            <w:proofErr w:type="spellEnd"/>
            <w:r w:rsidRPr="00DD32CB">
              <w:rPr>
                <w:rFonts w:ascii="Arial" w:hAnsi="Arial" w:cs="Arial"/>
                <w:color w:val="000000"/>
                <w:sz w:val="18"/>
                <w:szCs w:val="18"/>
              </w:rPr>
              <w:t>, resinado e prensado, a partir de madeiras oriundas de manejos sustentáveis,</w:t>
            </w:r>
            <w:r w:rsidRPr="00DD32CB">
              <w:rPr>
                <w:rFonts w:ascii="Arial" w:hAnsi="Arial" w:cs="Arial"/>
                <w:color w:val="000000"/>
                <w:sz w:val="18"/>
                <w:szCs w:val="18"/>
              </w:rPr>
              <w:br/>
              <w:t xml:space="preserve">b) Espuma injetada, poliuretano flexível, anatômica, borda frontal conformada, densidade controlada, isenta de CFC, alta resiliência à propagação de rasgos, alta tensão de alongamento e ruptura, baixa deformação permanente. Densidade de 45 a 60 kg/m³. Espessura média de 40mm a 60mm. Borda frontal arredondada favorecendo a circulação </w:t>
            </w:r>
            <w:r w:rsidRPr="00DD32CB">
              <w:rPr>
                <w:rFonts w:ascii="Arial" w:hAnsi="Arial" w:cs="Arial"/>
                <w:color w:val="000000"/>
                <w:sz w:val="18"/>
                <w:szCs w:val="18"/>
              </w:rPr>
              <w:lastRenderedPageBreak/>
              <w:t>sanguínea. Apresentar documentação.</w:t>
            </w:r>
            <w:r w:rsidRPr="00DD32CB">
              <w:rPr>
                <w:rFonts w:ascii="Arial" w:hAnsi="Arial" w:cs="Arial"/>
                <w:color w:val="000000"/>
                <w:sz w:val="18"/>
                <w:szCs w:val="18"/>
              </w:rPr>
              <w:br/>
              <w:t xml:space="preserve">c) Contra capa do assento: </w:t>
            </w:r>
            <w:proofErr w:type="spellStart"/>
            <w:r w:rsidRPr="00DD32CB">
              <w:rPr>
                <w:rFonts w:ascii="Arial" w:hAnsi="Arial" w:cs="Arial"/>
                <w:color w:val="000000"/>
                <w:sz w:val="18"/>
                <w:szCs w:val="18"/>
              </w:rPr>
              <w:t>pré</w:t>
            </w:r>
            <w:proofErr w:type="spellEnd"/>
            <w:r w:rsidRPr="00DD32CB">
              <w:rPr>
                <w:rFonts w:ascii="Arial" w:hAnsi="Arial" w:cs="Arial"/>
                <w:color w:val="000000"/>
                <w:sz w:val="18"/>
                <w:szCs w:val="18"/>
              </w:rPr>
              <w:t xml:space="preserve"> moldado, injetado em fibra sintética ou em plástico de engenharia (resina termoplástica). Alta resistência mecânica e ao </w:t>
            </w:r>
            <w:proofErr w:type="spellStart"/>
            <w:r w:rsidRPr="00DD32CB">
              <w:rPr>
                <w:rFonts w:ascii="Arial" w:hAnsi="Arial" w:cs="Arial"/>
                <w:color w:val="000000"/>
                <w:sz w:val="18"/>
                <w:szCs w:val="18"/>
              </w:rPr>
              <w:t>esgaçamento</w:t>
            </w:r>
            <w:proofErr w:type="spellEnd"/>
            <w:r w:rsidRPr="00DD32CB">
              <w:rPr>
                <w:rFonts w:ascii="Arial" w:hAnsi="Arial" w:cs="Arial"/>
                <w:color w:val="000000"/>
                <w:sz w:val="18"/>
                <w:szCs w:val="18"/>
              </w:rPr>
              <w:t>. Cor preta</w:t>
            </w:r>
            <w:r w:rsidRPr="00DD32CB">
              <w:rPr>
                <w:rFonts w:ascii="Arial" w:hAnsi="Arial" w:cs="Arial"/>
                <w:color w:val="000000"/>
                <w:sz w:val="18"/>
                <w:szCs w:val="18"/>
              </w:rPr>
              <w:br/>
              <w:t xml:space="preserve">d) Revestimento em couro sintético, </w:t>
            </w:r>
            <w:proofErr w:type="spellStart"/>
            <w:r w:rsidRPr="00DD32CB">
              <w:rPr>
                <w:rFonts w:ascii="Arial" w:hAnsi="Arial" w:cs="Arial"/>
                <w:color w:val="000000"/>
                <w:sz w:val="18"/>
                <w:szCs w:val="18"/>
              </w:rPr>
              <w:t>semi</w:t>
            </w:r>
            <w:proofErr w:type="spellEnd"/>
            <w:r w:rsidRPr="00DD32CB">
              <w:rPr>
                <w:rFonts w:ascii="Arial" w:hAnsi="Arial" w:cs="Arial"/>
                <w:color w:val="000000"/>
                <w:sz w:val="18"/>
                <w:szCs w:val="18"/>
              </w:rPr>
              <w:t xml:space="preserve"> brilho, cor preta, espessura mínima 0.8mm, produzido em alta tecnologia que apresente resistência, resiliência, facilidade de manutenção e de limpeza, durabilidade, conforto e macies ao toque. Composição predominante de PVC e de Poliéster, avesso de malha de algodão. Referência: Marca York Plástico ou </w:t>
            </w:r>
            <w:proofErr w:type="spellStart"/>
            <w:r w:rsidRPr="00DD32CB">
              <w:rPr>
                <w:rFonts w:ascii="Arial" w:hAnsi="Arial" w:cs="Arial"/>
                <w:color w:val="000000"/>
                <w:sz w:val="18"/>
                <w:szCs w:val="18"/>
              </w:rPr>
              <w:t>similiar</w:t>
            </w:r>
            <w:proofErr w:type="spellEnd"/>
            <w:r w:rsidRPr="00DD32CB">
              <w:rPr>
                <w:rFonts w:ascii="Arial" w:hAnsi="Arial" w:cs="Arial"/>
                <w:color w:val="000000"/>
                <w:sz w:val="18"/>
                <w:szCs w:val="18"/>
              </w:rPr>
              <w:t>.</w:t>
            </w:r>
            <w:r w:rsidRPr="00DD32CB">
              <w:rPr>
                <w:rFonts w:ascii="Arial" w:hAnsi="Arial" w:cs="Arial"/>
                <w:color w:val="000000"/>
                <w:sz w:val="18"/>
                <w:szCs w:val="18"/>
              </w:rPr>
              <w:br/>
              <w:t>e) Regulagens: de altura, por pistão pneumático, e de profundidade.</w:t>
            </w:r>
            <w:r w:rsidRPr="00DD32CB">
              <w:rPr>
                <w:rFonts w:ascii="Arial" w:hAnsi="Arial" w:cs="Arial"/>
                <w:color w:val="000000"/>
                <w:sz w:val="18"/>
                <w:szCs w:val="18"/>
              </w:rPr>
              <w:br/>
            </w:r>
            <w:r w:rsidRPr="00DD32CB">
              <w:rPr>
                <w:rFonts w:ascii="Arial" w:hAnsi="Arial" w:cs="Arial"/>
                <w:color w:val="000000"/>
                <w:sz w:val="18"/>
                <w:szCs w:val="18"/>
              </w:rPr>
              <w:br/>
              <w:t>O assento da cadeira deve possuir regulagem de altura mínima de 420mm e máxima de 500mm, incorporando as dimensões mínima e máximas, podendo no entanto ultrapassá-las.</w:t>
            </w:r>
            <w:r w:rsidRPr="00DD32CB">
              <w:rPr>
                <w:rFonts w:ascii="Arial" w:hAnsi="Arial" w:cs="Arial"/>
                <w:color w:val="000000"/>
                <w:sz w:val="18"/>
                <w:szCs w:val="18"/>
              </w:rPr>
              <w:br/>
            </w:r>
            <w:r w:rsidRPr="00DD32CB">
              <w:rPr>
                <w:rFonts w:ascii="Arial" w:hAnsi="Arial" w:cs="Arial"/>
                <w:color w:val="000000"/>
                <w:sz w:val="18"/>
                <w:szCs w:val="18"/>
              </w:rPr>
              <w:br/>
              <w:t>A cadeira deve possuir regulagem de profundidade de no mínimo 50mm. A cadeira deve possuir ângulo de inclinação do assento com faixa de regulagem de -2° a 7°, podendo, no entanto, ultrapassá-la. Do ponto de vista da NR-17(Portaria PORTARIA/MTP Nº 423, DE 7 DE OUTUBRO DE 2021, nova redação da Norma Regulamentadora nº 17 – Ergonomia), não há outras considerações.</w:t>
            </w:r>
            <w:r w:rsidRPr="00DD32CB">
              <w:rPr>
                <w:rFonts w:ascii="Arial" w:hAnsi="Arial" w:cs="Arial"/>
                <w:color w:val="000000"/>
                <w:sz w:val="18"/>
                <w:szCs w:val="18"/>
              </w:rPr>
              <w:br/>
            </w:r>
            <w:r w:rsidRPr="00DD32CB">
              <w:rPr>
                <w:rFonts w:ascii="Arial" w:hAnsi="Arial" w:cs="Arial"/>
                <w:color w:val="000000"/>
                <w:sz w:val="18"/>
                <w:szCs w:val="18"/>
              </w:rPr>
              <w:br/>
              <w:t>MECANISMOS</w:t>
            </w:r>
            <w:r w:rsidRPr="00DD32CB">
              <w:rPr>
                <w:rFonts w:ascii="Arial" w:hAnsi="Arial" w:cs="Arial"/>
                <w:color w:val="000000"/>
                <w:sz w:val="18"/>
                <w:szCs w:val="18"/>
              </w:rPr>
              <w:br/>
              <w:t xml:space="preserve">Sistema de </w:t>
            </w:r>
            <w:proofErr w:type="spellStart"/>
            <w:r w:rsidRPr="00DD32CB">
              <w:rPr>
                <w:rFonts w:ascii="Arial" w:hAnsi="Arial" w:cs="Arial"/>
                <w:color w:val="000000"/>
                <w:sz w:val="18"/>
                <w:szCs w:val="18"/>
              </w:rPr>
              <w:t>reclinio</w:t>
            </w:r>
            <w:proofErr w:type="spellEnd"/>
            <w:r w:rsidRPr="00DD32CB">
              <w:rPr>
                <w:rFonts w:ascii="Arial" w:hAnsi="Arial" w:cs="Arial"/>
                <w:color w:val="000000"/>
                <w:sz w:val="18"/>
                <w:szCs w:val="18"/>
              </w:rPr>
              <w:t xml:space="preserve"> sincronizado assento e encosto, na proporção 2:1, acionado por mecanismo de liberação e travamento.</w:t>
            </w:r>
            <w:r w:rsidRPr="00DD32CB">
              <w:rPr>
                <w:rFonts w:ascii="Arial" w:hAnsi="Arial" w:cs="Arial"/>
                <w:color w:val="000000"/>
                <w:sz w:val="18"/>
                <w:szCs w:val="18"/>
              </w:rPr>
              <w:br/>
              <w:t>Sistema de regulagem da pressão da mola através da tecnologia peso/pessoa, que consiste na adequação automática conforme o biotipo/peso do usuário, ou através do uso de manivela/</w:t>
            </w:r>
            <w:proofErr w:type="spellStart"/>
            <w:r w:rsidRPr="00DD32CB">
              <w:rPr>
                <w:rFonts w:ascii="Arial" w:hAnsi="Arial" w:cs="Arial"/>
                <w:color w:val="000000"/>
                <w:sz w:val="18"/>
                <w:szCs w:val="18"/>
              </w:rPr>
              <w:t>manípolo</w:t>
            </w:r>
            <w:proofErr w:type="spellEnd"/>
            <w:r w:rsidRPr="00DD32CB">
              <w:rPr>
                <w:rFonts w:ascii="Arial" w:hAnsi="Arial" w:cs="Arial"/>
                <w:color w:val="000000"/>
                <w:sz w:val="18"/>
                <w:szCs w:val="18"/>
              </w:rPr>
              <w:t xml:space="preserve"> sob o assento. Sistema para livre flutuação (relax).</w:t>
            </w:r>
            <w:r w:rsidRPr="00DD32CB">
              <w:rPr>
                <w:rFonts w:ascii="Arial" w:hAnsi="Arial" w:cs="Arial"/>
                <w:color w:val="000000"/>
                <w:sz w:val="18"/>
                <w:szCs w:val="18"/>
              </w:rPr>
              <w:br/>
              <w:t xml:space="preserve">Sistema </w:t>
            </w:r>
            <w:proofErr w:type="spellStart"/>
            <w:r w:rsidRPr="00DD32CB">
              <w:rPr>
                <w:rFonts w:ascii="Arial" w:hAnsi="Arial" w:cs="Arial"/>
                <w:color w:val="000000"/>
                <w:sz w:val="18"/>
                <w:szCs w:val="18"/>
              </w:rPr>
              <w:t>anti</w:t>
            </w:r>
            <w:proofErr w:type="spellEnd"/>
            <w:r w:rsidRPr="00DD32CB">
              <w:rPr>
                <w:rFonts w:ascii="Arial" w:hAnsi="Arial" w:cs="Arial"/>
                <w:color w:val="000000"/>
                <w:sz w:val="18"/>
                <w:szCs w:val="18"/>
              </w:rPr>
              <w:t xml:space="preserve"> pânico. Solução para </w:t>
            </w:r>
            <w:r w:rsidRPr="00DD32CB">
              <w:rPr>
                <w:rFonts w:ascii="Arial" w:hAnsi="Arial" w:cs="Arial"/>
                <w:color w:val="000000"/>
                <w:sz w:val="18"/>
                <w:szCs w:val="18"/>
              </w:rPr>
              <w:lastRenderedPageBreak/>
              <w:t>amortecimento de impactos, com características técnicas a critério do fabricante.</w:t>
            </w:r>
            <w:r w:rsidRPr="00DD32CB">
              <w:rPr>
                <w:rFonts w:ascii="Arial" w:hAnsi="Arial" w:cs="Arial"/>
                <w:color w:val="000000"/>
                <w:sz w:val="18"/>
                <w:szCs w:val="18"/>
              </w:rPr>
              <w:br/>
              <w:t xml:space="preserve">Solução para movimentos suaves de toda a engrenagem, com características técnicas a critério do fabricante. Coluna de regulagem de altura por acionamento a gás. Tubo de alumínio ou aço de aproximadamente 50mm X 1.5mm de espessura. Encaixe de precisão através do tipo "cone </w:t>
            </w:r>
            <w:proofErr w:type="spellStart"/>
            <w:r w:rsidRPr="00DD32CB">
              <w:rPr>
                <w:rFonts w:ascii="Arial" w:hAnsi="Arial" w:cs="Arial"/>
                <w:color w:val="000000"/>
                <w:sz w:val="18"/>
                <w:szCs w:val="18"/>
              </w:rPr>
              <w:t>morse</w:t>
            </w:r>
            <w:proofErr w:type="spellEnd"/>
            <w:r w:rsidRPr="00DD32CB">
              <w:rPr>
                <w:rFonts w:ascii="Arial" w:hAnsi="Arial" w:cs="Arial"/>
                <w:color w:val="000000"/>
                <w:sz w:val="18"/>
                <w:szCs w:val="18"/>
              </w:rPr>
              <w:t>". Pistão a gás classe 4 – será solicitada a comprovação da classificação.</w:t>
            </w:r>
            <w:r w:rsidRPr="00DD32CB">
              <w:rPr>
                <w:rFonts w:ascii="Arial" w:hAnsi="Arial" w:cs="Arial"/>
                <w:color w:val="000000"/>
                <w:sz w:val="18"/>
                <w:szCs w:val="18"/>
              </w:rPr>
              <w:br/>
            </w:r>
            <w:r w:rsidRPr="00DD32CB">
              <w:rPr>
                <w:rFonts w:ascii="Arial" w:hAnsi="Arial" w:cs="Arial"/>
                <w:color w:val="000000"/>
                <w:sz w:val="18"/>
                <w:szCs w:val="18"/>
              </w:rPr>
              <w:br/>
              <w:t>BASE giratória, com 5 patas, com rodízio duplo giro. Alumínio injetado com polimento na face externa. Estruturado para apresentar alta resistência mecânica. Junção dos rodízios por meio de encaixe.</w:t>
            </w:r>
            <w:r w:rsidRPr="00DD32CB">
              <w:rPr>
                <w:rFonts w:ascii="Arial" w:hAnsi="Arial" w:cs="Arial"/>
                <w:color w:val="000000"/>
                <w:sz w:val="18"/>
                <w:szCs w:val="18"/>
              </w:rPr>
              <w:br/>
            </w:r>
            <w:r w:rsidRPr="00DD32CB">
              <w:rPr>
                <w:rFonts w:ascii="Arial" w:hAnsi="Arial" w:cs="Arial"/>
                <w:color w:val="000000"/>
                <w:sz w:val="18"/>
                <w:szCs w:val="18"/>
              </w:rPr>
              <w:br/>
              <w:t>RODÍZIO duplo, 65mm de diâmetro aproximadamente, injetado em plástico de engenharia (resinas termoplásticas), eixos vertical e horizontal em aço. Duplo giro. Acoplamento fácil e seguro à base. Banda de rolagem poliuretana para utilização em qualquer tipo de piso.</w:t>
            </w:r>
            <w:r w:rsidRPr="00DD32CB">
              <w:rPr>
                <w:rFonts w:ascii="Arial" w:hAnsi="Arial" w:cs="Arial"/>
                <w:color w:val="000000"/>
                <w:sz w:val="18"/>
                <w:szCs w:val="18"/>
              </w:rPr>
              <w:br/>
            </w:r>
            <w:r w:rsidRPr="00DD32CB">
              <w:rPr>
                <w:rFonts w:ascii="Arial" w:hAnsi="Arial" w:cs="Arial"/>
                <w:color w:val="000000"/>
                <w:sz w:val="18"/>
                <w:szCs w:val="18"/>
              </w:rPr>
              <w:br/>
              <w:t>APOIO DE CABEÇA</w:t>
            </w:r>
            <w:r w:rsidRPr="00DD32CB">
              <w:rPr>
                <w:rFonts w:ascii="Arial" w:hAnsi="Arial" w:cs="Arial"/>
                <w:color w:val="000000"/>
                <w:sz w:val="18"/>
                <w:szCs w:val="18"/>
              </w:rPr>
              <w:br/>
              <w:t>anatômico, de material sintético revestido ou não, a critério do fabricante. Caso revestido deve ser utilizado o mesmo couro sintético do assento ou a tela do encosto, ainda que em trama diferente. Design: deve apresentar-se como um acessório e não como uma peça moldada juntamente com o encosto.</w:t>
            </w:r>
            <w:r w:rsidRPr="00DD32CB">
              <w:rPr>
                <w:rFonts w:ascii="Arial" w:hAnsi="Arial" w:cs="Arial"/>
                <w:color w:val="000000"/>
                <w:sz w:val="18"/>
                <w:szCs w:val="18"/>
              </w:rPr>
              <w:br/>
            </w:r>
            <w:r w:rsidRPr="00DD32CB">
              <w:rPr>
                <w:rFonts w:ascii="Arial" w:hAnsi="Arial" w:cs="Arial"/>
                <w:color w:val="000000"/>
                <w:sz w:val="18"/>
                <w:szCs w:val="18"/>
              </w:rPr>
              <w:br/>
              <w:t>RODÍZIOS 05 rodízios de duplos, com 65mm de diâmetro, duplo giro, rodas injetadas em plástico de engenharia, banda de rodagem para utilização em qualquer tipo de piso.</w:t>
            </w:r>
            <w:r w:rsidRPr="00DD32CB">
              <w:rPr>
                <w:rFonts w:ascii="Arial" w:hAnsi="Arial" w:cs="Arial"/>
                <w:color w:val="000000"/>
                <w:sz w:val="18"/>
                <w:szCs w:val="18"/>
              </w:rPr>
              <w:br/>
            </w:r>
            <w:r w:rsidRPr="00DD32CB">
              <w:rPr>
                <w:rFonts w:ascii="Arial" w:hAnsi="Arial" w:cs="Arial"/>
                <w:color w:val="000000"/>
                <w:sz w:val="18"/>
                <w:szCs w:val="18"/>
              </w:rPr>
              <w:br/>
              <w:t>BRAÇOS</w:t>
            </w:r>
            <w:r w:rsidRPr="00DD32CB">
              <w:rPr>
                <w:rFonts w:ascii="Arial" w:hAnsi="Arial" w:cs="Arial"/>
                <w:color w:val="000000"/>
                <w:sz w:val="18"/>
                <w:szCs w:val="18"/>
              </w:rPr>
              <w:br/>
              <w:t xml:space="preserve">Peça estrutural aparente de alumínio injetado polido e/ou de aço de alta resistência mecânica, tratado anticorrosão e antiferrugem e acabado, nas partes aparentes, com pintura </w:t>
            </w:r>
            <w:r w:rsidRPr="00DD32CB">
              <w:rPr>
                <w:rFonts w:ascii="Arial" w:hAnsi="Arial" w:cs="Arial"/>
                <w:color w:val="000000"/>
                <w:sz w:val="18"/>
                <w:szCs w:val="18"/>
              </w:rPr>
              <w:lastRenderedPageBreak/>
              <w:t>cromada de alta resistência a intempéries e ao descascamento. Resistente. Indeformável. Regulagem de altura em inúmeros bloqueios. Regulagem lateral, em livre regulagem, para aumentar a largura do assento. Apoia braços anatômico, em poliuretano integral-</w:t>
            </w:r>
            <w:proofErr w:type="spellStart"/>
            <w:r w:rsidRPr="00DD32CB">
              <w:rPr>
                <w:rFonts w:ascii="Arial" w:hAnsi="Arial" w:cs="Arial"/>
                <w:color w:val="000000"/>
                <w:sz w:val="18"/>
                <w:szCs w:val="18"/>
              </w:rPr>
              <w:t>skin</w:t>
            </w:r>
            <w:proofErr w:type="spellEnd"/>
            <w:r w:rsidRPr="00DD32CB">
              <w:rPr>
                <w:rFonts w:ascii="Arial" w:hAnsi="Arial" w:cs="Arial"/>
                <w:color w:val="000000"/>
                <w:sz w:val="18"/>
                <w:szCs w:val="18"/>
              </w:rPr>
              <w:t xml:space="preserve"> de alta resistência. Altura do apoia-braço: Mínimo 200mm, Máximo 250mm Distância interna entre os apoia-braços: Mínimo 460mm Comprimento do apoia-braço: Mínimo 200mm Largura da área útil do apoia-braço: 40mm Recuo do apoia-braço (apoia-braço na posição recuada e mais baixa): Mínimo 100mm.</w:t>
            </w:r>
            <w:r w:rsidRPr="00DD32CB">
              <w:rPr>
                <w:rFonts w:ascii="Arial" w:hAnsi="Arial" w:cs="Arial"/>
                <w:color w:val="000000"/>
                <w:sz w:val="18"/>
                <w:szCs w:val="18"/>
              </w:rPr>
              <w:br/>
            </w:r>
            <w:r w:rsidRPr="00DD32CB">
              <w:rPr>
                <w:rFonts w:ascii="Arial" w:hAnsi="Arial" w:cs="Arial"/>
                <w:color w:val="000000"/>
                <w:sz w:val="18"/>
                <w:szCs w:val="18"/>
              </w:rPr>
              <w:br/>
              <w:t>DIMENSÕES BÁSICAS PARA COMPATIBILIDADE COM O MOBILIÁRIO EXISTENTE. Altura do encosto: de 510 a 580cm Largura do encosto: 460 a 490cm Largura do assento: 460 a 500cm</w:t>
            </w:r>
            <w:r w:rsidRPr="00DD32CB">
              <w:rPr>
                <w:rFonts w:ascii="Arial" w:hAnsi="Arial" w:cs="Arial"/>
                <w:color w:val="000000"/>
                <w:sz w:val="18"/>
                <w:szCs w:val="18"/>
              </w:rPr>
              <w:br/>
            </w:r>
            <w:r w:rsidRPr="00DD32CB">
              <w:rPr>
                <w:rFonts w:ascii="Arial" w:hAnsi="Arial" w:cs="Arial"/>
                <w:color w:val="000000"/>
                <w:sz w:val="18"/>
                <w:szCs w:val="18"/>
              </w:rPr>
              <w:br/>
              <w:t>CONSIDERAÇÕES GERAIS</w:t>
            </w:r>
            <w:r w:rsidRPr="00DD32CB">
              <w:rPr>
                <w:rFonts w:ascii="Arial" w:hAnsi="Arial" w:cs="Arial"/>
                <w:color w:val="000000"/>
                <w:sz w:val="18"/>
                <w:szCs w:val="18"/>
              </w:rPr>
              <w:br/>
              <w:t>Regulagens: devem ser acionadas por componentes dispostos de forma acessível e devem apresentar fácil manuseio de forma que o ajuste possa ser realizado pelo próprio usuário sem a necessidade de se levantar da cadeira ou de utilizar qualquer tipo de ferramenta. Acabamento: deve ser apresentado o bom uso de todos os materiais que compõem a cadeira e o acabamento deve ser sem manchas, imperfeições, arestas cortantes, rebarbas, etc. A cadeira deve apresentar nivelamento, alinhamento, estabilidade, enquadramento. Não será aceito rebite como método construtivo e os parafusos devem estar dispostos de forma discreta. Não serão aceitos elementos de fixação aparentes no assento e no encosto tais como taxas, grampos, parafusos ou de forma a prejudicar a boa estética da cadeira.</w:t>
            </w:r>
          </w:p>
        </w:tc>
        <w:tc>
          <w:tcPr>
            <w:tcW w:w="557" w:type="dxa"/>
            <w:tcBorders>
              <w:bottom w:val="single" w:sz="8" w:space="0" w:color="000000"/>
              <w:right w:val="single" w:sz="8" w:space="0" w:color="000000"/>
            </w:tcBorders>
            <w:shd w:val="clear" w:color="auto" w:fill="auto"/>
            <w:vAlign w:val="center"/>
          </w:tcPr>
          <w:p w14:paraId="789144B9" w14:textId="77777777" w:rsidR="00901CDC" w:rsidRPr="00DD32CB" w:rsidRDefault="00DD550A">
            <w:pPr>
              <w:widowControl w:val="0"/>
              <w:spacing w:after="0" w:line="240" w:lineRule="auto"/>
              <w:jc w:val="center"/>
              <w:rPr>
                <w:rFonts w:ascii="Arial" w:eastAsia="MS Mincho" w:hAnsi="Arial" w:cs="Arial"/>
                <w:sz w:val="18"/>
                <w:szCs w:val="18"/>
                <w:lang w:eastAsia="pt-BR"/>
              </w:rPr>
            </w:pPr>
            <w:r w:rsidRPr="00DD32CB">
              <w:rPr>
                <w:rFonts w:ascii="Arial" w:hAnsi="Arial" w:cs="Arial"/>
                <w:color w:val="000000"/>
                <w:sz w:val="18"/>
                <w:szCs w:val="18"/>
              </w:rPr>
              <w:lastRenderedPageBreak/>
              <w:t>184807-0</w:t>
            </w:r>
          </w:p>
        </w:tc>
        <w:tc>
          <w:tcPr>
            <w:tcW w:w="883" w:type="dxa"/>
            <w:tcBorders>
              <w:bottom w:val="single" w:sz="8" w:space="0" w:color="000000"/>
              <w:right w:val="single" w:sz="8" w:space="0" w:color="000000"/>
            </w:tcBorders>
            <w:shd w:val="clear" w:color="auto" w:fill="auto"/>
            <w:vAlign w:val="center"/>
          </w:tcPr>
          <w:p w14:paraId="78067426" w14:textId="77777777" w:rsidR="00901CDC" w:rsidRPr="00DD32CB" w:rsidRDefault="00901CDC">
            <w:pPr>
              <w:widowControl w:val="0"/>
              <w:spacing w:after="0" w:line="240" w:lineRule="auto"/>
              <w:rPr>
                <w:rFonts w:ascii="Arial" w:eastAsia="MS Mincho" w:hAnsi="Arial" w:cs="Arial"/>
                <w:sz w:val="18"/>
                <w:szCs w:val="18"/>
                <w:lang w:eastAsia="pt-BR"/>
              </w:rPr>
            </w:pPr>
          </w:p>
        </w:tc>
        <w:tc>
          <w:tcPr>
            <w:tcW w:w="610" w:type="dxa"/>
            <w:tcBorders>
              <w:bottom w:val="single" w:sz="8" w:space="0" w:color="000000"/>
              <w:right w:val="single" w:sz="8" w:space="0" w:color="000000"/>
            </w:tcBorders>
            <w:shd w:val="clear" w:color="auto" w:fill="auto"/>
            <w:vAlign w:val="center"/>
          </w:tcPr>
          <w:p w14:paraId="2AA2DB41" w14:textId="77777777" w:rsidR="00901CDC" w:rsidRPr="00DD32CB" w:rsidRDefault="00901CDC">
            <w:pPr>
              <w:widowControl w:val="0"/>
              <w:spacing w:after="0" w:line="240" w:lineRule="auto"/>
              <w:rPr>
                <w:rFonts w:ascii="Arial" w:eastAsia="MS Mincho" w:hAnsi="Arial" w:cs="Arial"/>
                <w:sz w:val="18"/>
                <w:szCs w:val="18"/>
                <w:lang w:eastAsia="pt-BR"/>
              </w:rPr>
            </w:pPr>
          </w:p>
        </w:tc>
        <w:tc>
          <w:tcPr>
            <w:tcW w:w="883" w:type="dxa"/>
            <w:tcBorders>
              <w:bottom w:val="single" w:sz="8" w:space="0" w:color="000000"/>
              <w:right w:val="single" w:sz="8" w:space="0" w:color="000000"/>
            </w:tcBorders>
            <w:shd w:val="clear" w:color="auto" w:fill="auto"/>
            <w:vAlign w:val="center"/>
          </w:tcPr>
          <w:p w14:paraId="44C2136C" w14:textId="77777777" w:rsidR="00901CDC" w:rsidRPr="00DD32CB" w:rsidRDefault="00901CDC">
            <w:pPr>
              <w:widowControl w:val="0"/>
              <w:spacing w:after="0" w:line="240" w:lineRule="auto"/>
              <w:rPr>
                <w:rFonts w:ascii="Arial" w:eastAsia="MS Mincho" w:hAnsi="Arial" w:cs="Arial"/>
                <w:sz w:val="18"/>
                <w:szCs w:val="18"/>
                <w:lang w:eastAsia="pt-BR"/>
              </w:rPr>
            </w:pPr>
          </w:p>
        </w:tc>
        <w:tc>
          <w:tcPr>
            <w:tcW w:w="610" w:type="dxa"/>
            <w:tcBorders>
              <w:bottom w:val="single" w:sz="8" w:space="0" w:color="000000"/>
              <w:right w:val="single" w:sz="8" w:space="0" w:color="000000"/>
            </w:tcBorders>
            <w:shd w:val="clear" w:color="auto" w:fill="auto"/>
            <w:vAlign w:val="center"/>
          </w:tcPr>
          <w:p w14:paraId="646FE2A9" w14:textId="77777777" w:rsidR="00901CDC" w:rsidRPr="00DD32CB" w:rsidRDefault="00901CDC">
            <w:pPr>
              <w:widowControl w:val="0"/>
              <w:spacing w:after="0" w:line="240" w:lineRule="auto"/>
              <w:rPr>
                <w:rFonts w:ascii="Arial" w:eastAsia="MS Mincho" w:hAnsi="Arial" w:cs="Arial"/>
                <w:sz w:val="18"/>
                <w:szCs w:val="18"/>
                <w:lang w:eastAsia="pt-BR"/>
              </w:rPr>
            </w:pPr>
          </w:p>
        </w:tc>
        <w:tc>
          <w:tcPr>
            <w:tcW w:w="840" w:type="dxa"/>
            <w:tcBorders>
              <w:bottom w:val="single" w:sz="8" w:space="0" w:color="000000"/>
              <w:right w:val="single" w:sz="8" w:space="0" w:color="000000"/>
            </w:tcBorders>
            <w:shd w:val="clear" w:color="auto" w:fill="auto"/>
            <w:vAlign w:val="center"/>
          </w:tcPr>
          <w:p w14:paraId="335751BA" w14:textId="77777777" w:rsidR="00901CDC" w:rsidRPr="00DD32CB" w:rsidRDefault="00901CDC">
            <w:pPr>
              <w:widowControl w:val="0"/>
              <w:spacing w:after="0" w:line="240" w:lineRule="auto"/>
              <w:rPr>
                <w:rFonts w:ascii="Arial" w:eastAsia="MS Mincho" w:hAnsi="Arial" w:cs="Arial"/>
                <w:sz w:val="18"/>
                <w:szCs w:val="18"/>
                <w:lang w:eastAsia="pt-BR"/>
              </w:rPr>
            </w:pPr>
          </w:p>
        </w:tc>
      </w:tr>
      <w:tr w:rsidR="00F92333" w:rsidRPr="00DD32CB" w14:paraId="13EA869A" w14:textId="77777777" w:rsidTr="00F92333">
        <w:trPr>
          <w:trHeight w:val="708"/>
          <w:jc w:val="center"/>
        </w:trPr>
        <w:tc>
          <w:tcPr>
            <w:tcW w:w="545" w:type="dxa"/>
            <w:tcBorders>
              <w:left w:val="single" w:sz="8" w:space="0" w:color="000000"/>
              <w:bottom w:val="single" w:sz="8" w:space="0" w:color="000000"/>
              <w:right w:val="single" w:sz="8" w:space="0" w:color="000000"/>
            </w:tcBorders>
            <w:shd w:val="clear" w:color="auto" w:fill="auto"/>
            <w:vAlign w:val="center"/>
          </w:tcPr>
          <w:p w14:paraId="3538AFAD" w14:textId="77777777" w:rsidR="00901CDC" w:rsidRPr="00DD32CB" w:rsidRDefault="00DD550A">
            <w:pPr>
              <w:widowControl w:val="0"/>
              <w:spacing w:after="0" w:line="240" w:lineRule="auto"/>
              <w:jc w:val="center"/>
              <w:rPr>
                <w:rFonts w:ascii="Arial" w:eastAsia="MS Mincho" w:hAnsi="Arial" w:cs="Arial"/>
                <w:sz w:val="18"/>
                <w:szCs w:val="18"/>
                <w:lang w:eastAsia="pt-BR"/>
              </w:rPr>
            </w:pPr>
            <w:r w:rsidRPr="00DD32CB">
              <w:rPr>
                <w:rFonts w:ascii="Arial" w:hAnsi="Arial" w:cs="Arial"/>
                <w:sz w:val="18"/>
                <w:szCs w:val="18"/>
              </w:rPr>
              <w:lastRenderedPageBreak/>
              <w:t>2</w:t>
            </w:r>
          </w:p>
        </w:tc>
        <w:tc>
          <w:tcPr>
            <w:tcW w:w="577" w:type="dxa"/>
            <w:tcBorders>
              <w:bottom w:val="single" w:sz="8" w:space="0" w:color="000000"/>
              <w:right w:val="single" w:sz="8" w:space="0" w:color="000000"/>
            </w:tcBorders>
            <w:shd w:val="clear" w:color="auto" w:fill="auto"/>
            <w:vAlign w:val="center"/>
          </w:tcPr>
          <w:p w14:paraId="5AB85C28" w14:textId="77777777" w:rsidR="00901CDC" w:rsidRPr="00DD32CB" w:rsidRDefault="00DD550A">
            <w:pPr>
              <w:widowControl w:val="0"/>
              <w:spacing w:after="0" w:line="240" w:lineRule="auto"/>
              <w:jc w:val="center"/>
              <w:rPr>
                <w:rFonts w:ascii="Arial" w:eastAsia="MS Mincho" w:hAnsi="Arial" w:cs="Arial"/>
                <w:sz w:val="18"/>
                <w:szCs w:val="18"/>
                <w:lang w:eastAsia="pt-BR"/>
              </w:rPr>
            </w:pPr>
            <w:r w:rsidRPr="00DD32CB">
              <w:rPr>
                <w:rFonts w:ascii="Arial" w:hAnsi="Arial" w:cs="Arial"/>
                <w:sz w:val="18"/>
                <w:szCs w:val="18"/>
              </w:rPr>
              <w:t>4500</w:t>
            </w:r>
          </w:p>
        </w:tc>
        <w:tc>
          <w:tcPr>
            <w:tcW w:w="554" w:type="dxa"/>
            <w:tcBorders>
              <w:bottom w:val="single" w:sz="8" w:space="0" w:color="000000"/>
              <w:right w:val="single" w:sz="8" w:space="0" w:color="000000"/>
            </w:tcBorders>
            <w:shd w:val="clear" w:color="auto" w:fill="auto"/>
            <w:vAlign w:val="center"/>
          </w:tcPr>
          <w:p w14:paraId="6DB46257" w14:textId="77777777" w:rsidR="00901CDC" w:rsidRPr="00DD32CB" w:rsidRDefault="00DD550A">
            <w:pPr>
              <w:widowControl w:val="0"/>
              <w:spacing w:after="0" w:line="240" w:lineRule="auto"/>
              <w:jc w:val="center"/>
              <w:rPr>
                <w:rFonts w:ascii="Arial" w:eastAsia="MS Mincho" w:hAnsi="Arial" w:cs="Arial"/>
                <w:sz w:val="18"/>
                <w:szCs w:val="18"/>
                <w:lang w:eastAsia="pt-BR"/>
              </w:rPr>
            </w:pPr>
            <w:proofErr w:type="spellStart"/>
            <w:r w:rsidRPr="00DD32CB">
              <w:rPr>
                <w:rFonts w:ascii="Arial" w:hAnsi="Arial" w:cs="Arial"/>
                <w:sz w:val="18"/>
                <w:szCs w:val="18"/>
              </w:rPr>
              <w:t>un</w:t>
            </w:r>
            <w:proofErr w:type="spellEnd"/>
          </w:p>
        </w:tc>
        <w:tc>
          <w:tcPr>
            <w:tcW w:w="2992" w:type="dxa"/>
            <w:tcBorders>
              <w:bottom w:val="single" w:sz="8" w:space="0" w:color="000000"/>
              <w:right w:val="single" w:sz="8" w:space="0" w:color="000000"/>
            </w:tcBorders>
            <w:shd w:val="clear" w:color="auto" w:fill="auto"/>
            <w:vAlign w:val="center"/>
          </w:tcPr>
          <w:p w14:paraId="3C2D8E74" w14:textId="77777777" w:rsidR="00901CDC" w:rsidRPr="00DD32CB" w:rsidRDefault="00DD550A" w:rsidP="00824413">
            <w:pPr>
              <w:suppressAutoHyphens w:val="0"/>
              <w:spacing w:beforeAutospacing="1" w:after="135" w:line="240" w:lineRule="auto"/>
              <w:jc w:val="both"/>
              <w:rPr>
                <w:rFonts w:ascii="Arial" w:eastAsia="Times New Roman" w:hAnsi="Arial" w:cs="Arial"/>
                <w:color w:val="000000"/>
                <w:sz w:val="18"/>
                <w:szCs w:val="18"/>
                <w:lang w:eastAsia="pt-BR"/>
              </w:rPr>
            </w:pPr>
            <w:r w:rsidRPr="00DD32CB">
              <w:rPr>
                <w:rFonts w:ascii="Arial" w:eastAsia="Times New Roman" w:hAnsi="Arial" w:cs="Arial"/>
                <w:color w:val="000000"/>
                <w:sz w:val="18"/>
                <w:szCs w:val="18"/>
                <w:lang w:eastAsia="pt-BR"/>
              </w:rPr>
              <w:t>OBSERVAÇÃO: ESTA CADEIRA DEVE SER IGUAL À DO ITEM 1, PORÉM</w:t>
            </w:r>
            <w:r w:rsidRPr="00DD32CB">
              <w:rPr>
                <w:rFonts w:ascii="Arial" w:eastAsia="Times New Roman" w:hAnsi="Arial" w:cs="Arial"/>
                <w:b/>
                <w:bCs/>
                <w:color w:val="000000"/>
                <w:sz w:val="18"/>
                <w:szCs w:val="18"/>
                <w:lang w:eastAsia="pt-BR"/>
              </w:rPr>
              <w:t> SEM O APOIO DE CABEÇA</w:t>
            </w:r>
            <w:r w:rsidRPr="00DD32CB">
              <w:rPr>
                <w:rFonts w:ascii="Arial" w:eastAsia="Times New Roman" w:hAnsi="Arial" w:cs="Arial"/>
                <w:color w:val="000000"/>
                <w:sz w:val="18"/>
                <w:szCs w:val="18"/>
                <w:lang w:eastAsia="pt-BR"/>
              </w:rPr>
              <w:t>. CARACTERÍSTICAS GERAIS</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 xml:space="preserve">Cadeira operacional, anatômica, </w:t>
            </w:r>
            <w:r w:rsidRPr="00DD32CB">
              <w:rPr>
                <w:rFonts w:ascii="Arial" w:eastAsia="Times New Roman" w:hAnsi="Arial" w:cs="Arial"/>
                <w:color w:val="000000"/>
                <w:sz w:val="18"/>
                <w:szCs w:val="18"/>
                <w:lang w:eastAsia="pt-BR"/>
              </w:rPr>
              <w:lastRenderedPageBreak/>
              <w:t>concha dupla, sem visual monobloco. Design: encosto com desenho frontal de linhas retas, formato predominantemente retangular; braços com desenho de linhas retas, em T (estrutura e apoio de braço). O design visa à harmonia estética com o mobiliário já existente na PGJ.</w:t>
            </w:r>
          </w:p>
          <w:p w14:paraId="3ABED2E1" w14:textId="77777777" w:rsidR="00901CDC" w:rsidRPr="00DD32CB" w:rsidRDefault="00DD550A" w:rsidP="00824413">
            <w:pPr>
              <w:suppressAutoHyphens w:val="0"/>
              <w:spacing w:beforeAutospacing="1" w:after="135" w:line="240" w:lineRule="auto"/>
              <w:jc w:val="both"/>
              <w:rPr>
                <w:rFonts w:ascii="Arial" w:eastAsia="Times New Roman" w:hAnsi="Arial" w:cs="Arial"/>
                <w:color w:val="000000"/>
                <w:sz w:val="18"/>
                <w:szCs w:val="18"/>
                <w:lang w:eastAsia="pt-BR"/>
              </w:rPr>
            </w:pPr>
            <w:r w:rsidRPr="00DD32CB">
              <w:rPr>
                <w:rFonts w:ascii="Arial" w:eastAsia="Times New Roman" w:hAnsi="Arial" w:cs="Arial"/>
                <w:color w:val="000000"/>
                <w:sz w:val="18"/>
                <w:szCs w:val="18"/>
                <w:lang w:eastAsia="pt-BR"/>
              </w:rPr>
              <w:br/>
              <w:t>ENCOSTO</w:t>
            </w:r>
            <w:r w:rsidRPr="00DD32CB">
              <w:rPr>
                <w:rFonts w:ascii="Arial" w:eastAsia="Times New Roman" w:hAnsi="Arial" w:cs="Arial"/>
                <w:color w:val="000000"/>
                <w:sz w:val="18"/>
                <w:szCs w:val="18"/>
                <w:lang w:eastAsia="pt-BR"/>
              </w:rPr>
              <w:br/>
              <w:t xml:space="preserve">a) estrutura formada por quadro injetado de fibra sintética ou plástico de engenharia (resina termoplástica). Alta resistência mecânica e ao </w:t>
            </w:r>
            <w:proofErr w:type="spellStart"/>
            <w:r w:rsidRPr="00DD32CB">
              <w:rPr>
                <w:rFonts w:ascii="Arial" w:eastAsia="Times New Roman" w:hAnsi="Arial" w:cs="Arial"/>
                <w:color w:val="000000"/>
                <w:sz w:val="18"/>
                <w:szCs w:val="18"/>
                <w:lang w:eastAsia="pt-BR"/>
              </w:rPr>
              <w:t>esgaçamento</w:t>
            </w:r>
            <w:proofErr w:type="spellEnd"/>
            <w:r w:rsidRPr="00DD32CB">
              <w:rPr>
                <w:rFonts w:ascii="Arial" w:eastAsia="Times New Roman" w:hAnsi="Arial" w:cs="Arial"/>
                <w:color w:val="000000"/>
                <w:sz w:val="18"/>
                <w:szCs w:val="18"/>
                <w:lang w:eastAsia="pt-BR"/>
              </w:rPr>
              <w:t>. Indeformável. Cor preta. Curvatura anatômica para finalidade de cadeira operacional.</w:t>
            </w:r>
            <w:r w:rsidRPr="00DD32CB">
              <w:rPr>
                <w:rFonts w:ascii="Arial" w:eastAsia="Times New Roman" w:hAnsi="Arial" w:cs="Arial"/>
                <w:color w:val="000000"/>
                <w:sz w:val="18"/>
                <w:szCs w:val="18"/>
                <w:lang w:eastAsia="pt-BR"/>
              </w:rPr>
              <w:br/>
              <w:t>b) revestimento do encosto: de tela própria para o uso em cadeira operacional, resistente, durável, maleável, indeformável, constituída de fios entrelaçados de forma a permitir certa transparência, 100% poliéster, toque macio, fácil limpeza, ocupando toda a área frontal do encosto, sem cobrir a parte de trás, a fim de evitar danos na tela quando a cadeira apresentar atritos com os elementos fixos dos ambientes. Cor preta.</w:t>
            </w:r>
            <w:r w:rsidRPr="00DD32CB">
              <w:rPr>
                <w:rFonts w:ascii="Arial" w:eastAsia="Times New Roman" w:hAnsi="Arial" w:cs="Arial"/>
                <w:color w:val="000000"/>
                <w:sz w:val="18"/>
                <w:szCs w:val="18"/>
                <w:lang w:eastAsia="pt-BR"/>
              </w:rPr>
              <w:br/>
              <w:t>c) sistema de união do encosto/assento/mecanismo: peça estrutural de alumínio injetado polido e/ou de aço de alta resistência mecânica, tratado anticorrosão e antiferrugem e acabado, nas partes aparentes, com pintura eletrostática preta ou cromada, de alta resistência a intempéries e ao descascamento. Resistente. Indeformável.</w:t>
            </w:r>
            <w:r w:rsidRPr="00DD32CB">
              <w:rPr>
                <w:rFonts w:ascii="Arial" w:eastAsia="Times New Roman" w:hAnsi="Arial" w:cs="Arial"/>
                <w:color w:val="000000"/>
                <w:sz w:val="18"/>
                <w:szCs w:val="18"/>
                <w:lang w:eastAsia="pt-BR"/>
              </w:rPr>
              <w:br/>
              <w:t>d) regulagem: de inclinação através do uso de manivela/</w:t>
            </w:r>
            <w:proofErr w:type="spellStart"/>
            <w:r w:rsidRPr="00DD32CB">
              <w:rPr>
                <w:rFonts w:ascii="Arial" w:eastAsia="Times New Roman" w:hAnsi="Arial" w:cs="Arial"/>
                <w:color w:val="000000"/>
                <w:sz w:val="18"/>
                <w:szCs w:val="18"/>
                <w:lang w:eastAsia="pt-BR"/>
              </w:rPr>
              <w:t>manípolo</w:t>
            </w:r>
            <w:proofErr w:type="spellEnd"/>
            <w:r w:rsidRPr="00DD32CB">
              <w:rPr>
                <w:rFonts w:ascii="Arial" w:eastAsia="Times New Roman" w:hAnsi="Arial" w:cs="Arial"/>
                <w:color w:val="000000"/>
                <w:sz w:val="18"/>
                <w:szCs w:val="18"/>
                <w:lang w:eastAsia="pt-BR"/>
              </w:rPr>
              <w:t xml:space="preserve"> sob o assento. Inúmeras posições de bloqueio. Regulagem da região lombar (vertical) obtida a partir do deslocamento vertical de todo o encosto ou apenas da porção que proporciona o apoio lombar, como peça acoplada ao encosto.</w:t>
            </w:r>
            <w:r w:rsidRPr="00DD32CB">
              <w:rPr>
                <w:rFonts w:ascii="Arial" w:eastAsia="Times New Roman" w:hAnsi="Arial" w:cs="Arial"/>
                <w:color w:val="000000"/>
                <w:sz w:val="18"/>
                <w:szCs w:val="18"/>
                <w:lang w:eastAsia="pt-BR"/>
              </w:rPr>
              <w:br/>
              <w:t xml:space="preserve">e) apoio lombar: caso existente como peça em separado sobreposta ao encosto, devem ser utilizados materiais resistentes e que proporcionem fácil ajuste pelo usuário, acessível </w:t>
            </w:r>
            <w:r w:rsidRPr="00DD32CB">
              <w:rPr>
                <w:rFonts w:ascii="Arial" w:eastAsia="Times New Roman" w:hAnsi="Arial" w:cs="Arial"/>
                <w:color w:val="000000"/>
                <w:sz w:val="18"/>
                <w:szCs w:val="18"/>
                <w:lang w:eastAsia="pt-BR"/>
              </w:rPr>
              <w:lastRenderedPageBreak/>
              <w:t>e de fácil manuseio. Conforto térmico. Formato anatômico.</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Determinação do grau de inclinação do encosto, faixa de regulagem da inclinação do encosto: sugiro que a faixa de regulagem cubra esta extensão de angulação (95 a 110°), podendo ultrapassá-la.</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Faixa de regulagem de altura do apoio lombar: regulagem da altura do ponto S do encosto deve contemplar a altura mínima de 170mm e máxima de 220mm em relação ao ponto ‘a’ do assento formado pela interseção do plano mediano e do plano.</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Encosto com apoio lombar com raio mínimo de 400mm.</w:t>
            </w:r>
            <w:r w:rsidRPr="00DD32CB">
              <w:rPr>
                <w:rFonts w:ascii="Arial" w:eastAsia="Times New Roman" w:hAnsi="Arial" w:cs="Arial"/>
                <w:color w:val="000000"/>
                <w:sz w:val="18"/>
                <w:szCs w:val="18"/>
                <w:lang w:eastAsia="pt-BR"/>
              </w:rPr>
              <w:br/>
              <w:t>Do ponto de vista da NR-17(Portaria PORTARIA/MTP Nº 423, DE 7 DE OUTUBRO DE 2021, nova redação da Norma Regulamentadora nº 17 – Ergonomia), não há outras considerações.</w:t>
            </w:r>
          </w:p>
          <w:p w14:paraId="45ACDA4E" w14:textId="77777777" w:rsidR="00901CDC" w:rsidRPr="00DD32CB" w:rsidRDefault="00DD550A" w:rsidP="00824413">
            <w:pPr>
              <w:suppressAutoHyphens w:val="0"/>
              <w:spacing w:beforeAutospacing="1" w:after="135" w:line="240" w:lineRule="auto"/>
              <w:jc w:val="both"/>
              <w:rPr>
                <w:rFonts w:ascii="Arial" w:eastAsia="Times New Roman" w:hAnsi="Arial" w:cs="Arial"/>
                <w:color w:val="000000"/>
                <w:sz w:val="18"/>
                <w:szCs w:val="18"/>
                <w:lang w:eastAsia="pt-BR"/>
              </w:rPr>
            </w:pPr>
            <w:r w:rsidRPr="00DD32CB">
              <w:rPr>
                <w:rFonts w:ascii="Arial" w:eastAsia="Times New Roman" w:hAnsi="Arial" w:cs="Arial"/>
                <w:color w:val="000000"/>
                <w:sz w:val="18"/>
                <w:szCs w:val="18"/>
                <w:lang w:eastAsia="pt-BR"/>
              </w:rPr>
              <w:br/>
              <w:t>ASSENTO</w:t>
            </w:r>
            <w:r w:rsidRPr="00DD32CB">
              <w:rPr>
                <w:rFonts w:ascii="Arial" w:eastAsia="Times New Roman" w:hAnsi="Arial" w:cs="Arial"/>
                <w:color w:val="000000"/>
                <w:sz w:val="18"/>
                <w:szCs w:val="18"/>
                <w:lang w:eastAsia="pt-BR"/>
              </w:rPr>
              <w:br/>
              <w:t xml:space="preserve">a) Estrutura formada por concha conformada anatomicamente. Fabricada por fibra sintética ou plástico de engenharia ou compensado de madeira espessura mínima 12mm ou material de funções, resistência e qualidade equivalentes, a critério do fabricante. Assento estruturado em compensado </w:t>
            </w:r>
            <w:proofErr w:type="spellStart"/>
            <w:r w:rsidRPr="00DD32CB">
              <w:rPr>
                <w:rFonts w:ascii="Arial" w:eastAsia="Times New Roman" w:hAnsi="Arial" w:cs="Arial"/>
                <w:color w:val="000000"/>
                <w:sz w:val="18"/>
                <w:szCs w:val="18"/>
                <w:lang w:eastAsia="pt-BR"/>
              </w:rPr>
              <w:t>multilaminado</w:t>
            </w:r>
            <w:proofErr w:type="spellEnd"/>
            <w:r w:rsidRPr="00DD32CB">
              <w:rPr>
                <w:rFonts w:ascii="Arial" w:eastAsia="Times New Roman" w:hAnsi="Arial" w:cs="Arial"/>
                <w:color w:val="000000"/>
                <w:sz w:val="18"/>
                <w:szCs w:val="18"/>
                <w:lang w:eastAsia="pt-BR"/>
              </w:rPr>
              <w:t>, resinado e prensado, a partir de madeiras oriundas de manejos sustentáveis,</w:t>
            </w:r>
            <w:r w:rsidRPr="00DD32CB">
              <w:rPr>
                <w:rFonts w:ascii="Arial" w:eastAsia="Times New Roman" w:hAnsi="Arial" w:cs="Arial"/>
                <w:color w:val="000000"/>
                <w:sz w:val="18"/>
                <w:szCs w:val="18"/>
                <w:lang w:eastAsia="pt-BR"/>
              </w:rPr>
              <w:br/>
              <w:t>b) Espuma injetada, poliuretano flexível, anatômica, borda frontal conformada, densidade controlada, isenta de CFC, alta resiliência à propagação de rasgos, alta tensão de alongamento e ruptura, baixa deformação permanente. Densidade de 45 a 60 kg/m³. Espessura média de 40mm a 60mm. Borda frontal arredondada favorecendo a circulação sanguínea. Apresentar documentação.</w:t>
            </w:r>
            <w:r w:rsidRPr="00DD32CB">
              <w:rPr>
                <w:rFonts w:ascii="Arial" w:eastAsia="Times New Roman" w:hAnsi="Arial" w:cs="Arial"/>
                <w:color w:val="000000"/>
                <w:sz w:val="18"/>
                <w:szCs w:val="18"/>
                <w:lang w:eastAsia="pt-BR"/>
              </w:rPr>
              <w:br/>
              <w:t xml:space="preserve">c) Contra capa do assento: </w:t>
            </w:r>
            <w:proofErr w:type="spellStart"/>
            <w:r w:rsidRPr="00DD32CB">
              <w:rPr>
                <w:rFonts w:ascii="Arial" w:eastAsia="Times New Roman" w:hAnsi="Arial" w:cs="Arial"/>
                <w:color w:val="000000"/>
                <w:sz w:val="18"/>
                <w:szCs w:val="18"/>
                <w:lang w:eastAsia="pt-BR"/>
              </w:rPr>
              <w:t>pré</w:t>
            </w:r>
            <w:proofErr w:type="spellEnd"/>
            <w:r w:rsidRPr="00DD32CB">
              <w:rPr>
                <w:rFonts w:ascii="Arial" w:eastAsia="Times New Roman" w:hAnsi="Arial" w:cs="Arial"/>
                <w:color w:val="000000"/>
                <w:sz w:val="18"/>
                <w:szCs w:val="18"/>
                <w:lang w:eastAsia="pt-BR"/>
              </w:rPr>
              <w:t xml:space="preserve"> </w:t>
            </w:r>
            <w:r w:rsidRPr="00DD32CB">
              <w:rPr>
                <w:rFonts w:ascii="Arial" w:eastAsia="Times New Roman" w:hAnsi="Arial" w:cs="Arial"/>
                <w:color w:val="000000"/>
                <w:sz w:val="18"/>
                <w:szCs w:val="18"/>
                <w:lang w:eastAsia="pt-BR"/>
              </w:rPr>
              <w:lastRenderedPageBreak/>
              <w:t xml:space="preserve">moldado, injetado em fibra sintética ou em plástico de engenharia (resina termoplástica). Alta resistência mecânica e ao </w:t>
            </w:r>
            <w:proofErr w:type="spellStart"/>
            <w:r w:rsidRPr="00DD32CB">
              <w:rPr>
                <w:rFonts w:ascii="Arial" w:eastAsia="Times New Roman" w:hAnsi="Arial" w:cs="Arial"/>
                <w:color w:val="000000"/>
                <w:sz w:val="18"/>
                <w:szCs w:val="18"/>
                <w:lang w:eastAsia="pt-BR"/>
              </w:rPr>
              <w:t>esgaçamento</w:t>
            </w:r>
            <w:proofErr w:type="spellEnd"/>
            <w:r w:rsidRPr="00DD32CB">
              <w:rPr>
                <w:rFonts w:ascii="Arial" w:eastAsia="Times New Roman" w:hAnsi="Arial" w:cs="Arial"/>
                <w:color w:val="000000"/>
                <w:sz w:val="18"/>
                <w:szCs w:val="18"/>
                <w:lang w:eastAsia="pt-BR"/>
              </w:rPr>
              <w:t>. Cor preta</w:t>
            </w:r>
            <w:r w:rsidRPr="00DD32CB">
              <w:rPr>
                <w:rFonts w:ascii="Arial" w:eastAsia="Times New Roman" w:hAnsi="Arial" w:cs="Arial"/>
                <w:color w:val="000000"/>
                <w:sz w:val="18"/>
                <w:szCs w:val="18"/>
                <w:lang w:eastAsia="pt-BR"/>
              </w:rPr>
              <w:br/>
              <w:t xml:space="preserve">d) Revestimento em couro sintético, </w:t>
            </w:r>
            <w:proofErr w:type="spellStart"/>
            <w:r w:rsidRPr="00DD32CB">
              <w:rPr>
                <w:rFonts w:ascii="Arial" w:eastAsia="Times New Roman" w:hAnsi="Arial" w:cs="Arial"/>
                <w:color w:val="000000"/>
                <w:sz w:val="18"/>
                <w:szCs w:val="18"/>
                <w:lang w:eastAsia="pt-BR"/>
              </w:rPr>
              <w:t>semi</w:t>
            </w:r>
            <w:proofErr w:type="spellEnd"/>
            <w:r w:rsidRPr="00DD32CB">
              <w:rPr>
                <w:rFonts w:ascii="Arial" w:eastAsia="Times New Roman" w:hAnsi="Arial" w:cs="Arial"/>
                <w:color w:val="000000"/>
                <w:sz w:val="18"/>
                <w:szCs w:val="18"/>
                <w:lang w:eastAsia="pt-BR"/>
              </w:rPr>
              <w:t xml:space="preserve"> brilho, cor preta, espessura mínima 0.8mm, produzido em alta tecnologia que apresente resistência, resiliência, facilidade de manutenção e de limpeza, durabilidade, conforto e macies ao toque. Composição predominante de PVC e de Poliéster, avesso de malha de algodão. Referência: Marca York Plástico ou </w:t>
            </w:r>
            <w:proofErr w:type="spellStart"/>
            <w:r w:rsidRPr="00DD32CB">
              <w:rPr>
                <w:rFonts w:ascii="Arial" w:eastAsia="Times New Roman" w:hAnsi="Arial" w:cs="Arial"/>
                <w:color w:val="000000"/>
                <w:sz w:val="18"/>
                <w:szCs w:val="18"/>
                <w:lang w:eastAsia="pt-BR"/>
              </w:rPr>
              <w:t>similiar</w:t>
            </w:r>
            <w:proofErr w:type="spellEnd"/>
            <w:r w:rsidRPr="00DD32CB">
              <w:rPr>
                <w:rFonts w:ascii="Arial" w:eastAsia="Times New Roman" w:hAnsi="Arial" w:cs="Arial"/>
                <w:color w:val="000000"/>
                <w:sz w:val="18"/>
                <w:szCs w:val="18"/>
                <w:lang w:eastAsia="pt-BR"/>
              </w:rPr>
              <w:t>.</w:t>
            </w:r>
            <w:r w:rsidRPr="00DD32CB">
              <w:rPr>
                <w:rFonts w:ascii="Arial" w:eastAsia="Times New Roman" w:hAnsi="Arial" w:cs="Arial"/>
                <w:color w:val="000000"/>
                <w:sz w:val="18"/>
                <w:szCs w:val="18"/>
                <w:lang w:eastAsia="pt-BR"/>
              </w:rPr>
              <w:br/>
              <w:t>e) Regulagens: de altura, por pistão pneumático, e de profundidade. O assento da cadeira deve possuir regulagem de altura mínima de 420mm e máxima de 500mm, incorporando as dimensões mínima e máximas, podendo no entanto ultrapassá-las.</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A cadeira deve possuir regulagem de profundidade de no mínimo 50mm. A cadeira deve possuir ângulo de inclinação do assento com faixa de regulagem de -2° a 7°, podendo, no entanto, ultrapassá-la. Do ponto de vista da NR-17(Portaria PORTARIA/MTP Nº 423, DE 7 DE OUTUBRO DE 2021, nova redação da Norma Regulamentadora nº 17 – Ergonomia), não há outras considerações.</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MECANISMOS</w:t>
            </w:r>
            <w:r w:rsidRPr="00DD32CB">
              <w:rPr>
                <w:rFonts w:ascii="Arial" w:eastAsia="Times New Roman" w:hAnsi="Arial" w:cs="Arial"/>
                <w:color w:val="000000"/>
                <w:sz w:val="18"/>
                <w:szCs w:val="18"/>
                <w:lang w:eastAsia="pt-BR"/>
              </w:rPr>
              <w:br/>
              <w:t xml:space="preserve">Sistema de </w:t>
            </w:r>
            <w:proofErr w:type="spellStart"/>
            <w:r w:rsidRPr="00DD32CB">
              <w:rPr>
                <w:rFonts w:ascii="Arial" w:eastAsia="Times New Roman" w:hAnsi="Arial" w:cs="Arial"/>
                <w:color w:val="000000"/>
                <w:sz w:val="18"/>
                <w:szCs w:val="18"/>
                <w:lang w:eastAsia="pt-BR"/>
              </w:rPr>
              <w:t>reclinio</w:t>
            </w:r>
            <w:proofErr w:type="spellEnd"/>
            <w:r w:rsidRPr="00DD32CB">
              <w:rPr>
                <w:rFonts w:ascii="Arial" w:eastAsia="Times New Roman" w:hAnsi="Arial" w:cs="Arial"/>
                <w:color w:val="000000"/>
                <w:sz w:val="18"/>
                <w:szCs w:val="18"/>
                <w:lang w:eastAsia="pt-BR"/>
              </w:rPr>
              <w:t xml:space="preserve"> sincronizado assento e encosto, na proporção 2:1, acionado por mecanismo de liberação e travamento.</w:t>
            </w:r>
            <w:r w:rsidRPr="00DD32CB">
              <w:rPr>
                <w:rFonts w:ascii="Arial" w:eastAsia="Times New Roman" w:hAnsi="Arial" w:cs="Arial"/>
                <w:color w:val="000000"/>
                <w:sz w:val="18"/>
                <w:szCs w:val="18"/>
                <w:lang w:eastAsia="pt-BR"/>
              </w:rPr>
              <w:br/>
              <w:t>Sistema de regulagem da pressão da mola através da tecnologia peso/pessoa, que consiste na adequação automática conforme o biotipo/peso do usuário, ou através do uso de manivela/</w:t>
            </w:r>
            <w:proofErr w:type="spellStart"/>
            <w:r w:rsidRPr="00DD32CB">
              <w:rPr>
                <w:rFonts w:ascii="Arial" w:eastAsia="Times New Roman" w:hAnsi="Arial" w:cs="Arial"/>
                <w:color w:val="000000"/>
                <w:sz w:val="18"/>
                <w:szCs w:val="18"/>
                <w:lang w:eastAsia="pt-BR"/>
              </w:rPr>
              <w:t>manípolo</w:t>
            </w:r>
            <w:proofErr w:type="spellEnd"/>
            <w:r w:rsidRPr="00DD32CB">
              <w:rPr>
                <w:rFonts w:ascii="Arial" w:eastAsia="Times New Roman" w:hAnsi="Arial" w:cs="Arial"/>
                <w:color w:val="000000"/>
                <w:sz w:val="18"/>
                <w:szCs w:val="18"/>
                <w:lang w:eastAsia="pt-BR"/>
              </w:rPr>
              <w:t xml:space="preserve"> sob o assento.</w:t>
            </w:r>
            <w:r w:rsidRPr="00DD32CB">
              <w:rPr>
                <w:rFonts w:ascii="Arial" w:eastAsia="Times New Roman" w:hAnsi="Arial" w:cs="Arial"/>
                <w:color w:val="000000"/>
                <w:sz w:val="18"/>
                <w:szCs w:val="18"/>
                <w:lang w:eastAsia="pt-BR"/>
              </w:rPr>
              <w:br/>
              <w:t>Sistema para livre flutuação (relax).</w:t>
            </w:r>
            <w:r w:rsidRPr="00DD32CB">
              <w:rPr>
                <w:rFonts w:ascii="Arial" w:eastAsia="Times New Roman" w:hAnsi="Arial" w:cs="Arial"/>
                <w:color w:val="000000"/>
                <w:sz w:val="18"/>
                <w:szCs w:val="18"/>
                <w:lang w:eastAsia="pt-BR"/>
              </w:rPr>
              <w:br/>
              <w:t xml:space="preserve">Sistema </w:t>
            </w:r>
            <w:proofErr w:type="spellStart"/>
            <w:r w:rsidRPr="00DD32CB">
              <w:rPr>
                <w:rFonts w:ascii="Arial" w:eastAsia="Times New Roman" w:hAnsi="Arial" w:cs="Arial"/>
                <w:color w:val="000000"/>
                <w:sz w:val="18"/>
                <w:szCs w:val="18"/>
                <w:lang w:eastAsia="pt-BR"/>
              </w:rPr>
              <w:t>antipanico</w:t>
            </w:r>
            <w:proofErr w:type="spellEnd"/>
            <w:r w:rsidRPr="00DD32CB">
              <w:rPr>
                <w:rFonts w:ascii="Arial" w:eastAsia="Times New Roman" w:hAnsi="Arial" w:cs="Arial"/>
                <w:color w:val="000000"/>
                <w:sz w:val="18"/>
                <w:szCs w:val="18"/>
                <w:lang w:eastAsia="pt-BR"/>
              </w:rPr>
              <w:t>. Solução para amortecimento de impactos, com características técnicas a critério do fabricante.</w:t>
            </w:r>
            <w:r w:rsidRPr="00DD32CB">
              <w:rPr>
                <w:rFonts w:ascii="Arial" w:eastAsia="Times New Roman" w:hAnsi="Arial" w:cs="Arial"/>
                <w:color w:val="000000"/>
                <w:sz w:val="18"/>
                <w:szCs w:val="18"/>
                <w:lang w:eastAsia="pt-BR"/>
              </w:rPr>
              <w:br/>
              <w:t xml:space="preserve">Solução para movimentos suaves de toda a engrenagem, com </w:t>
            </w:r>
            <w:r w:rsidRPr="00DD32CB">
              <w:rPr>
                <w:rFonts w:ascii="Arial" w:eastAsia="Times New Roman" w:hAnsi="Arial" w:cs="Arial"/>
                <w:color w:val="000000"/>
                <w:sz w:val="18"/>
                <w:szCs w:val="18"/>
                <w:lang w:eastAsia="pt-BR"/>
              </w:rPr>
              <w:lastRenderedPageBreak/>
              <w:t xml:space="preserve">características técnicas a critério do fabricante. Coluna de regulagem de altura por acionamento a gás. Tubo de alumínio ou aço de aproximadamente 50mm X 1.5mm de espessura. Encaixe de precisão através do tipo "cone </w:t>
            </w:r>
            <w:proofErr w:type="spellStart"/>
            <w:r w:rsidRPr="00DD32CB">
              <w:rPr>
                <w:rFonts w:ascii="Arial" w:eastAsia="Times New Roman" w:hAnsi="Arial" w:cs="Arial"/>
                <w:color w:val="000000"/>
                <w:sz w:val="18"/>
                <w:szCs w:val="18"/>
                <w:lang w:eastAsia="pt-BR"/>
              </w:rPr>
              <w:t>morse</w:t>
            </w:r>
            <w:proofErr w:type="spellEnd"/>
            <w:r w:rsidRPr="00DD32CB">
              <w:rPr>
                <w:rFonts w:ascii="Arial" w:eastAsia="Times New Roman" w:hAnsi="Arial" w:cs="Arial"/>
                <w:color w:val="000000"/>
                <w:sz w:val="18"/>
                <w:szCs w:val="18"/>
                <w:lang w:eastAsia="pt-BR"/>
              </w:rPr>
              <w:t>". Pistão a gás classe 4 – será solicitada a comprovação da classificação.</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BASE giratória, com 5 patas, com rodízio duplo giro. Alumínio injetado com polimento na face externa. Estruturado para apresentar alta resistência mecânica. Junção dos rodízios por meio de encaixe.</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RODÍZIO duplo, 65mm de diâmetro aproximadamente, injetado em plástico de engenharia (resinas termoplásticas), eixos vertical e horizontal em aço. Duplo giro. Acoplamento fácil e seguro à base. Banda de rolagem poliuretana para utilização em qualquer tipo de piso.</w:t>
            </w:r>
            <w:r w:rsidRPr="00DD32CB">
              <w:rPr>
                <w:rFonts w:ascii="Arial" w:eastAsia="Times New Roman" w:hAnsi="Arial" w:cs="Arial"/>
                <w:color w:val="000000"/>
                <w:sz w:val="18"/>
                <w:szCs w:val="18"/>
                <w:lang w:eastAsia="pt-BR"/>
              </w:rPr>
              <w:br/>
              <w:t>RODÍZIOS 05 rodízios de duplos, com 65mm de diâmetro, duplo giro, rodas injetadas em plástico de engenharia, banda de rodagem para utilização em qualquer tipo de piso.</w:t>
            </w:r>
          </w:p>
          <w:p w14:paraId="133FB0A4" w14:textId="77777777" w:rsidR="00901CDC" w:rsidRPr="00DD32CB" w:rsidRDefault="00DD550A" w:rsidP="00824413">
            <w:pPr>
              <w:suppressAutoHyphens w:val="0"/>
              <w:spacing w:beforeAutospacing="1" w:after="135" w:line="240" w:lineRule="auto"/>
              <w:jc w:val="both"/>
              <w:rPr>
                <w:rFonts w:ascii="Arial" w:eastAsia="Times New Roman" w:hAnsi="Arial" w:cs="Arial"/>
                <w:color w:val="000000"/>
                <w:sz w:val="18"/>
                <w:szCs w:val="18"/>
                <w:lang w:eastAsia="pt-BR"/>
              </w:rPr>
            </w:pPr>
            <w:r w:rsidRPr="00DD32CB">
              <w:rPr>
                <w:rFonts w:ascii="Arial" w:eastAsia="Times New Roman" w:hAnsi="Arial" w:cs="Arial"/>
                <w:color w:val="000000"/>
                <w:sz w:val="18"/>
                <w:szCs w:val="18"/>
                <w:lang w:eastAsia="pt-BR"/>
              </w:rPr>
              <w:br/>
              <w:t>BRAÇOS</w:t>
            </w:r>
            <w:r w:rsidRPr="00DD32CB">
              <w:rPr>
                <w:rFonts w:ascii="Arial" w:eastAsia="Times New Roman" w:hAnsi="Arial" w:cs="Arial"/>
                <w:color w:val="000000"/>
                <w:sz w:val="18"/>
                <w:szCs w:val="18"/>
                <w:lang w:eastAsia="pt-BR"/>
              </w:rPr>
              <w:br/>
              <w:t>Peça estrutural aparente de alumínio injetado polido e/ou de aço de alta resistência mecânica, tratado anticorrosão e antiferrugem e acabado, nas partes aparentes, com pintura cromada de alta resistência a intempéries e ao descascamento. Resistente. Indeformável. Regulagem de altura em inúmeros bloqueios. Regulagem lateral, em livre regulagem, para aumentar a largura do assento. Apoia braços anatômico, em poliuretano integral-</w:t>
            </w:r>
            <w:proofErr w:type="spellStart"/>
            <w:r w:rsidRPr="00DD32CB">
              <w:rPr>
                <w:rFonts w:ascii="Arial" w:eastAsia="Times New Roman" w:hAnsi="Arial" w:cs="Arial"/>
                <w:color w:val="000000"/>
                <w:sz w:val="18"/>
                <w:szCs w:val="18"/>
                <w:lang w:eastAsia="pt-BR"/>
              </w:rPr>
              <w:t>skin</w:t>
            </w:r>
            <w:proofErr w:type="spellEnd"/>
            <w:r w:rsidRPr="00DD32CB">
              <w:rPr>
                <w:rFonts w:ascii="Arial" w:eastAsia="Times New Roman" w:hAnsi="Arial" w:cs="Arial"/>
                <w:color w:val="000000"/>
                <w:sz w:val="18"/>
                <w:szCs w:val="18"/>
                <w:lang w:eastAsia="pt-BR"/>
              </w:rPr>
              <w:t xml:space="preserve"> de alta resistência. Altura do apoia-braço: Mínimo 200mm, Máximo 250mm Distância interna entre os apoia-braços: Mínimo 460mm Comprimento do apoia-braço: Mínimo 200mm Largura da área útil do apoia-braço: 40mm Recuo </w:t>
            </w:r>
            <w:r w:rsidRPr="00DD32CB">
              <w:rPr>
                <w:rFonts w:ascii="Arial" w:eastAsia="Times New Roman" w:hAnsi="Arial" w:cs="Arial"/>
                <w:color w:val="000000"/>
                <w:sz w:val="18"/>
                <w:szCs w:val="18"/>
                <w:lang w:eastAsia="pt-BR"/>
              </w:rPr>
              <w:lastRenderedPageBreak/>
              <w:t>do apoia-braço (apoia-braço na posição recuada e mais baixa): Mínimo 100mm.</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DIMENSÕES BÁSICAS PARA COMPATIBILIDADE COM O MOBILIÁRIO EXISTENTE. Altura do encosto: de 510 a 580cm Largura do encosto: 460 a 490cm Largura do assento: 460 a 500cm</w:t>
            </w:r>
            <w:r w:rsidRPr="00DD32CB">
              <w:rPr>
                <w:rFonts w:ascii="Arial" w:eastAsia="Times New Roman" w:hAnsi="Arial" w:cs="Arial"/>
                <w:color w:val="000000"/>
                <w:sz w:val="18"/>
                <w:szCs w:val="18"/>
                <w:lang w:eastAsia="pt-BR"/>
              </w:rPr>
              <w:br/>
            </w:r>
            <w:r w:rsidRPr="00DD32CB">
              <w:rPr>
                <w:rFonts w:ascii="Arial" w:eastAsia="Times New Roman" w:hAnsi="Arial" w:cs="Arial"/>
                <w:color w:val="000000"/>
                <w:sz w:val="18"/>
                <w:szCs w:val="18"/>
                <w:lang w:eastAsia="pt-BR"/>
              </w:rPr>
              <w:br/>
              <w:t>CONSIDERAÇÕES GERAIS Regulagens: devem ser acionadas por componentes dispostos de forma acessível e devem apresentar fácil manuseio de forma que o ajuste possa ser realizado pelo próprio usuário sem a necessidade de se levantar da cadeira ou de utilizar qualquer tipo de ferramenta. Acabamento: deve ser apresentado o bom uso de todos os materiais que compõem a cadeira e o acabamento deve ser sem manchas, imperfeições, arestas cortantes, rebarbas, etc. A cadeira deve apresentar nivelamento, alinhamento, estabilidade, enquadramento. Não será aceito rebite como método construtivo e os parafusos devem estar dispostos de forma discreta. Não serão aceitos elementos de fixação aparentes no assento e no encosto tais como taxas, grampos, parafusos ou de forma a prejudicar a boa estética da cadeira.</w:t>
            </w:r>
          </w:p>
          <w:p w14:paraId="0D682FF0" w14:textId="77777777" w:rsidR="00901CDC" w:rsidRPr="00DD32CB" w:rsidRDefault="00901CDC" w:rsidP="00824413">
            <w:pPr>
              <w:widowControl w:val="0"/>
              <w:spacing w:after="0" w:line="240" w:lineRule="auto"/>
              <w:jc w:val="both"/>
              <w:rPr>
                <w:rFonts w:ascii="Arial" w:eastAsia="MS Mincho" w:hAnsi="Arial" w:cs="Arial"/>
                <w:sz w:val="18"/>
                <w:szCs w:val="18"/>
                <w:lang w:eastAsia="pt-BR"/>
              </w:rPr>
            </w:pPr>
          </w:p>
        </w:tc>
        <w:tc>
          <w:tcPr>
            <w:tcW w:w="557" w:type="dxa"/>
            <w:tcBorders>
              <w:bottom w:val="single" w:sz="8" w:space="0" w:color="000000"/>
              <w:right w:val="single" w:sz="8" w:space="0" w:color="000000"/>
            </w:tcBorders>
            <w:shd w:val="clear" w:color="auto" w:fill="auto"/>
            <w:vAlign w:val="center"/>
          </w:tcPr>
          <w:p w14:paraId="7103D20B" w14:textId="77777777" w:rsidR="00901CDC" w:rsidRPr="00DD32CB" w:rsidRDefault="00DD550A" w:rsidP="00824413">
            <w:pPr>
              <w:widowControl w:val="0"/>
              <w:spacing w:after="0" w:line="240" w:lineRule="auto"/>
              <w:jc w:val="both"/>
              <w:rPr>
                <w:rFonts w:ascii="Arial" w:eastAsia="MS Mincho" w:hAnsi="Arial" w:cs="Arial"/>
                <w:sz w:val="18"/>
                <w:szCs w:val="18"/>
                <w:lang w:eastAsia="pt-BR"/>
              </w:rPr>
            </w:pPr>
            <w:r w:rsidRPr="00DD32CB">
              <w:rPr>
                <w:rFonts w:ascii="Arial" w:hAnsi="Arial" w:cs="Arial"/>
                <w:color w:val="000000"/>
                <w:sz w:val="18"/>
                <w:szCs w:val="18"/>
              </w:rPr>
              <w:lastRenderedPageBreak/>
              <w:t>184806-2</w:t>
            </w:r>
          </w:p>
        </w:tc>
        <w:tc>
          <w:tcPr>
            <w:tcW w:w="883" w:type="dxa"/>
            <w:tcBorders>
              <w:bottom w:val="single" w:sz="8" w:space="0" w:color="000000"/>
              <w:right w:val="single" w:sz="8" w:space="0" w:color="000000"/>
            </w:tcBorders>
            <w:shd w:val="clear" w:color="auto" w:fill="auto"/>
            <w:vAlign w:val="center"/>
          </w:tcPr>
          <w:p w14:paraId="3A9DD141" w14:textId="77777777" w:rsidR="00901CDC" w:rsidRPr="00DD32CB" w:rsidRDefault="00901CDC" w:rsidP="00824413">
            <w:pPr>
              <w:widowControl w:val="0"/>
              <w:spacing w:after="0" w:line="240" w:lineRule="auto"/>
              <w:jc w:val="both"/>
              <w:rPr>
                <w:rFonts w:ascii="Arial" w:eastAsia="MS Mincho" w:hAnsi="Arial" w:cs="Arial"/>
                <w:sz w:val="18"/>
                <w:szCs w:val="18"/>
                <w:lang w:eastAsia="pt-BR"/>
              </w:rPr>
            </w:pPr>
          </w:p>
        </w:tc>
        <w:tc>
          <w:tcPr>
            <w:tcW w:w="610" w:type="dxa"/>
            <w:tcBorders>
              <w:bottom w:val="single" w:sz="8" w:space="0" w:color="000000"/>
              <w:right w:val="single" w:sz="8" w:space="0" w:color="000000"/>
            </w:tcBorders>
            <w:shd w:val="clear" w:color="auto" w:fill="auto"/>
            <w:vAlign w:val="center"/>
          </w:tcPr>
          <w:p w14:paraId="53717BC2" w14:textId="77777777" w:rsidR="00901CDC" w:rsidRPr="00DD32CB" w:rsidRDefault="00901CDC" w:rsidP="00824413">
            <w:pPr>
              <w:widowControl w:val="0"/>
              <w:spacing w:after="0" w:line="240" w:lineRule="auto"/>
              <w:jc w:val="both"/>
              <w:rPr>
                <w:rFonts w:ascii="Arial" w:eastAsia="MS Mincho" w:hAnsi="Arial" w:cs="Arial"/>
                <w:sz w:val="18"/>
                <w:szCs w:val="18"/>
                <w:lang w:eastAsia="pt-BR"/>
              </w:rPr>
            </w:pPr>
          </w:p>
        </w:tc>
        <w:tc>
          <w:tcPr>
            <w:tcW w:w="883" w:type="dxa"/>
            <w:tcBorders>
              <w:bottom w:val="single" w:sz="8" w:space="0" w:color="000000"/>
              <w:right w:val="single" w:sz="8" w:space="0" w:color="000000"/>
            </w:tcBorders>
            <w:shd w:val="clear" w:color="auto" w:fill="auto"/>
            <w:vAlign w:val="center"/>
          </w:tcPr>
          <w:p w14:paraId="43A5B6D0" w14:textId="77777777" w:rsidR="00901CDC" w:rsidRPr="00DD32CB" w:rsidRDefault="00901CDC" w:rsidP="00824413">
            <w:pPr>
              <w:widowControl w:val="0"/>
              <w:spacing w:after="0" w:line="240" w:lineRule="auto"/>
              <w:jc w:val="both"/>
              <w:rPr>
                <w:rFonts w:ascii="Arial" w:eastAsia="MS Mincho" w:hAnsi="Arial" w:cs="Arial"/>
                <w:sz w:val="18"/>
                <w:szCs w:val="18"/>
                <w:lang w:eastAsia="pt-BR"/>
              </w:rPr>
            </w:pPr>
          </w:p>
        </w:tc>
        <w:tc>
          <w:tcPr>
            <w:tcW w:w="610" w:type="dxa"/>
            <w:tcBorders>
              <w:bottom w:val="single" w:sz="8" w:space="0" w:color="000000"/>
              <w:right w:val="single" w:sz="8" w:space="0" w:color="000000"/>
            </w:tcBorders>
            <w:shd w:val="clear" w:color="auto" w:fill="auto"/>
            <w:vAlign w:val="center"/>
          </w:tcPr>
          <w:p w14:paraId="476334A3" w14:textId="77777777" w:rsidR="00901CDC" w:rsidRPr="00DD32CB" w:rsidRDefault="00901CDC" w:rsidP="00824413">
            <w:pPr>
              <w:widowControl w:val="0"/>
              <w:spacing w:after="0" w:line="240" w:lineRule="auto"/>
              <w:jc w:val="both"/>
              <w:rPr>
                <w:rFonts w:ascii="Arial" w:eastAsia="MS Mincho" w:hAnsi="Arial" w:cs="Arial"/>
                <w:sz w:val="18"/>
                <w:szCs w:val="18"/>
                <w:lang w:eastAsia="pt-BR"/>
              </w:rPr>
            </w:pPr>
          </w:p>
        </w:tc>
        <w:tc>
          <w:tcPr>
            <w:tcW w:w="840" w:type="dxa"/>
            <w:tcBorders>
              <w:bottom w:val="single" w:sz="8" w:space="0" w:color="000000"/>
              <w:right w:val="single" w:sz="8" w:space="0" w:color="000000"/>
            </w:tcBorders>
            <w:shd w:val="clear" w:color="auto" w:fill="auto"/>
            <w:vAlign w:val="center"/>
          </w:tcPr>
          <w:p w14:paraId="43E71A58" w14:textId="77777777" w:rsidR="00901CDC" w:rsidRPr="00DD32CB" w:rsidRDefault="00901CDC" w:rsidP="00824413">
            <w:pPr>
              <w:widowControl w:val="0"/>
              <w:spacing w:after="0" w:line="240" w:lineRule="auto"/>
              <w:jc w:val="both"/>
              <w:rPr>
                <w:rFonts w:ascii="Arial" w:eastAsia="MS Mincho" w:hAnsi="Arial" w:cs="Arial"/>
                <w:sz w:val="18"/>
                <w:szCs w:val="18"/>
                <w:lang w:eastAsia="pt-BR"/>
              </w:rPr>
            </w:pPr>
          </w:p>
        </w:tc>
      </w:tr>
      <w:tr w:rsidR="00901CDC" w14:paraId="086425A9" w14:textId="77777777" w:rsidTr="00F92333">
        <w:trPr>
          <w:trHeight w:val="708"/>
          <w:jc w:val="center"/>
        </w:trPr>
        <w:tc>
          <w:tcPr>
            <w:tcW w:w="9051" w:type="dxa"/>
            <w:gridSpan w:val="10"/>
            <w:tcBorders>
              <w:left w:val="single" w:sz="8" w:space="0" w:color="000000"/>
              <w:bottom w:val="single" w:sz="8" w:space="0" w:color="000000"/>
              <w:right w:val="single" w:sz="8" w:space="0" w:color="000000"/>
            </w:tcBorders>
            <w:shd w:val="clear" w:color="auto" w:fill="auto"/>
            <w:vAlign w:val="center"/>
          </w:tcPr>
          <w:p w14:paraId="273A7340" w14:textId="77777777" w:rsidR="00901CDC" w:rsidRDefault="00901CDC">
            <w:pPr>
              <w:widowControl w:val="0"/>
              <w:spacing w:after="120" w:line="240" w:lineRule="auto"/>
              <w:jc w:val="both"/>
              <w:rPr>
                <w:rFonts w:ascii="Arial" w:eastAsia="MS Mincho" w:hAnsi="Arial" w:cs="Arial"/>
                <w:sz w:val="24"/>
                <w:szCs w:val="24"/>
                <w:lang w:eastAsia="pt-BR"/>
              </w:rPr>
            </w:pPr>
          </w:p>
        </w:tc>
      </w:tr>
      <w:tr w:rsidR="00901CDC" w14:paraId="248865B4" w14:textId="77777777" w:rsidTr="00F92333">
        <w:trPr>
          <w:cantSplit/>
          <w:trHeight w:val="324"/>
          <w:jc w:val="center"/>
        </w:trPr>
        <w:tc>
          <w:tcPr>
            <w:tcW w:w="4668" w:type="dxa"/>
            <w:gridSpan w:val="4"/>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05057BD8" w14:textId="77777777" w:rsidR="00901CDC" w:rsidRDefault="00DD550A">
            <w:pPr>
              <w:widowControl w:val="0"/>
              <w:spacing w:after="0" w:line="240" w:lineRule="auto"/>
              <w:jc w:val="center"/>
              <w:rPr>
                <w:rFonts w:ascii="Arial" w:eastAsia="MS Mincho" w:hAnsi="Arial" w:cs="Arial"/>
                <w:b/>
                <w:bCs/>
                <w:sz w:val="24"/>
                <w:szCs w:val="24"/>
                <w:lang w:eastAsia="pt-BR"/>
              </w:rPr>
            </w:pPr>
            <w:r>
              <w:rPr>
                <w:rFonts w:ascii="Arial" w:eastAsia="MS Mincho" w:hAnsi="Arial" w:cs="Arial"/>
                <w:b/>
                <w:bCs/>
                <w:sz w:val="24"/>
                <w:szCs w:val="24"/>
                <w:lang w:eastAsia="pt-BR"/>
              </w:rPr>
              <w:t>PREÇO TOTAL DO LOTE</w:t>
            </w:r>
          </w:p>
        </w:tc>
        <w:tc>
          <w:tcPr>
            <w:tcW w:w="4383" w:type="dxa"/>
            <w:gridSpan w:val="6"/>
            <w:vMerge w:val="restart"/>
            <w:tcBorders>
              <w:top w:val="single" w:sz="8" w:space="0" w:color="000000"/>
              <w:bottom w:val="single" w:sz="8" w:space="0" w:color="000000"/>
              <w:right w:val="single" w:sz="8" w:space="0" w:color="000000"/>
            </w:tcBorders>
            <w:shd w:val="clear" w:color="auto" w:fill="auto"/>
            <w:vAlign w:val="center"/>
          </w:tcPr>
          <w:p w14:paraId="3E6CD0D4" w14:textId="77777777" w:rsidR="00901CDC" w:rsidRDefault="00DD550A">
            <w:pPr>
              <w:widowControl w:val="0"/>
              <w:spacing w:after="0" w:line="240" w:lineRule="auto"/>
              <w:jc w:val="center"/>
              <w:rPr>
                <w:rFonts w:ascii="Arial" w:eastAsia="MS Mincho" w:hAnsi="Arial" w:cs="Arial"/>
                <w:b/>
                <w:bCs/>
                <w:sz w:val="24"/>
                <w:szCs w:val="24"/>
                <w:lang w:eastAsia="pt-BR"/>
              </w:rPr>
            </w:pPr>
            <w:r>
              <w:rPr>
                <w:rFonts w:ascii="Arial" w:eastAsia="MS Mincho" w:hAnsi="Arial" w:cs="Arial"/>
                <w:b/>
                <w:bCs/>
                <w:sz w:val="24"/>
                <w:szCs w:val="24"/>
                <w:lang w:eastAsia="pt-BR"/>
              </w:rPr>
              <w:t>PREÇO TOTAL DO LOTE</w:t>
            </w:r>
          </w:p>
          <w:p w14:paraId="6F943A2B" w14:textId="77777777" w:rsidR="00901CDC" w:rsidRDefault="00DD550A">
            <w:pPr>
              <w:widowControl w:val="0"/>
              <w:spacing w:after="0" w:line="240" w:lineRule="auto"/>
              <w:jc w:val="center"/>
              <w:rPr>
                <w:rFonts w:ascii="Arial" w:eastAsia="MS Mincho" w:hAnsi="Arial" w:cs="Arial"/>
                <w:b/>
                <w:bCs/>
                <w:sz w:val="24"/>
                <w:szCs w:val="24"/>
                <w:lang w:eastAsia="pt-BR"/>
              </w:rPr>
            </w:pPr>
            <w:r>
              <w:rPr>
                <w:rFonts w:ascii="Arial" w:eastAsia="MS Mincho" w:hAnsi="Arial" w:cs="Arial"/>
                <w:b/>
                <w:bCs/>
                <w:sz w:val="24"/>
                <w:szCs w:val="24"/>
                <w:lang w:eastAsia="pt-BR"/>
              </w:rPr>
              <w:t>COM DEDUÇÃO DO ICMS(*)</w:t>
            </w:r>
          </w:p>
        </w:tc>
      </w:tr>
      <w:tr w:rsidR="00901CDC" w14:paraId="7F2E1F19" w14:textId="77777777" w:rsidTr="00F92333">
        <w:trPr>
          <w:cantSplit/>
          <w:trHeight w:val="300"/>
          <w:jc w:val="center"/>
        </w:trPr>
        <w:tc>
          <w:tcPr>
            <w:tcW w:w="4668" w:type="dxa"/>
            <w:gridSpan w:val="4"/>
            <w:vMerge/>
            <w:tcBorders>
              <w:top w:val="single" w:sz="8" w:space="0" w:color="000000"/>
              <w:left w:val="single" w:sz="8" w:space="0" w:color="000000"/>
              <w:bottom w:val="single" w:sz="8" w:space="0" w:color="000000"/>
              <w:right w:val="single" w:sz="8" w:space="0" w:color="000000"/>
            </w:tcBorders>
            <w:shd w:val="clear" w:color="auto" w:fill="auto"/>
            <w:vAlign w:val="center"/>
          </w:tcPr>
          <w:p w14:paraId="1FB27B64" w14:textId="77777777" w:rsidR="00901CDC" w:rsidRDefault="00901CDC">
            <w:pPr>
              <w:widowControl w:val="0"/>
              <w:spacing w:after="0" w:line="240" w:lineRule="auto"/>
              <w:rPr>
                <w:rFonts w:ascii="Arial" w:eastAsia="MS Mincho" w:hAnsi="Arial" w:cs="Arial"/>
                <w:b/>
                <w:bCs/>
                <w:sz w:val="24"/>
                <w:szCs w:val="24"/>
                <w:lang w:eastAsia="pt-BR"/>
              </w:rPr>
            </w:pPr>
          </w:p>
        </w:tc>
        <w:tc>
          <w:tcPr>
            <w:tcW w:w="4383" w:type="dxa"/>
            <w:gridSpan w:val="6"/>
            <w:vMerge/>
            <w:tcBorders>
              <w:top w:val="single" w:sz="8" w:space="0" w:color="000000"/>
              <w:bottom w:val="single" w:sz="8" w:space="0" w:color="000000"/>
              <w:right w:val="single" w:sz="8" w:space="0" w:color="000000"/>
            </w:tcBorders>
            <w:shd w:val="clear" w:color="auto" w:fill="auto"/>
            <w:vAlign w:val="center"/>
          </w:tcPr>
          <w:p w14:paraId="1D346C5E" w14:textId="77777777" w:rsidR="00901CDC" w:rsidRDefault="00901CDC">
            <w:pPr>
              <w:widowControl w:val="0"/>
              <w:spacing w:after="0" w:line="240" w:lineRule="auto"/>
              <w:rPr>
                <w:rFonts w:ascii="Arial" w:eastAsia="MS Mincho" w:hAnsi="Arial" w:cs="Arial"/>
                <w:b/>
                <w:bCs/>
                <w:sz w:val="24"/>
                <w:szCs w:val="24"/>
                <w:lang w:eastAsia="pt-BR"/>
              </w:rPr>
            </w:pPr>
          </w:p>
        </w:tc>
      </w:tr>
      <w:tr w:rsidR="00901CDC" w14:paraId="4AB89C68" w14:textId="77777777" w:rsidTr="00F92333">
        <w:trPr>
          <w:trHeight w:val="312"/>
          <w:jc w:val="center"/>
        </w:trPr>
        <w:tc>
          <w:tcPr>
            <w:tcW w:w="466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76BF0D4" w14:textId="77777777" w:rsidR="00901CDC" w:rsidRDefault="00DD550A">
            <w:pPr>
              <w:widowControl w:val="0"/>
              <w:spacing w:after="0" w:line="240" w:lineRule="auto"/>
              <w:jc w:val="center"/>
              <w:rPr>
                <w:rFonts w:ascii="Arial" w:eastAsia="MS Mincho" w:hAnsi="Arial" w:cs="Arial"/>
                <w:b/>
                <w:sz w:val="24"/>
                <w:szCs w:val="24"/>
                <w:lang w:eastAsia="pt-BR"/>
              </w:rPr>
            </w:pPr>
            <w:r>
              <w:rPr>
                <w:rFonts w:ascii="Arial" w:eastAsia="MS Mincho" w:hAnsi="Arial" w:cs="Arial"/>
                <w:b/>
                <w:sz w:val="24"/>
                <w:szCs w:val="24"/>
                <w:lang w:eastAsia="pt-BR"/>
              </w:rPr>
              <w:t xml:space="preserve">R$ </w:t>
            </w:r>
          </w:p>
        </w:tc>
        <w:tc>
          <w:tcPr>
            <w:tcW w:w="4383" w:type="dxa"/>
            <w:gridSpan w:val="6"/>
            <w:tcBorders>
              <w:top w:val="single" w:sz="8" w:space="0" w:color="000000"/>
              <w:bottom w:val="single" w:sz="8" w:space="0" w:color="000000"/>
              <w:right w:val="single" w:sz="8" w:space="0" w:color="000000"/>
            </w:tcBorders>
            <w:shd w:val="clear" w:color="auto" w:fill="auto"/>
            <w:vAlign w:val="center"/>
          </w:tcPr>
          <w:p w14:paraId="7302BA79" w14:textId="77777777" w:rsidR="00901CDC" w:rsidRDefault="00DD550A">
            <w:pPr>
              <w:widowControl w:val="0"/>
              <w:spacing w:after="0" w:line="240" w:lineRule="auto"/>
              <w:jc w:val="center"/>
              <w:rPr>
                <w:rFonts w:ascii="Arial" w:eastAsia="MS Mincho" w:hAnsi="Arial" w:cs="Arial"/>
                <w:sz w:val="24"/>
                <w:szCs w:val="24"/>
                <w:lang w:eastAsia="pt-BR"/>
              </w:rPr>
            </w:pPr>
            <w:r>
              <w:rPr>
                <w:rFonts w:ascii="Arial" w:eastAsia="MS Mincho" w:hAnsi="Arial" w:cs="Arial"/>
                <w:b/>
                <w:sz w:val="24"/>
                <w:szCs w:val="24"/>
                <w:lang w:eastAsia="pt-BR"/>
              </w:rPr>
              <w:t xml:space="preserve">R$ </w:t>
            </w:r>
          </w:p>
        </w:tc>
      </w:tr>
    </w:tbl>
    <w:p w14:paraId="275523B7" w14:textId="77777777" w:rsidR="00901CDC" w:rsidRDefault="00DD550A">
      <w:pPr>
        <w:spacing w:after="240" w:line="240"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(*)Caso aplicável, informar valor com e sem ICMS. É de responsabilidade do licitante o conhecimento da carga tributária aplicável à presente contratação.</w:t>
      </w:r>
    </w:p>
    <w:p w14:paraId="49614BE8" w14:textId="77777777" w:rsidR="00901CDC" w:rsidRDefault="00DD550A">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  ..... de ....................... de ........</w:t>
      </w:r>
    </w:p>
    <w:p w14:paraId="34A9D39B" w14:textId="77777777" w:rsidR="00901CDC" w:rsidRDefault="00901CDC">
      <w:pPr>
        <w:spacing w:before="240" w:after="240" w:line="240" w:lineRule="auto"/>
        <w:jc w:val="center"/>
        <w:rPr>
          <w:rFonts w:ascii="Arial" w:eastAsia="Times New Roman" w:hAnsi="Arial" w:cs="Arial"/>
          <w:sz w:val="24"/>
          <w:szCs w:val="24"/>
          <w:lang w:eastAsia="pt-BR"/>
        </w:rPr>
      </w:pPr>
    </w:p>
    <w:p w14:paraId="7227B05B" w14:textId="77777777" w:rsidR="00901CDC" w:rsidRDefault="00DD550A">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w:t>
      </w:r>
    </w:p>
    <w:p w14:paraId="77A58519" w14:textId="77777777" w:rsidR="00901CDC" w:rsidRDefault="00DD550A">
      <w:pPr>
        <w:spacing w:before="240" w:after="240" w:line="240" w:lineRule="auto"/>
        <w:jc w:val="center"/>
        <w:rPr>
          <w:rFonts w:ascii="Arial" w:eastAsia="Times New Roman" w:hAnsi="Arial" w:cs="Arial"/>
          <w:sz w:val="24"/>
          <w:szCs w:val="24"/>
          <w:lang w:eastAsia="pt-BR"/>
        </w:rPr>
      </w:pPr>
      <w:r>
        <w:rPr>
          <w:rFonts w:ascii="Arial" w:eastAsia="Times New Roman" w:hAnsi="Arial" w:cs="Arial"/>
          <w:sz w:val="24"/>
          <w:szCs w:val="24"/>
          <w:lang w:eastAsia="pt-BR"/>
        </w:rPr>
        <w:t>Nome, RG, assinatura do responsável e carimbo da empresa</w:t>
      </w:r>
    </w:p>
    <w:p w14:paraId="489435F6" w14:textId="0D5BA39A" w:rsidR="00901CDC" w:rsidRPr="00C63608" w:rsidRDefault="00DD550A" w:rsidP="00824413">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r>
        <w:br w:type="page"/>
      </w:r>
      <w:bookmarkStart w:id="205" w:name="_Toc176954847"/>
      <w:r>
        <w:rPr>
          <w:rFonts w:ascii="Arial" w:eastAsia="Times New Roman" w:hAnsi="Arial" w:cs="Arial"/>
          <w:b/>
          <w:bCs/>
          <w:kern w:val="2"/>
          <w:sz w:val="24"/>
          <w:szCs w:val="24"/>
          <w:lang w:eastAsia="ar-SA"/>
        </w:rPr>
        <w:lastRenderedPageBreak/>
        <w:t xml:space="preserve">ANEXO IV – </w:t>
      </w:r>
      <w:r w:rsidRPr="00C63608">
        <w:rPr>
          <w:rFonts w:ascii="Arial" w:eastAsia="Times New Roman" w:hAnsi="Arial" w:cs="Arial"/>
          <w:b/>
          <w:bCs/>
          <w:kern w:val="2"/>
          <w:sz w:val="24"/>
          <w:szCs w:val="24"/>
          <w:lang w:eastAsia="ar-SA"/>
        </w:rPr>
        <w:t>RELAÇÃO DE DOCUMENTOS EXIGIDOS</w:t>
      </w:r>
      <w:bookmarkEnd w:id="205"/>
    </w:p>
    <w:p w14:paraId="78E6F13C" w14:textId="77777777" w:rsidR="00901CDC" w:rsidRDefault="00DD550A">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1. Relativa à Habilitação Jurídica:</w:t>
      </w:r>
    </w:p>
    <w:p w14:paraId="4EC186F4" w14:textId="77777777" w:rsidR="00901CDC" w:rsidRDefault="00DD550A">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1.1</w:t>
      </w:r>
      <w:r>
        <w:rPr>
          <w:rFonts w:ascii="Arial" w:eastAsia="SimSun" w:hAnsi="Arial" w:cs="Arial"/>
          <w:kern w:val="2"/>
          <w:sz w:val="24"/>
          <w:szCs w:val="24"/>
          <w:lang w:eastAsia="hi-IN" w:bidi="hi-IN"/>
        </w:rPr>
        <w:t xml:space="preserve"> Ato de inscrição na Junta Comercial da respectiva sede, no caso de Empresas Individuais de Responsabilidade Limitada – EIRELI, Empresário Individual e Microempreendedor Individual (MEI);</w:t>
      </w:r>
    </w:p>
    <w:p w14:paraId="716317BA"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kern w:val="2"/>
          <w:sz w:val="24"/>
          <w:szCs w:val="24"/>
          <w:lang w:eastAsia="hi-IN" w:bidi="hi-IN"/>
        </w:rPr>
        <w:t xml:space="preserve">1.2 </w:t>
      </w:r>
      <w:r>
        <w:rPr>
          <w:rFonts w:ascii="Arial" w:eastAsia="SimSun" w:hAnsi="Arial" w:cs="Arial"/>
          <w:kern w:val="2"/>
          <w:sz w:val="24"/>
          <w:szCs w:val="24"/>
          <w:lang w:eastAsia="hi-IN" w:bidi="hi-IN"/>
        </w:rPr>
        <w:t>Ato constitutivo, estatuto ou contrato social em vigor, devidamente registrado na Junta Comercial da respectiva sede, no caso de sociedades empresárias e, em se tratando de sociedades por ações, acompanhado de documentos de eleição de seus administradores;</w:t>
      </w:r>
    </w:p>
    <w:p w14:paraId="019239A7"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1.3</w:t>
      </w:r>
      <w:r>
        <w:rPr>
          <w:rFonts w:ascii="Arial" w:eastAsia="SimSun" w:hAnsi="Arial" w:cs="Arial"/>
          <w:kern w:val="2"/>
          <w:sz w:val="24"/>
          <w:szCs w:val="24"/>
          <w:lang w:eastAsia="hi-IN" w:bidi="hi-IN"/>
        </w:rPr>
        <w:t xml:space="preserve"> Ato constitutivo, estatuto ou contrato social em vigor, devidamente registrado no Registro Civil das Pessoas Jurídicas do local de sua sede, no caso de sociedades não empresárias, acompanhada de prova de eleição da diretoria em exercício;</w:t>
      </w:r>
    </w:p>
    <w:p w14:paraId="61BA718A"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1.4</w:t>
      </w:r>
      <w:r>
        <w:rPr>
          <w:rFonts w:ascii="Arial" w:eastAsia="SimSun" w:hAnsi="Arial" w:cs="Arial"/>
          <w:kern w:val="2"/>
          <w:sz w:val="24"/>
          <w:szCs w:val="24"/>
          <w:lang w:eastAsia="hi-IN" w:bidi="hi-IN"/>
        </w:rPr>
        <w:t xml:space="preserve"> Ata da respectiva fundação, e o correspondente registro na Junta Comercial, bem como o Estatuto com a ata da assembleia de aprovação, na forma do artigo 18 da Lei nº 5.764/71, em se tratando de sociedade cooperativa;</w:t>
      </w:r>
    </w:p>
    <w:p w14:paraId="48A2ABFA"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1.5</w:t>
      </w:r>
      <w:r>
        <w:rPr>
          <w:rFonts w:ascii="Arial" w:eastAsia="SimSun" w:hAnsi="Arial" w:cs="Arial"/>
          <w:kern w:val="2"/>
          <w:sz w:val="24"/>
          <w:szCs w:val="24"/>
          <w:lang w:eastAsia="hi-IN" w:bidi="hi-IN"/>
        </w:rPr>
        <w:t xml:space="preserve"> Decreto de autorização, em se tratando de empresa ou sociedade estrangeira em funcionamento no País, e ato de registro ou autorização para funcionamento expedido pelo órgão competente, quando a atividade assim o exigir;</w:t>
      </w:r>
    </w:p>
    <w:p w14:paraId="23AC69E4"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1.6</w:t>
      </w:r>
      <w:r>
        <w:rPr>
          <w:rFonts w:ascii="Arial" w:eastAsia="SimSun" w:hAnsi="Arial" w:cs="Arial"/>
          <w:kern w:val="2"/>
          <w:sz w:val="24"/>
          <w:szCs w:val="24"/>
          <w:lang w:eastAsia="hi-IN" w:bidi="hi-IN"/>
        </w:rPr>
        <w:t xml:space="preserve"> O ato de constituição do licitante deverá expressar objetivo social pertinente e compatível com o objeto desta Licitação;</w:t>
      </w:r>
    </w:p>
    <w:p w14:paraId="28672207" w14:textId="77777777" w:rsidR="00901CDC" w:rsidRDefault="00DD550A">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1.7</w:t>
      </w:r>
      <w:r>
        <w:rPr>
          <w:rFonts w:ascii="Arial" w:eastAsia="Times New Roman" w:hAnsi="Arial" w:cs="Arial"/>
          <w:kern w:val="2"/>
          <w:sz w:val="24"/>
          <w:szCs w:val="24"/>
          <w:lang w:eastAsia="ar-SA"/>
        </w:rPr>
        <w:t xml:space="preserve"> Documento de identificação, com foto, contendo números do RG e CPF do responsável pelas assinaturas das propostas comerciais, das declarações constantes nos anexos deste Edital e do contrato;</w:t>
      </w:r>
    </w:p>
    <w:p w14:paraId="179123FD" w14:textId="77777777" w:rsidR="00901CDC" w:rsidRDefault="00DD550A">
      <w:pPr>
        <w:tabs>
          <w:tab w:val="left" w:pos="1440"/>
        </w:tabs>
        <w:spacing w:before="288" w:after="288"/>
        <w:jc w:val="both"/>
        <w:rPr>
          <w:rFonts w:ascii="Arial" w:eastAsia="Times New Roman" w:hAnsi="Arial" w:cs="Arial"/>
          <w:kern w:val="2"/>
          <w:sz w:val="24"/>
          <w:szCs w:val="24"/>
          <w:lang w:eastAsia="ar-SA"/>
        </w:rPr>
      </w:pPr>
      <w:r>
        <w:rPr>
          <w:rFonts w:ascii="Arial" w:eastAsia="Times New Roman" w:hAnsi="Arial" w:cs="Arial"/>
          <w:b/>
          <w:bCs/>
          <w:kern w:val="2"/>
          <w:sz w:val="24"/>
          <w:szCs w:val="24"/>
          <w:lang w:eastAsia="ar-SA"/>
        </w:rPr>
        <w:t>1.8</w:t>
      </w:r>
      <w:r>
        <w:rPr>
          <w:rFonts w:ascii="Arial" w:eastAsia="Times New Roman" w:hAnsi="Arial" w:cs="Arial"/>
          <w:kern w:val="2"/>
          <w:sz w:val="24"/>
          <w:szCs w:val="24"/>
          <w:lang w:eastAsia="ar-SA"/>
        </w:rPr>
        <w:t xml:space="preserve"> Se for o caso, apresentar procuração conferindo poderes ao(s) responsável(s) pela empresa para praticar atos junto à Administração Pública. </w:t>
      </w:r>
    </w:p>
    <w:p w14:paraId="361E524A" w14:textId="77777777" w:rsidR="00901CDC" w:rsidRDefault="00DD550A">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2. Relativa à Regularidade Fiscal e Trabalhista:</w:t>
      </w:r>
    </w:p>
    <w:p w14:paraId="4447AF42" w14:textId="77777777" w:rsidR="00901CDC" w:rsidRDefault="00DD550A">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2.1</w:t>
      </w:r>
      <w:r>
        <w:rPr>
          <w:rFonts w:ascii="Arial" w:eastAsia="SimSun" w:hAnsi="Arial" w:cs="Arial"/>
          <w:kern w:val="2"/>
          <w:sz w:val="24"/>
          <w:szCs w:val="24"/>
          <w:lang w:eastAsia="hi-IN" w:bidi="hi-IN"/>
        </w:rPr>
        <w:t xml:space="preserve"> Prova de inscrição do licitante no Cadastro Nacional de Pessoa Jurídica (CNPJ), da unidade da empresa que participará da licitação, nos termos da IN RFB 1863/2018, ou no Cadastro de Pessoas Físicas (CPF), conforme o caso;</w:t>
      </w:r>
    </w:p>
    <w:p w14:paraId="0D1B50AB"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2.2</w:t>
      </w:r>
      <w:r>
        <w:rPr>
          <w:rFonts w:ascii="Arial" w:eastAsia="SimSun" w:hAnsi="Arial" w:cs="Arial"/>
          <w:kern w:val="2"/>
          <w:sz w:val="24"/>
          <w:szCs w:val="24"/>
          <w:lang w:eastAsia="hi-IN" w:bidi="hi-IN"/>
        </w:rPr>
        <w:t xml:space="preserve"> Prova de regularidade perante a Fazenda Federal, mediante apresentação de Certidão Conjunta de Débitos Relativos a Tributos Federais e Dívida Ativa da União, negativa ou equivalente, incluindo contribuições previdenciárias (INSS), fornecida </w:t>
      </w:r>
      <w:r>
        <w:rPr>
          <w:rFonts w:ascii="Arial" w:eastAsia="SimSun" w:hAnsi="Arial" w:cs="Arial"/>
          <w:kern w:val="2"/>
          <w:sz w:val="24"/>
          <w:szCs w:val="24"/>
          <w:lang w:eastAsia="hi-IN" w:bidi="hi-IN"/>
        </w:rPr>
        <w:lastRenderedPageBreak/>
        <w:t>pela Secretaria da Receita Federal ou pela Procuradoria-Geral da Fazenda Nacional, nos termos da Portaria MF nº 358/14, Receita Federal do Brasil;</w:t>
      </w:r>
    </w:p>
    <w:p w14:paraId="6BF273DB"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w:t>
      </w:r>
      <w:r>
        <w:rPr>
          <w:rFonts w:ascii="Arial" w:eastAsia="SimSun" w:hAnsi="Arial" w:cs="Arial"/>
          <w:kern w:val="2"/>
          <w:sz w:val="24"/>
          <w:szCs w:val="24"/>
          <w:lang w:eastAsia="hi-IN" w:bidi="hi-IN"/>
        </w:rPr>
        <w:t xml:space="preserve"> Prova de regularidade perante a Fazenda Estadual do domicílio ou sede do licitante, através da Certidão de Débitos Tributários, negativa ou equivalente;</w:t>
      </w:r>
    </w:p>
    <w:p w14:paraId="4F537A31" w14:textId="77777777" w:rsidR="00901CDC" w:rsidRDefault="00DD550A">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2.3.1</w:t>
      </w:r>
      <w:r>
        <w:rPr>
          <w:rFonts w:ascii="Arial" w:eastAsia="SimSun" w:hAnsi="Arial" w:cs="Arial"/>
          <w:kern w:val="2"/>
          <w:sz w:val="24"/>
          <w:szCs w:val="24"/>
          <w:lang w:eastAsia="hi-IN" w:bidi="hi-IN"/>
        </w:rPr>
        <w:t xml:space="preserve"> Caso o fornecedor não esteja inscrito no cadastro de contribuintes do Estado de Minas Gerais, deverá comprovar também a inexistência de débitos relativos a tributos estaduais em Minas Gerais por meio de Certidão de Débitos Tributários – CDT, que poderá ser solicitada pelo site </w:t>
      </w:r>
      <w:r>
        <w:rPr>
          <w:rFonts w:ascii="Arial" w:eastAsia="SimSun" w:hAnsi="Arial" w:cs="Arial"/>
          <w:kern w:val="2"/>
          <w:sz w:val="24"/>
          <w:szCs w:val="24"/>
          <w:u w:val="single"/>
          <w:lang w:eastAsia="hi-IN" w:bidi="hi-IN"/>
        </w:rPr>
        <w:t>www.fazenda.mg.gov.br</w:t>
      </w:r>
      <w:r>
        <w:rPr>
          <w:rFonts w:ascii="Arial" w:eastAsia="SimSun" w:hAnsi="Arial" w:cs="Arial"/>
          <w:kern w:val="2"/>
          <w:sz w:val="24"/>
          <w:szCs w:val="24"/>
          <w:lang w:eastAsia="hi-IN" w:bidi="hi-IN"/>
        </w:rPr>
        <w:t>;</w:t>
      </w:r>
    </w:p>
    <w:p w14:paraId="5083775A"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2.4</w:t>
      </w:r>
      <w:r>
        <w:rPr>
          <w:rFonts w:ascii="Arial" w:eastAsia="SimSun" w:hAnsi="Arial" w:cs="Arial"/>
          <w:kern w:val="2"/>
          <w:sz w:val="24"/>
          <w:szCs w:val="24"/>
          <w:lang w:eastAsia="hi-IN" w:bidi="hi-IN"/>
        </w:rPr>
        <w:t xml:space="preserve"> Prova de regularidade perante a Fazenda Municipal do domicílio ou sede do licitante, através da Certidão de Imposto sobre Serviços de Qualquer Natureza (ISS), negativa ou equivalente;</w:t>
      </w:r>
    </w:p>
    <w:p w14:paraId="5E869175"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2.5</w:t>
      </w:r>
      <w:r>
        <w:rPr>
          <w:rFonts w:ascii="Arial" w:eastAsia="SimSun" w:hAnsi="Arial" w:cs="Arial"/>
          <w:kern w:val="2"/>
          <w:sz w:val="24"/>
          <w:szCs w:val="24"/>
          <w:lang w:eastAsia="hi-IN" w:bidi="hi-IN"/>
        </w:rPr>
        <w:t xml:space="preserve"> Prova de regularidade perante o Fundo de Garantia por Tempo de Serviço, através do Certificado de Regularidade do FGTS (CRF), emitido pela Caixa Econômica Federal;</w:t>
      </w:r>
    </w:p>
    <w:p w14:paraId="6B872692" w14:textId="77777777" w:rsidR="00901CDC" w:rsidRDefault="00DD550A">
      <w:pPr>
        <w:spacing w:before="288" w:after="288"/>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2.6 </w:t>
      </w:r>
      <w:r>
        <w:rPr>
          <w:rFonts w:ascii="Arial" w:eastAsia="SimSun" w:hAnsi="Arial" w:cs="Arial"/>
          <w:kern w:val="2"/>
          <w:sz w:val="24"/>
          <w:szCs w:val="24"/>
          <w:lang w:eastAsia="hi-IN" w:bidi="hi-IN"/>
        </w:rPr>
        <w:t>Prova de regularidade perante a Justiça do Trabalho, através da Certidão Negativa de Débitos Trabalhistas (CNDT), ou equivalente.</w:t>
      </w:r>
    </w:p>
    <w:p w14:paraId="3ADF8C8D" w14:textId="77777777" w:rsidR="00901CDC" w:rsidRDefault="00DD550A">
      <w:pPr>
        <w:spacing w:before="360" w:after="120"/>
        <w:jc w:val="both"/>
        <w:rPr>
          <w:rFonts w:ascii="Arial" w:eastAsia="SimSun" w:hAnsi="Arial" w:cs="Arial"/>
          <w:b/>
          <w:bCs/>
          <w:kern w:val="2"/>
          <w:sz w:val="24"/>
          <w:szCs w:val="24"/>
          <w:lang w:eastAsia="hi-IN" w:bidi="hi-IN"/>
        </w:rPr>
      </w:pPr>
      <w:r>
        <w:rPr>
          <w:rFonts w:ascii="Arial" w:eastAsia="SimSun" w:hAnsi="Arial" w:cs="Arial"/>
          <w:b/>
          <w:bCs/>
          <w:kern w:val="2"/>
          <w:sz w:val="24"/>
          <w:szCs w:val="24"/>
          <w:lang w:eastAsia="hi-IN" w:bidi="hi-IN"/>
        </w:rPr>
        <w:t xml:space="preserve">3. Relativa à Qualificação Econômico-Financeira: </w:t>
      </w:r>
    </w:p>
    <w:p w14:paraId="2D1FCB13" w14:textId="77777777" w:rsidR="00901CDC" w:rsidRDefault="00DD550A">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3.1</w:t>
      </w:r>
      <w:r>
        <w:rPr>
          <w:rFonts w:ascii="Arial" w:eastAsia="SimSun" w:hAnsi="Arial" w:cs="Arial"/>
          <w:kern w:val="2"/>
          <w:sz w:val="24"/>
          <w:szCs w:val="24"/>
          <w:lang w:eastAsia="hi-IN" w:bidi="hi-IN"/>
        </w:rPr>
        <w:t xml:space="preserve"> Certidão negativa de falência ou, de insolvência civil, no caso de pessoa física, expedida pelo distribuidor da sede do proponente; </w:t>
      </w:r>
    </w:p>
    <w:p w14:paraId="37BE672D" w14:textId="77777777" w:rsidR="00901CDC" w:rsidRDefault="00DD550A">
      <w:pPr>
        <w:spacing w:before="288"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w:t>
      </w:r>
      <w:r>
        <w:rPr>
          <w:rFonts w:ascii="Arial" w:eastAsia="SimSun" w:hAnsi="Arial" w:cs="Arial"/>
          <w:kern w:val="2"/>
          <w:sz w:val="24"/>
          <w:szCs w:val="24"/>
          <w:lang w:eastAsia="hi-IN" w:bidi="hi-IN"/>
        </w:rPr>
        <w:t xml:space="preserve"> </w:t>
      </w:r>
      <w:r>
        <w:rPr>
          <w:rFonts w:ascii="Arial" w:eastAsia="Arial" w:hAnsi="Arial" w:cs="Arial"/>
          <w:kern w:val="2"/>
          <w:sz w:val="24"/>
          <w:szCs w:val="24"/>
          <w:lang w:eastAsia="hi-IN" w:bidi="hi-IN"/>
        </w:rPr>
        <w:t>Balanço patrimonial, demonstração de resultado de exercício e demais demonstrações contábeis dos 2 (dois) últimos exercício sociais;</w:t>
      </w:r>
      <w:r>
        <w:rPr>
          <w:rFonts w:ascii="Arial" w:eastAsia="SimSun" w:hAnsi="Arial" w:cs="Arial"/>
          <w:kern w:val="2"/>
          <w:sz w:val="24"/>
          <w:szCs w:val="24"/>
          <w:lang w:eastAsia="hi-IN" w:bidi="hi-IN"/>
        </w:rPr>
        <w:t xml:space="preserve"> </w:t>
      </w:r>
    </w:p>
    <w:p w14:paraId="1E8909EF" w14:textId="77777777" w:rsidR="00901CDC" w:rsidRDefault="00DD550A">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3.2.1</w:t>
      </w:r>
      <w:r>
        <w:rPr>
          <w:rFonts w:ascii="Arial" w:eastAsia="SimSun" w:hAnsi="Arial" w:cs="Arial"/>
          <w:kern w:val="2"/>
          <w:sz w:val="24"/>
          <w:szCs w:val="24"/>
          <w:lang w:eastAsia="hi-IN" w:bidi="hi-IN"/>
        </w:rPr>
        <w:t xml:space="preserve"> </w:t>
      </w:r>
      <w:r>
        <w:rPr>
          <w:rFonts w:ascii="Arial" w:eastAsia="Arial" w:hAnsi="Arial" w:cs="Arial"/>
          <w:kern w:val="2"/>
          <w:sz w:val="24"/>
          <w:szCs w:val="24"/>
          <w:lang w:eastAsia="hi-IN" w:bidi="hi-IN"/>
        </w:rPr>
        <w:t xml:space="preserve">Pessoa jurídica constituída há menos de 2 (dois) anos deverá apresentar balanço patrimonial, demonstração de resultado de exercício e demais demonstrações contábeis correspondentes ao último exercício; </w:t>
      </w:r>
    </w:p>
    <w:p w14:paraId="0A4ECE79" w14:textId="77777777" w:rsidR="00901CDC" w:rsidRDefault="00DD550A">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3.2.2</w:t>
      </w:r>
      <w:r>
        <w:rPr>
          <w:rFonts w:ascii="Arial" w:eastAsia="SimSun" w:hAnsi="Arial" w:cs="Arial"/>
          <w:kern w:val="2"/>
          <w:sz w:val="24"/>
          <w:szCs w:val="24"/>
          <w:lang w:eastAsia="hi-IN" w:bidi="hi-IN"/>
        </w:rPr>
        <w:t xml:space="preserve"> </w:t>
      </w:r>
      <w:r>
        <w:rPr>
          <w:rFonts w:ascii="Arial" w:eastAsia="Arial" w:hAnsi="Arial" w:cs="Arial"/>
          <w:kern w:val="2"/>
          <w:sz w:val="24"/>
          <w:szCs w:val="24"/>
          <w:lang w:eastAsia="hi-IN" w:bidi="hi-IN"/>
        </w:rPr>
        <w:t>As empresas criadas no exercício financeiro da licitação ficarão autorizadas a substituir os demonstrativos contábeis pelo balanço de abertura;</w:t>
      </w:r>
    </w:p>
    <w:p w14:paraId="0C53B7B9" w14:textId="77777777" w:rsidR="00901CDC" w:rsidRDefault="00DD550A">
      <w:pPr>
        <w:spacing w:before="288" w:after="288"/>
        <w:ind w:firstLine="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3.2.3</w:t>
      </w:r>
      <w:r>
        <w:rPr>
          <w:rFonts w:ascii="Arial" w:eastAsia="SimSun" w:hAnsi="Arial" w:cs="Arial"/>
          <w:kern w:val="2"/>
          <w:sz w:val="24"/>
          <w:szCs w:val="24"/>
          <w:lang w:eastAsia="hi-IN" w:bidi="hi-IN"/>
        </w:rPr>
        <w:t xml:space="preserve"> Serão aceitos como </w:t>
      </w:r>
      <w:r>
        <w:rPr>
          <w:rFonts w:ascii="Arial" w:eastAsia="SimSun" w:hAnsi="Arial" w:cs="Arial"/>
          <w:b/>
          <w:bCs/>
          <w:kern w:val="2"/>
          <w:sz w:val="24"/>
          <w:szCs w:val="24"/>
          <w:u w:val="single"/>
          <w:lang w:eastAsia="hi-IN" w:bidi="hi-IN"/>
        </w:rPr>
        <w:t>na forma da lei</w:t>
      </w:r>
      <w:r>
        <w:rPr>
          <w:rFonts w:ascii="Arial" w:eastAsia="SimSun" w:hAnsi="Arial" w:cs="Arial"/>
          <w:kern w:val="2"/>
          <w:sz w:val="24"/>
          <w:szCs w:val="24"/>
          <w:lang w:eastAsia="hi-IN" w:bidi="hi-IN"/>
        </w:rPr>
        <w:t xml:space="preserve"> os Balanços Patrimoniais e demonstrações contábeis assim apresentados:</w:t>
      </w:r>
    </w:p>
    <w:p w14:paraId="02BBFDCA" w14:textId="77777777" w:rsidR="00901CDC" w:rsidRDefault="00DD550A">
      <w:pPr>
        <w:spacing w:before="288" w:after="288"/>
        <w:ind w:left="1416"/>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3.2.3.1</w:t>
      </w:r>
      <w:r>
        <w:rPr>
          <w:rFonts w:ascii="Arial" w:eastAsia="SimSun" w:hAnsi="Arial" w:cs="Arial"/>
          <w:kern w:val="2"/>
          <w:sz w:val="24"/>
          <w:szCs w:val="24"/>
          <w:lang w:eastAsia="hi-IN" w:bidi="hi-IN"/>
        </w:rPr>
        <w:t xml:space="preserve"> Sociedades regidas pela Lei Federal nº 6.404/76 (Sociedade Anônima):</w:t>
      </w:r>
    </w:p>
    <w:p w14:paraId="0103F019" w14:textId="77777777" w:rsidR="00901CDC" w:rsidRDefault="00DD550A">
      <w:pPr>
        <w:spacing w:before="288" w:after="288"/>
        <w:ind w:left="1416" w:firstLine="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3.2.3.1.1</w:t>
      </w:r>
      <w:r>
        <w:rPr>
          <w:rFonts w:ascii="Arial" w:eastAsia="SimSun" w:hAnsi="Arial" w:cs="Arial"/>
          <w:kern w:val="2"/>
          <w:sz w:val="24"/>
          <w:szCs w:val="24"/>
          <w:lang w:eastAsia="hi-IN" w:bidi="hi-IN"/>
        </w:rPr>
        <w:t xml:space="preserve"> Publicados em Diário Oficial; ou</w:t>
      </w:r>
    </w:p>
    <w:p w14:paraId="0F1EAE07" w14:textId="77777777" w:rsidR="00901CDC" w:rsidRDefault="00DD550A">
      <w:pPr>
        <w:spacing w:before="288" w:after="288"/>
        <w:ind w:left="1416" w:firstLine="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lastRenderedPageBreak/>
        <w:t>3.2.3.1.2</w:t>
      </w:r>
      <w:r>
        <w:rPr>
          <w:rFonts w:ascii="Arial" w:eastAsia="SimSun" w:hAnsi="Arial" w:cs="Arial"/>
          <w:kern w:val="2"/>
          <w:sz w:val="24"/>
          <w:szCs w:val="24"/>
          <w:lang w:eastAsia="hi-IN" w:bidi="hi-IN"/>
        </w:rPr>
        <w:t xml:space="preserve"> Publicados em jornal; ou</w:t>
      </w:r>
    </w:p>
    <w:p w14:paraId="2706FCD5" w14:textId="77777777" w:rsidR="00901CDC" w:rsidRDefault="00DD550A">
      <w:pPr>
        <w:spacing w:before="288" w:after="288"/>
        <w:ind w:left="2124"/>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3.2.3.1.3</w:t>
      </w:r>
      <w:r>
        <w:rPr>
          <w:rFonts w:ascii="Arial" w:eastAsia="SimSun" w:hAnsi="Arial" w:cs="Arial"/>
          <w:kern w:val="2"/>
          <w:sz w:val="24"/>
          <w:szCs w:val="24"/>
          <w:lang w:eastAsia="hi-IN" w:bidi="hi-IN"/>
        </w:rPr>
        <w:t xml:space="preserve"> Por cópias registradas ou autenticadas na Junta Comercial da sede ou domicílio do licitante;</w:t>
      </w:r>
    </w:p>
    <w:p w14:paraId="521E4A3B" w14:textId="77777777" w:rsidR="00901CDC" w:rsidRDefault="00DD550A">
      <w:pPr>
        <w:spacing w:before="288" w:after="288"/>
        <w:ind w:left="708" w:firstLine="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3.2.3.2</w:t>
      </w:r>
      <w:r>
        <w:rPr>
          <w:rFonts w:ascii="Arial" w:eastAsia="SimSun" w:hAnsi="Arial" w:cs="Arial"/>
          <w:kern w:val="2"/>
          <w:sz w:val="24"/>
          <w:szCs w:val="24"/>
          <w:lang w:eastAsia="hi-IN" w:bidi="hi-IN"/>
        </w:rPr>
        <w:t xml:space="preserve"> Sociedades Limitadas (LTDA):</w:t>
      </w:r>
    </w:p>
    <w:p w14:paraId="6F129717" w14:textId="77777777" w:rsidR="00901CDC" w:rsidRDefault="00DD550A">
      <w:pPr>
        <w:spacing w:before="288" w:after="288"/>
        <w:ind w:left="2124"/>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3.2.3.2.1</w:t>
      </w:r>
      <w:r>
        <w:rPr>
          <w:rFonts w:ascii="Arial" w:eastAsia="SimSun" w:hAnsi="Arial" w:cs="Arial"/>
          <w:kern w:val="2"/>
          <w:sz w:val="24"/>
          <w:szCs w:val="24"/>
          <w:lang w:eastAsia="hi-IN" w:bidi="hi-IN"/>
        </w:rPr>
        <w:t xml:space="preserve"> Por cópias dos Livros Diários, devidamente autenticados na Junta Comercial da sede ou domicílio do licitante ou em outro órgão equivalente, inclusive com os Termos de Abertura e de Encerramento; ou</w:t>
      </w:r>
    </w:p>
    <w:p w14:paraId="373B4F82" w14:textId="77777777" w:rsidR="00901CDC" w:rsidRDefault="00DD550A">
      <w:pPr>
        <w:spacing w:before="288" w:after="288"/>
        <w:ind w:left="2124"/>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3.2.3.2.2</w:t>
      </w:r>
      <w:r>
        <w:rPr>
          <w:rFonts w:ascii="Arial" w:eastAsia="SimSun" w:hAnsi="Arial" w:cs="Arial"/>
          <w:kern w:val="2"/>
          <w:sz w:val="24"/>
          <w:szCs w:val="24"/>
          <w:lang w:eastAsia="hi-IN" w:bidi="hi-IN"/>
        </w:rPr>
        <w:t xml:space="preserve"> Por cópias dos Balanços e das Demonstrações Contábeis devidamente registrados ou autenticados na Junta Comercial da sede ou do domicílio do licitante;</w:t>
      </w:r>
    </w:p>
    <w:p w14:paraId="7965F555" w14:textId="77777777" w:rsidR="00901CDC" w:rsidRDefault="00DD550A">
      <w:pPr>
        <w:spacing w:before="288" w:after="288"/>
        <w:ind w:left="1416"/>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3.2.3.3</w:t>
      </w:r>
      <w:r>
        <w:rPr>
          <w:rFonts w:ascii="Arial" w:eastAsia="SimSun" w:hAnsi="Arial" w:cs="Arial"/>
          <w:kern w:val="2"/>
          <w:sz w:val="24"/>
          <w:szCs w:val="24"/>
          <w:lang w:eastAsia="hi-IN" w:bidi="hi-IN"/>
        </w:rPr>
        <w:t xml:space="preserve"> Sociedades sujeitas ao regime estabelecido na Lei Complementar Federal nº 123/06 (Lei das Microempresas e das Empresas de Pequeno Porte) – “SIMPLES NACIONAL”:</w:t>
      </w:r>
    </w:p>
    <w:p w14:paraId="5781A62E" w14:textId="77777777" w:rsidR="00901CDC" w:rsidRDefault="00DD550A">
      <w:pPr>
        <w:spacing w:before="288" w:after="288"/>
        <w:ind w:left="2124"/>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3.2.3.3.1</w:t>
      </w:r>
      <w:r>
        <w:rPr>
          <w:rFonts w:ascii="Arial" w:eastAsia="SimSun" w:hAnsi="Arial" w:cs="Arial"/>
          <w:kern w:val="2"/>
          <w:sz w:val="24"/>
          <w:szCs w:val="24"/>
          <w:lang w:eastAsia="hi-IN" w:bidi="hi-IN"/>
        </w:rPr>
        <w:t xml:space="preserve"> Por cópias dos Balanços e das Demonstrações Contábeis devidamente registrados ou autenticados na Junta Comercial da sede ou do domicílio do licitante;</w:t>
      </w:r>
    </w:p>
    <w:p w14:paraId="23D1068F" w14:textId="77777777" w:rsidR="00901CDC" w:rsidRDefault="00DD550A">
      <w:pPr>
        <w:spacing w:before="288" w:after="288"/>
        <w:ind w:left="709"/>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3.2.4</w:t>
      </w:r>
      <w:r>
        <w:rPr>
          <w:rFonts w:ascii="Arial" w:eastAsia="SimSun" w:hAnsi="Arial" w:cs="Arial"/>
          <w:kern w:val="2"/>
          <w:sz w:val="24"/>
          <w:szCs w:val="24"/>
          <w:lang w:eastAsia="hi-IN" w:bidi="hi-IN"/>
        </w:rPr>
        <w:t xml:space="preserve"> Os documentos exigidos neste subitem, quando forem próprios, deverão ser assinados pelo representante legal do licitante e pelo seu contador ou, quando publicados em Órgão de Imprensa Oficial, deverão permitir a identificação do veículo e da data de sua publicação e conter o nome do contador e o número de seu registro no Conselho Regional de Contabilidade;</w:t>
      </w:r>
    </w:p>
    <w:p w14:paraId="24F5593E" w14:textId="77777777" w:rsidR="00901CDC" w:rsidRDefault="00DD550A">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3.2.5</w:t>
      </w:r>
      <w:r>
        <w:rPr>
          <w:rFonts w:ascii="Arial" w:eastAsia="SimSun" w:hAnsi="Arial" w:cs="Arial"/>
          <w:kern w:val="2"/>
          <w:sz w:val="24"/>
          <w:szCs w:val="24"/>
          <w:lang w:eastAsia="hi-IN" w:bidi="hi-IN"/>
        </w:rPr>
        <w:t xml:space="preserve"> A boa situação financeira do licitante será avaliada pelos índices de Liquidez Corrente (LC), Liquidez Geral (LG) e Solvência Geral (SG), que deverão ser iguais ou superiores a 1,0 para que o licitante seja considerado apto financeiramente; </w:t>
      </w:r>
      <w:r>
        <w:rPr>
          <w:rFonts w:ascii="Arial" w:eastAsia="SimSun" w:hAnsi="Arial" w:cs="Arial"/>
          <w:b/>
          <w:kern w:val="2"/>
          <w:sz w:val="24"/>
          <w:szCs w:val="24"/>
          <w:u w:val="single"/>
          <w:lang w:eastAsia="hi-IN" w:bidi="hi-IN"/>
        </w:rPr>
        <w:t>OU</w:t>
      </w:r>
    </w:p>
    <w:p w14:paraId="736D6953" w14:textId="77777777" w:rsidR="00901CDC" w:rsidRDefault="00DD550A">
      <w:pPr>
        <w:spacing w:before="288" w:after="288"/>
        <w:ind w:left="70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3.2.6</w:t>
      </w:r>
      <w:r>
        <w:rPr>
          <w:rFonts w:ascii="Arial" w:eastAsia="SimSun" w:hAnsi="Arial" w:cs="Arial"/>
          <w:kern w:val="2"/>
          <w:sz w:val="24"/>
          <w:szCs w:val="24"/>
          <w:lang w:eastAsia="hi-IN" w:bidi="hi-IN"/>
        </w:rPr>
        <w:t xml:space="preserve"> O licitante deverá comprovar que possui Patrimônio Líquido igual ou superior a 10% (dez por cento) do valor estimado da contratação.</w:t>
      </w:r>
    </w:p>
    <w:p w14:paraId="476E9222" w14:textId="6CA60229" w:rsidR="00901CDC" w:rsidRDefault="00DD550A">
      <w:pPr>
        <w:spacing w:before="288" w:after="120"/>
        <w:jc w:val="both"/>
        <w:rPr>
          <w:rFonts w:ascii="Arial" w:eastAsia="SimSun" w:hAnsi="Arial" w:cs="Arial"/>
          <w:b/>
          <w:bCs/>
          <w:sz w:val="24"/>
          <w:szCs w:val="24"/>
          <w:lang w:eastAsia="pt-BR" w:bidi="hi-IN"/>
        </w:rPr>
      </w:pPr>
      <w:r>
        <w:rPr>
          <w:rFonts w:ascii="Arial" w:eastAsia="SimSun" w:hAnsi="Arial" w:cs="Arial"/>
          <w:b/>
          <w:bCs/>
          <w:kern w:val="2"/>
          <w:sz w:val="24"/>
          <w:szCs w:val="24"/>
          <w:lang w:eastAsia="hi-IN" w:bidi="hi-IN"/>
        </w:rPr>
        <w:t>4.</w:t>
      </w:r>
      <w:r>
        <w:rPr>
          <w:rFonts w:ascii="Arial" w:eastAsia="SimSun" w:hAnsi="Arial" w:cs="Arial"/>
          <w:b/>
          <w:bCs/>
          <w:kern w:val="2"/>
          <w:sz w:val="24"/>
          <w:szCs w:val="24"/>
          <w:lang w:eastAsia="pt-BR" w:bidi="hi-IN"/>
        </w:rPr>
        <w:t xml:space="preserve"> Relativa à Qualificação Técnica</w:t>
      </w:r>
      <w:r w:rsidR="00DB1E23">
        <w:rPr>
          <w:rFonts w:ascii="Arial" w:eastAsia="SimSun" w:hAnsi="Arial" w:cs="Arial"/>
          <w:b/>
          <w:bCs/>
          <w:kern w:val="2"/>
          <w:sz w:val="24"/>
          <w:szCs w:val="24"/>
          <w:lang w:eastAsia="pt-BR" w:bidi="hi-IN"/>
        </w:rPr>
        <w:t xml:space="preserve"> </w:t>
      </w:r>
      <w:r>
        <w:rPr>
          <w:rFonts w:ascii="Arial" w:eastAsia="SimSun" w:hAnsi="Arial" w:cs="Arial"/>
          <w:b/>
          <w:bCs/>
          <w:kern w:val="2"/>
          <w:sz w:val="24"/>
          <w:szCs w:val="24"/>
          <w:lang w:eastAsia="pt-BR" w:bidi="hi-IN"/>
        </w:rPr>
        <w:t>:</w:t>
      </w:r>
    </w:p>
    <w:p w14:paraId="77E8FB4A" w14:textId="77777777" w:rsidR="00901CDC" w:rsidRDefault="00DD550A">
      <w:pPr>
        <w:spacing w:before="120" w:after="288"/>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4.1</w:t>
      </w:r>
      <w:r>
        <w:rPr>
          <w:rFonts w:ascii="Arial" w:eastAsia="SimSun" w:hAnsi="Arial" w:cs="Arial"/>
          <w:kern w:val="2"/>
          <w:sz w:val="24"/>
          <w:szCs w:val="24"/>
          <w:lang w:eastAsia="hi-IN" w:bidi="hi-IN"/>
        </w:rPr>
        <w:t xml:space="preserve"> Serão exigidos os documentos elencados no item 9.2 do Termo de Referência (Anexo V do Edital).</w:t>
      </w:r>
    </w:p>
    <w:p w14:paraId="3FFD3706" w14:textId="706E18B5" w:rsidR="00901CDC" w:rsidRPr="00F51790" w:rsidRDefault="00DD550A">
      <w:pPr>
        <w:spacing w:before="360" w:after="120"/>
        <w:jc w:val="both"/>
        <w:rPr>
          <w:rFonts w:ascii="Arial" w:eastAsia="SimSun" w:hAnsi="Arial" w:cs="Arial"/>
          <w:b/>
          <w:bCs/>
          <w:kern w:val="2"/>
          <w:sz w:val="24"/>
          <w:szCs w:val="24"/>
          <w:lang w:eastAsia="hi-IN" w:bidi="hi-IN"/>
        </w:rPr>
      </w:pPr>
      <w:r w:rsidRPr="00F51790">
        <w:rPr>
          <w:rFonts w:ascii="Arial" w:eastAsia="SimSun" w:hAnsi="Arial" w:cs="Arial"/>
          <w:b/>
          <w:bCs/>
          <w:kern w:val="2"/>
          <w:sz w:val="24"/>
          <w:szCs w:val="24"/>
          <w:lang w:eastAsia="hi-IN" w:bidi="hi-IN"/>
        </w:rPr>
        <w:t>5. Declarações exigidas</w:t>
      </w:r>
      <w:r w:rsidR="00DB1E23" w:rsidRPr="00F51790">
        <w:rPr>
          <w:rFonts w:ascii="Arial" w:eastAsia="SimSun" w:hAnsi="Arial"/>
          <w:b/>
          <w:bCs/>
          <w:kern w:val="2"/>
          <w:sz w:val="24"/>
          <w:szCs w:val="24"/>
          <w:lang w:eastAsia="hi-IN" w:bidi="hi-IN"/>
        </w:rPr>
        <w:t xml:space="preserve">(conforme modelo constate do Anexo VI do Edital): </w:t>
      </w:r>
      <w:r w:rsidRPr="00F51790">
        <w:rPr>
          <w:rFonts w:ascii="Arial" w:eastAsia="SimSun" w:hAnsi="Arial" w:cs="Arial"/>
          <w:b/>
          <w:bCs/>
          <w:kern w:val="2"/>
          <w:sz w:val="24"/>
          <w:szCs w:val="24"/>
          <w:lang w:eastAsia="hi-IN" w:bidi="hi-IN"/>
        </w:rPr>
        <w:t xml:space="preserve"> </w:t>
      </w:r>
    </w:p>
    <w:p w14:paraId="06A4A535" w14:textId="41B1D6F8" w:rsidR="00901CDC" w:rsidRPr="00F51790" w:rsidRDefault="00DD550A">
      <w:pPr>
        <w:spacing w:before="288" w:after="288"/>
        <w:ind w:left="709"/>
        <w:jc w:val="both"/>
        <w:rPr>
          <w:rFonts w:ascii="Arial" w:eastAsia="MS Mincho" w:hAnsi="Arial" w:cs="Arial"/>
          <w:sz w:val="24"/>
          <w:szCs w:val="24"/>
          <w:lang w:eastAsia="pt-BR"/>
        </w:rPr>
      </w:pPr>
      <w:r w:rsidRPr="00F51790">
        <w:rPr>
          <w:rFonts w:ascii="Arial" w:eastAsia="SimSun" w:hAnsi="Arial" w:cs="Arial"/>
          <w:b/>
          <w:kern w:val="2"/>
          <w:sz w:val="24"/>
          <w:szCs w:val="24"/>
          <w:lang w:eastAsia="hi-IN" w:bidi="hi-IN"/>
        </w:rPr>
        <w:lastRenderedPageBreak/>
        <w:t>5.1</w:t>
      </w:r>
      <w:r w:rsidRPr="00F51790">
        <w:rPr>
          <w:rFonts w:ascii="Arial" w:eastAsia="SimSun" w:hAnsi="Arial" w:cs="Arial"/>
          <w:bCs/>
          <w:kern w:val="2"/>
          <w:sz w:val="24"/>
          <w:szCs w:val="24"/>
          <w:lang w:eastAsia="hi-IN" w:bidi="hi-IN"/>
        </w:rPr>
        <w:t xml:space="preserve"> </w:t>
      </w:r>
      <w:r w:rsidRPr="00F51790">
        <w:rPr>
          <w:rFonts w:ascii="Arial" w:eastAsia="MS Mincho" w:hAnsi="Arial" w:cs="Arial"/>
          <w:sz w:val="24"/>
          <w:szCs w:val="24"/>
          <w:lang w:eastAsia="pt-BR"/>
        </w:rPr>
        <w:t>que manifesta ciência em relação ao inteiro teor do ato convocatório e dos seus anexos, concorda com suas condições, declara que a sua proposta econômica compreenderá a integralidade dos custos, nos termos do art. 63, §1º, da Lei Federal nº 14.133, de 2021, para atendimento dos direitos trabalhistas assegurados na Constituição Federal de 1988, nas leis trabalhistas, nas normas infralegais, nas convenções coletivas de trabalho e nos termos de ajustamento de conduta vigentes na data da sua entrega em definitivo;</w:t>
      </w:r>
    </w:p>
    <w:p w14:paraId="7562A7A2" w14:textId="71EB6550" w:rsidR="00901CDC" w:rsidRPr="00F51790" w:rsidRDefault="00DD550A">
      <w:pPr>
        <w:spacing w:before="288" w:after="288"/>
        <w:ind w:left="709"/>
        <w:jc w:val="both"/>
        <w:rPr>
          <w:rFonts w:ascii="Arial" w:eastAsia="MS Mincho" w:hAnsi="Arial" w:cs="Arial"/>
          <w:sz w:val="24"/>
          <w:szCs w:val="24"/>
          <w:lang w:eastAsia="pt-BR"/>
        </w:rPr>
      </w:pPr>
      <w:r w:rsidRPr="00F51790">
        <w:rPr>
          <w:rFonts w:ascii="Arial" w:eastAsia="MS Mincho" w:hAnsi="Arial" w:cs="Arial"/>
          <w:b/>
          <w:bCs/>
          <w:sz w:val="24"/>
          <w:szCs w:val="24"/>
          <w:lang w:eastAsia="pt-BR"/>
        </w:rPr>
        <w:t>5.2</w:t>
      </w:r>
      <w:r w:rsidRPr="00F51790">
        <w:rPr>
          <w:rFonts w:ascii="Arial" w:eastAsia="MS Mincho" w:hAnsi="Arial" w:cs="Arial"/>
          <w:sz w:val="24"/>
          <w:szCs w:val="24"/>
          <w:lang w:eastAsia="pt-BR"/>
        </w:rPr>
        <w:t xml:space="preserve"> que inexiste impedimento à sua habilitação, e comunicará a superveniência de ocorrência impeditiva ao órgão ou entidade Contratante;</w:t>
      </w:r>
    </w:p>
    <w:p w14:paraId="64C5F9B2" w14:textId="3E16A425" w:rsidR="00901CDC" w:rsidRPr="00F51790" w:rsidRDefault="00DD550A">
      <w:pPr>
        <w:spacing w:before="288" w:after="288"/>
        <w:ind w:left="709"/>
        <w:jc w:val="both"/>
        <w:rPr>
          <w:rFonts w:ascii="Arial" w:eastAsia="MS Mincho" w:hAnsi="Arial" w:cs="Arial"/>
          <w:sz w:val="24"/>
          <w:szCs w:val="24"/>
          <w:lang w:eastAsia="pt-BR"/>
        </w:rPr>
      </w:pPr>
      <w:r w:rsidRPr="00F51790">
        <w:rPr>
          <w:rFonts w:ascii="Arial" w:eastAsia="MS Mincho" w:hAnsi="Arial" w:cs="Arial"/>
          <w:b/>
          <w:bCs/>
          <w:sz w:val="24"/>
          <w:szCs w:val="24"/>
          <w:lang w:eastAsia="pt-BR"/>
        </w:rPr>
        <w:t>5.3</w:t>
      </w:r>
      <w:r w:rsidRPr="00F51790">
        <w:rPr>
          <w:rFonts w:ascii="Arial" w:eastAsia="MS Mincho" w:hAnsi="Arial" w:cs="Arial"/>
          <w:sz w:val="24"/>
          <w:szCs w:val="24"/>
          <w:lang w:eastAsia="pt-BR"/>
        </w:rPr>
        <w:t xml:space="preserve"> que cumpre o disposto no inciso XXXIII do art. 7° da Constituição Federal de 1988, que proíbe o trabalho noturno, perigoso ou insalubre a menores de dezoito e de qualquer trabalho a menores de dezesseis anos, salvo na condição de aprendiz, a partir de quatorze anos;</w:t>
      </w:r>
    </w:p>
    <w:p w14:paraId="1A0907A5" w14:textId="7D462058" w:rsidR="00901CDC" w:rsidRPr="00F51790" w:rsidRDefault="00DD550A">
      <w:pPr>
        <w:spacing w:before="288" w:after="288" w:line="240" w:lineRule="auto"/>
        <w:ind w:left="709"/>
        <w:jc w:val="both"/>
        <w:rPr>
          <w:rFonts w:ascii="Arial" w:eastAsia="MS Mincho" w:hAnsi="Arial" w:cs="Arial"/>
          <w:sz w:val="24"/>
          <w:szCs w:val="24"/>
          <w:lang w:eastAsia="pt-BR"/>
        </w:rPr>
      </w:pPr>
      <w:r w:rsidRPr="00F51790">
        <w:rPr>
          <w:rFonts w:ascii="Arial" w:eastAsia="MS Mincho" w:hAnsi="Arial" w:cs="Arial"/>
          <w:b/>
          <w:bCs/>
          <w:sz w:val="24"/>
          <w:szCs w:val="24"/>
          <w:lang w:eastAsia="pt-BR"/>
        </w:rPr>
        <w:t>5.4</w:t>
      </w:r>
      <w:r w:rsidRPr="00F51790">
        <w:rPr>
          <w:rFonts w:ascii="Arial" w:eastAsia="MS Mincho" w:hAnsi="Arial" w:cs="Arial"/>
          <w:sz w:val="24"/>
          <w:szCs w:val="24"/>
          <w:lang w:eastAsia="pt-BR"/>
        </w:rPr>
        <w:t xml:space="preserve"> que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14:paraId="67770095" w14:textId="57B3C1C0" w:rsidR="00901CDC" w:rsidRPr="00F51790" w:rsidRDefault="00DD550A">
      <w:pPr>
        <w:spacing w:before="288" w:after="288" w:line="240" w:lineRule="auto"/>
        <w:ind w:left="709"/>
        <w:jc w:val="both"/>
        <w:rPr>
          <w:rFonts w:ascii="Arial" w:eastAsia="MS Mincho" w:hAnsi="Arial" w:cs="Arial"/>
          <w:sz w:val="24"/>
          <w:szCs w:val="24"/>
          <w:lang w:eastAsia="pt-BR"/>
        </w:rPr>
      </w:pPr>
      <w:r w:rsidRPr="00F51790">
        <w:rPr>
          <w:rFonts w:ascii="Arial" w:eastAsia="MS Mincho" w:hAnsi="Arial" w:cs="Arial"/>
          <w:b/>
          <w:bCs/>
          <w:sz w:val="24"/>
          <w:szCs w:val="24"/>
          <w:lang w:eastAsia="pt-BR"/>
        </w:rPr>
        <w:t>5.5</w:t>
      </w:r>
      <w:r w:rsidRPr="00F51790">
        <w:rPr>
          <w:rFonts w:ascii="Arial" w:eastAsia="MS Mincho" w:hAnsi="Arial" w:cs="Arial"/>
          <w:sz w:val="24"/>
          <w:szCs w:val="24"/>
          <w:lang w:eastAsia="pt-BR"/>
        </w:rPr>
        <w:t xml:space="preserve"> que se responsabiliza pelas transações que forem efetuadas no sistema em seu nome, assumindo-as como firmes e verdadeiras;</w:t>
      </w:r>
    </w:p>
    <w:p w14:paraId="5B5E4472" w14:textId="3681A9C8" w:rsidR="00901CDC" w:rsidRPr="00F51790" w:rsidRDefault="00DD550A">
      <w:pPr>
        <w:spacing w:before="288" w:after="288" w:line="240" w:lineRule="auto"/>
        <w:ind w:left="709"/>
        <w:jc w:val="both"/>
        <w:rPr>
          <w:rFonts w:ascii="Arial" w:eastAsia="MS Mincho" w:hAnsi="Arial" w:cs="Arial"/>
          <w:sz w:val="24"/>
          <w:szCs w:val="24"/>
          <w:lang w:eastAsia="pt-BR"/>
        </w:rPr>
      </w:pPr>
      <w:r w:rsidRPr="00F51790">
        <w:rPr>
          <w:rFonts w:ascii="Arial" w:eastAsia="MS Mincho" w:hAnsi="Arial" w:cs="Arial"/>
          <w:b/>
          <w:bCs/>
          <w:sz w:val="24"/>
          <w:szCs w:val="24"/>
          <w:lang w:eastAsia="pt-BR"/>
        </w:rPr>
        <w:t>5.6</w:t>
      </w:r>
      <w:r w:rsidRPr="00F51790">
        <w:rPr>
          <w:rFonts w:ascii="Arial" w:eastAsia="MS Mincho" w:hAnsi="Arial" w:cs="Arial"/>
          <w:sz w:val="24"/>
          <w:szCs w:val="24"/>
          <w:lang w:eastAsia="pt-BR"/>
        </w:rPr>
        <w:t xml:space="preserve"> No caso de fornecedor beneficiário (ME/EPP/Equiparadas) indicado no caput do art. 3º do Decreto Estadual nº 47.437, de 2018, também deverá ser declarado:</w:t>
      </w:r>
    </w:p>
    <w:p w14:paraId="4A74ADF8" w14:textId="6D98A0E8" w:rsidR="00901CDC" w:rsidRPr="00F51790" w:rsidRDefault="00DD550A">
      <w:pPr>
        <w:spacing w:before="288" w:after="288" w:line="240" w:lineRule="auto"/>
        <w:ind w:left="1418"/>
        <w:jc w:val="both"/>
        <w:rPr>
          <w:rFonts w:ascii="Arial" w:eastAsia="MS Mincho" w:hAnsi="Arial" w:cs="Arial"/>
          <w:sz w:val="24"/>
          <w:szCs w:val="24"/>
          <w:lang w:eastAsia="pt-BR"/>
        </w:rPr>
      </w:pPr>
      <w:r w:rsidRPr="00F51790">
        <w:rPr>
          <w:rFonts w:ascii="Arial" w:eastAsia="MS Mincho" w:hAnsi="Arial" w:cs="Arial"/>
          <w:b/>
          <w:bCs/>
          <w:sz w:val="24"/>
          <w:szCs w:val="24"/>
          <w:lang w:eastAsia="pt-BR"/>
        </w:rPr>
        <w:t>5.6.1</w:t>
      </w:r>
      <w:r w:rsidRPr="00F51790">
        <w:rPr>
          <w:rFonts w:ascii="Arial" w:eastAsia="MS Mincho" w:hAnsi="Arial" w:cs="Arial"/>
          <w:sz w:val="24"/>
          <w:szCs w:val="24"/>
          <w:lang w:eastAsia="pt-BR"/>
        </w:rPr>
        <w:t xml:space="preserve"> que cumpre os requisitos estabelecidos no artigo 3º da Lei Complementar Federal nº 123, de 2006, estando apto a usufruir do tratamento favorecido estabelecido em seus artigos 42 a 49, observado o disposto nos §§ 1º ao 3º do art. 4º, da </w:t>
      </w:r>
      <w:r w:rsidRPr="00F51790">
        <w:rPr>
          <w:rFonts w:ascii="Arial" w:eastAsia="Times New Roman" w:hAnsi="Arial" w:cs="Arial"/>
          <w:color w:val="000000"/>
          <w:sz w:val="24"/>
          <w:szCs w:val="24"/>
          <w:lang w:eastAsia="pt-BR"/>
        </w:rPr>
        <w:t>Lei Federal nº 14.133/21</w:t>
      </w:r>
      <w:r w:rsidRPr="00F51790">
        <w:rPr>
          <w:rFonts w:ascii="Arial" w:eastAsia="MS Mincho" w:hAnsi="Arial" w:cs="Arial"/>
          <w:sz w:val="24"/>
          <w:szCs w:val="24"/>
          <w:lang w:eastAsia="pt-BR"/>
        </w:rPr>
        <w:t>;</w:t>
      </w:r>
    </w:p>
    <w:p w14:paraId="7942D3CA" w14:textId="2B56B3F0" w:rsidR="00901CDC" w:rsidRPr="00F51790" w:rsidRDefault="00DD550A">
      <w:pPr>
        <w:spacing w:before="288" w:after="288" w:line="240" w:lineRule="auto"/>
        <w:ind w:left="1418"/>
        <w:jc w:val="both"/>
        <w:rPr>
          <w:rFonts w:ascii="Arial" w:eastAsia="MS Mincho" w:hAnsi="Arial" w:cs="Arial"/>
          <w:sz w:val="24"/>
          <w:szCs w:val="24"/>
          <w:lang w:eastAsia="pt-BR"/>
        </w:rPr>
      </w:pPr>
      <w:r w:rsidRPr="00F51790">
        <w:rPr>
          <w:rFonts w:ascii="Arial" w:eastAsia="MS Mincho" w:hAnsi="Arial" w:cs="Arial"/>
          <w:b/>
          <w:bCs/>
          <w:sz w:val="24"/>
          <w:szCs w:val="24"/>
          <w:lang w:eastAsia="pt-BR"/>
        </w:rPr>
        <w:t>5.6.2</w:t>
      </w:r>
      <w:r w:rsidRPr="00F51790">
        <w:rPr>
          <w:rFonts w:ascii="Arial" w:eastAsia="MS Mincho" w:hAnsi="Arial" w:cs="Arial"/>
          <w:sz w:val="24"/>
          <w:szCs w:val="24"/>
          <w:lang w:eastAsia="pt-BR"/>
        </w:rPr>
        <w:t xml:space="preserve"> que caso possua restrição no(s) documento(s) de regularidade fiscal, assume o compromisso de promover a regularização caso venha a formular o lance vencedor, cumprindo plenamente os demais requisitos de habilitação.</w:t>
      </w:r>
    </w:p>
    <w:p w14:paraId="13C3DE47" w14:textId="50AA7A7B" w:rsidR="00901CDC" w:rsidRPr="00F51790" w:rsidRDefault="00DD550A">
      <w:pPr>
        <w:spacing w:before="288" w:after="288" w:line="240" w:lineRule="auto"/>
        <w:ind w:left="709"/>
        <w:jc w:val="both"/>
        <w:rPr>
          <w:rFonts w:ascii="Arial" w:eastAsia="MS Mincho" w:hAnsi="Arial" w:cs="Arial"/>
          <w:sz w:val="24"/>
          <w:szCs w:val="24"/>
          <w:lang w:eastAsia="pt-BR"/>
        </w:rPr>
      </w:pPr>
      <w:r w:rsidRPr="00F51790">
        <w:rPr>
          <w:rFonts w:ascii="Arial" w:eastAsia="MS Mincho" w:hAnsi="Arial" w:cs="Arial"/>
          <w:b/>
          <w:bCs/>
          <w:sz w:val="24"/>
          <w:szCs w:val="24"/>
          <w:lang w:eastAsia="pt-BR"/>
        </w:rPr>
        <w:t>5.7</w:t>
      </w:r>
      <w:r w:rsidRPr="00F51790">
        <w:rPr>
          <w:rFonts w:ascii="Arial" w:eastAsia="MS Mincho" w:hAnsi="Arial" w:cs="Arial"/>
          <w:sz w:val="24"/>
          <w:szCs w:val="24"/>
          <w:lang w:eastAsia="pt-BR"/>
        </w:rPr>
        <w:t xml:space="preserve"> No caso de profissionais organizados sob a forma de cooperativa:</w:t>
      </w:r>
    </w:p>
    <w:p w14:paraId="5C3300DD" w14:textId="552A950B" w:rsidR="00901CDC" w:rsidRPr="00F51790" w:rsidRDefault="00DD550A">
      <w:pPr>
        <w:spacing w:line="240" w:lineRule="auto"/>
        <w:ind w:left="1418"/>
        <w:rPr>
          <w:rFonts w:ascii="Arial" w:eastAsia="MS Mincho" w:hAnsi="Arial" w:cs="Arial"/>
          <w:sz w:val="24"/>
          <w:szCs w:val="24"/>
          <w:lang w:eastAsia="pt-BR"/>
        </w:rPr>
      </w:pPr>
      <w:r w:rsidRPr="00F51790">
        <w:rPr>
          <w:rFonts w:ascii="Arial" w:eastAsia="MS Mincho" w:hAnsi="Arial" w:cs="Arial"/>
          <w:b/>
          <w:bCs/>
          <w:sz w:val="24"/>
          <w:szCs w:val="24"/>
          <w:lang w:eastAsia="pt-BR"/>
        </w:rPr>
        <w:t>5.7.1</w:t>
      </w:r>
      <w:r w:rsidRPr="00F51790">
        <w:rPr>
          <w:rFonts w:ascii="Arial" w:eastAsia="MS Mincho" w:hAnsi="Arial" w:cs="Arial"/>
          <w:sz w:val="24"/>
          <w:szCs w:val="24"/>
          <w:lang w:eastAsia="pt-BR"/>
        </w:rPr>
        <w:t xml:space="preserve"> que participa da licitação sob a forma de cooperativa e atende ao disposto no art. 16 da </w:t>
      </w:r>
      <w:r w:rsidRPr="00F51790">
        <w:rPr>
          <w:rFonts w:ascii="Arial" w:eastAsia="Times New Roman" w:hAnsi="Arial" w:cs="Arial"/>
          <w:color w:val="000000"/>
          <w:sz w:val="24"/>
          <w:szCs w:val="24"/>
          <w:lang w:eastAsia="pt-BR"/>
        </w:rPr>
        <w:t>Lei Federal nº 14.133/21</w:t>
      </w:r>
      <w:r w:rsidRPr="00F51790">
        <w:rPr>
          <w:rFonts w:ascii="Arial" w:eastAsia="MS Mincho" w:hAnsi="Arial" w:cs="Arial"/>
          <w:sz w:val="24"/>
          <w:szCs w:val="24"/>
          <w:lang w:eastAsia="pt-BR"/>
        </w:rPr>
        <w:t>.</w:t>
      </w:r>
    </w:p>
    <w:p w14:paraId="7BC09C67" w14:textId="1B7C2145" w:rsidR="00DB1E23" w:rsidRPr="00F51790" w:rsidRDefault="00DB1E23" w:rsidP="00DB1E23">
      <w:pPr>
        <w:pStyle w:val="itemnivel3"/>
        <w:tabs>
          <w:tab w:val="decimal" w:pos="720"/>
          <w:tab w:val="left" w:pos="1134"/>
        </w:tabs>
        <w:suppressAutoHyphens/>
        <w:spacing w:before="120" w:beforeAutospacing="0" w:after="120" w:afterAutospacing="0" w:line="360" w:lineRule="auto"/>
        <w:ind w:right="-6"/>
        <w:jc w:val="both"/>
        <w:rPr>
          <w:rFonts w:ascii="Arial" w:eastAsia="Arial" w:hAnsi="Arial" w:cs="Arial"/>
        </w:rPr>
      </w:pPr>
      <w:r w:rsidRPr="00F51790">
        <w:rPr>
          <w:rFonts w:ascii="Arial" w:eastAsia="Arial" w:hAnsi="Arial" w:cs="Arial"/>
          <w:b/>
          <w:bCs/>
        </w:rPr>
        <w:lastRenderedPageBreak/>
        <w:t>5.8</w:t>
      </w:r>
      <w:r w:rsidRPr="00F51790">
        <w:rPr>
          <w:rFonts w:ascii="Arial" w:eastAsia="Arial" w:hAnsi="Arial" w:cs="Arial"/>
        </w:rPr>
        <w:t xml:space="preserve"> ciência em relação a todas as informações e condições locais para o cumprimento das obrigações objeto da </w:t>
      </w:r>
      <w:proofErr w:type="spellStart"/>
      <w:r w:rsidRPr="00F51790">
        <w:rPr>
          <w:rFonts w:ascii="Arial" w:eastAsia="Arial" w:hAnsi="Arial" w:cs="Arial"/>
        </w:rPr>
        <w:t>licitaçã</w:t>
      </w:r>
      <w:proofErr w:type="spellEnd"/>
      <w:r w:rsidRPr="00F51790">
        <w:rPr>
          <w:rFonts w:ascii="Arial" w:eastAsia="Arial" w:hAnsi="Arial" w:cs="Arial"/>
        </w:rPr>
        <w:t>, se prevista a possibilidade de vistoria técnica no campo 7 do Termo de Referência (anexo IV do Edital);</w:t>
      </w:r>
    </w:p>
    <w:p w14:paraId="273D1182" w14:textId="77777777" w:rsidR="00DB1E23" w:rsidRPr="00F51790" w:rsidRDefault="00DB1E23" w:rsidP="00DB1E23">
      <w:pPr>
        <w:spacing w:before="288" w:after="288" w:line="312" w:lineRule="auto"/>
        <w:jc w:val="both"/>
        <w:rPr>
          <w:rFonts w:ascii="Arial" w:eastAsia="MS Mincho" w:hAnsi="Arial"/>
          <w:sz w:val="24"/>
          <w:szCs w:val="24"/>
          <w:lang w:eastAsia="pt-BR"/>
        </w:rPr>
      </w:pPr>
      <w:r w:rsidRPr="00F51790">
        <w:rPr>
          <w:rFonts w:ascii="Arial" w:eastAsia="Arial" w:hAnsi="Arial"/>
          <w:b/>
          <w:sz w:val="24"/>
          <w:szCs w:val="24"/>
        </w:rPr>
        <w:t>5.9</w:t>
      </w:r>
      <w:r w:rsidRPr="00F51790">
        <w:rPr>
          <w:rFonts w:ascii="Arial" w:eastAsia="Arial" w:hAnsi="Arial"/>
          <w:b/>
        </w:rPr>
        <w:t xml:space="preserve"> </w:t>
      </w:r>
      <w:r w:rsidRPr="00F51790">
        <w:rPr>
          <w:rFonts w:ascii="Arial" w:eastAsia="MS Mincho" w:hAnsi="Arial"/>
          <w:sz w:val="24"/>
          <w:szCs w:val="24"/>
          <w:lang w:eastAsia="pt-BR"/>
        </w:rPr>
        <w:t xml:space="preserve">que não possui em seu quadro societário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conforme disposto na Resolução nº 37/09 do Conselho Nacional do Ministério Público, alterada pela Resolução nº 172/17; Bem como que </w:t>
      </w:r>
      <w:r w:rsidRPr="00F51790">
        <w:rPr>
          <w:rFonts w:ascii="Arial" w:eastAsia="SimSun" w:hAnsi="Arial"/>
          <w:sz w:val="24"/>
          <w:szCs w:val="24"/>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F51790">
        <w:rPr>
          <w:rFonts w:ascii="Arial" w:eastAsia="Aptos" w:hAnsi="Arial"/>
          <w:sz w:val="24"/>
          <w:szCs w:val="24"/>
        </w:rPr>
        <w:t>§</w:t>
      </w:r>
      <w:r w:rsidRPr="00F51790">
        <w:rPr>
          <w:rFonts w:ascii="Arial" w:eastAsia="SimSun" w:hAnsi="Arial"/>
          <w:sz w:val="24"/>
          <w:szCs w:val="24"/>
          <w:lang w:eastAsia="hi-IN" w:bidi="hi-IN"/>
        </w:rPr>
        <w:t xml:space="preserve"> único, da </w:t>
      </w:r>
      <w:r w:rsidRPr="00F51790">
        <w:rPr>
          <w:rFonts w:ascii="Arial" w:eastAsia="MS Mincho" w:hAnsi="Arial"/>
          <w:sz w:val="24"/>
          <w:szCs w:val="24"/>
          <w:lang w:eastAsia="pt-BR"/>
        </w:rPr>
        <w:t>Lei Federal nº 14.133/21</w:t>
      </w:r>
      <w:r w:rsidRPr="00F51790">
        <w:rPr>
          <w:rFonts w:ascii="Arial" w:eastAsia="SimSun" w:hAnsi="Arial"/>
          <w:sz w:val="24"/>
          <w:szCs w:val="24"/>
          <w:lang w:eastAsia="hi-IN" w:bidi="hi-IN"/>
        </w:rPr>
        <w:t>).</w:t>
      </w:r>
    </w:p>
    <w:p w14:paraId="2BB50B88" w14:textId="77777777" w:rsidR="00901CDC" w:rsidRPr="00F51790" w:rsidRDefault="00DD550A">
      <w:pPr>
        <w:spacing w:before="360" w:after="120"/>
        <w:jc w:val="both"/>
        <w:rPr>
          <w:rFonts w:ascii="Arial" w:eastAsia="SimSun" w:hAnsi="Arial" w:cs="Arial"/>
          <w:b/>
          <w:bCs/>
          <w:kern w:val="2"/>
          <w:sz w:val="24"/>
          <w:szCs w:val="24"/>
          <w:lang w:eastAsia="hi-IN" w:bidi="hi-IN"/>
        </w:rPr>
      </w:pPr>
      <w:r w:rsidRPr="00F51790">
        <w:rPr>
          <w:rFonts w:ascii="Arial" w:eastAsia="SimSun" w:hAnsi="Arial" w:cs="Arial"/>
          <w:b/>
          <w:bCs/>
          <w:kern w:val="2"/>
          <w:sz w:val="24"/>
          <w:szCs w:val="24"/>
          <w:lang w:eastAsia="hi-IN" w:bidi="hi-IN"/>
        </w:rPr>
        <w:t>6. Condições para participação de consórcios:</w:t>
      </w:r>
    </w:p>
    <w:p w14:paraId="5B8833CD" w14:textId="77777777" w:rsidR="00901CDC" w:rsidRPr="00F51790" w:rsidRDefault="00DD550A">
      <w:pPr>
        <w:spacing w:before="120" w:after="288" w:line="240" w:lineRule="auto"/>
        <w:jc w:val="both"/>
        <w:rPr>
          <w:rFonts w:ascii="Arial" w:eastAsia="SimSun" w:hAnsi="Arial" w:cs="Arial"/>
          <w:bCs/>
          <w:kern w:val="2"/>
          <w:sz w:val="24"/>
          <w:szCs w:val="24"/>
          <w:lang w:eastAsia="hi-IN" w:bidi="hi-IN"/>
        </w:rPr>
      </w:pPr>
      <w:r w:rsidRPr="00F51790">
        <w:rPr>
          <w:rFonts w:ascii="Arial" w:eastAsia="SimSun" w:hAnsi="Arial" w:cs="Arial"/>
          <w:b/>
          <w:bCs/>
          <w:kern w:val="2"/>
          <w:sz w:val="24"/>
          <w:szCs w:val="24"/>
          <w:lang w:eastAsia="hi-IN" w:bidi="hi-IN"/>
        </w:rPr>
        <w:t xml:space="preserve">6.1 </w:t>
      </w:r>
      <w:r w:rsidRPr="00F51790">
        <w:rPr>
          <w:rFonts w:ascii="Arial" w:eastAsia="SimSun" w:hAnsi="Arial" w:cs="Arial"/>
          <w:bCs/>
          <w:kern w:val="2"/>
          <w:sz w:val="24"/>
          <w:szCs w:val="24"/>
          <w:lang w:eastAsia="hi-IN" w:bidi="hi-IN"/>
        </w:rPr>
        <w:t xml:space="preserve">No caso de participação de pessoa jurídica em consórcio deverão ser apresentados os documentos exigidos no art. 15 da </w:t>
      </w:r>
      <w:r w:rsidRPr="00F51790">
        <w:rPr>
          <w:rFonts w:ascii="Arial" w:eastAsia="Times New Roman" w:hAnsi="Arial" w:cs="Arial"/>
          <w:color w:val="000000"/>
          <w:sz w:val="24"/>
          <w:szCs w:val="24"/>
          <w:lang w:eastAsia="pt-BR"/>
        </w:rPr>
        <w:t>Lei Federal nº 14.133/21</w:t>
      </w:r>
      <w:r w:rsidRPr="00F51790">
        <w:rPr>
          <w:rFonts w:ascii="Arial" w:eastAsia="SimSun" w:hAnsi="Arial" w:cs="Arial"/>
          <w:bCs/>
          <w:kern w:val="2"/>
          <w:sz w:val="24"/>
          <w:szCs w:val="24"/>
          <w:lang w:eastAsia="hi-IN" w:bidi="hi-IN"/>
        </w:rPr>
        <w:t>;</w:t>
      </w:r>
    </w:p>
    <w:p w14:paraId="13381FAF" w14:textId="77777777" w:rsidR="00901CDC" w:rsidRPr="00F51790" w:rsidRDefault="00DD550A">
      <w:pPr>
        <w:spacing w:before="288" w:after="288" w:line="240" w:lineRule="auto"/>
        <w:jc w:val="both"/>
      </w:pPr>
      <w:r w:rsidRPr="00F51790">
        <w:rPr>
          <w:rFonts w:ascii="Arial" w:eastAsia="SimSun" w:hAnsi="Arial" w:cs="Arial"/>
          <w:b/>
          <w:bCs/>
          <w:kern w:val="2"/>
          <w:sz w:val="24"/>
          <w:szCs w:val="24"/>
          <w:lang w:eastAsia="hi-IN" w:bidi="hi-IN"/>
        </w:rPr>
        <w:t xml:space="preserve">6.2 </w:t>
      </w:r>
      <w:r w:rsidRPr="00F51790">
        <w:rPr>
          <w:rFonts w:ascii="Arial" w:eastAsia="MS Mincho" w:hAnsi="Arial" w:cs="Arial"/>
          <w:sz w:val="24"/>
          <w:szCs w:val="24"/>
          <w:lang w:eastAsia="pt-BR"/>
        </w:rPr>
        <w:t xml:space="preserve">Se o consórcio não for formado integralmente por microempresas ou empresas de pequeno porte e o termo de referência exigir requisitos de habilitação econômico-financeira, haverá um acréscimo de 10% para o consórcio em relação ao valor exigido para os licitantes individuais; </w:t>
      </w:r>
    </w:p>
    <w:p w14:paraId="6B2438BD" w14:textId="77777777" w:rsidR="00901CDC" w:rsidRPr="00F51790" w:rsidRDefault="00DD550A">
      <w:pPr>
        <w:spacing w:before="360" w:after="120"/>
        <w:jc w:val="both"/>
        <w:rPr>
          <w:rFonts w:ascii="Arial" w:eastAsia="SimSun" w:hAnsi="Arial" w:cs="Arial"/>
          <w:b/>
          <w:bCs/>
          <w:kern w:val="2"/>
          <w:sz w:val="24"/>
          <w:szCs w:val="24"/>
          <w:lang w:eastAsia="hi-IN" w:bidi="hi-IN"/>
        </w:rPr>
      </w:pPr>
      <w:r w:rsidRPr="00F51790">
        <w:rPr>
          <w:rFonts w:ascii="Arial" w:eastAsia="SimSun" w:hAnsi="Arial" w:cs="Arial"/>
          <w:b/>
          <w:bCs/>
          <w:kern w:val="2"/>
          <w:sz w:val="24"/>
          <w:szCs w:val="24"/>
          <w:lang w:eastAsia="hi-IN" w:bidi="hi-IN"/>
        </w:rPr>
        <w:t>7. Condições para aceitabilidade dos documentos:</w:t>
      </w:r>
    </w:p>
    <w:p w14:paraId="67A1A564" w14:textId="77777777" w:rsidR="00901CDC" w:rsidRDefault="00DD550A">
      <w:pPr>
        <w:spacing w:before="120" w:after="288" w:line="240" w:lineRule="auto"/>
        <w:jc w:val="both"/>
        <w:rPr>
          <w:rFonts w:ascii="Arial" w:eastAsia="SimSun" w:hAnsi="Arial" w:cs="Arial"/>
          <w:kern w:val="2"/>
          <w:sz w:val="24"/>
          <w:szCs w:val="24"/>
          <w:lang w:eastAsia="hi-IN" w:bidi="hi-IN"/>
        </w:rPr>
      </w:pPr>
      <w:r w:rsidRPr="00F51790">
        <w:rPr>
          <w:rFonts w:ascii="Arial" w:eastAsia="SimSun" w:hAnsi="Arial" w:cs="Arial"/>
          <w:b/>
          <w:bCs/>
          <w:kern w:val="2"/>
          <w:sz w:val="24"/>
          <w:szCs w:val="24"/>
          <w:lang w:eastAsia="hi-IN" w:bidi="hi-IN"/>
        </w:rPr>
        <w:t>7.1</w:t>
      </w:r>
      <w:r w:rsidRPr="00F51790">
        <w:rPr>
          <w:rFonts w:ascii="Arial" w:eastAsia="SimSun" w:hAnsi="Arial" w:cs="Arial"/>
          <w:kern w:val="2"/>
          <w:sz w:val="24"/>
          <w:szCs w:val="24"/>
          <w:lang w:eastAsia="hi-IN" w:bidi="hi-IN"/>
        </w:rPr>
        <w:t xml:space="preserve"> Todos os documentos deverão estar em nome da matriz, se o licitante for a matriz, e em nome da filial, se o licitante for a filial;</w:t>
      </w:r>
    </w:p>
    <w:p w14:paraId="3F52DB8C" w14:textId="77777777" w:rsidR="00901CDC" w:rsidRDefault="00DD550A">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7.2</w:t>
      </w:r>
      <w:r>
        <w:rPr>
          <w:rFonts w:ascii="Arial" w:eastAsia="SimSun" w:hAnsi="Arial" w:cs="Arial"/>
          <w:kern w:val="2"/>
          <w:sz w:val="24"/>
          <w:szCs w:val="24"/>
          <w:lang w:eastAsia="hi-IN" w:bidi="hi-IN"/>
        </w:rPr>
        <w:t xml:space="preserve"> Poderá ainda o licitante, se filial, apresentar aqueles documentos que, pela própria natureza, comprovadamente, forem emitidos somente em nome da matriz;</w:t>
      </w:r>
    </w:p>
    <w:p w14:paraId="68BD6B1D" w14:textId="77777777" w:rsidR="00901CDC" w:rsidRDefault="00DD550A">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7.3</w:t>
      </w:r>
      <w:r>
        <w:rPr>
          <w:rFonts w:ascii="Arial" w:eastAsia="SimSun" w:hAnsi="Arial" w:cs="Arial"/>
          <w:kern w:val="2"/>
          <w:sz w:val="24"/>
          <w:szCs w:val="24"/>
          <w:lang w:eastAsia="hi-IN" w:bidi="hi-IN"/>
        </w:rPr>
        <w:t xml:space="preserve"> Caso a filial, licitante habilitada, posteriormente se apresente impossibilitada de providenciar o faturamento pertinente, este deverá ser efetuado pela matriz do licitante, mediante prévia justificativa aceita pela PGJ;</w:t>
      </w:r>
    </w:p>
    <w:p w14:paraId="45C32EE5" w14:textId="77777777" w:rsidR="00901CDC" w:rsidRDefault="00DD550A">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lastRenderedPageBreak/>
        <w:t>7.4</w:t>
      </w:r>
      <w:r>
        <w:rPr>
          <w:rFonts w:ascii="Arial" w:eastAsia="SimSun" w:hAnsi="Arial" w:cs="Arial"/>
          <w:kern w:val="2"/>
          <w:sz w:val="24"/>
          <w:szCs w:val="24"/>
          <w:lang w:eastAsia="hi-IN" w:bidi="hi-IN"/>
        </w:rPr>
        <w:t xml:space="preserve"> Com exceção dos documentos relativos à regularidade fiscal que, em qualquer caso, serão exigidos somente em momento posterior ao julgamento das propostas, e apenas do licitante mais bem classificado, os licitantes deverão manter válidos os documentos apresentados para habilitação, sendo exigida essa condição para assinatura do Contrato;</w:t>
      </w:r>
    </w:p>
    <w:p w14:paraId="6BEAEE97" w14:textId="77777777" w:rsidR="00901CDC" w:rsidRDefault="00DD550A">
      <w:pPr>
        <w:spacing w:before="288" w:after="288" w:line="240" w:lineRule="auto"/>
        <w:jc w:val="both"/>
        <w:rPr>
          <w:rFonts w:ascii="Arial" w:eastAsia="SimSun" w:hAnsi="Arial" w:cs="Arial"/>
          <w:kern w:val="2"/>
          <w:sz w:val="24"/>
          <w:szCs w:val="24"/>
          <w:lang w:eastAsia="hi-IN" w:bidi="hi-IN"/>
        </w:rPr>
      </w:pPr>
      <w:r>
        <w:rPr>
          <w:rFonts w:ascii="Arial" w:eastAsia="SimSun" w:hAnsi="Arial" w:cs="Arial"/>
          <w:b/>
          <w:bCs/>
          <w:kern w:val="2"/>
          <w:sz w:val="24"/>
          <w:szCs w:val="24"/>
          <w:lang w:eastAsia="hi-IN" w:bidi="hi-IN"/>
        </w:rPr>
        <w:t>7.5</w:t>
      </w:r>
      <w:r>
        <w:rPr>
          <w:rFonts w:ascii="Arial" w:eastAsia="SimSun" w:hAnsi="Arial" w:cs="Arial"/>
          <w:kern w:val="2"/>
          <w:sz w:val="24"/>
          <w:szCs w:val="24"/>
          <w:lang w:eastAsia="hi-IN" w:bidi="hi-IN"/>
        </w:rPr>
        <w:t xml:space="preserve"> Os documentos exigidos não poderão ser substituídos por nenhum tipo de protocolo.</w:t>
      </w:r>
      <w:r>
        <w:br w:type="page"/>
      </w:r>
    </w:p>
    <w:p w14:paraId="2ED00A2C" w14:textId="6CB232BB" w:rsidR="00901CDC" w:rsidRDefault="00DD550A" w:rsidP="00C63608">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06" w:name="_Toc154755525"/>
      <w:bookmarkStart w:id="207" w:name="_Toc176954848"/>
      <w:r>
        <w:rPr>
          <w:rFonts w:ascii="Arial" w:eastAsia="Times New Roman" w:hAnsi="Arial" w:cs="Arial"/>
          <w:b/>
          <w:bCs/>
          <w:kern w:val="2"/>
          <w:sz w:val="24"/>
          <w:szCs w:val="24"/>
          <w:lang w:eastAsia="ar-SA"/>
        </w:rPr>
        <w:lastRenderedPageBreak/>
        <w:t>ANEXO V – TERMO DE REFERÊNCIA</w:t>
      </w:r>
      <w:bookmarkEnd w:id="206"/>
      <w:bookmarkEnd w:id="207"/>
      <w:r>
        <w:rPr>
          <w:rFonts w:ascii="Arial" w:eastAsia="Times New Roman" w:hAnsi="Arial" w:cs="Arial"/>
          <w:b/>
          <w:bCs/>
          <w:kern w:val="2"/>
          <w:sz w:val="24"/>
          <w:szCs w:val="24"/>
          <w:lang w:eastAsia="ar-SA"/>
        </w:rPr>
        <w:t xml:space="preserve"> </w:t>
      </w:r>
    </w:p>
    <w:p w14:paraId="7E230270" w14:textId="77777777" w:rsidR="00901CDC" w:rsidRDefault="00DD550A">
      <w:pPr>
        <w:suppressAutoHyphens w:val="0"/>
        <w:spacing w:before="240" w:after="240"/>
        <w:jc w:val="both"/>
      </w:pPr>
      <w:r>
        <w:rPr>
          <w:rFonts w:ascii="Arial" w:hAnsi="Arial" w:cs="Arial"/>
          <w:sz w:val="24"/>
          <w:szCs w:val="24"/>
          <w:lang w:eastAsia="pt-BR"/>
        </w:rPr>
        <w:t xml:space="preserve">(Anexo III da Ata de Registro de Preços e Anexo II do Contrato) </w:t>
      </w:r>
    </w:p>
    <w:p w14:paraId="3E9EEE0F" w14:textId="77777777" w:rsidR="00901CDC" w:rsidRDefault="00DD550A">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PLANEJAMENTO Nº 142/2024</w:t>
      </w:r>
    </w:p>
    <w:p w14:paraId="721F876B" w14:textId="77777777" w:rsidR="00901CDC" w:rsidRDefault="00DD550A">
      <w:pP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DOCUMENTO DE FORMALIZAÇÃO DE DEMANDA (DFD): 558/2023</w:t>
      </w:r>
    </w:p>
    <w:p w14:paraId="3E9B0922" w14:textId="77777777" w:rsidR="00901CDC" w:rsidRDefault="00DD550A">
      <w:pPr>
        <w:spacing w:after="200" w:line="276" w:lineRule="auto"/>
      </w:pPr>
      <w:r>
        <w:rPr>
          <w:rFonts w:ascii="Arial" w:eastAsia="Arial" w:hAnsi="Arial" w:cs="Arial"/>
          <w:b/>
          <w:bCs/>
          <w:sz w:val="24"/>
          <w:szCs w:val="24"/>
          <w:lang w:eastAsia="pt-BR"/>
        </w:rPr>
        <w:t xml:space="preserve">PROCESSO SEI: </w:t>
      </w:r>
      <w:r>
        <w:rPr>
          <w:rFonts w:ascii="Arial" w:hAnsi="Arial" w:cs="Arial"/>
          <w:b/>
          <w:bCs/>
          <w:color w:val="000000"/>
          <w:sz w:val="24"/>
          <w:szCs w:val="24"/>
        </w:rPr>
        <w:t>19.16.3913.0004338/2024-22</w:t>
      </w:r>
    </w:p>
    <w:p w14:paraId="5CBA4187"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pPr>
      <w:r>
        <w:rPr>
          <w:rFonts w:ascii="Arial" w:eastAsia="Arial" w:hAnsi="Arial" w:cs="Arial"/>
          <w:b/>
          <w:bCs/>
          <w:color w:val="000000"/>
          <w:sz w:val="24"/>
          <w:szCs w:val="24"/>
          <w:lang w:eastAsia="pt-BR"/>
        </w:rPr>
        <w:t>1 - DO OBJETO:</w:t>
      </w:r>
    </w:p>
    <w:p w14:paraId="7070D29F" w14:textId="77777777" w:rsidR="00901CDC" w:rsidRDefault="00901CDC">
      <w:pPr>
        <w:spacing w:after="200" w:line="276" w:lineRule="auto"/>
      </w:pPr>
    </w:p>
    <w:p w14:paraId="334D2442" w14:textId="77777777" w:rsidR="00901CDC" w:rsidRDefault="00DD550A">
      <w:pPr>
        <w:pBdr>
          <w:top w:val="single" w:sz="4" w:space="1" w:color="000000"/>
          <w:left w:val="single" w:sz="4" w:space="1" w:color="000000"/>
          <w:bottom w:val="single" w:sz="4" w:space="1" w:color="000000"/>
          <w:right w:val="single" w:sz="4" w:space="4" w:color="000000"/>
        </w:pBdr>
        <w:spacing w:after="200" w:line="276" w:lineRule="auto"/>
        <w:jc w:val="both"/>
      </w:pPr>
      <w:r>
        <w:rPr>
          <w:rFonts w:ascii="Arial" w:eastAsia="Arial" w:hAnsi="Arial" w:cs="Arial"/>
          <w:b/>
          <w:sz w:val="24"/>
          <w:szCs w:val="24"/>
          <w:lang w:eastAsia="pt-BR"/>
        </w:rPr>
        <w:t>1.1 - DESCRIÇÃO DO OBJETO:</w:t>
      </w:r>
    </w:p>
    <w:p w14:paraId="3174D39D" w14:textId="77777777" w:rsidR="00901CDC" w:rsidRDefault="00DD550A">
      <w:pPr>
        <w:spacing w:after="200" w:line="276" w:lineRule="auto"/>
        <w:jc w:val="both"/>
        <w:rPr>
          <w:rFonts w:ascii="Arial" w:eastAsia="Arial" w:hAnsi="Arial" w:cs="Arial"/>
          <w:sz w:val="24"/>
          <w:szCs w:val="24"/>
          <w:lang w:eastAsia="pt-BR"/>
        </w:rPr>
      </w:pPr>
      <w:r>
        <w:rPr>
          <w:rFonts w:ascii="Arial" w:hAnsi="Arial" w:cs="Arial"/>
          <w:color w:val="000000"/>
          <w:sz w:val="24"/>
          <w:szCs w:val="24"/>
        </w:rPr>
        <w:t>Registro de Preços para aquisição de CADEIRAS OPERACIONAIS, conforme especificações, exigências e quantidades estabelecidas neste Termo de Referência.</w:t>
      </w:r>
    </w:p>
    <w:p w14:paraId="69E70D7E"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sz w:val="24"/>
          <w:szCs w:val="24"/>
          <w:lang w:eastAsia="pt-BR"/>
        </w:rPr>
        <w:t>1.2 - DESCRIÇÃO DETALHADA DA SOLUÇÃO ESCOLHIDA:</w:t>
      </w:r>
    </w:p>
    <w:p w14:paraId="5FFD845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 Aquisição de cadeiras operacionais para atender as demandas de fornecimento, acréscimo, substituição e instalação de novas unidades do MPMG conforme descrição, quantitativos e especificações contidas neste Termo de Referência.</w:t>
      </w:r>
    </w:p>
    <w:p w14:paraId="1BCB218D" w14:textId="77777777" w:rsidR="00901CDC" w:rsidRDefault="00DD550A">
      <w:pPr>
        <w:suppressAutoHyphens w:val="0"/>
        <w:spacing w:beforeAutospacing="1" w:after="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1.2.2. O objeto desta contratação não se enquadra como sendo de bem de luxo, conforme o Decreto n. 48.586/2023 do Estado de Minas Gerais. O produto descrito neste Termo de Referência classifica-se como comum, ou seja, aquele cujo padrão de desempenho e qualidade possa ser objetivamente definido pelo presente termo, por meio de especificação usual no mercado e que não se enquadra no conceito de bem de luxo (bem de consumo com alta elasticidade-renda da demanda, identificável por meio de características como ostentação, opulência, forte apelo estético ou requinte).</w:t>
      </w:r>
    </w:p>
    <w:p w14:paraId="5AD2E22E" w14:textId="77777777" w:rsidR="00901CDC" w:rsidRDefault="00DD550A">
      <w:pPr>
        <w:suppressAutoHyphens w:val="0"/>
        <w:spacing w:beforeAutospacing="1" w:after="195" w:line="240" w:lineRule="auto"/>
        <w:jc w:val="both"/>
        <w:rPr>
          <w:rFonts w:ascii="Arial" w:eastAsia="Arial" w:hAnsi="Arial" w:cs="Arial"/>
          <w:sz w:val="24"/>
          <w:szCs w:val="24"/>
          <w:lang w:eastAsia="pt-BR"/>
        </w:rPr>
      </w:pPr>
      <w:r>
        <w:rPr>
          <w:rFonts w:ascii="Arial" w:eastAsia="Times New Roman" w:hAnsi="Arial" w:cs="Arial"/>
          <w:color w:val="000000"/>
          <w:sz w:val="24"/>
          <w:szCs w:val="24"/>
          <w:lang w:eastAsia="pt-BR"/>
        </w:rPr>
        <w:t>1.2.3. O Estudo Técnico Preliminar nº 110/2023 foi devidamente aprovado pela chefia imediata, Carolina Costa Val Rodrigues, MAMP 4465, da unidade Divisão de Materiais - DIMAT.</w:t>
      </w:r>
    </w:p>
    <w:p w14:paraId="673BF53F"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2 - DA FUNDAMENTAÇÃO E DESCRIÇÃO DA NECESSIDADE DA CONTRATAÇÃO:</w:t>
      </w:r>
    </w:p>
    <w:p w14:paraId="023C595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 A finalidade e justificativa desta contratação é o fornecimento de bens permanentes necessários para manutenção dos serviços das áreas meio e fim do Ministério Público de Minas Gerais, possibilitando uma gestão eficiente quanto à formação de estoque desses produtos.</w:t>
      </w:r>
    </w:p>
    <w:p w14:paraId="603D18B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2.2 A licitação tem por finalidade proporcionar a aquisição de cadeiras operacionais para complementar os ambientes já existentes e permitir o atendimento às demandas de implantação de novos setores, novas edificações de promotorias, adequação de layouts diversos, reposição de material defeituoso e troca de materiais antigos, tanto na sede do MPMG quanto nas diversas unidades em todo o Estado.</w:t>
      </w:r>
    </w:p>
    <w:p w14:paraId="22E99C0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2.3 Evidencia-se a necessidade de a Divisão de Materiais estar preparada e capacitada para se adequar às mudanças (inauguração de sedes próprias, mudança de endereço com ampliação ou redução de espaços) que possam ocorrer na estrutura da PGJ e impactar o fornecimento desses bens.</w:t>
      </w:r>
    </w:p>
    <w:p w14:paraId="7713222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2.4 Importante ainda ressaltar, no que tange à importância da aquisição das cadeiras operacionais, que os membros e servidores passam bastante tempo sentados durante o período de trabalho, o que exige que as cadeiras a serem adquiridas possuam várias possibilidades de regulagens ergonômicas, tanto no assento, encosto, lombar, apoio de braços e apoio da cervical, de modo que possa se ajustar ao biotipo de forma personalizada, evitando-se assim lesões, dores e desconfortos, proporcionando saúde na postura corporal e aumento na produtividade no trabalho.</w:t>
      </w:r>
    </w:p>
    <w:p w14:paraId="34118D0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2.5 O revestimento couro sintético do assento das poltronas, indicados como referência para esta aquisição, tem como objetivo garantir maior durabilidade e conforto que o referido material proporciona, sobretudo para cadeiras que serão utilizadas por várias horas no exercício da atividade.</w:t>
      </w:r>
    </w:p>
    <w:p w14:paraId="205B359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2.6 Busca-se, pois, a qualidade, excelência na aquisição, vislumbrando-se alguns aspectos técnicos essenciais para o encontro de um objeto (mobiliário, </w:t>
      </w:r>
      <w:proofErr w:type="spellStart"/>
      <w:r>
        <w:rPr>
          <w:rFonts w:ascii="Arial" w:eastAsia="Times New Roman" w:hAnsi="Arial" w:cs="Arial"/>
          <w:color w:val="000000"/>
          <w:sz w:val="24"/>
          <w:szCs w:val="24"/>
          <w:lang w:eastAsia="pt-BR"/>
        </w:rPr>
        <w:t>etc</w:t>
      </w:r>
      <w:proofErr w:type="spellEnd"/>
      <w:r>
        <w:rPr>
          <w:rFonts w:ascii="Arial" w:eastAsia="Times New Roman" w:hAnsi="Arial" w:cs="Arial"/>
          <w:color w:val="000000"/>
          <w:sz w:val="24"/>
          <w:szCs w:val="24"/>
          <w:lang w:eastAsia="pt-BR"/>
        </w:rPr>
        <w:t>) com melhor qualidade, durabilidade, rentabilidade, além de qualidade de saúde para os usuários dos produtos a serem utilizados (ergonomia), não se esquecendo dos preceitos de sustentabilidade ambiental.</w:t>
      </w:r>
    </w:p>
    <w:p w14:paraId="662457C5" w14:textId="7F5FD984"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2.7 Nesse sentido, resta evidenciada a necessidade de contratações frequentes, motivo pelo qual justifica-se a licitação na modalidade pregão, na sua forma eletrônica, pelo SISTEMA DE REGISTRO DE PREÇOS, consoante inciso I do Art. 3º do Decreto 7.892, de 23 de janeiro de 2013 e o Art. 1º e o § 1º do Art. 2º do Dec. Nº 5.450, de 31 de maio de 2005. Ademais, a opção pelo Registro de Preços enquadra-se no caso </w:t>
      </w:r>
      <w:r w:rsidRPr="00F51790">
        <w:rPr>
          <w:rFonts w:ascii="Arial" w:eastAsia="Times New Roman" w:hAnsi="Arial" w:cs="Arial"/>
          <w:color w:val="000000"/>
          <w:sz w:val="24"/>
          <w:szCs w:val="24"/>
          <w:lang w:eastAsia="pt-BR"/>
        </w:rPr>
        <w:t>previsto no inciso I</w:t>
      </w:r>
      <w:r w:rsidR="00495CB8" w:rsidRPr="00F51790">
        <w:rPr>
          <w:rFonts w:ascii="Arial" w:eastAsia="Times New Roman" w:hAnsi="Arial" w:cs="Arial"/>
          <w:color w:val="000000"/>
          <w:sz w:val="24"/>
          <w:szCs w:val="24"/>
          <w:lang w:eastAsia="pt-BR"/>
        </w:rPr>
        <w:t xml:space="preserve">I </w:t>
      </w:r>
      <w:r w:rsidRPr="00F51790">
        <w:rPr>
          <w:rFonts w:ascii="Arial" w:eastAsia="Times New Roman" w:hAnsi="Arial" w:cs="Arial"/>
          <w:color w:val="000000"/>
          <w:sz w:val="24"/>
          <w:szCs w:val="24"/>
          <w:lang w:eastAsia="pt-BR"/>
        </w:rPr>
        <w:t xml:space="preserve">do art. </w:t>
      </w:r>
      <w:r w:rsidR="00495CB8" w:rsidRPr="00F51790">
        <w:rPr>
          <w:rFonts w:ascii="Arial" w:eastAsia="Times New Roman" w:hAnsi="Arial" w:cs="Arial"/>
          <w:color w:val="000000"/>
          <w:sz w:val="24"/>
          <w:szCs w:val="24"/>
          <w:lang w:eastAsia="pt-BR"/>
        </w:rPr>
        <w:t>3</w:t>
      </w:r>
      <w:r w:rsidRPr="00F51790">
        <w:rPr>
          <w:rFonts w:ascii="Arial" w:eastAsia="Times New Roman" w:hAnsi="Arial" w:cs="Arial"/>
          <w:color w:val="000000"/>
          <w:sz w:val="24"/>
          <w:szCs w:val="24"/>
          <w:lang w:eastAsia="pt-BR"/>
        </w:rPr>
        <w:t xml:space="preserve">º do Decreto Estadual n.º </w:t>
      </w:r>
      <w:r w:rsidR="00495CB8" w:rsidRPr="00F51790">
        <w:rPr>
          <w:rFonts w:ascii="Arial" w:eastAsia="Times New Roman" w:hAnsi="Arial" w:cs="Arial"/>
          <w:color w:val="000000"/>
          <w:sz w:val="24"/>
          <w:szCs w:val="24"/>
          <w:lang w:eastAsia="pt-BR"/>
        </w:rPr>
        <w:t>48.779/24</w:t>
      </w:r>
      <w:r w:rsidRPr="00F51790">
        <w:rPr>
          <w:rFonts w:ascii="Arial" w:eastAsia="Times New Roman" w:hAnsi="Arial" w:cs="Arial"/>
          <w:color w:val="000000"/>
          <w:sz w:val="24"/>
          <w:szCs w:val="24"/>
          <w:lang w:eastAsia="pt-BR"/>
        </w:rPr>
        <w:t>, além de outras vantagens, tais como: (a) não precisar haver imediatamente dotação orçamentária</w:t>
      </w:r>
      <w:r>
        <w:rPr>
          <w:rFonts w:ascii="Arial" w:eastAsia="Times New Roman" w:hAnsi="Arial" w:cs="Arial"/>
          <w:color w:val="000000"/>
          <w:sz w:val="24"/>
          <w:szCs w:val="24"/>
          <w:lang w:eastAsia="pt-BR"/>
        </w:rPr>
        <w:t>; (b) poder atender demandas imprevisíveis; (c) reduzir a necessidade de manter grande quantidade de volume de estoque; (d) eliminar de vez o fracionamento de despesas evitando sucessivas aquisições do mesmo objeto ao longo do exercício; (e) reduzir o número de licitações; (f) apresentar um tempo célere para as aquisições; (g) menor custo na realização de licitação; (h) maior transparência nas aquisições.</w:t>
      </w:r>
    </w:p>
    <w:p w14:paraId="1B47FFF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2.8 Como é de conhecimento da Administração, a opção pelo Registro de Preços volta-se para diminuição da necessidade de grande estoque e disponibilidade financeira.</w:t>
      </w:r>
    </w:p>
    <w:p w14:paraId="3432EFE2"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2.9 Além dos pontos apresentados acima, o Registro de Preços se justifica em razão da durabilidade dos bens permanentes que deve ser levada em consideração para a previsão do estoque necessário a ser mantido na Divisão de Materiais, sem comprometimento dos espaços livres dos galpões. Ademais, a manutenção do ponto de reposição desses bens visa equipar novas unidades do MPMG.</w:t>
      </w:r>
    </w:p>
    <w:p w14:paraId="21298C7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2.10 Cumpre ressaltar que, por fim, justifica-se a aquisição destes bens para melhor aproveitamento dos espaços físicos e otimização dos ambientes, em consonância com os novos layouts apresentados pela Engenharia para as unidades próprias e locadas do MPMG e com as normas de acessibilidade.</w:t>
      </w:r>
    </w:p>
    <w:p w14:paraId="51FD8EA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2.11 O objeto da contratação está previsto no Plano de Contratações Anual 2024. A contratação alinha-se com o Planejamento Estratégico uma vez que os objetivos de zelar pela sustentabilidade em toda forma de atuação, assegurar a disponibilidade e a aplicação eficiente dos recursos orçamentários, estabelecer gestão administrativa compartilhada e padronizada, prover soluções tecnológicas integradas e inovadoras, integrar fluxos de solicitação de material com os fluxos de serviços e manutenção e adotar objetivos de desenvolvimento sustentável na gestão de logística de serviços serão alcançados.</w:t>
      </w:r>
    </w:p>
    <w:p w14:paraId="0755D6EA" w14:textId="77777777" w:rsidR="00901CDC" w:rsidRDefault="00DD550A">
      <w:pPr>
        <w:pBdr>
          <w:top w:val="single" w:sz="4" w:space="1" w:color="000000"/>
          <w:left w:val="single" w:sz="4" w:space="4" w:color="000000"/>
          <w:bottom w:val="single" w:sz="4" w:space="1" w:color="000000"/>
          <w:right w:val="single" w:sz="4" w:space="4" w:color="000000"/>
        </w:pBdr>
        <w:suppressAutoHyphens w:val="0"/>
        <w:spacing w:beforeAutospacing="1" w:afterAutospacing="1" w:line="240" w:lineRule="auto"/>
        <w:jc w:val="both"/>
        <w:rPr>
          <w:rFonts w:ascii="Arial" w:eastAsia="Arial" w:hAnsi="Arial" w:cs="Arial"/>
          <w:sz w:val="24"/>
          <w:szCs w:val="24"/>
          <w:lang w:eastAsia="pt-BR"/>
        </w:rPr>
      </w:pPr>
      <w:r>
        <w:rPr>
          <w:rFonts w:ascii="Arial" w:eastAsia="Times New Roman" w:hAnsi="Arial" w:cs="Arial"/>
          <w:color w:val="000000"/>
          <w:sz w:val="24"/>
          <w:szCs w:val="24"/>
          <w:lang w:eastAsia="pt-BR"/>
        </w:rPr>
        <w:t> </w:t>
      </w:r>
      <w:r>
        <w:rPr>
          <w:rFonts w:ascii="Arial" w:eastAsia="Arial" w:hAnsi="Arial" w:cs="Arial"/>
          <w:b/>
          <w:bCs/>
          <w:sz w:val="24"/>
          <w:szCs w:val="24"/>
          <w:lang w:eastAsia="pt-BR"/>
        </w:rPr>
        <w:t>3 - DA DIVISÃO EM LOTES:</w:t>
      </w:r>
    </w:p>
    <w:p w14:paraId="03227E5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Arial" w:hAnsi="Arial" w:cs="Arial"/>
          <w:b/>
          <w:bCs/>
          <w:sz w:val="24"/>
          <w:szCs w:val="24"/>
          <w:lang w:eastAsia="pt-BR"/>
        </w:rPr>
        <w:t>Número de Lotes:</w:t>
      </w:r>
      <w:r>
        <w:rPr>
          <w:rFonts w:ascii="Arial" w:eastAsia="Times New Roman" w:hAnsi="Arial" w:cs="Arial"/>
          <w:color w:val="000000"/>
          <w:sz w:val="24"/>
          <w:szCs w:val="24"/>
          <w:lang w:eastAsia="pt-BR"/>
        </w:rPr>
        <w:t xml:space="preserve"> Lote Único</w:t>
      </w:r>
    </w:p>
    <w:p w14:paraId="5D5687D5" w14:textId="77777777" w:rsidR="00901CDC" w:rsidRDefault="00DD550A">
      <w:pPr>
        <w:spacing w:after="200" w:line="276" w:lineRule="auto"/>
        <w:jc w:val="both"/>
        <w:rPr>
          <w:rFonts w:ascii="Arial" w:eastAsia="Times New Roman" w:hAnsi="Arial" w:cs="Arial"/>
          <w:color w:val="000000"/>
          <w:sz w:val="24"/>
          <w:szCs w:val="24"/>
          <w:lang w:eastAsia="pt-BR"/>
        </w:rPr>
      </w:pPr>
      <w:r>
        <w:rPr>
          <w:rFonts w:ascii="Arial" w:eastAsia="Arial" w:hAnsi="Arial" w:cs="Arial"/>
          <w:b/>
          <w:bCs/>
          <w:sz w:val="24"/>
          <w:szCs w:val="24"/>
          <w:lang w:eastAsia="pt-BR"/>
        </w:rPr>
        <w:t xml:space="preserve">Justificativa para o parcelamento ou não do objeto: </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O agrupamento de itens semelhantes em um mesmo lote faz-se necessário, haja vista a economia de escala, a eficiência na fiscalização de um único contrato, principalmente quando do acionamento da garantia, cuja cobertura por um única empresa facilitaria em muito a apuração das responsabilidades e falhas durante a sua execução, evitando assim transtornos que poderiam surgir com a existência de duas ou mais empresas fornecedoras das cadeiras operacionais.</w:t>
      </w:r>
    </w:p>
    <w:p w14:paraId="5BA5CC3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Optou-se pela elaboração de lote único com agrupamento de itens de mesma natureza/característica, em virtude da vantajosidade econômica, decorrente da ampliação da competitividade e atração do maior número de fornecedores, gerando melhor aproveitamento dos recursos disponíveis no mercado.</w:t>
      </w:r>
    </w:p>
    <w:p w14:paraId="029983E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Além disso, por meio da adjudicação por lote, é possível evitar custos de gerenciamento das contratações, bem como de fretes para cada item de empresas diferentes, o que poderia criar entraves para o atendimento do interesse público de forma eficiente.</w:t>
      </w:r>
    </w:p>
    <w:p w14:paraId="5664ECE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Busca-se a possibilidade de estabelecimento de um padrão de qualidade e eficiência que pode ser acompanhado ao longo do fornecimento do item, o que fica sobremaneira dificultado quando se trata de diversos fornecedores.</w:t>
      </w:r>
    </w:p>
    <w:p w14:paraId="78E26E6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Assim, a licitação, para a aquisição do presente objeto em único lote justifica-se pela necessidade de preservar a integridade qualitativa do objeto, vez que vários fornecedores poderão implicar descontinuidade da padronização.</w:t>
      </w:r>
    </w:p>
    <w:p w14:paraId="21B1831D"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não parcelamento do objeto neste caso, se demonstra técnica e economicamente viável e não tem a finalidade de reduzir o caráter competitivo da licitação, visa, tão somente, assegurar a gerência segura da contratação, e assegurar a sua finalidade e efetividade, que é a de atender a contento as necessidades da Administração Pública.</w:t>
      </w:r>
    </w:p>
    <w:p w14:paraId="31FFBD63" w14:textId="77777777" w:rsidR="00901CDC" w:rsidRDefault="00DD550A">
      <w:pPr>
        <w:suppressAutoHyphens w:val="0"/>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De acordo com o art. 40, inciso V, alínea "a" da Lei nº 14.133/21 as compras da Administração, sempre que possível, devem “atender ao princípio da padronização, que imponha compatibilidade de especificações técnicas e de desempenho."</w:t>
      </w:r>
    </w:p>
    <w:p w14:paraId="3B114E3D" w14:textId="77777777" w:rsidR="00901CDC" w:rsidRDefault="00DD550A">
      <w:pPr>
        <w:suppressAutoHyphens w:val="0"/>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Assim, se apresenta, a necessidade de padronização do design e do acabamento das cadeiras que </w:t>
      </w:r>
      <w:r>
        <w:rPr>
          <w:rFonts w:ascii="Arial" w:eastAsia="Times New Roman" w:hAnsi="Arial" w:cs="Arial"/>
          <w:b/>
          <w:bCs/>
          <w:color w:val="000000"/>
          <w:sz w:val="24"/>
          <w:szCs w:val="24"/>
          <w:lang w:eastAsia="pt-BR"/>
        </w:rPr>
        <w:t>irão compor</w:t>
      </w:r>
      <w:r>
        <w:rPr>
          <w:rFonts w:ascii="Arial" w:eastAsia="Times New Roman" w:hAnsi="Arial" w:cs="Arial"/>
          <w:color w:val="000000"/>
          <w:sz w:val="24"/>
          <w:szCs w:val="24"/>
          <w:lang w:eastAsia="pt-BR"/>
        </w:rPr>
        <w:t> os ambientes do MPMG, garantindo padrão estético e identidade visual apropriada, uma vez que o item já faz parte de um conjunto que deverá ser harmônico entre si e compatível com o mobiliário já existente.</w:t>
      </w:r>
    </w:p>
    <w:p w14:paraId="21F35ABF" w14:textId="77777777" w:rsidR="00901CDC" w:rsidRDefault="00DD550A">
      <w:pPr>
        <w:suppressAutoHyphens w:val="0"/>
        <w:spacing w:beforeAutospacing="1" w:after="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Por esse motivo manter a padronização das cadeiras é necessário, tendo em vista que a presente aquisição irá completar a totalidade do mobiliário já instalado nas respectivas sedes.</w:t>
      </w:r>
    </w:p>
    <w:p w14:paraId="0FED0A09" w14:textId="77777777" w:rsidR="00901CDC" w:rsidRDefault="00DD550A">
      <w:pPr>
        <w:suppressAutoHyphens w:val="0"/>
        <w:spacing w:beforeAutospacing="1" w:after="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Diante dos fatores já expostos acima ( existência de diversos fornecedores torna dificultosa para a Administração a gerência de obrigações em longo prazo, como a assistência técnica; a pluralidade de contratos quanto ao mesmo objeto gera aumento de custos administrativos durante as renovações, prorrogações, reajustes, novas licitações, contratos emergenciais, rescisões prematuras, exame de documentos, processos de pagamentos; a logística de entrega dos bens torna a contratação de mais de um fornecedor excessivamente onerosa à Administração) verifica-se que o não parcelamento do objeto neste caso, se demonstra técnica e economicamente viável.</w:t>
      </w:r>
    </w:p>
    <w:p w14:paraId="13A6BB09" w14:textId="77777777" w:rsidR="00901CDC" w:rsidRDefault="00DD550A">
      <w:pPr>
        <w:suppressAutoHyphens w:val="0"/>
        <w:spacing w:beforeAutospacing="1" w:afterAutospacing="1" w:line="240" w:lineRule="auto"/>
      </w:pPr>
      <w:r>
        <w:rPr>
          <w:rFonts w:ascii="Arial" w:eastAsia="Times New Roman" w:hAnsi="Arial" w:cs="Arial"/>
          <w:color w:val="000000"/>
          <w:sz w:val="24"/>
          <w:szCs w:val="24"/>
          <w:lang w:eastAsia="pt-BR"/>
        </w:rPr>
        <w:t> </w:t>
      </w:r>
    </w:p>
    <w:p w14:paraId="7E6211D8"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jc w:val="both"/>
      </w:pPr>
      <w:r>
        <w:rPr>
          <w:rFonts w:ascii="Arial" w:eastAsia="Arial" w:hAnsi="Arial" w:cs="Arial"/>
          <w:b/>
          <w:bCs/>
          <w:sz w:val="24"/>
          <w:szCs w:val="24"/>
          <w:lang w:eastAsia="pt-BR"/>
        </w:rPr>
        <w:t>4 - DESCRIÇÃO DETALHADA DO OBJETO, QUANTITATIVOS, CÓDIGOS DO CATÁLOGO DE MATERIAIS E SERVIÇOS DO SIAD:</w:t>
      </w:r>
    </w:p>
    <w:p w14:paraId="135399E9" w14:textId="77777777" w:rsidR="00901CDC" w:rsidRDefault="00901CDC">
      <w:pPr>
        <w:spacing w:after="200" w:line="276" w:lineRule="auto"/>
        <w:jc w:val="center"/>
        <w:rPr>
          <w:rFonts w:ascii="Arial" w:eastAsia="Arial" w:hAnsi="Arial" w:cs="Arial"/>
          <w:b/>
          <w:bCs/>
          <w:sz w:val="24"/>
          <w:szCs w:val="24"/>
          <w:lang w:eastAsia="pt-BR"/>
        </w:rPr>
      </w:pPr>
    </w:p>
    <w:p w14:paraId="09443EAA" w14:textId="77777777" w:rsidR="00901CDC" w:rsidRDefault="00DD550A">
      <w:pPr>
        <w:spacing w:after="200" w:line="276" w:lineRule="auto"/>
        <w:jc w:val="center"/>
        <w:rPr>
          <w:rFonts w:ascii="Arial" w:eastAsia="Arial" w:hAnsi="Arial" w:cs="Arial"/>
          <w:b/>
          <w:bCs/>
          <w:sz w:val="24"/>
          <w:szCs w:val="24"/>
          <w:lang w:eastAsia="pt-BR"/>
        </w:rPr>
      </w:pPr>
      <w:r>
        <w:rPr>
          <w:rFonts w:ascii="Arial" w:eastAsia="Arial" w:hAnsi="Arial" w:cs="Arial"/>
          <w:b/>
          <w:bCs/>
          <w:sz w:val="24"/>
          <w:szCs w:val="24"/>
          <w:lang w:eastAsia="pt-BR"/>
        </w:rPr>
        <w:t xml:space="preserve">LOTE 1 </w:t>
      </w:r>
    </w:p>
    <w:tbl>
      <w:tblPr>
        <w:tblW w:w="10467" w:type="dxa"/>
        <w:jc w:val="center"/>
        <w:tblLayout w:type="fixed"/>
        <w:tblLook w:val="04A0" w:firstRow="1" w:lastRow="0" w:firstColumn="1" w:lastColumn="0" w:noHBand="0" w:noVBand="1"/>
      </w:tblPr>
      <w:tblGrid>
        <w:gridCol w:w="790"/>
        <w:gridCol w:w="750"/>
        <w:gridCol w:w="1310"/>
        <w:gridCol w:w="3325"/>
        <w:gridCol w:w="1190"/>
        <w:gridCol w:w="1543"/>
        <w:gridCol w:w="1559"/>
      </w:tblGrid>
      <w:tr w:rsidR="00901CDC" w14:paraId="7BBA4FC8" w14:textId="77777777" w:rsidTr="003031F4">
        <w:trPr>
          <w:trHeight w:val="870"/>
          <w:jc w:val="center"/>
        </w:trPr>
        <w:tc>
          <w:tcPr>
            <w:tcW w:w="790" w:type="dxa"/>
            <w:tcBorders>
              <w:top w:val="single" w:sz="18" w:space="0" w:color="000000"/>
              <w:left w:val="single" w:sz="18" w:space="0" w:color="000000"/>
              <w:bottom w:val="single" w:sz="18" w:space="0" w:color="000000"/>
              <w:right w:val="single" w:sz="18" w:space="0" w:color="000000"/>
            </w:tcBorders>
            <w:shd w:val="clear" w:color="auto" w:fill="auto"/>
          </w:tcPr>
          <w:p w14:paraId="1A24AA05" w14:textId="77777777" w:rsidR="00901CDC" w:rsidRDefault="00DD550A">
            <w:pPr>
              <w:widowControl w:val="0"/>
              <w:spacing w:before="60" w:after="200" w:line="276" w:lineRule="auto"/>
              <w:jc w:val="center"/>
              <w:rPr>
                <w:rFonts w:ascii="Arial" w:eastAsia="Arial" w:hAnsi="Arial" w:cs="Arial"/>
                <w:b/>
                <w:bCs/>
                <w:sz w:val="24"/>
                <w:szCs w:val="24"/>
                <w:lang w:eastAsia="pt-BR"/>
              </w:rPr>
            </w:pPr>
            <w:r>
              <w:rPr>
                <w:rFonts w:ascii="Arial" w:eastAsia="Arial" w:hAnsi="Arial" w:cs="Arial"/>
                <w:b/>
                <w:bCs/>
                <w:sz w:val="24"/>
                <w:szCs w:val="24"/>
                <w:lang w:eastAsia="pt-BR"/>
              </w:rPr>
              <w:t>ITEM</w:t>
            </w:r>
          </w:p>
        </w:tc>
        <w:tc>
          <w:tcPr>
            <w:tcW w:w="750" w:type="dxa"/>
            <w:tcBorders>
              <w:top w:val="single" w:sz="18" w:space="0" w:color="000000"/>
              <w:left w:val="single" w:sz="18" w:space="0" w:color="000000"/>
              <w:bottom w:val="single" w:sz="18" w:space="0" w:color="000000"/>
              <w:right w:val="single" w:sz="18" w:space="0" w:color="000000"/>
            </w:tcBorders>
            <w:shd w:val="clear" w:color="auto" w:fill="auto"/>
          </w:tcPr>
          <w:p w14:paraId="0B9B4661" w14:textId="77777777" w:rsidR="00901CDC" w:rsidRDefault="00DD550A">
            <w:pPr>
              <w:widowControl w:val="0"/>
              <w:spacing w:before="60" w:after="200" w:line="276" w:lineRule="auto"/>
              <w:jc w:val="center"/>
              <w:rPr>
                <w:rFonts w:ascii="Arial" w:eastAsia="Arial" w:hAnsi="Arial" w:cs="Arial"/>
                <w:b/>
                <w:bCs/>
                <w:sz w:val="24"/>
                <w:szCs w:val="24"/>
                <w:lang w:eastAsia="pt-BR"/>
              </w:rPr>
            </w:pPr>
            <w:r>
              <w:rPr>
                <w:rFonts w:ascii="Arial" w:eastAsia="Arial" w:hAnsi="Arial" w:cs="Arial"/>
                <w:b/>
                <w:bCs/>
                <w:sz w:val="24"/>
                <w:szCs w:val="24"/>
                <w:lang w:eastAsia="pt-BR"/>
              </w:rPr>
              <w:t>QTE</w:t>
            </w:r>
          </w:p>
        </w:tc>
        <w:tc>
          <w:tcPr>
            <w:tcW w:w="1310" w:type="dxa"/>
            <w:tcBorders>
              <w:top w:val="single" w:sz="18" w:space="0" w:color="000000"/>
              <w:left w:val="single" w:sz="18" w:space="0" w:color="000000"/>
              <w:bottom w:val="single" w:sz="18" w:space="0" w:color="000000"/>
              <w:right w:val="single" w:sz="18" w:space="0" w:color="000000"/>
            </w:tcBorders>
            <w:shd w:val="clear" w:color="auto" w:fill="auto"/>
          </w:tcPr>
          <w:p w14:paraId="5EE7B26E" w14:textId="77777777" w:rsidR="00901CDC" w:rsidRDefault="00DD550A">
            <w:pPr>
              <w:widowControl w:val="0"/>
              <w:spacing w:before="60" w:after="60" w:line="276" w:lineRule="auto"/>
              <w:jc w:val="center"/>
              <w:rPr>
                <w:rFonts w:ascii="Arial" w:eastAsia="Arial" w:hAnsi="Arial" w:cs="Arial"/>
                <w:b/>
                <w:bCs/>
                <w:sz w:val="24"/>
                <w:szCs w:val="24"/>
                <w:lang w:eastAsia="pt-BR"/>
              </w:rPr>
            </w:pPr>
            <w:r>
              <w:rPr>
                <w:rFonts w:ascii="Arial" w:eastAsia="Arial" w:hAnsi="Arial" w:cs="Arial"/>
                <w:b/>
                <w:bCs/>
                <w:sz w:val="24"/>
                <w:szCs w:val="24"/>
                <w:lang w:eastAsia="pt-BR"/>
              </w:rPr>
              <w:t>UNIDADE DE MEDIDA</w:t>
            </w:r>
          </w:p>
        </w:tc>
        <w:tc>
          <w:tcPr>
            <w:tcW w:w="3325" w:type="dxa"/>
            <w:tcBorders>
              <w:top w:val="single" w:sz="18" w:space="0" w:color="000000"/>
              <w:left w:val="single" w:sz="18" w:space="0" w:color="000000"/>
              <w:bottom w:val="single" w:sz="18" w:space="0" w:color="000000"/>
              <w:right w:val="single" w:sz="18" w:space="0" w:color="000000"/>
            </w:tcBorders>
            <w:shd w:val="clear" w:color="auto" w:fill="auto"/>
          </w:tcPr>
          <w:p w14:paraId="79B512D4" w14:textId="77777777" w:rsidR="00901CDC" w:rsidRDefault="00DD550A">
            <w:pPr>
              <w:widowControl w:val="0"/>
              <w:spacing w:before="240" w:after="200" w:line="276" w:lineRule="auto"/>
              <w:jc w:val="center"/>
              <w:rPr>
                <w:rFonts w:ascii="Arial" w:eastAsia="Arial" w:hAnsi="Arial" w:cs="Arial"/>
                <w:b/>
                <w:bCs/>
                <w:sz w:val="24"/>
                <w:szCs w:val="24"/>
                <w:lang w:eastAsia="pt-BR"/>
              </w:rPr>
            </w:pPr>
            <w:r>
              <w:rPr>
                <w:rFonts w:ascii="Arial" w:eastAsia="Arial" w:hAnsi="Arial" w:cs="Arial"/>
                <w:b/>
                <w:bCs/>
                <w:sz w:val="24"/>
                <w:szCs w:val="24"/>
                <w:lang w:eastAsia="pt-BR"/>
              </w:rPr>
              <w:t>DESCRIÇÃO RESUMIDA DO ITEM</w:t>
            </w:r>
          </w:p>
        </w:tc>
        <w:tc>
          <w:tcPr>
            <w:tcW w:w="1190" w:type="dxa"/>
            <w:tcBorders>
              <w:top w:val="single" w:sz="18" w:space="0" w:color="000000"/>
              <w:left w:val="single" w:sz="18" w:space="0" w:color="000000"/>
              <w:bottom w:val="single" w:sz="18" w:space="0" w:color="000000"/>
              <w:right w:val="single" w:sz="18" w:space="0" w:color="000000"/>
            </w:tcBorders>
            <w:shd w:val="clear" w:color="auto" w:fill="auto"/>
          </w:tcPr>
          <w:p w14:paraId="32A04C4C" w14:textId="77777777" w:rsidR="00901CDC" w:rsidRDefault="00DD550A">
            <w:pPr>
              <w:widowControl w:val="0"/>
              <w:spacing w:before="60" w:after="120" w:line="276" w:lineRule="auto"/>
              <w:jc w:val="center"/>
              <w:rPr>
                <w:rFonts w:ascii="Arial" w:eastAsia="Arial" w:hAnsi="Arial" w:cs="Arial"/>
                <w:b/>
                <w:bCs/>
                <w:sz w:val="24"/>
                <w:szCs w:val="24"/>
                <w:lang w:eastAsia="pt-BR"/>
              </w:rPr>
            </w:pPr>
            <w:r>
              <w:rPr>
                <w:rFonts w:ascii="Arial" w:eastAsia="Arial" w:hAnsi="Arial" w:cs="Arial"/>
                <w:b/>
                <w:bCs/>
                <w:sz w:val="24"/>
                <w:szCs w:val="24"/>
                <w:lang w:eastAsia="pt-BR"/>
              </w:rPr>
              <w:t>CÓDIGO SIAD</w:t>
            </w:r>
          </w:p>
        </w:tc>
        <w:tc>
          <w:tcPr>
            <w:tcW w:w="1543" w:type="dxa"/>
            <w:tcBorders>
              <w:top w:val="single" w:sz="18" w:space="0" w:color="000000"/>
              <w:left w:val="single" w:sz="18" w:space="0" w:color="000000"/>
              <w:bottom w:val="single" w:sz="18" w:space="0" w:color="000000"/>
              <w:right w:val="single" w:sz="18" w:space="0" w:color="000000"/>
            </w:tcBorders>
            <w:shd w:val="clear" w:color="auto" w:fill="auto"/>
          </w:tcPr>
          <w:p w14:paraId="4A9BCE0F" w14:textId="77777777" w:rsidR="00901CDC" w:rsidRDefault="00DD550A">
            <w:pPr>
              <w:widowControl w:val="0"/>
              <w:spacing w:before="60" w:after="60" w:line="276" w:lineRule="auto"/>
              <w:jc w:val="center"/>
              <w:rPr>
                <w:rFonts w:ascii="Arial" w:eastAsia="Arial" w:hAnsi="Arial" w:cs="Arial"/>
                <w:b/>
                <w:bCs/>
                <w:sz w:val="24"/>
                <w:szCs w:val="24"/>
                <w:lang w:eastAsia="pt-BR"/>
              </w:rPr>
            </w:pPr>
            <w:r>
              <w:rPr>
                <w:rFonts w:ascii="Arial" w:eastAsia="Arial" w:hAnsi="Arial" w:cs="Arial"/>
                <w:b/>
                <w:bCs/>
                <w:sz w:val="24"/>
                <w:szCs w:val="24"/>
                <w:lang w:eastAsia="pt-BR"/>
              </w:rPr>
              <w:t xml:space="preserve">PREÇO UNITÁRIOMÁXIMO (R$) </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563CF61B" w14:textId="77777777" w:rsidR="00901CDC" w:rsidRDefault="00DD550A" w:rsidP="003031F4">
            <w:pPr>
              <w:widowControl w:val="0"/>
              <w:spacing w:before="60" w:after="60" w:line="276" w:lineRule="auto"/>
              <w:ind w:right="343"/>
              <w:jc w:val="center"/>
              <w:rPr>
                <w:rFonts w:ascii="Arial" w:eastAsia="Arial" w:hAnsi="Arial" w:cs="Arial"/>
                <w:b/>
                <w:bCs/>
                <w:sz w:val="24"/>
                <w:szCs w:val="24"/>
                <w:lang w:eastAsia="pt-BR"/>
              </w:rPr>
            </w:pPr>
            <w:r>
              <w:rPr>
                <w:rFonts w:ascii="Arial" w:eastAsia="Arial" w:hAnsi="Arial" w:cs="Arial"/>
                <w:b/>
                <w:bCs/>
                <w:sz w:val="24"/>
                <w:szCs w:val="24"/>
                <w:lang w:eastAsia="pt-BR"/>
              </w:rPr>
              <w:t>PREÇO TOTAL MÁXIMO (R$)</w:t>
            </w:r>
          </w:p>
        </w:tc>
      </w:tr>
      <w:tr w:rsidR="00901CDC" w14:paraId="22AB2380" w14:textId="77777777" w:rsidTr="003031F4">
        <w:trPr>
          <w:trHeight w:val="195"/>
          <w:jc w:val="center"/>
        </w:trPr>
        <w:tc>
          <w:tcPr>
            <w:tcW w:w="790" w:type="dxa"/>
            <w:tcBorders>
              <w:top w:val="single" w:sz="18" w:space="0" w:color="000000"/>
              <w:left w:val="single" w:sz="18" w:space="0" w:color="000000"/>
              <w:bottom w:val="single" w:sz="18" w:space="0" w:color="000000"/>
              <w:right w:val="single" w:sz="18" w:space="0" w:color="000000"/>
            </w:tcBorders>
            <w:shd w:val="clear" w:color="auto" w:fill="auto"/>
            <w:vAlign w:val="center"/>
          </w:tcPr>
          <w:p w14:paraId="3593B407" w14:textId="77777777" w:rsidR="00901CDC" w:rsidRDefault="00DD550A">
            <w:pPr>
              <w:pStyle w:val="NormalWeb"/>
              <w:spacing w:after="135"/>
              <w:jc w:val="center"/>
            </w:pPr>
            <w:r>
              <w:lastRenderedPageBreak/>
              <w:t>1</w:t>
            </w:r>
          </w:p>
        </w:tc>
        <w:tc>
          <w:tcPr>
            <w:tcW w:w="750" w:type="dxa"/>
            <w:tcBorders>
              <w:top w:val="single" w:sz="18" w:space="0" w:color="000000"/>
              <w:left w:val="single" w:sz="18" w:space="0" w:color="000000"/>
              <w:bottom w:val="single" w:sz="18" w:space="0" w:color="000000"/>
              <w:right w:val="single" w:sz="18" w:space="0" w:color="000000"/>
            </w:tcBorders>
            <w:shd w:val="clear" w:color="auto" w:fill="auto"/>
            <w:vAlign w:val="center"/>
          </w:tcPr>
          <w:p w14:paraId="7E6E3A7E" w14:textId="77777777" w:rsidR="00901CDC" w:rsidRDefault="00DD550A">
            <w:pPr>
              <w:pStyle w:val="NormalWeb"/>
              <w:spacing w:after="135"/>
              <w:jc w:val="center"/>
            </w:pPr>
            <w:r>
              <w:t>150</w:t>
            </w:r>
          </w:p>
        </w:tc>
        <w:tc>
          <w:tcPr>
            <w:tcW w:w="1310" w:type="dxa"/>
            <w:tcBorders>
              <w:top w:val="single" w:sz="18" w:space="0" w:color="000000"/>
              <w:left w:val="single" w:sz="18" w:space="0" w:color="000000"/>
              <w:bottom w:val="single" w:sz="18" w:space="0" w:color="000000"/>
              <w:right w:val="single" w:sz="18" w:space="0" w:color="000000"/>
            </w:tcBorders>
            <w:shd w:val="clear" w:color="auto" w:fill="auto"/>
            <w:vAlign w:val="center"/>
          </w:tcPr>
          <w:p w14:paraId="65C6FEB0" w14:textId="77777777" w:rsidR="00901CDC" w:rsidRDefault="00DD550A">
            <w:pPr>
              <w:pStyle w:val="NormalWeb"/>
              <w:spacing w:after="135"/>
              <w:jc w:val="center"/>
            </w:pPr>
            <w:proofErr w:type="spellStart"/>
            <w:r>
              <w:t>un</w:t>
            </w:r>
            <w:proofErr w:type="spellEnd"/>
          </w:p>
        </w:tc>
        <w:tc>
          <w:tcPr>
            <w:tcW w:w="3325" w:type="dxa"/>
            <w:tcBorders>
              <w:top w:val="single" w:sz="18" w:space="0" w:color="000000"/>
              <w:left w:val="single" w:sz="18" w:space="0" w:color="000000"/>
              <w:bottom w:val="single" w:sz="18" w:space="0" w:color="000000"/>
              <w:right w:val="single" w:sz="18" w:space="0" w:color="000000"/>
            </w:tcBorders>
            <w:shd w:val="clear" w:color="auto" w:fill="auto"/>
            <w:vAlign w:val="center"/>
          </w:tcPr>
          <w:p w14:paraId="1E259D27" w14:textId="77777777" w:rsidR="00901CDC" w:rsidRDefault="00DD550A" w:rsidP="00670225">
            <w:pPr>
              <w:widowControl w:val="0"/>
              <w:spacing w:after="200" w:line="276" w:lineRule="auto"/>
              <w:jc w:val="both"/>
              <w:rPr>
                <w:rFonts w:ascii="Arial" w:eastAsia="Arial" w:hAnsi="Arial" w:cs="Arial"/>
                <w:b/>
                <w:bCs/>
                <w:sz w:val="24"/>
                <w:szCs w:val="24"/>
                <w:lang w:eastAsia="pt-BR"/>
              </w:rPr>
            </w:pPr>
            <w:r>
              <w:rPr>
                <w:rFonts w:ascii="Arial" w:hAnsi="Arial" w:cs="Arial"/>
                <w:color w:val="000000"/>
                <w:sz w:val="24"/>
                <w:szCs w:val="24"/>
              </w:rPr>
              <w:t>OBSERVAÇÃO: ESTA CADEIRA DEVE SER IGUAL À DO ITEM 2, PORÉM </w:t>
            </w:r>
            <w:r>
              <w:rPr>
                <w:rFonts w:ascii="Arial" w:hAnsi="Arial" w:cs="Arial"/>
                <w:b/>
                <w:bCs/>
                <w:color w:val="000000"/>
                <w:sz w:val="24"/>
                <w:szCs w:val="24"/>
              </w:rPr>
              <w:t>COM O APOIO DE CABEÇA</w:t>
            </w:r>
            <w:r>
              <w:rPr>
                <w:rFonts w:ascii="Arial" w:hAnsi="Arial" w:cs="Arial"/>
                <w:color w:val="000000"/>
                <w:sz w:val="24"/>
                <w:szCs w:val="24"/>
              </w:rPr>
              <w:t>. CARACTERÍSTICAS GERAIS</w:t>
            </w:r>
            <w:r>
              <w:rPr>
                <w:rFonts w:ascii="Arial" w:hAnsi="Arial" w:cs="Arial"/>
                <w:color w:val="000000"/>
                <w:sz w:val="24"/>
                <w:szCs w:val="24"/>
              </w:rPr>
              <w:br/>
            </w:r>
            <w:r>
              <w:rPr>
                <w:rFonts w:ascii="Arial" w:hAnsi="Arial" w:cs="Arial"/>
                <w:color w:val="000000"/>
                <w:sz w:val="24"/>
                <w:szCs w:val="24"/>
              </w:rPr>
              <w:br/>
              <w:t>Cadeira operacional, anatômica, concha dupla, sem visual monobloco, com apoio de cabeça. Design: encosto com desenho frontal de linhas retas, formato predominantemente retangular; braços com desenho de linhas retas, em T (estrutura e apoio de braço). O design visa à harmonia estética com o mobiliário já existente na PGJ.</w:t>
            </w:r>
            <w:r>
              <w:rPr>
                <w:rFonts w:ascii="Arial" w:hAnsi="Arial" w:cs="Arial"/>
                <w:color w:val="000000"/>
                <w:sz w:val="24"/>
                <w:szCs w:val="24"/>
              </w:rPr>
              <w:br/>
            </w:r>
            <w:r>
              <w:rPr>
                <w:rFonts w:ascii="Arial" w:hAnsi="Arial" w:cs="Arial"/>
                <w:color w:val="000000"/>
                <w:sz w:val="24"/>
                <w:szCs w:val="24"/>
              </w:rPr>
              <w:br/>
              <w:t>ENCOSTO</w:t>
            </w:r>
            <w:r>
              <w:rPr>
                <w:rFonts w:ascii="Arial" w:hAnsi="Arial" w:cs="Arial"/>
                <w:color w:val="000000"/>
                <w:sz w:val="24"/>
                <w:szCs w:val="24"/>
              </w:rPr>
              <w:br/>
              <w:t xml:space="preserve">a) estrutura formada por quadro injetado de fibra sintética ou plástico de engenharia (resina termoplástica). Alta resistência mecânica e ao </w:t>
            </w:r>
            <w:proofErr w:type="spellStart"/>
            <w:r>
              <w:rPr>
                <w:rFonts w:ascii="Arial" w:hAnsi="Arial" w:cs="Arial"/>
                <w:color w:val="000000"/>
                <w:sz w:val="24"/>
                <w:szCs w:val="24"/>
              </w:rPr>
              <w:t>esgaçamento</w:t>
            </w:r>
            <w:proofErr w:type="spellEnd"/>
            <w:r>
              <w:rPr>
                <w:rFonts w:ascii="Arial" w:hAnsi="Arial" w:cs="Arial"/>
                <w:color w:val="000000"/>
                <w:sz w:val="24"/>
                <w:szCs w:val="24"/>
              </w:rPr>
              <w:t>. Indeformável. Cor preta. Curvatura anatômica para finalidade de cadeira operacional.</w:t>
            </w:r>
            <w:r>
              <w:rPr>
                <w:rFonts w:ascii="Arial" w:hAnsi="Arial" w:cs="Arial"/>
                <w:color w:val="000000"/>
                <w:sz w:val="24"/>
                <w:szCs w:val="24"/>
              </w:rPr>
              <w:br/>
              <w:t xml:space="preserve">b) revestimento do encosto: de tela própria para o uso em cadeira operacional, resistente, durável, maleável, indeformável, constituída de fios entrelaçados de forma a permitir certa transparência, </w:t>
            </w:r>
            <w:r>
              <w:rPr>
                <w:rFonts w:ascii="Arial" w:hAnsi="Arial" w:cs="Arial"/>
                <w:color w:val="000000"/>
                <w:sz w:val="24"/>
                <w:szCs w:val="24"/>
              </w:rPr>
              <w:lastRenderedPageBreak/>
              <w:t>100% poliéster, toque macio, fácil limpeza, ocupando toda a área frontal do encosto, sem cobrir a parte de trás, a fim de evitar danos na tela quando a cadeira apresentar atritos com os elementos fixos dos ambientes. Cor preta.</w:t>
            </w:r>
            <w:r>
              <w:rPr>
                <w:rFonts w:ascii="Arial" w:hAnsi="Arial" w:cs="Arial"/>
                <w:color w:val="000000"/>
                <w:sz w:val="24"/>
                <w:szCs w:val="24"/>
              </w:rPr>
              <w:br/>
              <w:t>c) sistema de união do encosto/assento/mecanismo: peça estrutural de alumínio injetado polido e/ou de aço de alta resistência mecânica, tratado anticorrosão e antiferrugem e acabado, nas partes aparentes, com pintura eletrostática preta ou cromada, de alta resistência a intempéries e ao descascamento. Resistente. Indeformável.</w:t>
            </w:r>
            <w:r>
              <w:rPr>
                <w:rFonts w:ascii="Arial" w:hAnsi="Arial" w:cs="Arial"/>
                <w:color w:val="000000"/>
                <w:sz w:val="24"/>
                <w:szCs w:val="24"/>
              </w:rPr>
              <w:br/>
              <w:t>d) regulagem: de inclinação através do uso de manivela/</w:t>
            </w:r>
            <w:proofErr w:type="spellStart"/>
            <w:r>
              <w:rPr>
                <w:rFonts w:ascii="Arial" w:hAnsi="Arial" w:cs="Arial"/>
                <w:color w:val="000000"/>
                <w:sz w:val="24"/>
                <w:szCs w:val="24"/>
              </w:rPr>
              <w:t>manípolo</w:t>
            </w:r>
            <w:proofErr w:type="spellEnd"/>
            <w:r>
              <w:rPr>
                <w:rFonts w:ascii="Arial" w:hAnsi="Arial" w:cs="Arial"/>
                <w:color w:val="000000"/>
                <w:sz w:val="24"/>
                <w:szCs w:val="24"/>
              </w:rPr>
              <w:t xml:space="preserve"> sob o assento. Inúmeras posições de bloqueio. Regulagem da região lombar (vertical) obtida a partir do deslocamento vertical de todo o encosto ou apenas da porção que proporciona o apoio lombar, como peça acoplada ao encosto.</w:t>
            </w:r>
            <w:r>
              <w:rPr>
                <w:rFonts w:ascii="Arial" w:hAnsi="Arial" w:cs="Arial"/>
                <w:color w:val="000000"/>
                <w:sz w:val="24"/>
                <w:szCs w:val="24"/>
              </w:rPr>
              <w:br/>
              <w:t xml:space="preserve">e) apoio lombar: caso existente como peça em separado sobreposta ao encosto, devem ser utilizados materiais resistentes e que </w:t>
            </w:r>
            <w:r>
              <w:rPr>
                <w:rFonts w:ascii="Arial" w:hAnsi="Arial" w:cs="Arial"/>
                <w:color w:val="000000"/>
                <w:sz w:val="24"/>
                <w:szCs w:val="24"/>
              </w:rPr>
              <w:lastRenderedPageBreak/>
              <w:t>proporcionem fácil ajuste pelo usuário, acessível e de fácil manuseio. Conforto térmico. Formato anatômico.</w:t>
            </w:r>
            <w:r>
              <w:rPr>
                <w:rFonts w:ascii="Arial" w:hAnsi="Arial" w:cs="Arial"/>
                <w:color w:val="000000"/>
                <w:sz w:val="24"/>
                <w:szCs w:val="24"/>
              </w:rPr>
              <w:br/>
            </w:r>
            <w:r>
              <w:rPr>
                <w:rFonts w:ascii="Arial" w:hAnsi="Arial" w:cs="Arial"/>
                <w:color w:val="000000"/>
                <w:sz w:val="24"/>
                <w:szCs w:val="24"/>
              </w:rPr>
              <w:br/>
              <w:t>Determinação do grau de inclinação do encosto, faixa de regulagem da inclinação do encosto: sugiro que a faixa de regulagem cubra esta extensão de angulação (95 a 110°), podendo ultrapassá-la. Faixa de regulagem de altura do apoio lombar: regulagem da altura do ponto S do encosto deve contemplar a altura mínima de 170mm e máxima de 220mm em relação ao ponto ‘a’ do assento formado pela interseção do plano mediano e do plano.</w:t>
            </w:r>
            <w:r>
              <w:rPr>
                <w:rFonts w:ascii="Arial" w:hAnsi="Arial" w:cs="Arial"/>
                <w:color w:val="000000"/>
                <w:sz w:val="24"/>
                <w:szCs w:val="24"/>
              </w:rPr>
              <w:br/>
            </w:r>
            <w:r>
              <w:rPr>
                <w:rFonts w:ascii="Arial" w:hAnsi="Arial" w:cs="Arial"/>
                <w:color w:val="000000"/>
                <w:sz w:val="24"/>
                <w:szCs w:val="24"/>
              </w:rPr>
              <w:br/>
              <w:t>Encosto com apoio lombar com raio mínimo de 400mm. Do ponto de vista da NR-17(Portaria PORTARIA/MTP Nº 423, DE 7 DE OUTUBRO DE 2021, nova redação da Norma Regulamentadora nº 17 – Ergonomia), não há outras considerações.</w:t>
            </w:r>
            <w:r>
              <w:rPr>
                <w:rFonts w:ascii="Arial" w:hAnsi="Arial" w:cs="Arial"/>
                <w:color w:val="000000"/>
                <w:sz w:val="24"/>
                <w:szCs w:val="24"/>
              </w:rPr>
              <w:br/>
            </w:r>
            <w:r>
              <w:rPr>
                <w:rFonts w:ascii="Arial" w:hAnsi="Arial" w:cs="Arial"/>
                <w:color w:val="000000"/>
                <w:sz w:val="24"/>
                <w:szCs w:val="24"/>
              </w:rPr>
              <w:br/>
              <w:t>ASSENTO</w:t>
            </w:r>
            <w:r>
              <w:rPr>
                <w:rFonts w:ascii="Arial" w:hAnsi="Arial" w:cs="Arial"/>
                <w:color w:val="000000"/>
                <w:sz w:val="24"/>
                <w:szCs w:val="24"/>
              </w:rPr>
              <w:br/>
              <w:t xml:space="preserve">a) Estrutura formada por concha conformada anatomicamente. Fabricada por fibra sintética ou plástico de engenharia ou compensado de madeira </w:t>
            </w:r>
            <w:r>
              <w:rPr>
                <w:rFonts w:ascii="Arial" w:hAnsi="Arial" w:cs="Arial"/>
                <w:color w:val="000000"/>
                <w:sz w:val="24"/>
                <w:szCs w:val="24"/>
              </w:rPr>
              <w:lastRenderedPageBreak/>
              <w:t xml:space="preserve">espessura mínima 12mm ou material de funções, resistência e qualidade equivalentes, a critério do fabricante. Assento estruturado em compensado </w:t>
            </w:r>
            <w:proofErr w:type="spellStart"/>
            <w:r>
              <w:rPr>
                <w:rFonts w:ascii="Arial" w:hAnsi="Arial" w:cs="Arial"/>
                <w:color w:val="000000"/>
                <w:sz w:val="24"/>
                <w:szCs w:val="24"/>
              </w:rPr>
              <w:t>multilaminado</w:t>
            </w:r>
            <w:proofErr w:type="spellEnd"/>
            <w:r>
              <w:rPr>
                <w:rFonts w:ascii="Arial" w:hAnsi="Arial" w:cs="Arial"/>
                <w:color w:val="000000"/>
                <w:sz w:val="24"/>
                <w:szCs w:val="24"/>
              </w:rPr>
              <w:t>, resinado e prensado, a partir de madeiras oriundas de manejos sustentáveis,</w:t>
            </w:r>
            <w:r>
              <w:rPr>
                <w:rFonts w:ascii="Arial" w:hAnsi="Arial" w:cs="Arial"/>
                <w:color w:val="000000"/>
                <w:sz w:val="24"/>
                <w:szCs w:val="24"/>
              </w:rPr>
              <w:br/>
              <w:t>b) Espuma injetada, poliuretano flexível, anatômica, borda frontal conformada, densidade controlada, isenta de CFC, alta resiliência à propagação de rasgos, alta tensão de alongamento e ruptura, baixa deformação permanente. Densidade de 45 a 60 kg/m³. Espessura média de 40mm a 60mm. Borda frontal arredondada favorecendo a circulação sanguínea. Apresentar documentação.</w:t>
            </w:r>
            <w:r>
              <w:rPr>
                <w:rFonts w:ascii="Arial" w:hAnsi="Arial" w:cs="Arial"/>
                <w:color w:val="000000"/>
                <w:sz w:val="24"/>
                <w:szCs w:val="24"/>
              </w:rPr>
              <w:br/>
              <w:t xml:space="preserve">c) Contra capa do assento: </w:t>
            </w:r>
            <w:proofErr w:type="spellStart"/>
            <w:r>
              <w:rPr>
                <w:rFonts w:ascii="Arial" w:hAnsi="Arial" w:cs="Arial"/>
                <w:color w:val="000000"/>
                <w:sz w:val="24"/>
                <w:szCs w:val="24"/>
              </w:rPr>
              <w:t>pré</w:t>
            </w:r>
            <w:proofErr w:type="spellEnd"/>
            <w:r>
              <w:rPr>
                <w:rFonts w:ascii="Arial" w:hAnsi="Arial" w:cs="Arial"/>
                <w:color w:val="000000"/>
                <w:sz w:val="24"/>
                <w:szCs w:val="24"/>
              </w:rPr>
              <w:t xml:space="preserve"> moldado, injetado em fibra sintética ou em plástico de engenharia (resina termoplástica). Alta resistência mecânica e ao </w:t>
            </w:r>
            <w:proofErr w:type="spellStart"/>
            <w:r>
              <w:rPr>
                <w:rFonts w:ascii="Arial" w:hAnsi="Arial" w:cs="Arial"/>
                <w:color w:val="000000"/>
                <w:sz w:val="24"/>
                <w:szCs w:val="24"/>
              </w:rPr>
              <w:t>esgaçamento</w:t>
            </w:r>
            <w:proofErr w:type="spellEnd"/>
            <w:r>
              <w:rPr>
                <w:rFonts w:ascii="Arial" w:hAnsi="Arial" w:cs="Arial"/>
                <w:color w:val="000000"/>
                <w:sz w:val="24"/>
                <w:szCs w:val="24"/>
              </w:rPr>
              <w:t>. Cor preta</w:t>
            </w:r>
            <w:r>
              <w:rPr>
                <w:rFonts w:ascii="Arial" w:hAnsi="Arial" w:cs="Arial"/>
                <w:color w:val="000000"/>
                <w:sz w:val="24"/>
                <w:szCs w:val="24"/>
              </w:rPr>
              <w:br/>
              <w:t xml:space="preserve">d) Revestimento em couro sintético, </w:t>
            </w:r>
            <w:proofErr w:type="spellStart"/>
            <w:r>
              <w:rPr>
                <w:rFonts w:ascii="Arial" w:hAnsi="Arial" w:cs="Arial"/>
                <w:color w:val="000000"/>
                <w:sz w:val="24"/>
                <w:szCs w:val="24"/>
              </w:rPr>
              <w:t>semi</w:t>
            </w:r>
            <w:proofErr w:type="spellEnd"/>
            <w:r>
              <w:rPr>
                <w:rFonts w:ascii="Arial" w:hAnsi="Arial" w:cs="Arial"/>
                <w:color w:val="000000"/>
                <w:sz w:val="24"/>
                <w:szCs w:val="24"/>
              </w:rPr>
              <w:t xml:space="preserve"> brilho, cor preta, espessura mínima 0.8mm, produzido em alta tecnologia que apresente resistência, resiliência, facilidade de manutenção e de limpeza, durabilidade, </w:t>
            </w:r>
            <w:r>
              <w:rPr>
                <w:rFonts w:ascii="Arial" w:hAnsi="Arial" w:cs="Arial"/>
                <w:color w:val="000000"/>
                <w:sz w:val="24"/>
                <w:szCs w:val="24"/>
              </w:rPr>
              <w:lastRenderedPageBreak/>
              <w:t xml:space="preserve">conforto e macies ao toque. Composição predominante de PVC e de Poliéster, avesso de malha de algodão. Referência: Marca York Plástico ou </w:t>
            </w:r>
            <w:proofErr w:type="spellStart"/>
            <w:r>
              <w:rPr>
                <w:rFonts w:ascii="Arial" w:hAnsi="Arial" w:cs="Arial"/>
                <w:color w:val="000000"/>
                <w:sz w:val="24"/>
                <w:szCs w:val="24"/>
              </w:rPr>
              <w:t>similiar</w:t>
            </w:r>
            <w:proofErr w:type="spellEnd"/>
            <w:r>
              <w:rPr>
                <w:rFonts w:ascii="Arial" w:hAnsi="Arial" w:cs="Arial"/>
                <w:color w:val="000000"/>
                <w:sz w:val="24"/>
                <w:szCs w:val="24"/>
              </w:rPr>
              <w:t>.</w:t>
            </w:r>
            <w:r>
              <w:rPr>
                <w:rFonts w:ascii="Arial" w:hAnsi="Arial" w:cs="Arial"/>
                <w:color w:val="000000"/>
                <w:sz w:val="24"/>
                <w:szCs w:val="24"/>
              </w:rPr>
              <w:br/>
              <w:t>e) Regulagens: de altura, por pistão pneumático, e de profundidade.</w:t>
            </w:r>
            <w:r>
              <w:rPr>
                <w:rFonts w:ascii="Arial" w:hAnsi="Arial" w:cs="Arial"/>
                <w:color w:val="000000"/>
                <w:sz w:val="24"/>
                <w:szCs w:val="24"/>
              </w:rPr>
              <w:br/>
            </w:r>
            <w:r>
              <w:rPr>
                <w:rFonts w:ascii="Arial" w:hAnsi="Arial" w:cs="Arial"/>
                <w:color w:val="000000"/>
                <w:sz w:val="24"/>
                <w:szCs w:val="24"/>
              </w:rPr>
              <w:br/>
              <w:t>O assento da cadeira deve possuir regulagem de altura mínima de 420mm e máxima de 500mm, incorporando as dimensões mínima e máximas, podendo no entanto ultrapassá-las.</w:t>
            </w:r>
            <w:r>
              <w:rPr>
                <w:rFonts w:ascii="Arial" w:hAnsi="Arial" w:cs="Arial"/>
                <w:color w:val="000000"/>
                <w:sz w:val="24"/>
                <w:szCs w:val="24"/>
              </w:rPr>
              <w:br/>
            </w:r>
            <w:r>
              <w:rPr>
                <w:rFonts w:ascii="Arial" w:hAnsi="Arial" w:cs="Arial"/>
                <w:color w:val="000000"/>
                <w:sz w:val="24"/>
                <w:szCs w:val="24"/>
              </w:rPr>
              <w:br/>
              <w:t>A cadeira deve possuir regulagem de profundidade de no mínimo 50mm. A cadeira deve possuir ângulo de inclinação do assento com faixa de regulagem de -2° a 7°, podendo, no entanto, ultrapassá-la. Do ponto de vista da NR-17(Portaria PORTARIA/MTP Nº 423, DE 7 DE OUTUBRO DE 2021, nova redação da Norma Regulamentadora nº 17 – Ergonomia), não há outras considerações.</w:t>
            </w:r>
            <w:r>
              <w:rPr>
                <w:rFonts w:ascii="Arial" w:hAnsi="Arial" w:cs="Arial"/>
                <w:color w:val="000000"/>
                <w:sz w:val="24"/>
                <w:szCs w:val="24"/>
              </w:rPr>
              <w:br/>
            </w:r>
            <w:r>
              <w:rPr>
                <w:rFonts w:ascii="Arial" w:hAnsi="Arial" w:cs="Arial"/>
                <w:color w:val="000000"/>
                <w:sz w:val="24"/>
                <w:szCs w:val="24"/>
              </w:rPr>
              <w:br/>
              <w:t>MECANISMOS</w:t>
            </w:r>
            <w:r>
              <w:rPr>
                <w:rFonts w:ascii="Arial" w:hAnsi="Arial" w:cs="Arial"/>
                <w:color w:val="000000"/>
                <w:sz w:val="24"/>
                <w:szCs w:val="24"/>
              </w:rPr>
              <w:br/>
              <w:t xml:space="preserve">Sistema de </w:t>
            </w:r>
            <w:proofErr w:type="spellStart"/>
            <w:r>
              <w:rPr>
                <w:rFonts w:ascii="Arial" w:hAnsi="Arial" w:cs="Arial"/>
                <w:color w:val="000000"/>
                <w:sz w:val="24"/>
                <w:szCs w:val="24"/>
              </w:rPr>
              <w:t>reclinio</w:t>
            </w:r>
            <w:proofErr w:type="spellEnd"/>
            <w:r>
              <w:rPr>
                <w:rFonts w:ascii="Arial" w:hAnsi="Arial" w:cs="Arial"/>
                <w:color w:val="000000"/>
                <w:sz w:val="24"/>
                <w:szCs w:val="24"/>
              </w:rPr>
              <w:t xml:space="preserve"> sincronizado assento e encosto, na proporção 2:1, acionado por mecanismo de liberação e travamento.</w:t>
            </w:r>
            <w:r>
              <w:rPr>
                <w:rFonts w:ascii="Arial" w:hAnsi="Arial" w:cs="Arial"/>
                <w:color w:val="000000"/>
                <w:sz w:val="24"/>
                <w:szCs w:val="24"/>
              </w:rPr>
              <w:br/>
            </w:r>
            <w:r>
              <w:rPr>
                <w:rFonts w:ascii="Arial" w:hAnsi="Arial" w:cs="Arial"/>
                <w:color w:val="000000"/>
                <w:sz w:val="24"/>
                <w:szCs w:val="24"/>
              </w:rPr>
              <w:lastRenderedPageBreak/>
              <w:t>Sistema de regulagem da pressão da mola através da tecnologia peso/pessoa, que consiste na adequação automática conforme o biotipo/peso do usuário, ou através do uso de manivela/</w:t>
            </w:r>
            <w:proofErr w:type="spellStart"/>
            <w:r>
              <w:rPr>
                <w:rFonts w:ascii="Arial" w:hAnsi="Arial" w:cs="Arial"/>
                <w:color w:val="000000"/>
                <w:sz w:val="24"/>
                <w:szCs w:val="24"/>
              </w:rPr>
              <w:t>manípolo</w:t>
            </w:r>
            <w:proofErr w:type="spellEnd"/>
            <w:r>
              <w:rPr>
                <w:rFonts w:ascii="Arial" w:hAnsi="Arial" w:cs="Arial"/>
                <w:color w:val="000000"/>
                <w:sz w:val="24"/>
                <w:szCs w:val="24"/>
              </w:rPr>
              <w:t xml:space="preserve"> sob o assento. Sistema para livre flutuação (relax).</w:t>
            </w:r>
            <w:r>
              <w:rPr>
                <w:rFonts w:ascii="Arial" w:hAnsi="Arial" w:cs="Arial"/>
                <w:color w:val="000000"/>
                <w:sz w:val="24"/>
                <w:szCs w:val="24"/>
              </w:rPr>
              <w:br/>
              <w:t xml:space="preserve">Sistema </w:t>
            </w:r>
            <w:proofErr w:type="spellStart"/>
            <w:r>
              <w:rPr>
                <w:rFonts w:ascii="Arial" w:hAnsi="Arial" w:cs="Arial"/>
                <w:color w:val="000000"/>
                <w:sz w:val="24"/>
                <w:szCs w:val="24"/>
              </w:rPr>
              <w:t>anti</w:t>
            </w:r>
            <w:proofErr w:type="spellEnd"/>
            <w:r>
              <w:rPr>
                <w:rFonts w:ascii="Arial" w:hAnsi="Arial" w:cs="Arial"/>
                <w:color w:val="000000"/>
                <w:sz w:val="24"/>
                <w:szCs w:val="24"/>
              </w:rPr>
              <w:t xml:space="preserve"> pânico. Solução para amortecimento de impactos, com características técnicas a critério do fabricante.</w:t>
            </w:r>
            <w:r>
              <w:rPr>
                <w:rFonts w:ascii="Arial" w:hAnsi="Arial" w:cs="Arial"/>
                <w:color w:val="000000"/>
                <w:sz w:val="24"/>
                <w:szCs w:val="24"/>
              </w:rPr>
              <w:br/>
              <w:t xml:space="preserve">Solução para movimentos suaves de toda a engrenagem, com características técnicas a critério do fabricante. Coluna de regulagem de altura por acionamento a gás. Tubo de alumínio ou aço de aproximadamente 50mm X 1.5mm de espessura. Encaixe de precisão através do tipo "cone </w:t>
            </w:r>
            <w:proofErr w:type="spellStart"/>
            <w:r>
              <w:rPr>
                <w:rFonts w:ascii="Arial" w:hAnsi="Arial" w:cs="Arial"/>
                <w:color w:val="000000"/>
                <w:sz w:val="24"/>
                <w:szCs w:val="24"/>
              </w:rPr>
              <w:t>morse</w:t>
            </w:r>
            <w:proofErr w:type="spellEnd"/>
            <w:r>
              <w:rPr>
                <w:rFonts w:ascii="Arial" w:hAnsi="Arial" w:cs="Arial"/>
                <w:color w:val="000000"/>
                <w:sz w:val="24"/>
                <w:szCs w:val="24"/>
              </w:rPr>
              <w:t>". Pistão a gás classe 4 – será solicitada a comprovação da classificação.</w:t>
            </w:r>
            <w:r>
              <w:rPr>
                <w:rFonts w:ascii="Arial" w:hAnsi="Arial" w:cs="Arial"/>
                <w:color w:val="000000"/>
                <w:sz w:val="24"/>
                <w:szCs w:val="24"/>
              </w:rPr>
              <w:br/>
            </w:r>
            <w:r>
              <w:rPr>
                <w:rFonts w:ascii="Arial" w:hAnsi="Arial" w:cs="Arial"/>
                <w:color w:val="000000"/>
                <w:sz w:val="24"/>
                <w:szCs w:val="24"/>
              </w:rPr>
              <w:br/>
              <w:t>BASE giratória, com 5 patas, com rodízio duplo giro. Alumínio injetado com polimento na face externa. Estruturado para apresentar alta resistência mecânica. Junção dos rodízios por meio de encaixe.</w:t>
            </w:r>
            <w:r>
              <w:rPr>
                <w:rFonts w:ascii="Arial" w:hAnsi="Arial" w:cs="Arial"/>
                <w:color w:val="000000"/>
                <w:sz w:val="24"/>
                <w:szCs w:val="24"/>
              </w:rPr>
              <w:br/>
            </w:r>
            <w:r>
              <w:rPr>
                <w:rFonts w:ascii="Arial" w:hAnsi="Arial" w:cs="Arial"/>
                <w:color w:val="000000"/>
                <w:sz w:val="24"/>
                <w:szCs w:val="24"/>
              </w:rPr>
              <w:br/>
            </w:r>
            <w:r>
              <w:rPr>
                <w:rFonts w:ascii="Arial" w:hAnsi="Arial" w:cs="Arial"/>
                <w:color w:val="000000"/>
                <w:sz w:val="24"/>
                <w:szCs w:val="24"/>
              </w:rPr>
              <w:lastRenderedPageBreak/>
              <w:t>RODÍZIO duplo, 65mm de diâmetro aproximadamente, injetado em plástico de engenharia (resinas termoplásticas), eixos vertical e horizontal em aço. Duplo giro. Acoplamento fácil e seguro à base. Banda de rolagem poliuretana para utilização em qualquer tipo de piso.</w:t>
            </w:r>
            <w:r>
              <w:rPr>
                <w:rFonts w:ascii="Arial" w:hAnsi="Arial" w:cs="Arial"/>
                <w:color w:val="000000"/>
                <w:sz w:val="24"/>
                <w:szCs w:val="24"/>
              </w:rPr>
              <w:br/>
            </w:r>
            <w:r>
              <w:rPr>
                <w:rFonts w:ascii="Arial" w:hAnsi="Arial" w:cs="Arial"/>
                <w:color w:val="000000"/>
                <w:sz w:val="24"/>
                <w:szCs w:val="24"/>
              </w:rPr>
              <w:br/>
              <w:t>APOIO DE CABEÇA</w:t>
            </w:r>
            <w:r>
              <w:rPr>
                <w:rFonts w:ascii="Arial" w:hAnsi="Arial" w:cs="Arial"/>
                <w:color w:val="000000"/>
                <w:sz w:val="24"/>
                <w:szCs w:val="24"/>
              </w:rPr>
              <w:br/>
              <w:t>anatômico, de material sintético revestido ou não, a critério do fabricante. Caso revestido deve ser utilizado o mesmo couro sintético do assento ou a tela do encosto, ainda que em trama diferente. Design: deve apresentar-se como um acessório e não como uma peça moldada juntamente com o encosto.</w:t>
            </w:r>
            <w:r>
              <w:rPr>
                <w:rFonts w:ascii="Arial" w:hAnsi="Arial" w:cs="Arial"/>
                <w:color w:val="000000"/>
                <w:sz w:val="24"/>
                <w:szCs w:val="24"/>
              </w:rPr>
              <w:br/>
            </w:r>
            <w:r>
              <w:rPr>
                <w:rFonts w:ascii="Arial" w:hAnsi="Arial" w:cs="Arial"/>
                <w:color w:val="000000"/>
                <w:sz w:val="24"/>
                <w:szCs w:val="24"/>
              </w:rPr>
              <w:br/>
              <w:t>RODÍZIOS 05 rodízios de duplos, com 65mm de diâmetro, duplo giro, rodas injetadas em plástico de engenharia, banda de rodagem para utilização em qualquer tipo de piso.</w:t>
            </w:r>
            <w:r>
              <w:rPr>
                <w:rFonts w:ascii="Arial" w:hAnsi="Arial" w:cs="Arial"/>
                <w:color w:val="000000"/>
                <w:sz w:val="24"/>
                <w:szCs w:val="24"/>
              </w:rPr>
              <w:br/>
            </w:r>
            <w:r>
              <w:rPr>
                <w:rFonts w:ascii="Arial" w:hAnsi="Arial" w:cs="Arial"/>
                <w:color w:val="000000"/>
                <w:sz w:val="24"/>
                <w:szCs w:val="24"/>
              </w:rPr>
              <w:br/>
              <w:t>BRAÇOS</w:t>
            </w:r>
            <w:r>
              <w:rPr>
                <w:rFonts w:ascii="Arial" w:hAnsi="Arial" w:cs="Arial"/>
                <w:color w:val="000000"/>
                <w:sz w:val="24"/>
                <w:szCs w:val="24"/>
              </w:rPr>
              <w:br/>
              <w:t xml:space="preserve">Peça estrutural aparente de alumínio injetado polido e/ou de aço de alta resistência mecânica, tratado anticorrosão e antiferrugem e </w:t>
            </w:r>
            <w:r>
              <w:rPr>
                <w:rFonts w:ascii="Arial" w:hAnsi="Arial" w:cs="Arial"/>
                <w:color w:val="000000"/>
                <w:sz w:val="24"/>
                <w:szCs w:val="24"/>
              </w:rPr>
              <w:lastRenderedPageBreak/>
              <w:t>acabado, nas partes aparentes, com pintura cromada de alta resistência a intempéries e ao descascamento. Resistente. Indeformável. Regulagem de altura em inúmeros bloqueios. Regulagem lateral, em livre regulagem, para aumentar a largura do assento. Apoia braços anatômico, em poliuretano integral-</w:t>
            </w:r>
            <w:proofErr w:type="spellStart"/>
            <w:r>
              <w:rPr>
                <w:rFonts w:ascii="Arial" w:hAnsi="Arial" w:cs="Arial"/>
                <w:color w:val="000000"/>
                <w:sz w:val="24"/>
                <w:szCs w:val="24"/>
              </w:rPr>
              <w:t>skin</w:t>
            </w:r>
            <w:proofErr w:type="spellEnd"/>
            <w:r>
              <w:rPr>
                <w:rFonts w:ascii="Arial" w:hAnsi="Arial" w:cs="Arial"/>
                <w:color w:val="000000"/>
                <w:sz w:val="24"/>
                <w:szCs w:val="24"/>
              </w:rPr>
              <w:t xml:space="preserve"> de alta resistência. Altura do apoia-braço: Mínimo 200mm, Máximo 250mm Distância interna entre os apoia-braços: Mínimo 460mm Comprimento do apoia-braço: Mínimo 200mm Largura da área útil do apoia-braço: 40mm Recuo do apoia-braço (apoia-braço na posição recuada e mais baixa): Mínimo 100mm.</w:t>
            </w:r>
            <w:r>
              <w:rPr>
                <w:rFonts w:ascii="Arial" w:hAnsi="Arial" w:cs="Arial"/>
                <w:color w:val="000000"/>
                <w:sz w:val="24"/>
                <w:szCs w:val="24"/>
              </w:rPr>
              <w:br/>
            </w:r>
            <w:r>
              <w:rPr>
                <w:rFonts w:ascii="Arial" w:hAnsi="Arial" w:cs="Arial"/>
                <w:color w:val="000000"/>
                <w:sz w:val="24"/>
                <w:szCs w:val="24"/>
              </w:rPr>
              <w:br/>
              <w:t>DIMENSÕES BÁSICAS PARA COMPATIBILIDADE COM O MOBILIÁRIO EXISTENTE. Altura do encosto: de 510 a 580cm Largura do encosto: 460 a 490cm Largura do assento: 460 a 500cm</w:t>
            </w:r>
            <w:r>
              <w:rPr>
                <w:rFonts w:ascii="Arial" w:hAnsi="Arial" w:cs="Arial"/>
                <w:color w:val="000000"/>
                <w:sz w:val="24"/>
                <w:szCs w:val="24"/>
              </w:rPr>
              <w:br/>
            </w:r>
            <w:r>
              <w:rPr>
                <w:rFonts w:ascii="Arial" w:hAnsi="Arial" w:cs="Arial"/>
                <w:color w:val="000000"/>
                <w:sz w:val="24"/>
                <w:szCs w:val="24"/>
              </w:rPr>
              <w:br/>
              <w:t>CONSIDERAÇÕES GERAIS</w:t>
            </w:r>
            <w:r>
              <w:rPr>
                <w:rFonts w:ascii="Arial" w:hAnsi="Arial" w:cs="Arial"/>
                <w:color w:val="000000"/>
                <w:sz w:val="24"/>
                <w:szCs w:val="24"/>
              </w:rPr>
              <w:br/>
              <w:t xml:space="preserve">Regulagens: devem ser acionadas por componentes dispostos de forma acessível e devem apresentar fácil </w:t>
            </w:r>
            <w:r>
              <w:rPr>
                <w:rFonts w:ascii="Arial" w:hAnsi="Arial" w:cs="Arial"/>
                <w:color w:val="000000"/>
                <w:sz w:val="24"/>
                <w:szCs w:val="24"/>
              </w:rPr>
              <w:lastRenderedPageBreak/>
              <w:t>manuseio de forma que o ajuste possa ser realizado pelo próprio usuário sem a necessidade de se levantar da cadeira ou de utilizar qualquer tipo de ferramenta. Acabamento: deve ser apresentado o bom uso de todos os materiais que compõem a cadeira e o acabamento deve ser sem manchas, imperfeições, arestas cortantes, rebarbas, etc. A cadeira deve apresentar nivelamento, alinhamento, estabilidade, enquadramento. Não será aceito rebite como método construtivo e os parafusos devem estar dispostos de forma discreta. Não serão aceitos elementos de fixação aparentes no assento e no encosto tais como taxas, grampos, parafusos ou de forma a prejudicar a boa estética da cadeira.</w:t>
            </w:r>
          </w:p>
        </w:tc>
        <w:tc>
          <w:tcPr>
            <w:tcW w:w="1190" w:type="dxa"/>
            <w:tcBorders>
              <w:top w:val="single" w:sz="18" w:space="0" w:color="000000"/>
              <w:left w:val="single" w:sz="18" w:space="0" w:color="000000"/>
              <w:bottom w:val="single" w:sz="18" w:space="0" w:color="000000"/>
              <w:right w:val="single" w:sz="18" w:space="0" w:color="000000"/>
            </w:tcBorders>
            <w:shd w:val="clear" w:color="auto" w:fill="auto"/>
          </w:tcPr>
          <w:p w14:paraId="240A9445" w14:textId="77777777" w:rsidR="00901CDC" w:rsidRDefault="00901CDC">
            <w:pPr>
              <w:widowControl w:val="0"/>
              <w:spacing w:after="200" w:line="276" w:lineRule="auto"/>
              <w:jc w:val="center"/>
              <w:rPr>
                <w:rFonts w:ascii="Arial" w:hAnsi="Arial" w:cs="Arial"/>
                <w:color w:val="000000"/>
                <w:sz w:val="24"/>
                <w:szCs w:val="24"/>
              </w:rPr>
            </w:pPr>
          </w:p>
          <w:p w14:paraId="44E6F043" w14:textId="77777777" w:rsidR="00901CDC" w:rsidRDefault="00901CDC">
            <w:pPr>
              <w:widowControl w:val="0"/>
              <w:spacing w:after="200" w:line="276" w:lineRule="auto"/>
              <w:jc w:val="center"/>
              <w:rPr>
                <w:rFonts w:ascii="Arial" w:hAnsi="Arial" w:cs="Arial"/>
                <w:color w:val="000000"/>
                <w:sz w:val="24"/>
                <w:szCs w:val="24"/>
              </w:rPr>
            </w:pPr>
          </w:p>
          <w:p w14:paraId="6A9C01F8" w14:textId="77777777" w:rsidR="00901CDC" w:rsidRDefault="00901CDC">
            <w:pPr>
              <w:widowControl w:val="0"/>
              <w:spacing w:after="200" w:line="276" w:lineRule="auto"/>
              <w:jc w:val="center"/>
              <w:rPr>
                <w:rFonts w:ascii="Arial" w:hAnsi="Arial" w:cs="Arial"/>
                <w:color w:val="000000"/>
                <w:sz w:val="24"/>
                <w:szCs w:val="24"/>
              </w:rPr>
            </w:pPr>
          </w:p>
          <w:p w14:paraId="7E0479CE" w14:textId="77777777" w:rsidR="00901CDC" w:rsidRDefault="00901CDC">
            <w:pPr>
              <w:widowControl w:val="0"/>
              <w:spacing w:after="200" w:line="276" w:lineRule="auto"/>
              <w:jc w:val="center"/>
              <w:rPr>
                <w:rFonts w:ascii="Arial" w:hAnsi="Arial" w:cs="Arial"/>
                <w:color w:val="000000"/>
                <w:sz w:val="24"/>
                <w:szCs w:val="24"/>
              </w:rPr>
            </w:pPr>
          </w:p>
          <w:p w14:paraId="0CC1D790" w14:textId="77777777" w:rsidR="00901CDC" w:rsidRDefault="00901CDC">
            <w:pPr>
              <w:widowControl w:val="0"/>
              <w:spacing w:after="200" w:line="276" w:lineRule="auto"/>
              <w:jc w:val="center"/>
              <w:rPr>
                <w:rFonts w:ascii="Arial" w:hAnsi="Arial" w:cs="Arial"/>
                <w:color w:val="000000"/>
                <w:sz w:val="24"/>
                <w:szCs w:val="24"/>
              </w:rPr>
            </w:pPr>
          </w:p>
          <w:p w14:paraId="03776F61" w14:textId="77777777" w:rsidR="00901CDC" w:rsidRDefault="00901CDC">
            <w:pPr>
              <w:widowControl w:val="0"/>
              <w:spacing w:after="200" w:line="276" w:lineRule="auto"/>
              <w:jc w:val="center"/>
              <w:rPr>
                <w:rFonts w:ascii="Arial" w:hAnsi="Arial" w:cs="Arial"/>
                <w:color w:val="000000"/>
                <w:sz w:val="24"/>
                <w:szCs w:val="24"/>
              </w:rPr>
            </w:pPr>
          </w:p>
          <w:p w14:paraId="17F89B55" w14:textId="77777777" w:rsidR="00901CDC" w:rsidRDefault="00901CDC">
            <w:pPr>
              <w:widowControl w:val="0"/>
              <w:spacing w:after="200" w:line="276" w:lineRule="auto"/>
              <w:jc w:val="center"/>
              <w:rPr>
                <w:rFonts w:ascii="Arial" w:hAnsi="Arial" w:cs="Arial"/>
                <w:color w:val="000000"/>
                <w:sz w:val="24"/>
                <w:szCs w:val="24"/>
              </w:rPr>
            </w:pPr>
          </w:p>
          <w:p w14:paraId="376BBD1C" w14:textId="77777777" w:rsidR="00901CDC" w:rsidRDefault="00901CDC">
            <w:pPr>
              <w:widowControl w:val="0"/>
              <w:spacing w:after="200" w:line="276" w:lineRule="auto"/>
              <w:jc w:val="center"/>
              <w:rPr>
                <w:rFonts w:ascii="Arial" w:hAnsi="Arial" w:cs="Arial"/>
                <w:color w:val="000000"/>
                <w:sz w:val="24"/>
                <w:szCs w:val="24"/>
              </w:rPr>
            </w:pPr>
          </w:p>
          <w:p w14:paraId="3B429B9C" w14:textId="77777777" w:rsidR="00901CDC" w:rsidRDefault="00901CDC">
            <w:pPr>
              <w:widowControl w:val="0"/>
              <w:spacing w:after="200" w:line="276" w:lineRule="auto"/>
              <w:jc w:val="center"/>
              <w:rPr>
                <w:rFonts w:ascii="Arial" w:hAnsi="Arial" w:cs="Arial"/>
                <w:color w:val="000000"/>
                <w:sz w:val="24"/>
                <w:szCs w:val="24"/>
              </w:rPr>
            </w:pPr>
          </w:p>
          <w:p w14:paraId="0558919B" w14:textId="77777777" w:rsidR="00901CDC" w:rsidRDefault="00901CDC">
            <w:pPr>
              <w:widowControl w:val="0"/>
              <w:spacing w:after="200" w:line="276" w:lineRule="auto"/>
              <w:jc w:val="center"/>
              <w:rPr>
                <w:rFonts w:ascii="Arial" w:hAnsi="Arial" w:cs="Arial"/>
                <w:color w:val="000000"/>
                <w:sz w:val="24"/>
                <w:szCs w:val="24"/>
              </w:rPr>
            </w:pPr>
          </w:p>
          <w:p w14:paraId="31D6AA4C" w14:textId="77777777" w:rsidR="00901CDC" w:rsidRDefault="00DD550A">
            <w:pPr>
              <w:widowControl w:val="0"/>
              <w:spacing w:after="200" w:line="276" w:lineRule="auto"/>
              <w:jc w:val="center"/>
              <w:rPr>
                <w:rFonts w:ascii="Arial" w:eastAsia="Arial" w:hAnsi="Arial" w:cs="Arial"/>
                <w:b/>
                <w:bCs/>
                <w:sz w:val="24"/>
                <w:szCs w:val="24"/>
                <w:lang w:eastAsia="pt-BR"/>
              </w:rPr>
            </w:pPr>
            <w:r>
              <w:rPr>
                <w:rFonts w:ascii="Arial" w:hAnsi="Arial" w:cs="Arial"/>
                <w:color w:val="000000"/>
                <w:sz w:val="24"/>
                <w:szCs w:val="24"/>
              </w:rPr>
              <w:t>184807-0</w:t>
            </w:r>
          </w:p>
        </w:tc>
        <w:tc>
          <w:tcPr>
            <w:tcW w:w="1543" w:type="dxa"/>
            <w:tcBorders>
              <w:top w:val="single" w:sz="18" w:space="0" w:color="000000"/>
              <w:left w:val="single" w:sz="18" w:space="0" w:color="000000"/>
              <w:bottom w:val="single" w:sz="18" w:space="0" w:color="000000"/>
              <w:right w:val="single" w:sz="18" w:space="0" w:color="000000"/>
            </w:tcBorders>
            <w:shd w:val="clear" w:color="auto" w:fill="auto"/>
          </w:tcPr>
          <w:p w14:paraId="134FE7ED" w14:textId="77777777" w:rsidR="00901CDC" w:rsidRDefault="00DD550A">
            <w:pPr>
              <w:widowControl w:val="0"/>
              <w:spacing w:after="200" w:line="276" w:lineRule="auto"/>
              <w:jc w:val="center"/>
              <w:rPr>
                <w:rFonts w:ascii="Arial" w:hAnsi="Arial" w:cs="Arial"/>
                <w:color w:val="000000"/>
                <w:sz w:val="24"/>
                <w:szCs w:val="24"/>
              </w:rPr>
            </w:pPr>
            <w:r>
              <w:rPr>
                <w:rFonts w:ascii="Arial" w:hAnsi="Arial" w:cs="Arial"/>
                <w:color w:val="000000"/>
                <w:sz w:val="24"/>
                <w:szCs w:val="24"/>
              </w:rPr>
              <w:t xml:space="preserve"> 4.625,14</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7B81190E" w14:textId="77777777" w:rsidR="00901CDC" w:rsidRDefault="00DD550A" w:rsidP="003031F4">
            <w:pPr>
              <w:widowControl w:val="0"/>
              <w:spacing w:after="200" w:line="276" w:lineRule="auto"/>
              <w:ind w:right="343"/>
              <w:jc w:val="center"/>
              <w:rPr>
                <w:rFonts w:ascii="Arial" w:hAnsi="Arial" w:cs="Arial"/>
                <w:color w:val="000000"/>
                <w:sz w:val="24"/>
                <w:szCs w:val="24"/>
              </w:rPr>
            </w:pPr>
            <w:r>
              <w:rPr>
                <w:rFonts w:ascii="Arial" w:hAnsi="Arial" w:cs="Arial"/>
                <w:color w:val="000000"/>
                <w:sz w:val="24"/>
                <w:szCs w:val="24"/>
              </w:rPr>
              <w:t>693.771,00</w:t>
            </w:r>
          </w:p>
        </w:tc>
      </w:tr>
      <w:tr w:rsidR="00901CDC" w14:paraId="0B6F3F68" w14:textId="77777777" w:rsidTr="003031F4">
        <w:trPr>
          <w:trHeight w:val="195"/>
          <w:jc w:val="center"/>
        </w:trPr>
        <w:tc>
          <w:tcPr>
            <w:tcW w:w="790" w:type="dxa"/>
            <w:tcBorders>
              <w:top w:val="single" w:sz="18" w:space="0" w:color="000000"/>
              <w:left w:val="single" w:sz="18" w:space="0" w:color="000000"/>
              <w:bottom w:val="single" w:sz="18" w:space="0" w:color="000000"/>
              <w:right w:val="single" w:sz="18" w:space="0" w:color="000000"/>
            </w:tcBorders>
            <w:shd w:val="clear" w:color="auto" w:fill="auto"/>
            <w:vAlign w:val="center"/>
          </w:tcPr>
          <w:p w14:paraId="1A7DB141" w14:textId="77777777" w:rsidR="00901CDC" w:rsidRDefault="00DD550A">
            <w:pPr>
              <w:pStyle w:val="NormalWeb"/>
              <w:spacing w:after="135"/>
              <w:jc w:val="center"/>
            </w:pPr>
            <w:r>
              <w:lastRenderedPageBreak/>
              <w:t>2</w:t>
            </w:r>
          </w:p>
        </w:tc>
        <w:tc>
          <w:tcPr>
            <w:tcW w:w="750" w:type="dxa"/>
            <w:tcBorders>
              <w:top w:val="single" w:sz="18" w:space="0" w:color="000000"/>
              <w:left w:val="single" w:sz="18" w:space="0" w:color="000000"/>
              <w:bottom w:val="single" w:sz="18" w:space="0" w:color="000000"/>
              <w:right w:val="single" w:sz="18" w:space="0" w:color="000000"/>
            </w:tcBorders>
            <w:shd w:val="clear" w:color="auto" w:fill="auto"/>
            <w:vAlign w:val="center"/>
          </w:tcPr>
          <w:p w14:paraId="6305D697" w14:textId="77777777" w:rsidR="00901CDC" w:rsidRDefault="00DD550A">
            <w:pPr>
              <w:pStyle w:val="NormalWeb"/>
              <w:spacing w:after="135"/>
              <w:jc w:val="center"/>
            </w:pPr>
            <w:r>
              <w:t>4500</w:t>
            </w:r>
          </w:p>
        </w:tc>
        <w:tc>
          <w:tcPr>
            <w:tcW w:w="1310" w:type="dxa"/>
            <w:tcBorders>
              <w:top w:val="single" w:sz="18" w:space="0" w:color="000000"/>
              <w:left w:val="single" w:sz="18" w:space="0" w:color="000000"/>
              <w:bottom w:val="single" w:sz="18" w:space="0" w:color="000000"/>
              <w:right w:val="single" w:sz="18" w:space="0" w:color="000000"/>
            </w:tcBorders>
            <w:shd w:val="clear" w:color="auto" w:fill="auto"/>
            <w:vAlign w:val="center"/>
          </w:tcPr>
          <w:p w14:paraId="72063FBC" w14:textId="77777777" w:rsidR="00901CDC" w:rsidRDefault="00DD550A">
            <w:pPr>
              <w:pStyle w:val="NormalWeb"/>
              <w:spacing w:after="135"/>
              <w:jc w:val="center"/>
            </w:pPr>
            <w:proofErr w:type="spellStart"/>
            <w:r>
              <w:t>un</w:t>
            </w:r>
            <w:proofErr w:type="spellEnd"/>
          </w:p>
        </w:tc>
        <w:tc>
          <w:tcPr>
            <w:tcW w:w="3325" w:type="dxa"/>
            <w:tcBorders>
              <w:top w:val="single" w:sz="18" w:space="0" w:color="000000"/>
              <w:left w:val="single" w:sz="18" w:space="0" w:color="000000"/>
              <w:bottom w:val="single" w:sz="18" w:space="0" w:color="000000"/>
              <w:right w:val="single" w:sz="18" w:space="0" w:color="000000"/>
            </w:tcBorders>
            <w:shd w:val="clear" w:color="auto" w:fill="auto"/>
            <w:vAlign w:val="center"/>
          </w:tcPr>
          <w:p w14:paraId="74C80A2D" w14:textId="77777777" w:rsidR="00901CDC" w:rsidRDefault="00DD550A" w:rsidP="00670225">
            <w:pPr>
              <w:suppressAutoHyphens w:val="0"/>
              <w:spacing w:beforeAutospacing="1" w:after="135"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OBSERVAÇÃO: ESTA CADEIRA DEVE SER IGUAL À DO ITEM 1, PORÉM</w:t>
            </w:r>
            <w:r>
              <w:rPr>
                <w:rFonts w:ascii="Arial" w:eastAsia="Times New Roman" w:hAnsi="Arial" w:cs="Arial"/>
                <w:b/>
                <w:bCs/>
                <w:color w:val="000000"/>
                <w:sz w:val="24"/>
                <w:szCs w:val="24"/>
                <w:lang w:eastAsia="pt-BR"/>
              </w:rPr>
              <w:t> SEM O APOIO DE CABEÇA</w:t>
            </w:r>
            <w:r>
              <w:rPr>
                <w:rFonts w:ascii="Arial" w:eastAsia="Times New Roman" w:hAnsi="Arial" w:cs="Arial"/>
                <w:color w:val="000000"/>
                <w:sz w:val="24"/>
                <w:szCs w:val="24"/>
                <w:lang w:eastAsia="pt-BR"/>
              </w:rPr>
              <w:t>. CARACTERÍSTICAS GERAIS</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t xml:space="preserve">Cadeira operacional, anatômica, concha dupla, sem visual monobloco. Design: encosto com desenho frontal de linhas retas, formato predominantemente </w:t>
            </w:r>
            <w:r>
              <w:rPr>
                <w:rFonts w:ascii="Arial" w:eastAsia="Times New Roman" w:hAnsi="Arial" w:cs="Arial"/>
                <w:color w:val="000000"/>
                <w:sz w:val="24"/>
                <w:szCs w:val="24"/>
                <w:lang w:eastAsia="pt-BR"/>
              </w:rPr>
              <w:lastRenderedPageBreak/>
              <w:t>retangular; braços com desenho de linhas retas, em T (estrutura e apoio de braço). O design visa à harmonia estética com o mobiliário já existente na PGJ.</w:t>
            </w:r>
          </w:p>
          <w:p w14:paraId="393B5C5B" w14:textId="77777777" w:rsidR="00901CDC" w:rsidRDefault="00DD550A" w:rsidP="00670225">
            <w:pPr>
              <w:suppressAutoHyphens w:val="0"/>
              <w:spacing w:beforeAutospacing="1" w:after="135"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t>ENCOSTO</w:t>
            </w:r>
            <w:r>
              <w:rPr>
                <w:rFonts w:ascii="Arial" w:eastAsia="Times New Roman" w:hAnsi="Arial" w:cs="Arial"/>
                <w:color w:val="000000"/>
                <w:sz w:val="24"/>
                <w:szCs w:val="24"/>
                <w:lang w:eastAsia="pt-BR"/>
              </w:rPr>
              <w:br/>
              <w:t xml:space="preserve">a) estrutura formada por quadro injetado de fibra sintética ou plástico de engenharia (resina termoplástica). Alta resistência mecânica e ao </w:t>
            </w:r>
            <w:proofErr w:type="spellStart"/>
            <w:r>
              <w:rPr>
                <w:rFonts w:ascii="Arial" w:eastAsia="Times New Roman" w:hAnsi="Arial" w:cs="Arial"/>
                <w:color w:val="000000"/>
                <w:sz w:val="24"/>
                <w:szCs w:val="24"/>
                <w:lang w:eastAsia="pt-BR"/>
              </w:rPr>
              <w:t>esgaçamento</w:t>
            </w:r>
            <w:proofErr w:type="spellEnd"/>
            <w:r>
              <w:rPr>
                <w:rFonts w:ascii="Arial" w:eastAsia="Times New Roman" w:hAnsi="Arial" w:cs="Arial"/>
                <w:color w:val="000000"/>
                <w:sz w:val="24"/>
                <w:szCs w:val="24"/>
                <w:lang w:eastAsia="pt-BR"/>
              </w:rPr>
              <w:t>. Indeformável. Cor preta. Curvatura anatômica para finalidade de cadeira operacional.</w:t>
            </w:r>
            <w:r>
              <w:rPr>
                <w:rFonts w:ascii="Arial" w:eastAsia="Times New Roman" w:hAnsi="Arial" w:cs="Arial"/>
                <w:color w:val="000000"/>
                <w:sz w:val="24"/>
                <w:szCs w:val="24"/>
                <w:lang w:eastAsia="pt-BR"/>
              </w:rPr>
              <w:br/>
              <w:t>b) revestimento do encosto: de tela própria para o uso em cadeira operacional, resistente, durável, maleável, indeformável, constituída de fios entrelaçados de forma a permitir certa transparência, 100% poliéster, toque macio, fácil limpeza, ocupando toda a área frontal do encosto, sem cobrir a parte de trás, a fim de evitar danos na tela quando a cadeira apresentar atritos com os elementos fixos dos ambientes. Cor preta.</w:t>
            </w:r>
            <w:r>
              <w:rPr>
                <w:rFonts w:ascii="Arial" w:eastAsia="Times New Roman" w:hAnsi="Arial" w:cs="Arial"/>
                <w:color w:val="000000"/>
                <w:sz w:val="24"/>
                <w:szCs w:val="24"/>
                <w:lang w:eastAsia="pt-BR"/>
              </w:rPr>
              <w:br/>
              <w:t xml:space="preserve">c) sistema de união do encosto/assento/mecanismo: peça estrutural de alumínio injetado polido e/ou de aço de alta resistência mecânica, tratado anticorrosão e antiferrugem e acabado, nas partes aparentes, com pintura eletrostática preta ou cromada, de alta resistência </w:t>
            </w:r>
            <w:r>
              <w:rPr>
                <w:rFonts w:ascii="Arial" w:eastAsia="Times New Roman" w:hAnsi="Arial" w:cs="Arial"/>
                <w:color w:val="000000"/>
                <w:sz w:val="24"/>
                <w:szCs w:val="24"/>
                <w:lang w:eastAsia="pt-BR"/>
              </w:rPr>
              <w:lastRenderedPageBreak/>
              <w:t>a intempéries e ao descascamento. Resistente. Indeformável.</w:t>
            </w:r>
            <w:r>
              <w:rPr>
                <w:rFonts w:ascii="Arial" w:eastAsia="Times New Roman" w:hAnsi="Arial" w:cs="Arial"/>
                <w:color w:val="000000"/>
                <w:sz w:val="24"/>
                <w:szCs w:val="24"/>
                <w:lang w:eastAsia="pt-BR"/>
              </w:rPr>
              <w:br/>
              <w:t>d) regulagem: de inclinação através do uso de manivela/</w:t>
            </w:r>
            <w:proofErr w:type="spellStart"/>
            <w:r>
              <w:rPr>
                <w:rFonts w:ascii="Arial" w:eastAsia="Times New Roman" w:hAnsi="Arial" w:cs="Arial"/>
                <w:color w:val="000000"/>
                <w:sz w:val="24"/>
                <w:szCs w:val="24"/>
                <w:lang w:eastAsia="pt-BR"/>
              </w:rPr>
              <w:t>manípolo</w:t>
            </w:r>
            <w:proofErr w:type="spellEnd"/>
            <w:r>
              <w:rPr>
                <w:rFonts w:ascii="Arial" w:eastAsia="Times New Roman" w:hAnsi="Arial" w:cs="Arial"/>
                <w:color w:val="000000"/>
                <w:sz w:val="24"/>
                <w:szCs w:val="24"/>
                <w:lang w:eastAsia="pt-BR"/>
              </w:rPr>
              <w:t xml:space="preserve"> sob o assento. Inúmeras posições de bloqueio. Regulagem da região lombar (vertical) obtida a partir do deslocamento vertical de todo o encosto ou apenas da porção que proporciona o apoio lombar, como peça acoplada ao encosto.</w:t>
            </w:r>
            <w:r>
              <w:rPr>
                <w:rFonts w:ascii="Arial" w:eastAsia="Times New Roman" w:hAnsi="Arial" w:cs="Arial"/>
                <w:color w:val="000000"/>
                <w:sz w:val="24"/>
                <w:szCs w:val="24"/>
                <w:lang w:eastAsia="pt-BR"/>
              </w:rPr>
              <w:br/>
              <w:t>e) apoio lombar: caso existente como peça em separado sobreposta ao encosto, devem ser utilizados materiais resistentes e que proporcionem fácil ajuste pelo usuário, acessível e de fácil manuseio. Conforto térmico. Formato anatômico.</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t>Determinação do grau de inclinação do encosto, faixa de regulagem da inclinação do encosto: sugiro que a faixa de regulagem cubra esta extensão de angulação (95 a 110°), podendo ultrapassá-la.</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t>Faixa de regulagem de altura do apoio lombar: regulagem da altura do ponto S do encosto deve contemplar a altura mínima de 170mm e máxima de 220mm em relação ao ponto ‘a’ do assento formado pela interseção do plano mediano e do plano.</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lastRenderedPageBreak/>
              <w:t>Encosto com apoio lombar com raio mínimo de 400mm.</w:t>
            </w:r>
            <w:r>
              <w:rPr>
                <w:rFonts w:ascii="Arial" w:eastAsia="Times New Roman" w:hAnsi="Arial" w:cs="Arial"/>
                <w:color w:val="000000"/>
                <w:sz w:val="24"/>
                <w:szCs w:val="24"/>
                <w:lang w:eastAsia="pt-BR"/>
              </w:rPr>
              <w:br/>
              <w:t>Do ponto de vista da NR-17(Portaria PORTARIA/MTP Nº 423, DE 7 DE OUTUBRO DE 2021, nova redação da Norma Regulamentadora nº 17 – Ergonomia), não há outras considerações.</w:t>
            </w:r>
          </w:p>
          <w:p w14:paraId="3552DA36" w14:textId="77777777" w:rsidR="00901CDC" w:rsidRDefault="00DD550A" w:rsidP="00670225">
            <w:pPr>
              <w:suppressAutoHyphens w:val="0"/>
              <w:spacing w:beforeAutospacing="1" w:after="135"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t>ASSENTO</w:t>
            </w:r>
            <w:r>
              <w:rPr>
                <w:rFonts w:ascii="Arial" w:eastAsia="Times New Roman" w:hAnsi="Arial" w:cs="Arial"/>
                <w:color w:val="000000"/>
                <w:sz w:val="24"/>
                <w:szCs w:val="24"/>
                <w:lang w:eastAsia="pt-BR"/>
              </w:rPr>
              <w:br/>
              <w:t xml:space="preserve">a) Estrutura formada por concha conformada anatomicamente. Fabricada por fibra sintética ou plástico de engenharia ou compensado de madeira espessura mínima 12mm ou material de funções, resistência e qualidade equivalentes, a critério do fabricante. Assento estruturado em compensado </w:t>
            </w:r>
            <w:proofErr w:type="spellStart"/>
            <w:r>
              <w:rPr>
                <w:rFonts w:ascii="Arial" w:eastAsia="Times New Roman" w:hAnsi="Arial" w:cs="Arial"/>
                <w:color w:val="000000"/>
                <w:sz w:val="24"/>
                <w:szCs w:val="24"/>
                <w:lang w:eastAsia="pt-BR"/>
              </w:rPr>
              <w:t>multilaminado</w:t>
            </w:r>
            <w:proofErr w:type="spellEnd"/>
            <w:r>
              <w:rPr>
                <w:rFonts w:ascii="Arial" w:eastAsia="Times New Roman" w:hAnsi="Arial" w:cs="Arial"/>
                <w:color w:val="000000"/>
                <w:sz w:val="24"/>
                <w:szCs w:val="24"/>
                <w:lang w:eastAsia="pt-BR"/>
              </w:rPr>
              <w:t>, resinado e prensado, a partir de madeiras oriundas de manejos sustentáveis,</w:t>
            </w:r>
            <w:r>
              <w:rPr>
                <w:rFonts w:ascii="Arial" w:eastAsia="Times New Roman" w:hAnsi="Arial" w:cs="Arial"/>
                <w:color w:val="000000"/>
                <w:sz w:val="24"/>
                <w:szCs w:val="24"/>
                <w:lang w:eastAsia="pt-BR"/>
              </w:rPr>
              <w:br/>
              <w:t>b) Espuma injetada, poliuretano flexível, anatômica, borda frontal conformada, densidade controlada, isenta de CFC, alta resiliência à propagação de rasgos, alta tensão de alongamento e ruptura, baixa deformação permanente. Densidade de 45 a 60 kg/m³. Espessura média de 40mm a 60mm. Borda frontal arredondada favorecendo a circulação sanguínea. Apresentar documentação.</w:t>
            </w:r>
            <w:r>
              <w:rPr>
                <w:rFonts w:ascii="Arial" w:eastAsia="Times New Roman" w:hAnsi="Arial" w:cs="Arial"/>
                <w:color w:val="000000"/>
                <w:sz w:val="24"/>
                <w:szCs w:val="24"/>
                <w:lang w:eastAsia="pt-BR"/>
              </w:rPr>
              <w:br/>
              <w:t xml:space="preserve">c) Contra capa do assento: </w:t>
            </w:r>
            <w:proofErr w:type="spellStart"/>
            <w:r>
              <w:rPr>
                <w:rFonts w:ascii="Arial" w:eastAsia="Times New Roman" w:hAnsi="Arial" w:cs="Arial"/>
                <w:color w:val="000000"/>
                <w:sz w:val="24"/>
                <w:szCs w:val="24"/>
                <w:lang w:eastAsia="pt-BR"/>
              </w:rPr>
              <w:t>pré</w:t>
            </w:r>
            <w:proofErr w:type="spellEnd"/>
            <w:r>
              <w:rPr>
                <w:rFonts w:ascii="Arial" w:eastAsia="Times New Roman" w:hAnsi="Arial" w:cs="Arial"/>
                <w:color w:val="000000"/>
                <w:sz w:val="24"/>
                <w:szCs w:val="24"/>
                <w:lang w:eastAsia="pt-BR"/>
              </w:rPr>
              <w:t xml:space="preserve"> moldado, injetado em fibra sintética ou em plástico </w:t>
            </w:r>
            <w:r>
              <w:rPr>
                <w:rFonts w:ascii="Arial" w:eastAsia="Times New Roman" w:hAnsi="Arial" w:cs="Arial"/>
                <w:color w:val="000000"/>
                <w:sz w:val="24"/>
                <w:szCs w:val="24"/>
                <w:lang w:eastAsia="pt-BR"/>
              </w:rPr>
              <w:lastRenderedPageBreak/>
              <w:t xml:space="preserve">de engenharia (resina termoplástica). Alta resistência mecânica e ao </w:t>
            </w:r>
            <w:proofErr w:type="spellStart"/>
            <w:r>
              <w:rPr>
                <w:rFonts w:ascii="Arial" w:eastAsia="Times New Roman" w:hAnsi="Arial" w:cs="Arial"/>
                <w:color w:val="000000"/>
                <w:sz w:val="24"/>
                <w:szCs w:val="24"/>
                <w:lang w:eastAsia="pt-BR"/>
              </w:rPr>
              <w:t>esgaçamento</w:t>
            </w:r>
            <w:proofErr w:type="spellEnd"/>
            <w:r>
              <w:rPr>
                <w:rFonts w:ascii="Arial" w:eastAsia="Times New Roman" w:hAnsi="Arial" w:cs="Arial"/>
                <w:color w:val="000000"/>
                <w:sz w:val="24"/>
                <w:szCs w:val="24"/>
                <w:lang w:eastAsia="pt-BR"/>
              </w:rPr>
              <w:t>. Cor preta</w:t>
            </w:r>
            <w:r>
              <w:rPr>
                <w:rFonts w:ascii="Arial" w:eastAsia="Times New Roman" w:hAnsi="Arial" w:cs="Arial"/>
                <w:color w:val="000000"/>
                <w:sz w:val="24"/>
                <w:szCs w:val="24"/>
                <w:lang w:eastAsia="pt-BR"/>
              </w:rPr>
              <w:br/>
              <w:t xml:space="preserve">d) Revestimento em couro sintético, </w:t>
            </w:r>
            <w:proofErr w:type="spellStart"/>
            <w:r>
              <w:rPr>
                <w:rFonts w:ascii="Arial" w:eastAsia="Times New Roman" w:hAnsi="Arial" w:cs="Arial"/>
                <w:color w:val="000000"/>
                <w:sz w:val="24"/>
                <w:szCs w:val="24"/>
                <w:lang w:eastAsia="pt-BR"/>
              </w:rPr>
              <w:t>semi</w:t>
            </w:r>
            <w:proofErr w:type="spellEnd"/>
            <w:r>
              <w:rPr>
                <w:rFonts w:ascii="Arial" w:eastAsia="Times New Roman" w:hAnsi="Arial" w:cs="Arial"/>
                <w:color w:val="000000"/>
                <w:sz w:val="24"/>
                <w:szCs w:val="24"/>
                <w:lang w:eastAsia="pt-BR"/>
              </w:rPr>
              <w:t xml:space="preserve"> brilho, cor preta, espessura mínima 0.8mm, produzido em alta tecnologia que apresente resistência, resiliência, facilidade de manutenção e de limpeza, durabilidade, conforto e macies ao toque. Composição predominante de PVC e de Poliéster, avesso de malha de algodão. Referência: Marca York Plástico ou </w:t>
            </w:r>
            <w:proofErr w:type="spellStart"/>
            <w:r>
              <w:rPr>
                <w:rFonts w:ascii="Arial" w:eastAsia="Times New Roman" w:hAnsi="Arial" w:cs="Arial"/>
                <w:color w:val="000000"/>
                <w:sz w:val="24"/>
                <w:szCs w:val="24"/>
                <w:lang w:eastAsia="pt-BR"/>
              </w:rPr>
              <w:t>similiar</w:t>
            </w:r>
            <w:proofErr w:type="spellEnd"/>
            <w:r>
              <w:rPr>
                <w:rFonts w:ascii="Arial" w:eastAsia="Times New Roman" w:hAnsi="Arial" w:cs="Arial"/>
                <w:color w:val="000000"/>
                <w:sz w:val="24"/>
                <w:szCs w:val="24"/>
                <w:lang w:eastAsia="pt-BR"/>
              </w:rPr>
              <w:t>.</w:t>
            </w:r>
            <w:r>
              <w:rPr>
                <w:rFonts w:ascii="Arial" w:eastAsia="Times New Roman" w:hAnsi="Arial" w:cs="Arial"/>
                <w:color w:val="000000"/>
                <w:sz w:val="24"/>
                <w:szCs w:val="24"/>
                <w:lang w:eastAsia="pt-BR"/>
              </w:rPr>
              <w:br/>
              <w:t>e) Regulagens: de altura, por pistão pneumático, e de profundidade. O assento da cadeira deve possuir regulagem de altura mínima de 420mm e máxima de 500mm, incorporando as dimensões mínima e máximas, podendo no entanto ultrapassá-las.</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t>A cadeira deve possuir regulagem de profundidade de no mínimo 50mm. A cadeira deve possuir ângulo de inclinação do assento com faixa de regulagem de -2° a 7°, podendo, no entanto, ultrapassá-la. Do ponto de vista da NR-17(Portaria PORTARIA/MTP Nº 423, DE 7 DE OUTUBRO DE 2021, nova redação da Norma Regulamentadora nº 17 – Ergonomia), não há outras considerações.</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t>MECANISMOS</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lastRenderedPageBreak/>
              <w:t xml:space="preserve">Sistema de </w:t>
            </w:r>
            <w:proofErr w:type="spellStart"/>
            <w:r>
              <w:rPr>
                <w:rFonts w:ascii="Arial" w:eastAsia="Times New Roman" w:hAnsi="Arial" w:cs="Arial"/>
                <w:color w:val="000000"/>
                <w:sz w:val="24"/>
                <w:szCs w:val="24"/>
                <w:lang w:eastAsia="pt-BR"/>
              </w:rPr>
              <w:t>reclinio</w:t>
            </w:r>
            <w:proofErr w:type="spellEnd"/>
            <w:r>
              <w:rPr>
                <w:rFonts w:ascii="Arial" w:eastAsia="Times New Roman" w:hAnsi="Arial" w:cs="Arial"/>
                <w:color w:val="000000"/>
                <w:sz w:val="24"/>
                <w:szCs w:val="24"/>
                <w:lang w:eastAsia="pt-BR"/>
              </w:rPr>
              <w:t xml:space="preserve"> sincronizado assento e encosto, na proporção 2:1, acionado por mecanismo de liberação e travamento.</w:t>
            </w:r>
            <w:r>
              <w:rPr>
                <w:rFonts w:ascii="Arial" w:eastAsia="Times New Roman" w:hAnsi="Arial" w:cs="Arial"/>
                <w:color w:val="000000"/>
                <w:sz w:val="24"/>
                <w:szCs w:val="24"/>
                <w:lang w:eastAsia="pt-BR"/>
              </w:rPr>
              <w:br/>
              <w:t>Sistema de regulagem da pressão da mola através da tecnologia peso/pessoa, que consiste na adequação automática conforme o biotipo/peso do usuário, ou através do uso de manivela/</w:t>
            </w:r>
            <w:proofErr w:type="spellStart"/>
            <w:r>
              <w:rPr>
                <w:rFonts w:ascii="Arial" w:eastAsia="Times New Roman" w:hAnsi="Arial" w:cs="Arial"/>
                <w:color w:val="000000"/>
                <w:sz w:val="24"/>
                <w:szCs w:val="24"/>
                <w:lang w:eastAsia="pt-BR"/>
              </w:rPr>
              <w:t>manípolo</w:t>
            </w:r>
            <w:proofErr w:type="spellEnd"/>
            <w:r>
              <w:rPr>
                <w:rFonts w:ascii="Arial" w:eastAsia="Times New Roman" w:hAnsi="Arial" w:cs="Arial"/>
                <w:color w:val="000000"/>
                <w:sz w:val="24"/>
                <w:szCs w:val="24"/>
                <w:lang w:eastAsia="pt-BR"/>
              </w:rPr>
              <w:t xml:space="preserve"> sob o assento.</w:t>
            </w:r>
            <w:r>
              <w:rPr>
                <w:rFonts w:ascii="Arial" w:eastAsia="Times New Roman" w:hAnsi="Arial" w:cs="Arial"/>
                <w:color w:val="000000"/>
                <w:sz w:val="24"/>
                <w:szCs w:val="24"/>
                <w:lang w:eastAsia="pt-BR"/>
              </w:rPr>
              <w:br/>
              <w:t>Sistema para livre flutuação (relax).</w:t>
            </w:r>
            <w:r>
              <w:rPr>
                <w:rFonts w:ascii="Arial" w:eastAsia="Times New Roman" w:hAnsi="Arial" w:cs="Arial"/>
                <w:color w:val="000000"/>
                <w:sz w:val="24"/>
                <w:szCs w:val="24"/>
                <w:lang w:eastAsia="pt-BR"/>
              </w:rPr>
              <w:br/>
              <w:t xml:space="preserve">Sistema </w:t>
            </w:r>
            <w:proofErr w:type="spellStart"/>
            <w:r>
              <w:rPr>
                <w:rFonts w:ascii="Arial" w:eastAsia="Times New Roman" w:hAnsi="Arial" w:cs="Arial"/>
                <w:color w:val="000000"/>
                <w:sz w:val="24"/>
                <w:szCs w:val="24"/>
                <w:lang w:eastAsia="pt-BR"/>
              </w:rPr>
              <w:t>antipanico</w:t>
            </w:r>
            <w:proofErr w:type="spellEnd"/>
            <w:r>
              <w:rPr>
                <w:rFonts w:ascii="Arial" w:eastAsia="Times New Roman" w:hAnsi="Arial" w:cs="Arial"/>
                <w:color w:val="000000"/>
                <w:sz w:val="24"/>
                <w:szCs w:val="24"/>
                <w:lang w:eastAsia="pt-BR"/>
              </w:rPr>
              <w:t>. Solução para amortecimento de impactos, com características técnicas a critério do fabricante.</w:t>
            </w:r>
            <w:r>
              <w:rPr>
                <w:rFonts w:ascii="Arial" w:eastAsia="Times New Roman" w:hAnsi="Arial" w:cs="Arial"/>
                <w:color w:val="000000"/>
                <w:sz w:val="24"/>
                <w:szCs w:val="24"/>
                <w:lang w:eastAsia="pt-BR"/>
              </w:rPr>
              <w:br/>
              <w:t xml:space="preserve">Solução para movimentos suaves de toda a engrenagem, com características técnicas a critério do fabricante. Coluna de regulagem de altura por acionamento a gás. Tubo de alumínio ou aço de aproximadamente 50mm X 1.5mm de espessura. Encaixe de precisão através do tipo "cone </w:t>
            </w:r>
            <w:proofErr w:type="spellStart"/>
            <w:r>
              <w:rPr>
                <w:rFonts w:ascii="Arial" w:eastAsia="Times New Roman" w:hAnsi="Arial" w:cs="Arial"/>
                <w:color w:val="000000"/>
                <w:sz w:val="24"/>
                <w:szCs w:val="24"/>
                <w:lang w:eastAsia="pt-BR"/>
              </w:rPr>
              <w:t>morse</w:t>
            </w:r>
            <w:proofErr w:type="spellEnd"/>
            <w:r>
              <w:rPr>
                <w:rFonts w:ascii="Arial" w:eastAsia="Times New Roman" w:hAnsi="Arial" w:cs="Arial"/>
                <w:color w:val="000000"/>
                <w:sz w:val="24"/>
                <w:szCs w:val="24"/>
                <w:lang w:eastAsia="pt-BR"/>
              </w:rPr>
              <w:t>". Pistão a gás classe 4 – será solicitada a comprovação da classificação.</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t>BASE giratória, com 5 patas, com rodízio duplo giro. Alumínio injetado com polimento na face externa. Estruturado para apresentar alta resistência mecânica. Junção dos rodízios por meio de encaixe.</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lastRenderedPageBreak/>
              <w:t>RODÍZIO duplo, 65mm de diâmetro aproximadamente, injetado em plástico de engenharia (resinas termoplásticas), eixos vertical e horizontal em aço. Duplo giro. Acoplamento fácil e seguro à base. Banda de rolagem poliuretana para utilização em qualquer tipo de piso.</w:t>
            </w:r>
            <w:r>
              <w:rPr>
                <w:rFonts w:ascii="Arial" w:eastAsia="Times New Roman" w:hAnsi="Arial" w:cs="Arial"/>
                <w:color w:val="000000"/>
                <w:sz w:val="24"/>
                <w:szCs w:val="24"/>
                <w:lang w:eastAsia="pt-BR"/>
              </w:rPr>
              <w:br/>
              <w:t>RODÍZIOS 05 rodízios de duplos, com 65mm de diâmetro, duplo giro, rodas injetadas em plástico de engenharia, banda de rodagem para utilização em qualquer tipo de piso.</w:t>
            </w:r>
          </w:p>
          <w:p w14:paraId="468A2A93" w14:textId="77777777" w:rsidR="00901CDC" w:rsidRDefault="00DD550A" w:rsidP="00670225">
            <w:pPr>
              <w:suppressAutoHyphens w:val="0"/>
              <w:spacing w:beforeAutospacing="1" w:after="135"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t>BRAÇOS</w:t>
            </w:r>
            <w:r>
              <w:rPr>
                <w:rFonts w:ascii="Arial" w:eastAsia="Times New Roman" w:hAnsi="Arial" w:cs="Arial"/>
                <w:color w:val="000000"/>
                <w:sz w:val="24"/>
                <w:szCs w:val="24"/>
                <w:lang w:eastAsia="pt-BR"/>
              </w:rPr>
              <w:br/>
              <w:t>Peça estrutural aparente de alumínio injetado polido e/ou de aço de alta resistência mecânica, tratado anticorrosão e antiferrugem e acabado, nas partes aparentes, com pintura cromada de alta resistência a intempéries e ao descascamento. Resistente. Indeformável. Regulagem de altura em inúmeros bloqueios. Regulagem lateral, em livre regulagem, para aumentar a largura do assento. Apoia braços anatômico, em poliuretano integral-</w:t>
            </w:r>
            <w:proofErr w:type="spellStart"/>
            <w:r>
              <w:rPr>
                <w:rFonts w:ascii="Arial" w:eastAsia="Times New Roman" w:hAnsi="Arial" w:cs="Arial"/>
                <w:color w:val="000000"/>
                <w:sz w:val="24"/>
                <w:szCs w:val="24"/>
                <w:lang w:eastAsia="pt-BR"/>
              </w:rPr>
              <w:t>skin</w:t>
            </w:r>
            <w:proofErr w:type="spellEnd"/>
            <w:r>
              <w:rPr>
                <w:rFonts w:ascii="Arial" w:eastAsia="Times New Roman" w:hAnsi="Arial" w:cs="Arial"/>
                <w:color w:val="000000"/>
                <w:sz w:val="24"/>
                <w:szCs w:val="24"/>
                <w:lang w:eastAsia="pt-BR"/>
              </w:rPr>
              <w:t xml:space="preserve"> de alta resistência. Altura do apoia-braço: Mínimo 200mm, Máximo 250mm Distância interna entre os apoia-braços: Mínimo 460mm Comprimento do apoia-braço: Mínimo 200mm </w:t>
            </w:r>
            <w:r>
              <w:rPr>
                <w:rFonts w:ascii="Arial" w:eastAsia="Times New Roman" w:hAnsi="Arial" w:cs="Arial"/>
                <w:color w:val="000000"/>
                <w:sz w:val="24"/>
                <w:szCs w:val="24"/>
                <w:lang w:eastAsia="pt-BR"/>
              </w:rPr>
              <w:lastRenderedPageBreak/>
              <w:t>Largura da área útil do apoia-braço: 40mm Recuo do apoia-braço (apoia-braço na posição recuada e mais baixa): Mínimo 100mm.</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t>DIMENSÕES BÁSICAS PARA COMPATIBILIDADE COM O MOBILIÁRIO EXISTENTE. Altura do encosto: de 510 a 580cm Largura do encosto: 460 a 490cm Largura do assento: 460 a 500cm</w:t>
            </w:r>
            <w:r>
              <w:rPr>
                <w:rFonts w:ascii="Arial" w:eastAsia="Times New Roman" w:hAnsi="Arial" w:cs="Arial"/>
                <w:color w:val="000000"/>
                <w:sz w:val="24"/>
                <w:szCs w:val="24"/>
                <w:lang w:eastAsia="pt-BR"/>
              </w:rPr>
              <w:br/>
            </w:r>
            <w:r>
              <w:rPr>
                <w:rFonts w:ascii="Arial" w:eastAsia="Times New Roman" w:hAnsi="Arial" w:cs="Arial"/>
                <w:color w:val="000000"/>
                <w:sz w:val="24"/>
                <w:szCs w:val="24"/>
                <w:lang w:eastAsia="pt-BR"/>
              </w:rPr>
              <w:br/>
              <w:t xml:space="preserve">CONSIDERAÇÕES GERAIS Regulagens: devem ser acionadas por componentes dispostos de forma acessível e devem apresentar fácil manuseio de forma que o ajuste possa ser realizado pelo próprio usuário sem a necessidade de se levantar da cadeira ou de utilizar qualquer tipo de ferramenta. Acabamento: deve ser apresentado o bom uso de todos os materiais que compõem a cadeira e o acabamento deve ser sem manchas, imperfeições, arestas cortantes, rebarbas, etc. A cadeira deve apresentar nivelamento, alinhamento, estabilidade, enquadramento. Não será aceito rebite como método construtivo e os parafusos devem estar dispostos de forma discreta. Não serão aceitos elementos de fixação aparentes no assento e no encosto tais como taxas, grampos, parafusos ou de </w:t>
            </w:r>
            <w:r>
              <w:rPr>
                <w:rFonts w:ascii="Arial" w:eastAsia="Times New Roman" w:hAnsi="Arial" w:cs="Arial"/>
                <w:color w:val="000000"/>
                <w:sz w:val="24"/>
                <w:szCs w:val="24"/>
                <w:lang w:eastAsia="pt-BR"/>
              </w:rPr>
              <w:lastRenderedPageBreak/>
              <w:t>forma a prejudicar a boa estética da cadeira.</w:t>
            </w:r>
          </w:p>
          <w:p w14:paraId="3D9024E4" w14:textId="77777777" w:rsidR="00901CDC" w:rsidRDefault="00901CDC" w:rsidP="00670225">
            <w:pPr>
              <w:widowControl w:val="0"/>
              <w:spacing w:after="200" w:line="276" w:lineRule="auto"/>
              <w:jc w:val="both"/>
              <w:rPr>
                <w:rFonts w:ascii="Arial" w:eastAsia="Arial" w:hAnsi="Arial" w:cs="Arial"/>
                <w:b/>
                <w:bCs/>
                <w:sz w:val="24"/>
                <w:szCs w:val="24"/>
                <w:lang w:eastAsia="pt-BR"/>
              </w:rPr>
            </w:pPr>
          </w:p>
        </w:tc>
        <w:tc>
          <w:tcPr>
            <w:tcW w:w="1190" w:type="dxa"/>
            <w:tcBorders>
              <w:top w:val="single" w:sz="18" w:space="0" w:color="000000"/>
              <w:left w:val="single" w:sz="18" w:space="0" w:color="000000"/>
              <w:bottom w:val="single" w:sz="18" w:space="0" w:color="000000"/>
              <w:right w:val="single" w:sz="18" w:space="0" w:color="000000"/>
            </w:tcBorders>
            <w:shd w:val="clear" w:color="auto" w:fill="auto"/>
          </w:tcPr>
          <w:p w14:paraId="5DE41059" w14:textId="77777777" w:rsidR="00901CDC" w:rsidRDefault="00901CDC">
            <w:pPr>
              <w:widowControl w:val="0"/>
              <w:spacing w:after="200" w:line="276" w:lineRule="auto"/>
              <w:jc w:val="center"/>
              <w:rPr>
                <w:rFonts w:ascii="Arial" w:hAnsi="Arial" w:cs="Arial"/>
                <w:color w:val="000000"/>
                <w:sz w:val="24"/>
                <w:szCs w:val="24"/>
              </w:rPr>
            </w:pPr>
          </w:p>
          <w:p w14:paraId="11541827" w14:textId="77777777" w:rsidR="00901CDC" w:rsidRDefault="00901CDC">
            <w:pPr>
              <w:widowControl w:val="0"/>
              <w:spacing w:after="200" w:line="276" w:lineRule="auto"/>
              <w:jc w:val="center"/>
              <w:rPr>
                <w:rFonts w:ascii="Arial" w:hAnsi="Arial" w:cs="Arial"/>
                <w:color w:val="000000"/>
                <w:sz w:val="24"/>
                <w:szCs w:val="24"/>
              </w:rPr>
            </w:pPr>
          </w:p>
          <w:p w14:paraId="622F4045" w14:textId="77777777" w:rsidR="00901CDC" w:rsidRDefault="00901CDC">
            <w:pPr>
              <w:widowControl w:val="0"/>
              <w:spacing w:after="200" w:line="276" w:lineRule="auto"/>
              <w:jc w:val="center"/>
              <w:rPr>
                <w:rFonts w:ascii="Arial" w:hAnsi="Arial" w:cs="Arial"/>
                <w:color w:val="000000"/>
                <w:sz w:val="24"/>
                <w:szCs w:val="24"/>
              </w:rPr>
            </w:pPr>
          </w:p>
          <w:p w14:paraId="61FC0FCC" w14:textId="77777777" w:rsidR="00901CDC" w:rsidRDefault="00DD550A">
            <w:pPr>
              <w:widowControl w:val="0"/>
              <w:spacing w:after="200" w:line="276" w:lineRule="auto"/>
              <w:jc w:val="center"/>
              <w:rPr>
                <w:rFonts w:ascii="Arial" w:eastAsia="Arial" w:hAnsi="Arial" w:cs="Arial"/>
                <w:b/>
                <w:bCs/>
                <w:sz w:val="24"/>
                <w:szCs w:val="24"/>
                <w:lang w:eastAsia="pt-BR"/>
              </w:rPr>
            </w:pPr>
            <w:r>
              <w:rPr>
                <w:rFonts w:ascii="Arial" w:hAnsi="Arial" w:cs="Arial"/>
                <w:color w:val="000000"/>
                <w:sz w:val="24"/>
                <w:szCs w:val="24"/>
              </w:rPr>
              <w:t>184806-2</w:t>
            </w:r>
          </w:p>
        </w:tc>
        <w:tc>
          <w:tcPr>
            <w:tcW w:w="1543" w:type="dxa"/>
            <w:tcBorders>
              <w:top w:val="single" w:sz="18" w:space="0" w:color="000000"/>
              <w:left w:val="single" w:sz="18" w:space="0" w:color="000000"/>
              <w:bottom w:val="single" w:sz="18" w:space="0" w:color="000000"/>
              <w:right w:val="single" w:sz="18" w:space="0" w:color="000000"/>
            </w:tcBorders>
            <w:shd w:val="clear" w:color="auto" w:fill="auto"/>
          </w:tcPr>
          <w:p w14:paraId="1DF6FDF9" w14:textId="77777777" w:rsidR="00901CDC" w:rsidRDefault="00DD550A">
            <w:pPr>
              <w:widowControl w:val="0"/>
              <w:spacing w:after="200" w:line="276" w:lineRule="auto"/>
              <w:jc w:val="center"/>
              <w:rPr>
                <w:rFonts w:ascii="Arial" w:hAnsi="Arial" w:cs="Arial"/>
                <w:color w:val="000000"/>
                <w:sz w:val="24"/>
                <w:szCs w:val="24"/>
              </w:rPr>
            </w:pPr>
            <w:r>
              <w:rPr>
                <w:rFonts w:ascii="Arial" w:hAnsi="Arial" w:cs="Arial"/>
                <w:color w:val="000000"/>
                <w:sz w:val="24"/>
                <w:szCs w:val="24"/>
              </w:rPr>
              <w:t>3.273,81</w:t>
            </w:r>
          </w:p>
        </w:tc>
        <w:tc>
          <w:tcPr>
            <w:tcW w:w="1559" w:type="dxa"/>
            <w:tcBorders>
              <w:top w:val="single" w:sz="18" w:space="0" w:color="000000"/>
              <w:left w:val="single" w:sz="18" w:space="0" w:color="000000"/>
              <w:bottom w:val="single" w:sz="18" w:space="0" w:color="000000"/>
              <w:right w:val="single" w:sz="18" w:space="0" w:color="000000"/>
            </w:tcBorders>
            <w:shd w:val="clear" w:color="auto" w:fill="auto"/>
          </w:tcPr>
          <w:p w14:paraId="2779EC69" w14:textId="77777777" w:rsidR="00901CDC" w:rsidRDefault="00DD550A" w:rsidP="003031F4">
            <w:pPr>
              <w:widowControl w:val="0"/>
              <w:spacing w:after="200" w:line="276" w:lineRule="auto"/>
              <w:ind w:right="343"/>
              <w:jc w:val="center"/>
              <w:rPr>
                <w:rFonts w:ascii="Arial" w:hAnsi="Arial" w:cs="Arial"/>
                <w:color w:val="000000"/>
                <w:sz w:val="24"/>
                <w:szCs w:val="24"/>
              </w:rPr>
            </w:pPr>
            <w:r>
              <w:rPr>
                <w:rFonts w:ascii="Arial" w:hAnsi="Arial" w:cs="Arial"/>
                <w:color w:val="000000"/>
                <w:sz w:val="24"/>
                <w:szCs w:val="24"/>
              </w:rPr>
              <w:t>14.732.145,00</w:t>
            </w:r>
          </w:p>
        </w:tc>
      </w:tr>
    </w:tbl>
    <w:p w14:paraId="45E0224B" w14:textId="77777777" w:rsidR="00901CDC" w:rsidRDefault="00901CDC">
      <w:pPr>
        <w:spacing w:after="200" w:line="276" w:lineRule="auto"/>
        <w:jc w:val="center"/>
        <w:rPr>
          <w:rFonts w:ascii="Arial" w:eastAsia="Arial" w:hAnsi="Arial" w:cs="Arial"/>
          <w:b/>
          <w:bCs/>
          <w:sz w:val="24"/>
          <w:szCs w:val="24"/>
          <w:lang w:eastAsia="pt-BR"/>
        </w:rPr>
      </w:pPr>
    </w:p>
    <w:p w14:paraId="429062D9"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Pr>
          <w:rFonts w:ascii="Arial" w:eastAsia="Arial" w:hAnsi="Arial" w:cs="Arial"/>
          <w:b/>
          <w:bCs/>
          <w:sz w:val="24"/>
          <w:szCs w:val="24"/>
          <w:lang w:eastAsia="pt-BR"/>
        </w:rPr>
        <w:t>4.1 - DA JUSTIFICATIVA DO CÁLCULO ESTIMATIVO DOS QUANTITATIVOS APURADOS:</w:t>
      </w:r>
    </w:p>
    <w:p w14:paraId="382D033D"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4.1.1.Além do fornecimento para os membro e servidores, a Administração Superior visando a padronização dos ambientes, decidiu pela aquisição das cadeiras operacionais também para todos os terceirizados e estagiários do MPMG.</w:t>
      </w:r>
    </w:p>
    <w:p w14:paraId="31E1FDE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4.1.2.Considerando que a quantidade atual de estagiários e terceirizados na instituição, chega-se ao quantitativo de 4314 unidades;</w:t>
      </w:r>
    </w:p>
    <w:p w14:paraId="45D71A8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4.1.3.Considerando a quantidade de novos membros que podem tomar posse;</w:t>
      </w:r>
    </w:p>
    <w:p w14:paraId="6820A38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4.1.4.Considerando a quantidade de novos servidores que estão sendo chamados no concurso;</w:t>
      </w:r>
    </w:p>
    <w:p w14:paraId="472F262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4.1.5.Levando em consideração a possibilidade de flutuações na demanda ao longo do ano, faz- se necessário a aquisição de 4650 cadeiras operacionais de forma a manter um estoque adicional, proporcionando segurança em situações de aumento repentino na demanda e com problemas de fornecimento ou atrasos nas entregas:</w:t>
      </w:r>
    </w:p>
    <w:tbl>
      <w:tblPr>
        <w:tblStyle w:val="Tabelacomgrade"/>
        <w:tblW w:w="9061" w:type="dxa"/>
        <w:tblLook w:val="04A0" w:firstRow="1" w:lastRow="0" w:firstColumn="1" w:lastColumn="0" w:noHBand="0" w:noVBand="1"/>
      </w:tblPr>
      <w:tblGrid>
        <w:gridCol w:w="1108"/>
        <w:gridCol w:w="1563"/>
        <w:gridCol w:w="1689"/>
        <w:gridCol w:w="1764"/>
        <w:gridCol w:w="1346"/>
        <w:gridCol w:w="1591"/>
      </w:tblGrid>
      <w:tr w:rsidR="00901CDC" w14:paraId="47C780AF" w14:textId="77777777">
        <w:tc>
          <w:tcPr>
            <w:tcW w:w="1150" w:type="dxa"/>
            <w:shd w:val="clear" w:color="auto" w:fill="auto"/>
          </w:tcPr>
          <w:p w14:paraId="76D7560B" w14:textId="77777777" w:rsidR="00901CDC" w:rsidRDefault="00DD550A">
            <w:pPr>
              <w:suppressAutoHyphens w:val="0"/>
              <w:spacing w:beforeAutospacing="1" w:after="0" w:line="240" w:lineRule="auto"/>
              <w:jc w:val="center"/>
              <w:rPr>
                <w:rFonts w:ascii="Arial" w:eastAsia="Times New Roman" w:hAnsi="Arial" w:cs="Arial"/>
                <w:color w:val="000000"/>
                <w:sz w:val="24"/>
                <w:szCs w:val="24"/>
                <w:lang w:eastAsia="pt-BR"/>
              </w:rPr>
            </w:pPr>
            <w:r>
              <w:rPr>
                <w:rFonts w:ascii="Arial" w:hAnsi="Arial" w:cs="Arial"/>
                <w:b/>
                <w:bCs/>
                <w:color w:val="000000"/>
                <w:sz w:val="24"/>
                <w:szCs w:val="24"/>
              </w:rPr>
              <w:t>Tipo de cadeira</w:t>
            </w:r>
          </w:p>
        </w:tc>
        <w:tc>
          <w:tcPr>
            <w:tcW w:w="1556" w:type="dxa"/>
            <w:shd w:val="clear" w:color="auto" w:fill="auto"/>
          </w:tcPr>
          <w:p w14:paraId="3E0CE6D2" w14:textId="77777777" w:rsidR="00901CDC" w:rsidRDefault="00DD550A">
            <w:pPr>
              <w:suppressAutoHyphens w:val="0"/>
              <w:spacing w:beforeAutospacing="1" w:after="0" w:line="240" w:lineRule="auto"/>
              <w:jc w:val="center"/>
              <w:rPr>
                <w:rFonts w:ascii="Arial" w:eastAsia="Times New Roman" w:hAnsi="Arial" w:cs="Arial"/>
                <w:color w:val="000000"/>
                <w:sz w:val="24"/>
                <w:szCs w:val="24"/>
                <w:lang w:eastAsia="pt-BR"/>
              </w:rPr>
            </w:pPr>
            <w:r>
              <w:rPr>
                <w:rFonts w:ascii="Arial" w:hAnsi="Arial" w:cs="Arial"/>
                <w:b/>
                <w:bCs/>
                <w:color w:val="000000"/>
                <w:sz w:val="24"/>
                <w:szCs w:val="24"/>
              </w:rPr>
              <w:t>Quant. Promotores</w:t>
            </w:r>
          </w:p>
        </w:tc>
        <w:tc>
          <w:tcPr>
            <w:tcW w:w="1835" w:type="dxa"/>
            <w:shd w:val="clear" w:color="auto" w:fill="auto"/>
          </w:tcPr>
          <w:p w14:paraId="0FFFE5D3" w14:textId="77777777" w:rsidR="00901CDC" w:rsidRDefault="00DD550A">
            <w:pPr>
              <w:suppressAutoHyphens w:val="0"/>
              <w:spacing w:beforeAutospacing="1" w:after="0" w:line="240" w:lineRule="auto"/>
              <w:jc w:val="center"/>
              <w:rPr>
                <w:rFonts w:ascii="Arial" w:eastAsia="Times New Roman" w:hAnsi="Arial" w:cs="Arial"/>
                <w:color w:val="000000"/>
                <w:sz w:val="24"/>
                <w:szCs w:val="24"/>
                <w:lang w:eastAsia="pt-BR"/>
              </w:rPr>
            </w:pPr>
            <w:r>
              <w:rPr>
                <w:rFonts w:ascii="Arial" w:hAnsi="Arial" w:cs="Arial"/>
                <w:b/>
                <w:bCs/>
                <w:color w:val="000000"/>
                <w:sz w:val="24"/>
                <w:szCs w:val="24"/>
              </w:rPr>
              <w:t>Quant. Estagiários</w:t>
            </w:r>
          </w:p>
        </w:tc>
        <w:tc>
          <w:tcPr>
            <w:tcW w:w="1505" w:type="dxa"/>
            <w:shd w:val="clear" w:color="auto" w:fill="auto"/>
          </w:tcPr>
          <w:p w14:paraId="672099D4" w14:textId="77777777" w:rsidR="00901CDC" w:rsidRDefault="00DD550A">
            <w:pPr>
              <w:suppressAutoHyphens w:val="0"/>
              <w:spacing w:beforeAutospacing="1" w:after="0" w:line="240" w:lineRule="auto"/>
              <w:jc w:val="center"/>
              <w:rPr>
                <w:rFonts w:ascii="Arial" w:eastAsia="Times New Roman" w:hAnsi="Arial" w:cs="Arial"/>
                <w:color w:val="000000"/>
                <w:sz w:val="24"/>
                <w:szCs w:val="24"/>
                <w:lang w:eastAsia="pt-BR"/>
              </w:rPr>
            </w:pPr>
            <w:r>
              <w:rPr>
                <w:rFonts w:ascii="Arial" w:hAnsi="Arial" w:cs="Arial"/>
                <w:b/>
                <w:bCs/>
                <w:color w:val="000000"/>
                <w:sz w:val="24"/>
                <w:szCs w:val="24"/>
              </w:rPr>
              <w:t>Quant. Terceirizados</w:t>
            </w:r>
          </w:p>
        </w:tc>
        <w:tc>
          <w:tcPr>
            <w:tcW w:w="1505" w:type="dxa"/>
            <w:shd w:val="clear" w:color="auto" w:fill="auto"/>
          </w:tcPr>
          <w:p w14:paraId="68BA5379" w14:textId="77777777" w:rsidR="00901CDC" w:rsidRDefault="00DD550A">
            <w:pPr>
              <w:suppressAutoHyphens w:val="0"/>
              <w:spacing w:beforeAutospacing="1" w:after="0" w:line="240" w:lineRule="auto"/>
              <w:jc w:val="center"/>
              <w:rPr>
                <w:rFonts w:ascii="Arial" w:eastAsia="Times New Roman" w:hAnsi="Arial" w:cs="Arial"/>
                <w:color w:val="000000"/>
                <w:sz w:val="24"/>
                <w:szCs w:val="24"/>
                <w:lang w:eastAsia="pt-BR"/>
              </w:rPr>
            </w:pPr>
            <w:r>
              <w:rPr>
                <w:rFonts w:ascii="Arial" w:hAnsi="Arial" w:cs="Arial"/>
                <w:b/>
                <w:bCs/>
                <w:color w:val="000000"/>
                <w:sz w:val="24"/>
                <w:szCs w:val="24"/>
              </w:rPr>
              <w:t>Reserva de garantia</w:t>
            </w:r>
          </w:p>
        </w:tc>
        <w:tc>
          <w:tcPr>
            <w:tcW w:w="1509" w:type="dxa"/>
            <w:shd w:val="clear" w:color="auto" w:fill="auto"/>
          </w:tcPr>
          <w:p w14:paraId="4F2133A8" w14:textId="77777777" w:rsidR="00901CDC" w:rsidRDefault="00DD550A">
            <w:pPr>
              <w:suppressAutoHyphens w:val="0"/>
              <w:spacing w:beforeAutospacing="1" w:after="0" w:line="240" w:lineRule="auto"/>
              <w:jc w:val="center"/>
              <w:rPr>
                <w:rFonts w:ascii="Arial" w:eastAsia="Times New Roman" w:hAnsi="Arial" w:cs="Arial"/>
                <w:color w:val="000000"/>
                <w:sz w:val="24"/>
                <w:szCs w:val="24"/>
                <w:lang w:eastAsia="pt-BR"/>
              </w:rPr>
            </w:pPr>
            <w:r>
              <w:rPr>
                <w:rFonts w:ascii="Arial" w:hAnsi="Arial" w:cs="Arial"/>
                <w:b/>
                <w:bCs/>
                <w:color w:val="000000"/>
                <w:sz w:val="24"/>
                <w:szCs w:val="24"/>
              </w:rPr>
              <w:t>Quant. Total de cadeiras necessárias</w:t>
            </w:r>
          </w:p>
        </w:tc>
      </w:tr>
      <w:tr w:rsidR="00901CDC" w14:paraId="5DCFBF3B" w14:textId="77777777">
        <w:tc>
          <w:tcPr>
            <w:tcW w:w="1150" w:type="dxa"/>
            <w:shd w:val="clear" w:color="auto" w:fill="auto"/>
            <w:vAlign w:val="center"/>
          </w:tcPr>
          <w:p w14:paraId="4BA08C72" w14:textId="77777777" w:rsidR="00901CDC" w:rsidRDefault="00DD550A">
            <w:pPr>
              <w:spacing w:after="0" w:line="240" w:lineRule="auto"/>
              <w:jc w:val="center"/>
              <w:rPr>
                <w:rFonts w:ascii="Arial" w:hAnsi="Arial" w:cs="Arial"/>
                <w:color w:val="000000"/>
                <w:sz w:val="24"/>
                <w:szCs w:val="24"/>
              </w:rPr>
            </w:pPr>
            <w:r>
              <w:rPr>
                <w:rFonts w:ascii="Arial" w:hAnsi="Arial" w:cs="Arial"/>
                <w:color w:val="000000"/>
                <w:sz w:val="24"/>
                <w:szCs w:val="24"/>
              </w:rPr>
              <w:t>Cadeira sem encosto</w:t>
            </w:r>
          </w:p>
        </w:tc>
        <w:tc>
          <w:tcPr>
            <w:tcW w:w="1556" w:type="dxa"/>
            <w:shd w:val="clear" w:color="auto" w:fill="auto"/>
            <w:vAlign w:val="center"/>
          </w:tcPr>
          <w:p w14:paraId="6938C734" w14:textId="77777777" w:rsidR="00901CDC" w:rsidRDefault="00DD550A">
            <w:pPr>
              <w:spacing w:after="0" w:line="240" w:lineRule="auto"/>
              <w:jc w:val="center"/>
              <w:rPr>
                <w:rFonts w:ascii="Arial" w:hAnsi="Arial" w:cs="Arial"/>
                <w:color w:val="000000"/>
                <w:sz w:val="24"/>
                <w:szCs w:val="24"/>
              </w:rPr>
            </w:pPr>
            <w:r>
              <w:rPr>
                <w:rFonts w:ascii="Arial" w:hAnsi="Arial" w:cs="Arial"/>
                <w:color w:val="000000"/>
                <w:sz w:val="24"/>
                <w:szCs w:val="24"/>
              </w:rPr>
              <w:t>0</w:t>
            </w:r>
          </w:p>
        </w:tc>
        <w:tc>
          <w:tcPr>
            <w:tcW w:w="1835" w:type="dxa"/>
            <w:shd w:val="clear" w:color="auto" w:fill="auto"/>
            <w:vAlign w:val="center"/>
          </w:tcPr>
          <w:p w14:paraId="423F1545" w14:textId="77777777" w:rsidR="00901CDC" w:rsidRDefault="00DD550A">
            <w:pPr>
              <w:jc w:val="center"/>
              <w:rPr>
                <w:rFonts w:ascii="Arial" w:hAnsi="Arial" w:cs="Arial"/>
                <w:color w:val="000000"/>
                <w:sz w:val="24"/>
                <w:szCs w:val="24"/>
              </w:rPr>
            </w:pPr>
            <w:r>
              <w:rPr>
                <w:rFonts w:ascii="Arial" w:hAnsi="Arial" w:cs="Arial"/>
                <w:color w:val="000000"/>
                <w:sz w:val="24"/>
                <w:szCs w:val="24"/>
              </w:rPr>
              <w:t>2362</w:t>
            </w:r>
          </w:p>
        </w:tc>
        <w:tc>
          <w:tcPr>
            <w:tcW w:w="1505" w:type="dxa"/>
            <w:shd w:val="clear" w:color="auto" w:fill="auto"/>
            <w:vAlign w:val="center"/>
          </w:tcPr>
          <w:p w14:paraId="091FC9D1" w14:textId="77777777" w:rsidR="00901CDC" w:rsidRDefault="00DD550A">
            <w:pPr>
              <w:jc w:val="center"/>
              <w:rPr>
                <w:rFonts w:ascii="Arial" w:hAnsi="Arial" w:cs="Arial"/>
                <w:color w:val="000000"/>
                <w:sz w:val="24"/>
                <w:szCs w:val="24"/>
              </w:rPr>
            </w:pPr>
            <w:r>
              <w:rPr>
                <w:rFonts w:ascii="Arial" w:hAnsi="Arial" w:cs="Arial"/>
                <w:color w:val="000000"/>
                <w:sz w:val="24"/>
                <w:szCs w:val="24"/>
              </w:rPr>
              <w:t>1952</w:t>
            </w:r>
          </w:p>
        </w:tc>
        <w:tc>
          <w:tcPr>
            <w:tcW w:w="1505" w:type="dxa"/>
            <w:shd w:val="clear" w:color="auto" w:fill="auto"/>
            <w:vAlign w:val="center"/>
          </w:tcPr>
          <w:p w14:paraId="238E10EC" w14:textId="77777777" w:rsidR="00901CDC" w:rsidRDefault="00DD550A">
            <w:pPr>
              <w:jc w:val="center"/>
              <w:rPr>
                <w:rFonts w:ascii="Arial" w:hAnsi="Arial" w:cs="Arial"/>
                <w:color w:val="000000"/>
                <w:sz w:val="24"/>
                <w:szCs w:val="24"/>
              </w:rPr>
            </w:pPr>
            <w:r>
              <w:rPr>
                <w:rFonts w:ascii="Arial" w:hAnsi="Arial" w:cs="Arial"/>
                <w:color w:val="000000"/>
                <w:sz w:val="24"/>
                <w:szCs w:val="24"/>
              </w:rPr>
              <w:t>186</w:t>
            </w:r>
          </w:p>
        </w:tc>
        <w:tc>
          <w:tcPr>
            <w:tcW w:w="1509" w:type="dxa"/>
            <w:shd w:val="clear" w:color="auto" w:fill="auto"/>
            <w:vAlign w:val="center"/>
          </w:tcPr>
          <w:p w14:paraId="1C2BF7D7" w14:textId="77777777" w:rsidR="00901CDC" w:rsidRDefault="00DD550A">
            <w:pPr>
              <w:jc w:val="center"/>
              <w:rPr>
                <w:rFonts w:ascii="Arial" w:hAnsi="Arial" w:cs="Arial"/>
                <w:color w:val="000000"/>
                <w:sz w:val="24"/>
                <w:szCs w:val="24"/>
              </w:rPr>
            </w:pPr>
            <w:r>
              <w:rPr>
                <w:rFonts w:ascii="Arial" w:hAnsi="Arial" w:cs="Arial"/>
                <w:color w:val="000000"/>
                <w:sz w:val="24"/>
                <w:szCs w:val="24"/>
              </w:rPr>
              <w:t>4500</w:t>
            </w:r>
          </w:p>
        </w:tc>
      </w:tr>
      <w:tr w:rsidR="00901CDC" w14:paraId="3F060E54" w14:textId="77777777">
        <w:tc>
          <w:tcPr>
            <w:tcW w:w="1150" w:type="dxa"/>
            <w:shd w:val="clear" w:color="auto" w:fill="auto"/>
            <w:vAlign w:val="center"/>
          </w:tcPr>
          <w:p w14:paraId="05E82942" w14:textId="77777777" w:rsidR="00901CDC" w:rsidRDefault="00DD550A">
            <w:pPr>
              <w:jc w:val="center"/>
              <w:rPr>
                <w:rFonts w:ascii="Arial" w:hAnsi="Arial" w:cs="Arial"/>
                <w:color w:val="000000"/>
                <w:sz w:val="24"/>
                <w:szCs w:val="24"/>
              </w:rPr>
            </w:pPr>
            <w:r>
              <w:rPr>
                <w:rFonts w:ascii="Arial" w:hAnsi="Arial" w:cs="Arial"/>
                <w:color w:val="000000"/>
                <w:sz w:val="24"/>
                <w:szCs w:val="24"/>
              </w:rPr>
              <w:t>Cadeira com encosto</w:t>
            </w:r>
          </w:p>
        </w:tc>
        <w:tc>
          <w:tcPr>
            <w:tcW w:w="1556" w:type="dxa"/>
            <w:shd w:val="clear" w:color="auto" w:fill="auto"/>
            <w:vAlign w:val="center"/>
          </w:tcPr>
          <w:p w14:paraId="36836EE4" w14:textId="77777777" w:rsidR="00901CDC" w:rsidRDefault="00DD550A">
            <w:pPr>
              <w:spacing w:after="0" w:line="240" w:lineRule="auto"/>
              <w:jc w:val="center"/>
              <w:rPr>
                <w:rFonts w:ascii="Arial" w:hAnsi="Arial" w:cs="Arial"/>
                <w:color w:val="000000"/>
                <w:sz w:val="24"/>
                <w:szCs w:val="24"/>
              </w:rPr>
            </w:pPr>
            <w:r>
              <w:rPr>
                <w:rFonts w:ascii="Arial" w:hAnsi="Arial" w:cs="Arial"/>
                <w:color w:val="000000"/>
                <w:sz w:val="24"/>
                <w:szCs w:val="24"/>
              </w:rPr>
              <w:t>150</w:t>
            </w:r>
          </w:p>
        </w:tc>
        <w:tc>
          <w:tcPr>
            <w:tcW w:w="1835" w:type="dxa"/>
            <w:shd w:val="clear" w:color="auto" w:fill="auto"/>
            <w:vAlign w:val="center"/>
          </w:tcPr>
          <w:p w14:paraId="6B41F738" w14:textId="77777777" w:rsidR="00901CDC" w:rsidRDefault="00DD550A">
            <w:pPr>
              <w:jc w:val="center"/>
              <w:rPr>
                <w:rFonts w:ascii="Arial" w:hAnsi="Arial" w:cs="Arial"/>
                <w:color w:val="000000"/>
                <w:sz w:val="24"/>
                <w:szCs w:val="24"/>
              </w:rPr>
            </w:pPr>
            <w:r>
              <w:rPr>
                <w:rFonts w:ascii="Arial" w:hAnsi="Arial" w:cs="Arial"/>
                <w:color w:val="000000"/>
                <w:sz w:val="24"/>
                <w:szCs w:val="24"/>
              </w:rPr>
              <w:t>x</w:t>
            </w:r>
          </w:p>
        </w:tc>
        <w:tc>
          <w:tcPr>
            <w:tcW w:w="1505" w:type="dxa"/>
            <w:shd w:val="clear" w:color="auto" w:fill="auto"/>
            <w:vAlign w:val="center"/>
          </w:tcPr>
          <w:p w14:paraId="5CB609BE" w14:textId="77777777" w:rsidR="00901CDC" w:rsidRDefault="00DD550A">
            <w:pPr>
              <w:jc w:val="center"/>
              <w:rPr>
                <w:rFonts w:ascii="Arial" w:hAnsi="Arial" w:cs="Arial"/>
                <w:color w:val="000000"/>
                <w:sz w:val="24"/>
                <w:szCs w:val="24"/>
              </w:rPr>
            </w:pPr>
            <w:r>
              <w:rPr>
                <w:rFonts w:ascii="Arial" w:hAnsi="Arial" w:cs="Arial"/>
                <w:color w:val="000000"/>
                <w:sz w:val="24"/>
                <w:szCs w:val="24"/>
              </w:rPr>
              <w:t>x</w:t>
            </w:r>
          </w:p>
        </w:tc>
        <w:tc>
          <w:tcPr>
            <w:tcW w:w="1505" w:type="dxa"/>
            <w:shd w:val="clear" w:color="auto" w:fill="auto"/>
            <w:vAlign w:val="center"/>
          </w:tcPr>
          <w:p w14:paraId="4EA0952A" w14:textId="77777777" w:rsidR="00901CDC" w:rsidRDefault="00DD550A">
            <w:pPr>
              <w:jc w:val="center"/>
              <w:rPr>
                <w:rFonts w:ascii="Arial" w:hAnsi="Arial" w:cs="Arial"/>
                <w:color w:val="000000"/>
                <w:sz w:val="24"/>
                <w:szCs w:val="24"/>
              </w:rPr>
            </w:pPr>
            <w:r>
              <w:rPr>
                <w:rFonts w:ascii="Arial" w:hAnsi="Arial" w:cs="Arial"/>
                <w:color w:val="000000"/>
                <w:sz w:val="24"/>
                <w:szCs w:val="24"/>
              </w:rPr>
              <w:t>x</w:t>
            </w:r>
          </w:p>
        </w:tc>
        <w:tc>
          <w:tcPr>
            <w:tcW w:w="1509" w:type="dxa"/>
            <w:shd w:val="clear" w:color="auto" w:fill="auto"/>
            <w:vAlign w:val="center"/>
          </w:tcPr>
          <w:p w14:paraId="01874F9E" w14:textId="77777777" w:rsidR="00901CDC" w:rsidRDefault="00DD550A">
            <w:pPr>
              <w:jc w:val="center"/>
              <w:rPr>
                <w:rFonts w:ascii="Arial" w:hAnsi="Arial" w:cs="Arial"/>
                <w:color w:val="000000"/>
                <w:sz w:val="24"/>
                <w:szCs w:val="24"/>
              </w:rPr>
            </w:pPr>
            <w:r>
              <w:rPr>
                <w:rFonts w:ascii="Arial" w:hAnsi="Arial" w:cs="Arial"/>
                <w:color w:val="000000"/>
                <w:sz w:val="24"/>
                <w:szCs w:val="24"/>
              </w:rPr>
              <w:t>150</w:t>
            </w:r>
          </w:p>
        </w:tc>
      </w:tr>
    </w:tbl>
    <w:p w14:paraId="6660939E" w14:textId="77777777" w:rsidR="00901CDC" w:rsidRDefault="00901CDC">
      <w:pPr>
        <w:spacing w:before="240" w:after="240" w:line="240" w:lineRule="auto"/>
        <w:jc w:val="both"/>
        <w:rPr>
          <w:rFonts w:ascii="Arial" w:hAnsi="Arial" w:cs="Arial"/>
          <w:color w:val="000000"/>
          <w:sz w:val="24"/>
          <w:szCs w:val="24"/>
        </w:rPr>
      </w:pPr>
    </w:p>
    <w:p w14:paraId="220BF74E"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5 - DOS DOCUMENTOS TÉCNICOS E/OU APENSOS:</w:t>
      </w:r>
    </w:p>
    <w:p w14:paraId="401B3C2F" w14:textId="77777777" w:rsidR="00901CDC" w:rsidRDefault="00DD550A">
      <w:pPr>
        <w:spacing w:before="240" w:after="240" w:line="240" w:lineRule="auto"/>
        <w:jc w:val="both"/>
        <w:rPr>
          <w:rFonts w:ascii="Arial" w:hAnsi="Arial" w:cs="Arial"/>
          <w:color w:val="000000"/>
          <w:sz w:val="24"/>
          <w:szCs w:val="24"/>
        </w:rPr>
      </w:pPr>
      <w:r>
        <w:rPr>
          <w:rFonts w:ascii="Arial" w:hAnsi="Arial" w:cs="Arial"/>
          <w:color w:val="000000"/>
          <w:sz w:val="24"/>
          <w:szCs w:val="24"/>
        </w:rPr>
        <w:t>5.1 Apenso I ao Termo de Referência - Modelo da Cadeira Operacional: Fotografia do Modelo Atualmente Utilizado pelo MPMG.</w:t>
      </w:r>
    </w:p>
    <w:p w14:paraId="6FE0B089" w14:textId="77777777" w:rsidR="00901CDC" w:rsidRDefault="00DD550A">
      <w:pPr>
        <w:spacing w:before="240" w:after="240" w:line="240" w:lineRule="auto"/>
        <w:jc w:val="both"/>
        <w:rPr>
          <w:rFonts w:ascii="Arial" w:hAnsi="Arial" w:cs="Arial"/>
          <w:color w:val="000000"/>
          <w:sz w:val="24"/>
          <w:szCs w:val="24"/>
        </w:rPr>
      </w:pPr>
      <w:r>
        <w:rPr>
          <w:rFonts w:ascii="Arial" w:hAnsi="Arial" w:cs="Arial"/>
          <w:color w:val="000000"/>
          <w:sz w:val="24"/>
          <w:szCs w:val="24"/>
        </w:rPr>
        <w:lastRenderedPageBreak/>
        <w:t xml:space="preserve">O documento se encontra disponível ao final deste Termo de Referência. </w:t>
      </w:r>
    </w:p>
    <w:p w14:paraId="19E17354"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sz w:val="24"/>
          <w:szCs w:val="24"/>
          <w:lang w:eastAsia="pt-BR"/>
        </w:rPr>
        <w:t>6 - DA EXIGÊNCIA DE AMOSTRA:</w:t>
      </w:r>
    </w:p>
    <w:p w14:paraId="7912253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6.1. Serão solicitadas, ao primeiro classificado, amostras do couro sintético preto e da cadeira</w:t>
      </w:r>
      <w:r>
        <w:rPr>
          <w:rStyle w:val="Refdecomentrio"/>
          <w:rFonts w:ascii="Arial" w:eastAsia="Times New Roman" w:hAnsi="Arial" w:cs="Arial"/>
          <w:kern w:val="2"/>
          <w:sz w:val="24"/>
          <w:szCs w:val="24"/>
          <w:lang w:eastAsia="ar-SA"/>
        </w:rPr>
        <w:t>, p</w:t>
      </w:r>
      <w:r>
        <w:rPr>
          <w:rFonts w:ascii="Arial" w:eastAsia="Times New Roman" w:hAnsi="Arial" w:cs="Arial"/>
          <w:color w:val="000000"/>
          <w:sz w:val="24"/>
          <w:szCs w:val="24"/>
          <w:lang w:eastAsia="pt-BR"/>
        </w:rPr>
        <w:t>ara serem submetidos à análise do setor requisitante e, em caso de desclassificação, do licitante seguinte, na ordem de classificação, sucessivamente.</w:t>
      </w:r>
    </w:p>
    <w:p w14:paraId="482ACF0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6.1.1 Apresentar amostras do couro sintético preto e da cadeira, tanto do lote 1, item 1, quanto do lote 2, item 2.</w:t>
      </w:r>
    </w:p>
    <w:p w14:paraId="2D5518C9" w14:textId="37AAC3BF"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sidRPr="00F51790">
        <w:rPr>
          <w:rFonts w:ascii="Arial" w:eastAsia="Times New Roman" w:hAnsi="Arial" w:cs="Arial"/>
          <w:color w:val="000000"/>
          <w:sz w:val="24"/>
          <w:szCs w:val="24"/>
          <w:lang w:eastAsia="pt-BR"/>
        </w:rPr>
        <w:t>6.2.</w:t>
      </w:r>
      <w:r w:rsidRPr="00F51790">
        <w:rPr>
          <w:rFonts w:ascii="Arial" w:eastAsia="Times New Roman" w:hAnsi="Arial" w:cs="Arial"/>
          <w:b/>
          <w:bCs/>
          <w:color w:val="000000"/>
          <w:sz w:val="24"/>
          <w:szCs w:val="24"/>
          <w:lang w:eastAsia="pt-BR"/>
        </w:rPr>
        <w:t> </w:t>
      </w:r>
      <w:r w:rsidR="00495CB8" w:rsidRPr="00F51790">
        <w:rPr>
          <w:rFonts w:ascii="Arial" w:eastAsia="Times New Roman" w:hAnsi="Arial" w:cs="Arial"/>
          <w:color w:val="000000"/>
          <w:sz w:val="24"/>
          <w:szCs w:val="24"/>
          <w:lang w:eastAsia="pt-BR"/>
        </w:rPr>
        <w:t>S</w:t>
      </w:r>
      <w:r w:rsidRPr="00F51790">
        <w:rPr>
          <w:rFonts w:ascii="Arial" w:eastAsia="Times New Roman" w:hAnsi="Arial" w:cs="Arial"/>
          <w:color w:val="000000"/>
          <w:sz w:val="24"/>
          <w:szCs w:val="24"/>
          <w:lang w:eastAsia="pt-BR"/>
        </w:rPr>
        <w:t>erá exigida como amostra a apresentação da quantidade de no mínimo 03 (três)</w:t>
      </w:r>
      <w:r>
        <w:rPr>
          <w:rFonts w:ascii="Arial" w:eastAsia="Times New Roman" w:hAnsi="Arial" w:cs="Arial"/>
          <w:color w:val="000000"/>
          <w:sz w:val="24"/>
          <w:szCs w:val="24"/>
          <w:lang w:eastAsia="pt-BR"/>
        </w:rPr>
        <w:t xml:space="preserve"> amostras do couro sintético, </w:t>
      </w:r>
      <w:r>
        <w:rPr>
          <w:rFonts w:ascii="Arial" w:eastAsia="Times New Roman" w:hAnsi="Arial" w:cs="Arial"/>
          <w:color w:val="000000"/>
          <w:sz w:val="24"/>
          <w:szCs w:val="24"/>
          <w:u w:val="single"/>
          <w:lang w:eastAsia="pt-BR"/>
        </w:rPr>
        <w:t>01</w:t>
      </w:r>
      <w:r>
        <w:rPr>
          <w:rFonts w:ascii="Arial" w:eastAsia="Times New Roman" w:hAnsi="Arial" w:cs="Arial"/>
          <w:color w:val="000000"/>
          <w:sz w:val="24"/>
          <w:szCs w:val="24"/>
          <w:lang w:eastAsia="pt-BR"/>
        </w:rPr>
        <w:t xml:space="preserve"> (uma) amostra da cadeira com apoio de cabeça (item 1) e 01 (uma) amostra da cadeira sem o apoio de cabeça (item 2).</w:t>
      </w:r>
    </w:p>
    <w:p w14:paraId="34A4974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6.3.</w:t>
      </w:r>
      <w:r>
        <w:rPr>
          <w:rFonts w:ascii="Arial" w:eastAsia="Times New Roman" w:hAnsi="Arial" w:cs="Arial"/>
          <w:b/>
          <w:bCs/>
          <w:color w:val="000000"/>
          <w:sz w:val="24"/>
          <w:szCs w:val="24"/>
          <w:lang w:eastAsia="pt-BR"/>
        </w:rPr>
        <w:t> </w:t>
      </w:r>
      <w:r>
        <w:rPr>
          <w:rStyle w:val="normaltextrun"/>
          <w:rFonts w:ascii="Arial" w:hAnsi="Arial" w:cs="Arial"/>
          <w:color w:val="000000"/>
          <w:sz w:val="24"/>
          <w:szCs w:val="24"/>
          <w:lang w:val="pt-PT"/>
        </w:rPr>
        <w:t xml:space="preserve">O licitante provisoriamente classificado em primeiro lugar deverá apresentar amostras do </w:t>
      </w:r>
      <w:r>
        <w:rPr>
          <w:rFonts w:ascii="Arial" w:eastAsia="Times New Roman" w:hAnsi="Arial" w:cs="Arial"/>
          <w:color w:val="000000"/>
          <w:sz w:val="24"/>
          <w:szCs w:val="24"/>
          <w:lang w:eastAsia="pt-BR"/>
        </w:rPr>
        <w:t>do couro sintético preto e da cadeira</w:t>
      </w:r>
      <w:r>
        <w:rPr>
          <w:rStyle w:val="normaltextrun"/>
          <w:rFonts w:ascii="Arial" w:hAnsi="Arial" w:cs="Arial"/>
          <w:color w:val="000000"/>
          <w:sz w:val="24"/>
          <w:szCs w:val="24"/>
          <w:lang w:val="pt-PT"/>
        </w:rPr>
        <w:t xml:space="preserve"> em até 10 (dez) dias corridos, contados a partir da solicitação do pregoeiro. No referido prazo não será considerado eventual período necessário para transporte/remessa do item</w:t>
      </w:r>
      <w:r>
        <w:rPr>
          <w:rFonts w:ascii="Arial" w:eastAsia="Times New Roman" w:hAnsi="Arial" w:cs="Arial"/>
          <w:color w:val="000000"/>
          <w:sz w:val="24"/>
          <w:szCs w:val="24"/>
          <w:lang w:eastAsia="pt-BR"/>
        </w:rPr>
        <w:t>.</w:t>
      </w:r>
    </w:p>
    <w:p w14:paraId="294D85B2" w14:textId="77777777" w:rsidR="00901CDC" w:rsidRDefault="00DD550A">
      <w:pPr>
        <w:pStyle w:val="NormalWeb"/>
        <w:spacing w:before="280"/>
        <w:rPr>
          <w:highlight w:val="magenta"/>
        </w:rPr>
      </w:pPr>
      <w:r>
        <w:t>6.4. As</w:t>
      </w:r>
      <w:r>
        <w:rPr>
          <w:highlight w:val="white"/>
        </w:rPr>
        <w:t xml:space="preserve"> amostras deverão ser entregues no operador  Empresa Expresso Minas Frios Ltda., com sede na Avenida Engenheiro Darcy Nogueira do Pinho, nº 3201, Galpão 2 - Módulo 2, Bairro Vila Cristina, CEP.: 32.675-515, em Betim/MG, durante o horário 8hrs às 17hrs. </w:t>
      </w:r>
    </w:p>
    <w:p w14:paraId="1E0EC8E5" w14:textId="77777777" w:rsidR="00901CDC" w:rsidRDefault="00DD550A">
      <w:pPr>
        <w:suppressAutoHyphens w:val="0"/>
        <w:spacing w:after="0" w:line="240" w:lineRule="auto"/>
        <w:jc w:val="both"/>
        <w:rPr>
          <w:rFonts w:ascii="Times New Roman" w:eastAsia="Times New Roman" w:hAnsi="Times New Roman" w:cs="Times New Roman"/>
          <w:color w:val="000000"/>
          <w:sz w:val="27"/>
          <w:szCs w:val="27"/>
          <w:lang w:eastAsia="pt-BR"/>
        </w:rPr>
      </w:pPr>
      <w:r>
        <w:rPr>
          <w:rFonts w:ascii="Times New Roman" w:eastAsia="Times New Roman" w:hAnsi="Times New Roman" w:cs="Times New Roman"/>
          <w:color w:val="000000"/>
          <w:sz w:val="27"/>
          <w:szCs w:val="27"/>
          <w:highlight w:val="white"/>
          <w:lang w:eastAsia="pt-BR"/>
        </w:rPr>
        <w:t> </w:t>
      </w:r>
    </w:p>
    <w:p w14:paraId="383DBAC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6.5. Deverão ser entregues devidamente identificadas com o do nome e CNPJ do licitante e número pregão na embalagem.</w:t>
      </w:r>
    </w:p>
    <w:p w14:paraId="3332557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6.6. </w:t>
      </w:r>
      <w:r>
        <w:rPr>
          <w:rFonts w:ascii="Arial" w:eastAsia="Times New Roman" w:hAnsi="Arial" w:cs="Arial"/>
          <w:b/>
          <w:bCs/>
          <w:color w:val="000000"/>
          <w:sz w:val="24"/>
          <w:szCs w:val="24"/>
          <w:highlight w:val="white"/>
          <w:lang w:eastAsia="pt-BR"/>
        </w:rPr>
        <w:t>Critérios de avaliação e eventuais testes de aferição de compatibilidade pelos quais o item será submetido: </w:t>
      </w:r>
      <w:r>
        <w:rPr>
          <w:rFonts w:ascii="Arial" w:eastAsia="Times New Roman" w:hAnsi="Arial" w:cs="Arial"/>
          <w:color w:val="000000"/>
          <w:sz w:val="24"/>
          <w:szCs w:val="24"/>
          <w:highlight w:val="white"/>
          <w:lang w:eastAsia="pt-BR"/>
        </w:rPr>
        <w:t>SERÁ AVALIADA A CONFORMIDADE DE CADA AMOSTRA COM OS TEXTOS DA ESPECIFICAÇÃO TÉCNICA</w:t>
      </w:r>
    </w:p>
    <w:p w14:paraId="2D06219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6.7 As apresentações das amostras de materiais deverão ser físicas e deverão constar os dados referentes ao número da licitação e do item a que se refere, nome, telefone e e-mail do fornecedor e de seu representante.</w:t>
      </w:r>
    </w:p>
    <w:p w14:paraId="5F43190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br/>
        <w:t>6.8 Ressalta-se que tanto a amostra quanto a entrega final dos produtos contratados deverão apresentar perfeito encaixo entre as peças, alinhamento, estabilidade, nivelamento, acabamento e qualidade dos materiais, estética e bom uso de todos os elementos.</w:t>
      </w:r>
    </w:p>
    <w:p w14:paraId="2C253CAD"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6.9 Será rejeitada a amostra de material que apresentar divergências ou for de qualidade inferior em relação às especificações técnicas solicitadas, resultando na não aceitação da proposta.</w:t>
      </w:r>
    </w:p>
    <w:p w14:paraId="2B9585B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lastRenderedPageBreak/>
        <w:t>6.10 A(s) amostra(s) apresentada(s) pelo(s) licitante(s) deverá(</w:t>
      </w:r>
      <w:proofErr w:type="spellStart"/>
      <w:r>
        <w:rPr>
          <w:rFonts w:ascii="Arial" w:eastAsia="Times New Roman" w:hAnsi="Arial" w:cs="Arial"/>
          <w:color w:val="000000"/>
          <w:sz w:val="24"/>
          <w:szCs w:val="24"/>
          <w:highlight w:val="white"/>
          <w:lang w:eastAsia="pt-BR"/>
        </w:rPr>
        <w:t>ão</w:t>
      </w:r>
      <w:proofErr w:type="spellEnd"/>
      <w:r>
        <w:rPr>
          <w:rFonts w:ascii="Arial" w:eastAsia="Times New Roman" w:hAnsi="Arial" w:cs="Arial"/>
          <w:color w:val="000000"/>
          <w:sz w:val="24"/>
          <w:szCs w:val="24"/>
          <w:highlight w:val="white"/>
          <w:lang w:eastAsia="pt-BR"/>
        </w:rPr>
        <w:t>) ser recolhida(s) em até 30 (trinta) dias, contados da homologação do processo licitatório, ressalvados os casos em que for conveniente para a Administração mantê-la(s) em sua posse até a entrega definitiva do objeto.</w:t>
      </w:r>
      <w:r>
        <w:rPr>
          <w:rFonts w:ascii="Arial" w:eastAsia="Times New Roman" w:hAnsi="Arial" w:cs="Arial"/>
          <w:color w:val="000000"/>
          <w:sz w:val="24"/>
          <w:szCs w:val="24"/>
          <w:highlight w:val="white"/>
          <w:lang w:eastAsia="pt-BR"/>
        </w:rPr>
        <w:br/>
      </w:r>
      <w:r>
        <w:rPr>
          <w:rFonts w:ascii="Arial" w:eastAsia="Times New Roman" w:hAnsi="Arial" w:cs="Arial"/>
          <w:color w:val="000000"/>
          <w:sz w:val="24"/>
          <w:szCs w:val="24"/>
          <w:highlight w:val="white"/>
          <w:lang w:eastAsia="pt-BR"/>
        </w:rPr>
        <w:br/>
        <w:t>6.11 Às amostras não recolhidas no prazo estipulado do subitem anterior será dado destino que melhor convier ao MPMG.</w:t>
      </w:r>
    </w:p>
    <w:p w14:paraId="2237F1F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6.12 A não apresentação das amostras solicitadas, conforme definido nos subitens anteriores, ensejará a desclassificação da respectiva proposta.</w:t>
      </w:r>
    </w:p>
    <w:p w14:paraId="574B19F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6.13. As amostras  serão submetidas à análise conjunta da DIMAT, SEA-DIMAN, DPMSO e CEAT, que adotarão como critério para exame e posterior aprovação a conformidade com as especificações constantes no item 04 deste Termo de Referência.</w:t>
      </w:r>
    </w:p>
    <w:p w14:paraId="773065F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6.14. Serão avaliados os seguintes critérios objetivos adotados para avaliação das amostras:</w:t>
      </w:r>
    </w:p>
    <w:tbl>
      <w:tblPr>
        <w:tblW w:w="8788" w:type="dxa"/>
        <w:tblInd w:w="276" w:type="dxa"/>
        <w:tblCellMar>
          <w:top w:w="15" w:type="dxa"/>
          <w:left w:w="22" w:type="dxa"/>
          <w:bottom w:w="15" w:type="dxa"/>
          <w:right w:w="22" w:type="dxa"/>
        </w:tblCellMar>
        <w:tblLook w:val="04A0" w:firstRow="1" w:lastRow="0" w:firstColumn="1" w:lastColumn="0" w:noHBand="0" w:noVBand="1"/>
      </w:tblPr>
      <w:tblGrid>
        <w:gridCol w:w="743"/>
        <w:gridCol w:w="663"/>
        <w:gridCol w:w="7382"/>
      </w:tblGrid>
      <w:tr w:rsidR="00901CDC" w14:paraId="406E7DEE" w14:textId="77777777">
        <w:tc>
          <w:tcPr>
            <w:tcW w:w="74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6C4558D" w14:textId="77777777" w:rsidR="00901CDC" w:rsidRDefault="00DD550A">
            <w:pPr>
              <w:suppressAutoHyphens w:val="0"/>
              <w:spacing w:beforeAutospacing="1" w:after="0" w:line="240" w:lineRule="auto"/>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highlight w:val="white"/>
                <w:lang w:eastAsia="pt-BR"/>
              </w:rPr>
              <w:t>LOTE</w:t>
            </w:r>
          </w:p>
        </w:tc>
        <w:tc>
          <w:tcPr>
            <w:tcW w:w="66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512CB48" w14:textId="77777777" w:rsidR="00901CDC" w:rsidRDefault="00DD550A">
            <w:pPr>
              <w:suppressAutoHyphens w:val="0"/>
              <w:spacing w:beforeAutospacing="1" w:after="0" w:line="240" w:lineRule="auto"/>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highlight w:val="white"/>
                <w:lang w:eastAsia="pt-BR"/>
              </w:rPr>
              <w:t>ITEM</w:t>
            </w:r>
          </w:p>
        </w:tc>
        <w:tc>
          <w:tcPr>
            <w:tcW w:w="738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D0D4074" w14:textId="77777777" w:rsidR="00901CDC" w:rsidRDefault="00DD550A">
            <w:pPr>
              <w:suppressAutoHyphens w:val="0"/>
              <w:spacing w:beforeAutospacing="1" w:after="0" w:line="240" w:lineRule="auto"/>
              <w:jc w:val="both"/>
              <w:rPr>
                <w:rFonts w:ascii="Arial" w:eastAsia="Times New Roman" w:hAnsi="Arial" w:cs="Arial"/>
                <w:b/>
                <w:bCs/>
                <w:color w:val="000000"/>
                <w:sz w:val="24"/>
                <w:szCs w:val="24"/>
                <w:lang w:eastAsia="pt-BR"/>
              </w:rPr>
            </w:pPr>
            <w:r>
              <w:rPr>
                <w:rFonts w:ascii="Arial" w:eastAsia="Times New Roman" w:hAnsi="Arial" w:cs="Arial"/>
                <w:b/>
                <w:bCs/>
                <w:color w:val="000000"/>
                <w:sz w:val="24"/>
                <w:szCs w:val="24"/>
                <w:highlight w:val="white"/>
                <w:lang w:eastAsia="pt-BR"/>
              </w:rPr>
              <w:t xml:space="preserve">CRITÉRIO DE AVALIAÇÃO DAS AMOSTRAS </w:t>
            </w:r>
          </w:p>
        </w:tc>
      </w:tr>
      <w:tr w:rsidR="00901CDC" w14:paraId="5F9F6335" w14:textId="77777777">
        <w:trPr>
          <w:trHeight w:val="2115"/>
        </w:trPr>
        <w:tc>
          <w:tcPr>
            <w:tcW w:w="74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9E1DA7E" w14:textId="77777777" w:rsidR="00901CDC" w:rsidRDefault="00DD550A">
            <w:pPr>
              <w:suppressAutoHyphens w:val="0"/>
              <w:spacing w:beforeAutospacing="1" w:after="0" w:line="240" w:lineRule="auto"/>
              <w:jc w:val="center"/>
              <w:rPr>
                <w:rFonts w:ascii="Arial" w:eastAsia="Times New Roman" w:hAnsi="Arial" w:cs="Arial"/>
                <w:color w:val="000000"/>
                <w:sz w:val="24"/>
                <w:szCs w:val="24"/>
                <w:highlight w:val="magenta"/>
                <w:lang w:eastAsia="pt-BR"/>
              </w:rPr>
            </w:pPr>
            <w:r>
              <w:rPr>
                <w:rFonts w:ascii="Arial" w:eastAsia="Times New Roman" w:hAnsi="Arial" w:cs="Arial"/>
                <w:color w:val="000000"/>
                <w:sz w:val="24"/>
                <w:szCs w:val="24"/>
                <w:highlight w:val="white"/>
                <w:lang w:eastAsia="pt-BR"/>
              </w:rPr>
              <w:t>1 e 2</w:t>
            </w:r>
          </w:p>
        </w:tc>
        <w:tc>
          <w:tcPr>
            <w:tcW w:w="663"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887F51C" w14:textId="77777777" w:rsidR="00901CDC" w:rsidRDefault="00DD550A">
            <w:pPr>
              <w:suppressAutoHyphens w:val="0"/>
              <w:spacing w:beforeAutospacing="1" w:after="0" w:line="240" w:lineRule="auto"/>
              <w:jc w:val="center"/>
              <w:rPr>
                <w:rFonts w:ascii="Arial" w:eastAsia="Times New Roman" w:hAnsi="Arial" w:cs="Arial"/>
                <w:color w:val="000000"/>
                <w:sz w:val="24"/>
                <w:szCs w:val="24"/>
                <w:highlight w:val="magenta"/>
                <w:lang w:eastAsia="pt-BR"/>
              </w:rPr>
            </w:pPr>
            <w:r>
              <w:rPr>
                <w:rFonts w:ascii="Arial" w:eastAsia="Times New Roman" w:hAnsi="Arial" w:cs="Arial"/>
                <w:color w:val="000000"/>
                <w:sz w:val="24"/>
                <w:szCs w:val="24"/>
                <w:highlight w:val="white"/>
                <w:lang w:eastAsia="pt-BR"/>
              </w:rPr>
              <w:t>1</w:t>
            </w:r>
          </w:p>
        </w:tc>
        <w:tc>
          <w:tcPr>
            <w:tcW w:w="738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2D2E4C7" w14:textId="77777777" w:rsidR="00901CDC" w:rsidRDefault="00DD550A">
            <w:pPr>
              <w:suppressAutoHyphens w:val="0"/>
              <w:spacing w:after="0" w:line="240" w:lineRule="auto"/>
              <w:jc w:val="both"/>
              <w:rPr>
                <w:rFonts w:ascii="Arial" w:eastAsia="Times New Roman" w:hAnsi="Arial" w:cs="Arial"/>
                <w:color w:val="000000"/>
                <w:sz w:val="24"/>
                <w:szCs w:val="24"/>
                <w:highlight w:val="magenta"/>
                <w:lang w:eastAsia="pt-BR"/>
              </w:rPr>
            </w:pPr>
            <w:r>
              <w:rPr>
                <w:rFonts w:ascii="Arial" w:eastAsia="Times New Roman" w:hAnsi="Arial" w:cs="Arial"/>
                <w:color w:val="000000"/>
                <w:sz w:val="24"/>
                <w:szCs w:val="24"/>
                <w:highlight w:val="white"/>
                <w:lang w:eastAsia="pt-BR"/>
              </w:rPr>
              <w:t>1- Análise de conformidade com as especificações técnicas anexas ao Edital;</w:t>
            </w:r>
            <w:r>
              <w:rPr>
                <w:rFonts w:ascii="Arial" w:eastAsia="Times New Roman" w:hAnsi="Arial" w:cs="Arial"/>
                <w:color w:val="000000"/>
                <w:sz w:val="24"/>
                <w:szCs w:val="24"/>
                <w:highlight w:val="white"/>
                <w:lang w:eastAsia="pt-BR"/>
              </w:rPr>
              <w:br/>
            </w:r>
            <w:r>
              <w:rPr>
                <w:rFonts w:ascii="Arial" w:eastAsia="Times New Roman" w:hAnsi="Arial" w:cs="Arial"/>
                <w:color w:val="000000"/>
                <w:sz w:val="24"/>
                <w:szCs w:val="24"/>
                <w:highlight w:val="white"/>
                <w:lang w:eastAsia="pt-BR"/>
              </w:rPr>
              <w:br/>
              <w:t>2- Análise de qualidade de materiais utilizados para a fabricação das cadeiras, a exemplo da matéria-prima e dos componentes utilizados, da pintura e das colagens realizadas;</w:t>
            </w:r>
            <w:r>
              <w:rPr>
                <w:rFonts w:ascii="Arial" w:eastAsia="Times New Roman" w:hAnsi="Arial" w:cs="Arial"/>
                <w:color w:val="000000"/>
                <w:sz w:val="24"/>
                <w:szCs w:val="24"/>
                <w:highlight w:val="white"/>
                <w:lang w:eastAsia="pt-BR"/>
              </w:rPr>
              <w:br/>
            </w:r>
            <w:r>
              <w:rPr>
                <w:rFonts w:ascii="Arial" w:eastAsia="Times New Roman" w:hAnsi="Arial" w:cs="Arial"/>
                <w:color w:val="000000"/>
                <w:sz w:val="24"/>
                <w:szCs w:val="24"/>
                <w:highlight w:val="white"/>
                <w:lang w:eastAsia="pt-BR"/>
              </w:rPr>
              <w:br/>
              <w:t>3- Análise de acabamento.</w:t>
            </w:r>
          </w:p>
        </w:tc>
      </w:tr>
    </w:tbl>
    <w:p w14:paraId="00ADDBF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6.15. A DIMAT emitirá parecer conclusivo a respeito do exame da amostra, o qual será inserido no respectivo processo administrativo da licitação e, oportunamente, terá seu resultado divulgado pelo Pregoeiro, momento em que será dada publicidade a todos interessados, inclusive à empresa que apresentou as amostras.</w:t>
      </w:r>
    </w:p>
    <w:p w14:paraId="28DB97C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6.16.As amostras testadas poderão ser descontadas do total do mate</w:t>
      </w:r>
      <w:r>
        <w:rPr>
          <w:rFonts w:ascii="Arial" w:eastAsia="Times New Roman" w:hAnsi="Arial" w:cs="Arial"/>
          <w:color w:val="000000"/>
          <w:sz w:val="24"/>
          <w:szCs w:val="24"/>
          <w:lang w:eastAsia="pt-BR"/>
        </w:rPr>
        <w:t>rial adquirido, desde que não seja produto de mostruário ou usado.</w:t>
      </w:r>
    </w:p>
    <w:p w14:paraId="0B5A5E0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6.17. Será realizada sessão pública para análise das amostras, aberta a todos os interessados, sendo limitada a participação de 02 representantes por empresa, não sendo permitidas, contudo, interferências no decorrer dos procedimentos.</w:t>
      </w:r>
    </w:p>
    <w:p w14:paraId="24D4E787" w14:textId="77777777" w:rsidR="00901CDC" w:rsidRDefault="00DD550A">
      <w:pPr>
        <w:suppressAutoHyphens w:val="0"/>
        <w:spacing w:beforeAutospacing="1" w:afterAutospacing="1" w:line="240" w:lineRule="auto"/>
        <w:rPr>
          <w:rFonts w:ascii="Arial" w:eastAsia="Times New Roman" w:hAnsi="Arial" w:cs="Arial"/>
          <w:sz w:val="24"/>
          <w:szCs w:val="24"/>
          <w:lang w:eastAsia="pt-BR"/>
        </w:rPr>
      </w:pPr>
      <w:r>
        <w:rPr>
          <w:rFonts w:ascii="Arial" w:eastAsia="Times New Roman" w:hAnsi="Arial" w:cs="Arial"/>
          <w:sz w:val="24"/>
          <w:szCs w:val="24"/>
          <w:shd w:val="clear" w:color="auto" w:fill="FFFFFF"/>
          <w:lang w:eastAsia="pt-BR"/>
        </w:rPr>
        <w:t>6.18. O edital oferecerá maior detalhamento das regras que serão aplicadas em relação à exigência das amostras. </w:t>
      </w:r>
    </w:p>
    <w:p w14:paraId="16C2E6BF"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sz w:val="24"/>
          <w:szCs w:val="24"/>
          <w:lang w:eastAsia="pt-BR"/>
        </w:rPr>
        <w:t>7 - DA VISTORIA TÉCNICA:</w:t>
      </w:r>
    </w:p>
    <w:p w14:paraId="4E1AEE29" w14:textId="77777777" w:rsidR="00901CDC" w:rsidRDefault="00DD550A">
      <w:pPr>
        <w:pStyle w:val="NormalWeb"/>
        <w:spacing w:before="280"/>
      </w:pPr>
      <w:r>
        <w:lastRenderedPageBreak/>
        <w:t>7.1 . A fim de garantir que os itens a serem adquiridos pelo MPMG respeitem o padrão do mobiliário já existente no órgão, os concorrentes poderão comparecer à Divisão de Materiais para que tomem conhecimento dos materiais utilizados atualmente, e, por conseguinte, verifiquem se os produtos que pretendem submeter à apreciação, se adequam ao solicitado.</w:t>
      </w:r>
    </w:p>
    <w:p w14:paraId="7A2F8900" w14:textId="06008425" w:rsidR="00901CDC" w:rsidRDefault="00DD550A">
      <w:pPr>
        <w:pStyle w:val="NormalWeb"/>
        <w:spacing w:before="280"/>
      </w:pPr>
      <w:r>
        <w:rPr>
          <w:highlight w:val="white"/>
        </w:rPr>
        <w:t xml:space="preserve">7.2 A visita </w:t>
      </w:r>
      <w:r w:rsidRPr="00F51790">
        <w:t>técnica</w:t>
      </w:r>
      <w:r w:rsidR="00495CB8" w:rsidRPr="00F51790">
        <w:t xml:space="preserve"> (facultativa)</w:t>
      </w:r>
      <w:r w:rsidRPr="00F51790">
        <w:t xml:space="preserve"> será disponibilizada </w:t>
      </w:r>
      <w:r>
        <w:rPr>
          <w:highlight w:val="white"/>
        </w:rPr>
        <w:t>aos licitantes desde a data de publicação deste edital, devendo ser agendados o dia e o horário junto a Divisão de Materiais do MPMG, no endereço do operador logístico Expresso Minas Frios Ltda., com sede na Avenida Engenheiro Darcy Nogueira do Pinho, nº 3201, Galpão 2 - Módulo 2, Bairro Vila Cristina, CEP.: 32.675-515, em Betim/MG, por meio dos telefones: (031) 3386-6565 / (031) 3386-6570, bem como através do e-mail dimat@mpmg.mp.br e </w:t>
      </w:r>
      <w:hyperlink r:id="rId35" w:tgtFrame="_blank">
        <w:r>
          <w:rPr>
            <w:rStyle w:val="ListLabel35"/>
            <w:highlight w:val="white"/>
          </w:rPr>
          <w:t>dimat.gestao@mpmg.mp.br</w:t>
        </w:r>
      </w:hyperlink>
      <w:r>
        <w:rPr>
          <w:highlight w:val="white"/>
        </w:rPr>
        <w:t>. e será acompanhada pelo(s) servidor(es): Fernanda Cabrini Vaz Mota ou Leonardo Batista Viana Correia, designado(s) para esse fim.</w:t>
      </w:r>
    </w:p>
    <w:p w14:paraId="0CA7AEF4" w14:textId="77777777" w:rsidR="00901CDC" w:rsidRDefault="00DD550A">
      <w:pPr>
        <w:pStyle w:val="NormalWeb"/>
        <w:spacing w:before="280"/>
        <w:rPr>
          <w:highlight w:val="white"/>
        </w:rPr>
      </w:pPr>
      <w:r>
        <w:rPr>
          <w:highlight w:val="white"/>
        </w:rPr>
        <w:t>7.3. O fornecedor que desejar realizar vistoria técnica deverá agendar dia e horário específico, até 2 dias </w:t>
      </w:r>
      <w:proofErr w:type="spellStart"/>
      <w:r>
        <w:rPr>
          <w:highlight w:val="white"/>
        </w:rPr>
        <w:t>dias</w:t>
      </w:r>
      <w:proofErr w:type="spellEnd"/>
      <w:r>
        <w:rPr>
          <w:highlight w:val="white"/>
        </w:rPr>
        <w:t xml:space="preserve"> úteis antes da data marcada para a sessão de disputa, sendo vedada a visita de mais de um fornecedor no mesmo momento.</w:t>
      </w:r>
    </w:p>
    <w:p w14:paraId="5846ACEA" w14:textId="77777777" w:rsidR="00901CDC" w:rsidRDefault="00DD550A">
      <w:pPr>
        <w:pStyle w:val="NormalWeb"/>
        <w:spacing w:before="280"/>
      </w:pPr>
      <w:bookmarkStart w:id="208" w:name="_Hlk170232228"/>
      <w:bookmarkEnd w:id="208"/>
      <w:r>
        <w:t>7.4 Constam no anexo fotografias das cadeiras que já foram adquiridos no ano anterior. Caso o licitante necessite de mais imagens, estas também poderão ser solicitadas.</w:t>
      </w:r>
    </w:p>
    <w:p w14:paraId="6C22FDF6" w14:textId="77777777" w:rsidR="00901CDC" w:rsidRDefault="00DD550A">
      <w:pPr>
        <w:pStyle w:val="NormalWeb"/>
        <w:spacing w:before="280"/>
        <w:rPr>
          <w:rFonts w:eastAsia="Arial"/>
        </w:rPr>
      </w:pPr>
      <w:r>
        <w:t> </w:t>
      </w:r>
    </w:p>
    <w:p w14:paraId="1575C5AC"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8 - DOS CRITÉRIOS DE ACEITABILIDADE DA PROPOSTA:</w:t>
      </w:r>
    </w:p>
    <w:p w14:paraId="622D2256" w14:textId="77777777" w:rsidR="00901CDC" w:rsidRDefault="00DD550A">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8.1 - ATESTADOS E CERTIFICADOS ESPECÍFICOS AO OBJETO:</w:t>
      </w:r>
    </w:p>
    <w:p w14:paraId="788B28B0" w14:textId="77777777" w:rsidR="00901CDC" w:rsidRDefault="00DD550A">
      <w:pPr>
        <w:suppressAutoHyphens w:val="0"/>
        <w:spacing w:beforeAutospacing="1" w:afterAutospacing="1" w:line="240" w:lineRule="auto"/>
        <w:jc w:val="both"/>
        <w:rPr>
          <w:rFonts w:ascii="Arial" w:eastAsia="Times New Roman" w:hAnsi="Arial" w:cs="Arial"/>
          <w:b/>
          <w:bCs/>
          <w:color w:val="000000"/>
          <w:sz w:val="24"/>
          <w:szCs w:val="24"/>
          <w:u w:val="single"/>
          <w:lang w:eastAsia="pt-BR"/>
        </w:rPr>
      </w:pPr>
      <w:r>
        <w:rPr>
          <w:rFonts w:ascii="Arial" w:eastAsia="Times New Roman" w:hAnsi="Arial" w:cs="Arial"/>
          <w:b/>
          <w:bCs/>
          <w:color w:val="000000"/>
          <w:sz w:val="24"/>
          <w:szCs w:val="24"/>
          <w:lang w:eastAsia="pt-BR"/>
        </w:rPr>
        <w:t>Em quais lotes/itens será exigido o documento: </w:t>
      </w:r>
      <w:r>
        <w:rPr>
          <w:rFonts w:ascii="Arial" w:eastAsia="Times New Roman" w:hAnsi="Arial" w:cs="Arial"/>
          <w:b/>
          <w:bCs/>
          <w:color w:val="000000"/>
          <w:sz w:val="24"/>
          <w:szCs w:val="24"/>
          <w:u w:val="single"/>
          <w:lang w:eastAsia="pt-BR"/>
        </w:rPr>
        <w:t>LOTE 1, ITENS 1 E 2</w:t>
      </w:r>
    </w:p>
    <w:p w14:paraId="0DA4D3E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 xml:space="preserve">Documentos que </w:t>
      </w:r>
      <w:r>
        <w:rPr>
          <w:rFonts w:ascii="Arial" w:eastAsia="Times New Roman" w:hAnsi="Arial" w:cs="Arial"/>
          <w:b/>
          <w:bCs/>
          <w:color w:val="000000"/>
          <w:sz w:val="24"/>
          <w:szCs w:val="24"/>
          <w:u w:val="single"/>
          <w:lang w:eastAsia="pt-BR"/>
        </w:rPr>
        <w:t>deverão ser apresentados juntamente com a proposta inicial</w:t>
      </w:r>
      <w:r>
        <w:rPr>
          <w:rFonts w:ascii="Arial" w:eastAsia="Times New Roman" w:hAnsi="Arial" w:cs="Arial"/>
          <w:b/>
          <w:bCs/>
          <w:color w:val="000000"/>
          <w:sz w:val="24"/>
          <w:szCs w:val="24"/>
          <w:lang w:eastAsia="pt-BR"/>
        </w:rPr>
        <w:t>:</w:t>
      </w:r>
      <w:bookmarkStart w:id="209" w:name="_Hlk170232652"/>
      <w:bookmarkEnd w:id="209"/>
    </w:p>
    <w:p w14:paraId="076261B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Sobre a aceitação de certificação internacional, a NBR 13962:2018 – versão corrigida determina que é possível comparar os resultados dos ensaios feitos por laboratórios acreditados pelo INMETRO com os de outros países desde que a variação das forças e ciclos empregados nas análises garantam a segurança no uso da cadeira. Insta frisar que na elaboração da revisão da NBR 13962:2018, foram utilizadas as seguintes normas internacionais:</w:t>
      </w:r>
    </w:p>
    <w:p w14:paraId="644C968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 xml:space="preserve">– BS EN 1335-1:2000, Office </w:t>
      </w:r>
      <w:proofErr w:type="spellStart"/>
      <w:r>
        <w:rPr>
          <w:rFonts w:ascii="Arial" w:eastAsia="Times New Roman" w:hAnsi="Arial" w:cs="Arial"/>
          <w:b/>
          <w:bCs/>
          <w:color w:val="000000"/>
          <w:sz w:val="24"/>
          <w:szCs w:val="24"/>
          <w:lang w:eastAsia="pt-BR"/>
        </w:rPr>
        <w:t>furniture</w:t>
      </w:r>
      <w:proofErr w:type="spellEnd"/>
      <w:r>
        <w:rPr>
          <w:rFonts w:ascii="Arial" w:eastAsia="Times New Roman" w:hAnsi="Arial" w:cs="Arial"/>
          <w:b/>
          <w:bCs/>
          <w:color w:val="000000"/>
          <w:sz w:val="24"/>
          <w:szCs w:val="24"/>
          <w:lang w:eastAsia="pt-BR"/>
        </w:rPr>
        <w:t xml:space="preserve"> – Office </w:t>
      </w:r>
      <w:proofErr w:type="spellStart"/>
      <w:r>
        <w:rPr>
          <w:rFonts w:ascii="Arial" w:eastAsia="Times New Roman" w:hAnsi="Arial" w:cs="Arial"/>
          <w:b/>
          <w:bCs/>
          <w:color w:val="000000"/>
          <w:sz w:val="24"/>
          <w:szCs w:val="24"/>
          <w:lang w:eastAsia="pt-BR"/>
        </w:rPr>
        <w:t>work</w:t>
      </w:r>
      <w:proofErr w:type="spellEnd"/>
      <w:r>
        <w:rPr>
          <w:rFonts w:ascii="Arial" w:eastAsia="Times New Roman" w:hAnsi="Arial" w:cs="Arial"/>
          <w:b/>
          <w:bCs/>
          <w:color w:val="000000"/>
          <w:sz w:val="24"/>
          <w:szCs w:val="24"/>
          <w:lang w:eastAsia="pt-BR"/>
        </w:rPr>
        <w:t xml:space="preserve"> </w:t>
      </w:r>
      <w:proofErr w:type="spellStart"/>
      <w:r>
        <w:rPr>
          <w:rFonts w:ascii="Arial" w:eastAsia="Times New Roman" w:hAnsi="Arial" w:cs="Arial"/>
          <w:b/>
          <w:bCs/>
          <w:color w:val="000000"/>
          <w:sz w:val="24"/>
          <w:szCs w:val="24"/>
          <w:lang w:eastAsia="pt-BR"/>
        </w:rPr>
        <w:t>chair</w:t>
      </w:r>
      <w:proofErr w:type="spellEnd"/>
      <w:r>
        <w:rPr>
          <w:rFonts w:ascii="Arial" w:eastAsia="Times New Roman" w:hAnsi="Arial" w:cs="Arial"/>
          <w:b/>
          <w:bCs/>
          <w:color w:val="000000"/>
          <w:sz w:val="24"/>
          <w:szCs w:val="24"/>
          <w:lang w:eastAsia="pt-BR"/>
        </w:rPr>
        <w:t xml:space="preserve"> – Part 1</w:t>
      </w:r>
      <w:r>
        <w:rPr>
          <w:rFonts w:ascii="Arial" w:eastAsia="Times New Roman" w:hAnsi="Arial" w:cs="Arial"/>
          <w:color w:val="000000"/>
          <w:sz w:val="24"/>
          <w:szCs w:val="24"/>
          <w:lang w:eastAsia="pt-BR"/>
        </w:rPr>
        <w:t xml:space="preserve">: </w:t>
      </w:r>
      <w:proofErr w:type="spellStart"/>
      <w:r>
        <w:rPr>
          <w:rFonts w:ascii="Arial" w:eastAsia="Times New Roman" w:hAnsi="Arial" w:cs="Arial"/>
          <w:color w:val="000000"/>
          <w:sz w:val="24"/>
          <w:szCs w:val="24"/>
          <w:lang w:eastAsia="pt-BR"/>
        </w:rPr>
        <w:t>Dimensions</w:t>
      </w:r>
      <w:proofErr w:type="spellEnd"/>
      <w:r>
        <w:rPr>
          <w:rFonts w:ascii="Arial" w:eastAsia="Times New Roman" w:hAnsi="Arial" w:cs="Arial"/>
          <w:color w:val="000000"/>
          <w:sz w:val="24"/>
          <w:szCs w:val="24"/>
          <w:lang w:eastAsia="pt-BR"/>
        </w:rPr>
        <w:t xml:space="preserve"> – </w:t>
      </w:r>
      <w:proofErr w:type="spellStart"/>
      <w:r>
        <w:rPr>
          <w:rFonts w:ascii="Arial" w:eastAsia="Times New Roman" w:hAnsi="Arial" w:cs="Arial"/>
          <w:color w:val="000000"/>
          <w:sz w:val="24"/>
          <w:szCs w:val="24"/>
          <w:lang w:eastAsia="pt-BR"/>
        </w:rPr>
        <w:t>Determination</w:t>
      </w:r>
      <w:proofErr w:type="spellEnd"/>
      <w:r>
        <w:rPr>
          <w:rFonts w:ascii="Arial" w:eastAsia="Times New Roman" w:hAnsi="Arial" w:cs="Arial"/>
          <w:color w:val="000000"/>
          <w:sz w:val="24"/>
          <w:szCs w:val="24"/>
          <w:lang w:eastAsia="pt-BR"/>
        </w:rPr>
        <w:t xml:space="preserve"> </w:t>
      </w:r>
      <w:proofErr w:type="spellStart"/>
      <w:r>
        <w:rPr>
          <w:rFonts w:ascii="Arial" w:eastAsia="Times New Roman" w:hAnsi="Arial" w:cs="Arial"/>
          <w:color w:val="000000"/>
          <w:sz w:val="24"/>
          <w:szCs w:val="24"/>
          <w:lang w:eastAsia="pt-BR"/>
        </w:rPr>
        <w:t>of</w:t>
      </w:r>
      <w:proofErr w:type="spellEnd"/>
      <w:r>
        <w:rPr>
          <w:rFonts w:ascii="Arial" w:eastAsia="Times New Roman" w:hAnsi="Arial" w:cs="Arial"/>
          <w:color w:val="000000"/>
          <w:sz w:val="24"/>
          <w:szCs w:val="24"/>
          <w:lang w:eastAsia="pt-BR"/>
        </w:rPr>
        <w:t xml:space="preserve"> </w:t>
      </w:r>
      <w:proofErr w:type="spellStart"/>
      <w:r>
        <w:rPr>
          <w:rFonts w:ascii="Arial" w:eastAsia="Times New Roman" w:hAnsi="Arial" w:cs="Arial"/>
          <w:color w:val="000000"/>
          <w:sz w:val="24"/>
          <w:szCs w:val="24"/>
          <w:lang w:eastAsia="pt-BR"/>
        </w:rPr>
        <w:t>dimensions</w:t>
      </w:r>
      <w:proofErr w:type="spellEnd"/>
      <w:r>
        <w:rPr>
          <w:rFonts w:ascii="Arial" w:eastAsia="Times New Roman" w:hAnsi="Arial" w:cs="Arial"/>
          <w:color w:val="000000"/>
          <w:sz w:val="24"/>
          <w:szCs w:val="24"/>
          <w:lang w:eastAsia="pt-BR"/>
        </w:rPr>
        <w:t>; – norma internacional que determina as dimensões das cadeiras de escritórios.</w:t>
      </w:r>
    </w:p>
    <w:p w14:paraId="6937B772"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w:t>
      </w:r>
      <w:r>
        <w:rPr>
          <w:rFonts w:ascii="Arial" w:eastAsia="Times New Roman" w:hAnsi="Arial" w:cs="Arial"/>
          <w:b/>
          <w:bCs/>
          <w:color w:val="000000"/>
          <w:sz w:val="24"/>
          <w:szCs w:val="24"/>
          <w:lang w:eastAsia="pt-BR"/>
        </w:rPr>
        <w:t xml:space="preserve">BIFMA X5.1-2011, General </w:t>
      </w:r>
      <w:proofErr w:type="spellStart"/>
      <w:r>
        <w:rPr>
          <w:rFonts w:ascii="Arial" w:eastAsia="Times New Roman" w:hAnsi="Arial" w:cs="Arial"/>
          <w:b/>
          <w:bCs/>
          <w:color w:val="000000"/>
          <w:sz w:val="24"/>
          <w:szCs w:val="24"/>
          <w:lang w:eastAsia="pt-BR"/>
        </w:rPr>
        <w:t>Purpose</w:t>
      </w:r>
      <w:proofErr w:type="spellEnd"/>
      <w:r>
        <w:rPr>
          <w:rFonts w:ascii="Arial" w:eastAsia="Times New Roman" w:hAnsi="Arial" w:cs="Arial"/>
          <w:b/>
          <w:bCs/>
          <w:color w:val="000000"/>
          <w:sz w:val="24"/>
          <w:szCs w:val="24"/>
          <w:lang w:eastAsia="pt-BR"/>
        </w:rPr>
        <w:t xml:space="preserve"> Office </w:t>
      </w:r>
      <w:proofErr w:type="spellStart"/>
      <w:r>
        <w:rPr>
          <w:rFonts w:ascii="Arial" w:eastAsia="Times New Roman" w:hAnsi="Arial" w:cs="Arial"/>
          <w:b/>
          <w:bCs/>
          <w:color w:val="000000"/>
          <w:sz w:val="24"/>
          <w:szCs w:val="24"/>
          <w:lang w:eastAsia="pt-BR"/>
        </w:rPr>
        <w:t>Chairs</w:t>
      </w:r>
      <w:proofErr w:type="spellEnd"/>
      <w:r>
        <w:rPr>
          <w:rFonts w:ascii="Arial" w:eastAsia="Times New Roman" w:hAnsi="Arial" w:cs="Arial"/>
          <w:b/>
          <w:bCs/>
          <w:color w:val="000000"/>
          <w:sz w:val="24"/>
          <w:szCs w:val="24"/>
          <w:lang w:eastAsia="pt-BR"/>
        </w:rPr>
        <w:t xml:space="preserve"> – </w:t>
      </w:r>
      <w:proofErr w:type="spellStart"/>
      <w:r>
        <w:rPr>
          <w:rFonts w:ascii="Arial" w:eastAsia="Times New Roman" w:hAnsi="Arial" w:cs="Arial"/>
          <w:b/>
          <w:bCs/>
          <w:color w:val="000000"/>
          <w:sz w:val="24"/>
          <w:szCs w:val="24"/>
          <w:lang w:eastAsia="pt-BR"/>
        </w:rPr>
        <w:t>Tests</w:t>
      </w:r>
      <w:proofErr w:type="spellEnd"/>
      <w:r>
        <w:rPr>
          <w:rFonts w:ascii="Arial" w:eastAsia="Times New Roman" w:hAnsi="Arial" w:cs="Arial"/>
          <w:color w:val="000000"/>
          <w:sz w:val="24"/>
          <w:szCs w:val="24"/>
          <w:lang w:eastAsia="pt-BR"/>
        </w:rPr>
        <w:t>; – norma que determina a consistência do teste, modificando pesos e cargas de teste e incluindo um novo teste para os apoios de pés.</w:t>
      </w:r>
    </w:p>
    <w:p w14:paraId="19857AA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 xml:space="preserve">- ISO 21015:2007, Office </w:t>
      </w:r>
      <w:proofErr w:type="spellStart"/>
      <w:r>
        <w:rPr>
          <w:rFonts w:ascii="Arial" w:eastAsia="Times New Roman" w:hAnsi="Arial" w:cs="Arial"/>
          <w:b/>
          <w:bCs/>
          <w:color w:val="000000"/>
          <w:sz w:val="24"/>
          <w:szCs w:val="24"/>
          <w:lang w:eastAsia="pt-BR"/>
        </w:rPr>
        <w:t>furniture</w:t>
      </w:r>
      <w:proofErr w:type="spellEnd"/>
      <w:r>
        <w:rPr>
          <w:rFonts w:ascii="Arial" w:eastAsia="Times New Roman" w:hAnsi="Arial" w:cs="Arial"/>
          <w:b/>
          <w:bCs/>
          <w:color w:val="000000"/>
          <w:sz w:val="24"/>
          <w:szCs w:val="24"/>
          <w:lang w:eastAsia="pt-BR"/>
        </w:rPr>
        <w:t xml:space="preserve"> – Office </w:t>
      </w:r>
      <w:proofErr w:type="spellStart"/>
      <w:r>
        <w:rPr>
          <w:rFonts w:ascii="Arial" w:eastAsia="Times New Roman" w:hAnsi="Arial" w:cs="Arial"/>
          <w:b/>
          <w:bCs/>
          <w:color w:val="000000"/>
          <w:sz w:val="24"/>
          <w:szCs w:val="24"/>
          <w:lang w:eastAsia="pt-BR"/>
        </w:rPr>
        <w:t>work</w:t>
      </w:r>
      <w:proofErr w:type="spellEnd"/>
      <w:r>
        <w:rPr>
          <w:rFonts w:ascii="Arial" w:eastAsia="Times New Roman" w:hAnsi="Arial" w:cs="Arial"/>
          <w:b/>
          <w:bCs/>
          <w:color w:val="000000"/>
          <w:sz w:val="24"/>
          <w:szCs w:val="24"/>
          <w:lang w:eastAsia="pt-BR"/>
        </w:rPr>
        <w:t xml:space="preserve"> </w:t>
      </w:r>
      <w:proofErr w:type="spellStart"/>
      <w:r>
        <w:rPr>
          <w:rFonts w:ascii="Arial" w:eastAsia="Times New Roman" w:hAnsi="Arial" w:cs="Arial"/>
          <w:b/>
          <w:bCs/>
          <w:color w:val="000000"/>
          <w:sz w:val="24"/>
          <w:szCs w:val="24"/>
          <w:lang w:eastAsia="pt-BR"/>
        </w:rPr>
        <w:t>chairs</w:t>
      </w:r>
      <w:proofErr w:type="spellEnd"/>
      <w:r>
        <w:rPr>
          <w:rFonts w:ascii="Arial" w:eastAsia="Times New Roman" w:hAnsi="Arial" w:cs="Arial"/>
          <w:b/>
          <w:bCs/>
          <w:color w:val="000000"/>
          <w:sz w:val="24"/>
          <w:szCs w:val="24"/>
          <w:lang w:eastAsia="pt-BR"/>
        </w:rPr>
        <w:t xml:space="preserve"> – Test </w:t>
      </w:r>
      <w:proofErr w:type="spellStart"/>
      <w:r>
        <w:rPr>
          <w:rFonts w:ascii="Arial" w:eastAsia="Times New Roman" w:hAnsi="Arial" w:cs="Arial"/>
          <w:b/>
          <w:bCs/>
          <w:color w:val="000000"/>
          <w:sz w:val="24"/>
          <w:szCs w:val="24"/>
          <w:lang w:eastAsia="pt-BR"/>
        </w:rPr>
        <w:t>methods</w:t>
      </w:r>
      <w:proofErr w:type="spellEnd"/>
      <w:r>
        <w:rPr>
          <w:rFonts w:ascii="Arial" w:eastAsia="Times New Roman" w:hAnsi="Arial" w:cs="Arial"/>
          <w:b/>
          <w:bCs/>
          <w:color w:val="000000"/>
          <w:sz w:val="24"/>
          <w:szCs w:val="24"/>
          <w:lang w:eastAsia="pt-BR"/>
        </w:rPr>
        <w:t xml:space="preserve"> for </w:t>
      </w:r>
      <w:proofErr w:type="spellStart"/>
      <w:r>
        <w:rPr>
          <w:rFonts w:ascii="Arial" w:eastAsia="Times New Roman" w:hAnsi="Arial" w:cs="Arial"/>
          <w:b/>
          <w:bCs/>
          <w:color w:val="000000"/>
          <w:sz w:val="24"/>
          <w:szCs w:val="24"/>
          <w:lang w:eastAsia="pt-BR"/>
        </w:rPr>
        <w:t>the</w:t>
      </w:r>
      <w:proofErr w:type="spellEnd"/>
      <w:r>
        <w:rPr>
          <w:rFonts w:ascii="Arial" w:eastAsia="Times New Roman" w:hAnsi="Arial" w:cs="Arial"/>
          <w:b/>
          <w:bCs/>
          <w:color w:val="000000"/>
          <w:sz w:val="24"/>
          <w:szCs w:val="24"/>
          <w:lang w:eastAsia="pt-BR"/>
        </w:rPr>
        <w:t xml:space="preserve"> </w:t>
      </w:r>
      <w:proofErr w:type="spellStart"/>
      <w:r>
        <w:rPr>
          <w:rFonts w:ascii="Arial" w:eastAsia="Times New Roman" w:hAnsi="Arial" w:cs="Arial"/>
          <w:b/>
          <w:bCs/>
          <w:color w:val="000000"/>
          <w:sz w:val="24"/>
          <w:szCs w:val="24"/>
          <w:lang w:eastAsia="pt-BR"/>
        </w:rPr>
        <w:t>determination</w:t>
      </w:r>
      <w:proofErr w:type="spellEnd"/>
      <w:r>
        <w:rPr>
          <w:rFonts w:ascii="Arial" w:eastAsia="Times New Roman" w:hAnsi="Arial" w:cs="Arial"/>
          <w:b/>
          <w:bCs/>
          <w:color w:val="000000"/>
          <w:sz w:val="24"/>
          <w:szCs w:val="24"/>
          <w:lang w:eastAsia="pt-BR"/>
        </w:rPr>
        <w:t xml:space="preserve"> </w:t>
      </w:r>
      <w:proofErr w:type="spellStart"/>
      <w:r>
        <w:rPr>
          <w:rFonts w:ascii="Arial" w:eastAsia="Times New Roman" w:hAnsi="Arial" w:cs="Arial"/>
          <w:b/>
          <w:bCs/>
          <w:color w:val="000000"/>
          <w:sz w:val="24"/>
          <w:szCs w:val="24"/>
          <w:lang w:eastAsia="pt-BR"/>
        </w:rPr>
        <w:t>of</w:t>
      </w:r>
      <w:proofErr w:type="spellEnd"/>
      <w:r>
        <w:rPr>
          <w:rFonts w:ascii="Arial" w:eastAsia="Times New Roman" w:hAnsi="Arial" w:cs="Arial"/>
          <w:b/>
          <w:bCs/>
          <w:color w:val="000000"/>
          <w:sz w:val="24"/>
          <w:szCs w:val="24"/>
          <w:lang w:eastAsia="pt-BR"/>
        </w:rPr>
        <w:t xml:space="preserve"> </w:t>
      </w:r>
      <w:proofErr w:type="spellStart"/>
      <w:r>
        <w:rPr>
          <w:rFonts w:ascii="Arial" w:eastAsia="Times New Roman" w:hAnsi="Arial" w:cs="Arial"/>
          <w:b/>
          <w:bCs/>
          <w:color w:val="000000"/>
          <w:sz w:val="24"/>
          <w:szCs w:val="24"/>
          <w:lang w:eastAsia="pt-BR"/>
        </w:rPr>
        <w:t>stability</w:t>
      </w:r>
      <w:proofErr w:type="spellEnd"/>
      <w:r>
        <w:rPr>
          <w:rFonts w:ascii="Arial" w:eastAsia="Times New Roman" w:hAnsi="Arial" w:cs="Arial"/>
          <w:b/>
          <w:bCs/>
          <w:color w:val="000000"/>
          <w:sz w:val="24"/>
          <w:szCs w:val="24"/>
          <w:lang w:eastAsia="pt-BR"/>
        </w:rPr>
        <w:t xml:space="preserve">, </w:t>
      </w:r>
      <w:proofErr w:type="spellStart"/>
      <w:r>
        <w:rPr>
          <w:rFonts w:ascii="Arial" w:eastAsia="Times New Roman" w:hAnsi="Arial" w:cs="Arial"/>
          <w:b/>
          <w:bCs/>
          <w:color w:val="000000"/>
          <w:sz w:val="24"/>
          <w:szCs w:val="24"/>
          <w:lang w:eastAsia="pt-BR"/>
        </w:rPr>
        <w:t>strength</w:t>
      </w:r>
      <w:proofErr w:type="spellEnd"/>
      <w:r>
        <w:rPr>
          <w:rFonts w:ascii="Arial" w:eastAsia="Times New Roman" w:hAnsi="Arial" w:cs="Arial"/>
          <w:b/>
          <w:bCs/>
          <w:color w:val="000000"/>
          <w:sz w:val="24"/>
          <w:szCs w:val="24"/>
          <w:lang w:eastAsia="pt-BR"/>
        </w:rPr>
        <w:t xml:space="preserve"> </w:t>
      </w:r>
      <w:proofErr w:type="spellStart"/>
      <w:r>
        <w:rPr>
          <w:rFonts w:ascii="Arial" w:eastAsia="Times New Roman" w:hAnsi="Arial" w:cs="Arial"/>
          <w:b/>
          <w:bCs/>
          <w:color w:val="000000"/>
          <w:sz w:val="24"/>
          <w:szCs w:val="24"/>
          <w:lang w:eastAsia="pt-BR"/>
        </w:rPr>
        <w:t>and</w:t>
      </w:r>
      <w:proofErr w:type="spellEnd"/>
      <w:r>
        <w:rPr>
          <w:rFonts w:ascii="Arial" w:eastAsia="Times New Roman" w:hAnsi="Arial" w:cs="Arial"/>
          <w:b/>
          <w:bCs/>
          <w:color w:val="000000"/>
          <w:sz w:val="24"/>
          <w:szCs w:val="24"/>
          <w:lang w:eastAsia="pt-BR"/>
        </w:rPr>
        <w:t xml:space="preserve"> </w:t>
      </w:r>
      <w:proofErr w:type="spellStart"/>
      <w:r>
        <w:rPr>
          <w:rFonts w:ascii="Arial" w:eastAsia="Times New Roman" w:hAnsi="Arial" w:cs="Arial"/>
          <w:b/>
          <w:bCs/>
          <w:color w:val="000000"/>
          <w:sz w:val="24"/>
          <w:szCs w:val="24"/>
          <w:lang w:eastAsia="pt-BR"/>
        </w:rPr>
        <w:t>durability</w:t>
      </w:r>
      <w:proofErr w:type="spellEnd"/>
      <w:r>
        <w:rPr>
          <w:rFonts w:ascii="Arial" w:eastAsia="Times New Roman" w:hAnsi="Arial" w:cs="Arial"/>
          <w:b/>
          <w:bCs/>
          <w:color w:val="000000"/>
          <w:sz w:val="24"/>
          <w:szCs w:val="24"/>
          <w:lang w:eastAsia="pt-BR"/>
        </w:rPr>
        <w:t>.</w:t>
      </w:r>
      <w:r>
        <w:rPr>
          <w:rFonts w:ascii="Arial" w:eastAsia="Times New Roman" w:hAnsi="Arial" w:cs="Arial"/>
          <w:color w:val="000000"/>
          <w:sz w:val="24"/>
          <w:szCs w:val="24"/>
          <w:lang w:eastAsia="pt-BR"/>
        </w:rPr>
        <w:t xml:space="preserve"> – norma que define os métodos de ensaios que determinam a estabilidade, resistência e durabilidade dos mobiliários de escritório.</w:t>
      </w:r>
    </w:p>
    <w:p w14:paraId="30BF94F7" w14:textId="77777777" w:rsidR="00901CDC" w:rsidRDefault="00DD550A">
      <w:pPr>
        <w:suppressAutoHyphens w:val="0"/>
        <w:spacing w:beforeAutospacing="1" w:afterAutospacing="1" w:line="240" w:lineRule="auto"/>
        <w:jc w:val="both"/>
        <w:rPr>
          <w:rFonts w:ascii="Arial" w:eastAsia="Times New Roman" w:hAnsi="Arial" w:cs="Arial"/>
          <w:b/>
          <w:bCs/>
          <w:color w:val="000000"/>
          <w:sz w:val="24"/>
          <w:szCs w:val="24"/>
          <w:lang w:eastAsia="pt-BR"/>
        </w:rPr>
      </w:pPr>
      <w:r>
        <w:rPr>
          <w:rFonts w:ascii="Arial" w:eastAsia="Times New Roman" w:hAnsi="Arial" w:cs="Arial"/>
          <w:color w:val="000000"/>
          <w:sz w:val="24"/>
          <w:szCs w:val="24"/>
          <w:lang w:eastAsia="pt-BR"/>
        </w:rPr>
        <w:t xml:space="preserve">Os documentos imprescindíveis a serem apresentados pelas empresas serão </w:t>
      </w:r>
      <w:r>
        <w:rPr>
          <w:rFonts w:ascii="Arial" w:eastAsia="Times New Roman" w:hAnsi="Arial" w:cs="Arial"/>
          <w:b/>
          <w:bCs/>
          <w:color w:val="000000"/>
          <w:sz w:val="24"/>
          <w:szCs w:val="24"/>
          <w:lang w:eastAsia="pt-BR"/>
        </w:rPr>
        <w:t>os laudos e certificados contendo todas as adequações e diretrizes da ABNT NBR 13962:2018 e da NR-17 (atual e adequações a serem feitas em razão da Portaria PORTARIA/MTP Nº 423, DE 7 DE OUTUBRO DE 2021, nova redação da Norma Regulamentadora nº 17 – Ergonomia), os quais todas as fabricantes já utilizam ou deveriam se adequar.</w:t>
      </w:r>
    </w:p>
    <w:p w14:paraId="40C28CF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Diante da entrada em vigor na nova NR-17, a partir de 03/01/2022 e tendo em vista que todas as empresas deverão se adequar à regulamentação legal vigente, </w:t>
      </w:r>
      <w:r>
        <w:rPr>
          <w:rFonts w:ascii="Arial" w:eastAsia="Times New Roman" w:hAnsi="Arial" w:cs="Arial"/>
          <w:b/>
          <w:bCs/>
          <w:color w:val="000000"/>
          <w:sz w:val="24"/>
          <w:szCs w:val="24"/>
          <w:lang w:eastAsia="pt-BR"/>
        </w:rPr>
        <w:t>é necessário que empresas participantes do processo apresentem a análise de suas amostras já constando a NR-17 atualizada e/ou proposta de adequação dos seus laudos quando da vigência da nova NR17, para fins de cumprimento da regulamentação legal</w:t>
      </w:r>
      <w:r>
        <w:rPr>
          <w:rFonts w:ascii="Arial" w:eastAsia="Times New Roman" w:hAnsi="Arial" w:cs="Arial"/>
          <w:color w:val="000000"/>
          <w:sz w:val="24"/>
          <w:szCs w:val="24"/>
          <w:lang w:eastAsia="pt-BR"/>
        </w:rPr>
        <w:t>.</w:t>
      </w:r>
      <w:bookmarkStart w:id="210" w:name="_Hlk170297889"/>
      <w:bookmarkEnd w:id="210"/>
    </w:p>
    <w:p w14:paraId="02A6B34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B) A empresa deve comprovar a empregabilidade da espuma especificada para o assento da cadeira através de documento que garanta que as cadeiras fornecidas apresentarão a espuma especificada ou espuma de qualidade superior.</w:t>
      </w:r>
    </w:p>
    <w:p w14:paraId="5038729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C) A empresa deve comprovar a utilização do pistão classe 4 através de documento que garanta que as cadeiras fornecidas apresentarão o pistão classificado ou de qualidade superior.</w:t>
      </w:r>
    </w:p>
    <w:p w14:paraId="20904BB2"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highlight w:val="white"/>
          <w:lang w:eastAsia="pt-BR"/>
        </w:rPr>
        <w:t>B) A Contratada e/ou fabricante deverá apresentar declaração indicando endereço e Nome do representante, que prestará Assistência Técnica Autorizada, preferencialmente, na Cidade de Belo Horizonte/MG, durante o período mínimo de garantia. Caso a Assistência Técnica Autorizada local seja terceirizada, é obrigatório declaração da empresa que prestará o serviço, com nome, endereço e telefone, informando que a mesma ficará responsável pelo cumprimento da assistência técnica dos produtos.</w:t>
      </w:r>
    </w:p>
    <w:p w14:paraId="5AB4B16C" w14:textId="77777777" w:rsidR="00901CDC" w:rsidRDefault="00DD550A">
      <w:pPr>
        <w:pBdr>
          <w:top w:val="single" w:sz="4" w:space="1" w:color="000000"/>
          <w:left w:val="single" w:sz="4" w:space="4" w:color="000000"/>
          <w:bottom w:val="single" w:sz="4" w:space="1" w:color="000000"/>
          <w:right w:val="single" w:sz="4" w:space="4" w:color="000000"/>
        </w:pBdr>
        <w:spacing w:after="200" w:line="276" w:lineRule="auto"/>
        <w:rPr>
          <w:rFonts w:ascii="Arial" w:eastAsia="Arial" w:hAnsi="Arial" w:cs="Arial"/>
          <w:b/>
          <w:sz w:val="24"/>
          <w:szCs w:val="24"/>
          <w:lang w:eastAsia="pt-BR"/>
        </w:rPr>
      </w:pPr>
      <w:r>
        <w:rPr>
          <w:rFonts w:ascii="Arial" w:eastAsia="Arial" w:hAnsi="Arial" w:cs="Arial"/>
          <w:b/>
          <w:sz w:val="24"/>
          <w:szCs w:val="24"/>
          <w:lang w:eastAsia="pt-BR"/>
        </w:rPr>
        <w:t>8.2 - EXIGÊNCIA DE CATÁLOGO, PROSPECTO OU FOLDER:</w:t>
      </w:r>
    </w:p>
    <w:p w14:paraId="61075A31" w14:textId="77777777" w:rsidR="00901CDC" w:rsidRDefault="00DD550A">
      <w:pPr>
        <w:suppressAutoHyphens w:val="0"/>
        <w:spacing w:beforeAutospacing="1" w:afterAutospacing="1" w:line="240" w:lineRule="auto"/>
        <w:rPr>
          <w:rFonts w:ascii="Arial" w:eastAsia="Arial" w:hAnsi="Arial" w:cs="Arial"/>
          <w:sz w:val="24"/>
          <w:szCs w:val="24"/>
          <w:lang w:eastAsia="pt-BR"/>
        </w:rPr>
      </w:pPr>
      <w:r>
        <w:rPr>
          <w:rFonts w:ascii="Arial" w:eastAsia="Times New Roman" w:hAnsi="Arial" w:cs="Arial"/>
          <w:color w:val="000000"/>
          <w:sz w:val="24"/>
          <w:szCs w:val="24"/>
          <w:lang w:eastAsia="pt-BR"/>
        </w:rPr>
        <w:t>Não se aplica. </w:t>
      </w:r>
    </w:p>
    <w:p w14:paraId="721C0175"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9 - DA FORMA E DOS CRITÉRIOS DE SELEÇÃO DO FORNECEDOR / DOS ATESTADOS DE CAPACIDADE:</w:t>
      </w:r>
    </w:p>
    <w:p w14:paraId="3770E8C7" w14:textId="77777777" w:rsidR="00901CDC" w:rsidRDefault="00DD550A">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lastRenderedPageBreak/>
        <w:t>9.1 - FORMA DE SELEÇÃO E CRITÉRIO DE JULGAMENTO DO FORNECEDOR:</w:t>
      </w:r>
    </w:p>
    <w:p w14:paraId="019EFD21" w14:textId="77777777" w:rsidR="00901CDC" w:rsidRDefault="00DD550A">
      <w:pPr>
        <w:suppressAutoHyphens w:val="0"/>
        <w:spacing w:beforeAutospacing="1" w:afterAutospacing="1" w:line="240" w:lineRule="auto"/>
        <w:jc w:val="both"/>
        <w:rPr>
          <w:rFonts w:ascii="Arial" w:eastAsia="Arial" w:hAnsi="Arial" w:cs="Arial"/>
          <w:sz w:val="24"/>
          <w:szCs w:val="24"/>
          <w:lang w:eastAsia="pt-BR"/>
        </w:rPr>
      </w:pPr>
      <w:r>
        <w:rPr>
          <w:rFonts w:ascii="Arial" w:eastAsia="Times New Roman" w:hAnsi="Arial" w:cs="Arial"/>
          <w:color w:val="000000"/>
          <w:sz w:val="24"/>
          <w:szCs w:val="24"/>
          <w:lang w:eastAsia="pt-BR"/>
        </w:rPr>
        <w:t>Trata-se de aquisição considerado de natureza comum, tendo em vista que o produto descrito neste termo possui padrão de desempenho e qualidade que pode ser objetivamente definido pelo edital, por meio de especificação usual no mercado, não se enquadrando no conceito de bem de luxo. Desse modo, o fornecedor será selecionado por meio do procedimento de licitação, na modalidade pregão, sob a forma eletrônica, com adoção do critério de julgamento pelo menor preço. </w:t>
      </w:r>
    </w:p>
    <w:p w14:paraId="4B617E81"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 xml:space="preserve">9.2 - </w:t>
      </w:r>
      <w:r>
        <w:rPr>
          <w:rFonts w:ascii="Arial" w:eastAsia="Arial" w:hAnsi="Arial" w:cs="Arial"/>
          <w:b/>
          <w:sz w:val="24"/>
          <w:szCs w:val="24"/>
          <w:lang w:eastAsia="pt-BR"/>
        </w:rPr>
        <w:t>QUALIFICAÇÃO TÉCNICO-OPERACIONAL E TÉCNICO-PROFISSIONAL:</w:t>
      </w:r>
    </w:p>
    <w:p w14:paraId="763EF872"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9.2.1 Especialização ou atestado exigido: Atestado de capacidade técnica, emitido por pessoa jurídica de direito público ou privado, no qual conste o fornecimento, de pelo menos 30% dos quantitativos especificados, de itens iguais ou similares aos que serão adquiridos.</w:t>
      </w:r>
    </w:p>
    <w:p w14:paraId="68CE340F" w14:textId="77777777" w:rsidR="00901CDC" w:rsidRDefault="00DD550A">
      <w:pPr>
        <w:suppressAutoHyphens w:val="0"/>
        <w:spacing w:beforeAutospacing="1" w:after="195" w:line="240" w:lineRule="auto"/>
        <w:jc w:val="both"/>
        <w:rPr>
          <w:rFonts w:ascii="Arial" w:eastAsia="Arial" w:hAnsi="Arial" w:cs="Arial"/>
          <w:sz w:val="24"/>
          <w:szCs w:val="24"/>
          <w:lang w:eastAsia="pt-BR"/>
        </w:rPr>
      </w:pPr>
      <w:r>
        <w:rPr>
          <w:rFonts w:ascii="Arial" w:eastAsia="Times New Roman" w:hAnsi="Arial" w:cs="Arial"/>
          <w:color w:val="000000"/>
          <w:sz w:val="24"/>
          <w:szCs w:val="24"/>
          <w:lang w:eastAsia="pt-BR"/>
        </w:rPr>
        <w:t>9.2.2. É admitido o somatório de atestados, desde que compatíveis com as características do objeto da licitação, para atender às quantidades mínimas exigidas. </w:t>
      </w:r>
    </w:p>
    <w:p w14:paraId="49B00D06"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10 - DA SUBCONTRATAÇÃO:</w:t>
      </w:r>
    </w:p>
    <w:p w14:paraId="01F07666" w14:textId="77777777" w:rsidR="00901CDC" w:rsidRDefault="00DD550A">
      <w:pPr>
        <w:suppressAutoHyphens w:val="0"/>
        <w:spacing w:before="120" w:after="120" w:line="240" w:lineRule="auto"/>
        <w:ind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Não é admitida a subcontratação do objeto. </w:t>
      </w:r>
    </w:p>
    <w:p w14:paraId="00FAEB05"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sz w:val="24"/>
          <w:szCs w:val="24"/>
          <w:lang w:eastAsia="pt-BR"/>
        </w:rPr>
        <w:t xml:space="preserve">11 - </w:t>
      </w:r>
      <w:r>
        <w:rPr>
          <w:rFonts w:ascii="Arial" w:eastAsia="Arial" w:hAnsi="Arial" w:cs="Arial"/>
          <w:b/>
          <w:bCs/>
          <w:sz w:val="24"/>
          <w:szCs w:val="24"/>
          <w:lang w:eastAsia="pt-BR"/>
        </w:rPr>
        <w:t>DAS GARANTIAS:</w:t>
      </w:r>
    </w:p>
    <w:p w14:paraId="3516C8A1" w14:textId="77777777" w:rsidR="00901CDC" w:rsidRDefault="00DD550A">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11.1 - </w:t>
      </w:r>
      <w:r>
        <w:rPr>
          <w:rFonts w:ascii="Arial" w:eastAsia="Arial" w:hAnsi="Arial" w:cs="Arial"/>
          <w:b/>
          <w:bCs/>
          <w:sz w:val="24"/>
          <w:szCs w:val="24"/>
          <w:lang w:eastAsia="pt-BR"/>
        </w:rPr>
        <w:t>GARANTIA DE EXECUÇÃO CONTRATUAL:</w:t>
      </w:r>
    </w:p>
    <w:p w14:paraId="461BA099" w14:textId="77777777" w:rsidR="00901CDC" w:rsidRDefault="00DD550A">
      <w:pPr>
        <w:spacing w:after="200" w:line="276" w:lineRule="auto"/>
        <w:jc w:val="both"/>
        <w:rPr>
          <w:rFonts w:ascii="Arial" w:eastAsia="Arial" w:hAnsi="Arial" w:cs="Arial"/>
          <w:sz w:val="24"/>
          <w:szCs w:val="24"/>
          <w:lang w:eastAsia="pt-BR"/>
        </w:rPr>
      </w:pPr>
      <w:r>
        <w:rPr>
          <w:rFonts w:ascii="Arial" w:hAnsi="Arial" w:cs="Arial"/>
          <w:color w:val="000000"/>
          <w:sz w:val="24"/>
          <w:szCs w:val="24"/>
        </w:rPr>
        <w:t>Não haverá exigência da garantia de execução contratual para este objeto, por ser uma compra de materiais de consumo e comuns, não havendo a necessidade da referida garantia, uma vez que o objeto será cumprido no momento da entrega do material.</w:t>
      </w:r>
    </w:p>
    <w:p w14:paraId="2CECEBA8"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jc w:val="both"/>
        <w:rPr>
          <w:rFonts w:ascii="Arial" w:eastAsia="Arial" w:hAnsi="Arial" w:cs="Arial"/>
          <w:sz w:val="24"/>
          <w:szCs w:val="24"/>
          <w:lang w:eastAsia="pt-BR"/>
        </w:rPr>
      </w:pPr>
      <w:r>
        <w:rPr>
          <w:rFonts w:ascii="Arial" w:eastAsia="Arial" w:hAnsi="Arial" w:cs="Arial"/>
          <w:b/>
          <w:bCs/>
          <w:sz w:val="24"/>
          <w:szCs w:val="24"/>
          <w:lang w:eastAsia="pt-BR"/>
        </w:rPr>
        <w:t>11.2 - GARANTIA DO PRODUTO/SERVIÇO - FABRICANTE, LEGAL OU CONVENCIONAL:</w:t>
      </w:r>
    </w:p>
    <w:p w14:paraId="18195491" w14:textId="77777777" w:rsidR="00901CDC" w:rsidRDefault="00DD550A">
      <w:pPr>
        <w:suppressAutoHyphens w:val="0"/>
        <w:spacing w:beforeAutospacing="1" w:afterAutospacing="1" w:line="240" w:lineRule="auto"/>
        <w:jc w:val="both"/>
        <w:rPr>
          <w:rFonts w:ascii="Arial" w:eastAsia="Times New Roman" w:hAnsi="Arial" w:cs="Arial"/>
          <w:sz w:val="24"/>
          <w:szCs w:val="24"/>
          <w:lang w:eastAsia="pt-BR"/>
        </w:rPr>
      </w:pPr>
      <w:r>
        <w:rPr>
          <w:rFonts w:ascii="Arial" w:eastAsia="Times New Roman" w:hAnsi="Arial" w:cs="Arial"/>
          <w:b/>
          <w:bCs/>
          <w:color w:val="000000"/>
          <w:sz w:val="24"/>
          <w:szCs w:val="24"/>
          <w:lang w:eastAsia="pt-BR"/>
        </w:rPr>
        <w:t>Prazo: Mínimo de 5 anos</w:t>
      </w:r>
      <w:r>
        <w:rPr>
          <w:rFonts w:ascii="Arial" w:eastAsia="Times New Roman" w:hAnsi="Arial" w:cs="Arial"/>
          <w:color w:val="000000"/>
          <w:sz w:val="24"/>
          <w:szCs w:val="24"/>
          <w:lang w:eastAsia="pt-BR"/>
        </w:rPr>
        <w:t xml:space="preserve">, </w:t>
      </w:r>
      <w:r>
        <w:rPr>
          <w:rFonts w:ascii="Arial" w:eastAsia="Times New Roman" w:hAnsi="Arial" w:cs="Arial"/>
          <w:sz w:val="24"/>
          <w:szCs w:val="24"/>
          <w:lang w:eastAsia="pt-BR"/>
        </w:rPr>
        <w:t xml:space="preserve">contados da data da emissão da respectiva nota </w:t>
      </w:r>
      <w:bookmarkStart w:id="211" w:name="_Hlk170235144"/>
      <w:r>
        <w:rPr>
          <w:rFonts w:ascii="Arial" w:eastAsia="Times New Roman" w:hAnsi="Arial" w:cs="Arial"/>
          <w:sz w:val="24"/>
          <w:szCs w:val="24"/>
          <w:lang w:eastAsia="pt-BR"/>
        </w:rPr>
        <w:t>fiscal (ou documento equivalente</w:t>
      </w:r>
      <w:bookmarkEnd w:id="211"/>
      <w:r>
        <w:rPr>
          <w:rFonts w:ascii="Arial" w:eastAsia="Times New Roman" w:hAnsi="Arial" w:cs="Arial"/>
          <w:sz w:val="24"/>
          <w:szCs w:val="24"/>
          <w:lang w:eastAsia="pt-BR"/>
        </w:rPr>
        <w:t>.</w:t>
      </w:r>
    </w:p>
    <w:p w14:paraId="1ECDEB8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Justificativa: </w:t>
      </w:r>
      <w:r>
        <w:rPr>
          <w:rFonts w:ascii="Arial" w:eastAsia="Times New Roman" w:hAnsi="Arial" w:cs="Arial"/>
          <w:color w:val="000000"/>
          <w:sz w:val="24"/>
          <w:szCs w:val="24"/>
          <w:lang w:eastAsia="pt-BR"/>
        </w:rPr>
        <w:t>Mediante pesquisa de mercado realizada pela SEA com empresas que apresentaram cadeiras compatíveis com a especificação técnica, este foi o prazo ofertado para garantia.</w:t>
      </w:r>
    </w:p>
    <w:p w14:paraId="5CD29F3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11.2.1. A Contratada deverá apresentar certificado de garantia total, pelo prazo mínimo de 05 (cinco) anos, para todas as cadeiras, materiais e peças fornecidas ou utilizadas, inclusive pinturas empregadas, a contar do Termo de Recebimento </w:t>
      </w:r>
      <w:r>
        <w:rPr>
          <w:rFonts w:ascii="Arial" w:eastAsia="Times New Roman" w:hAnsi="Arial" w:cs="Arial"/>
          <w:color w:val="000000"/>
          <w:sz w:val="24"/>
          <w:szCs w:val="24"/>
          <w:lang w:eastAsia="pt-BR"/>
        </w:rPr>
        <w:lastRenderedPageBreak/>
        <w:t>Definitivo, englobando assistência técnica, manutenção e reposição de peças necessárias, inclusive revestimentos, conforme as especificações prescritas no termo de referência.</w:t>
      </w:r>
    </w:p>
    <w:p w14:paraId="1733121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11.2.2 Caso a Contratada e o fabricante sejam pessoas distintas, a Contratante também deverá encaminhar o certificado emitido pelo fabricante, impresso em língua portuguesa, no qual deve constar o prazo ofertado por este, contra defeitos de fabricação e/ou montagem e contra desgaste excessivo.</w:t>
      </w:r>
    </w:p>
    <w:p w14:paraId="1D4ADC8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11.2.3. Cada cadeira deverá conter o selo de garantia com o número do registro.</w:t>
      </w:r>
    </w:p>
    <w:p w14:paraId="5BFAA91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11.2.4. Caso a Contratada e o fabricante sejam pessoas distintas, a contratante também deverá encaminhar o certificado emitido pelo fabricante, impresso em língua portuguesa, no qual deve constar o prazo ofertado por este, contra defeitos de fabricação e/ou montagem e contra desgaste excessivo.</w:t>
      </w:r>
    </w:p>
    <w:p w14:paraId="3A34C758"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12 - DA MANUTENÇÃO E ASSISTÊNCIA TÉCNICA:</w:t>
      </w:r>
    </w:p>
    <w:p w14:paraId="15D0507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Forma e os critérios de prestação da assistência técnica:</w:t>
      </w:r>
    </w:p>
    <w:p w14:paraId="73ABA25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12.1. Durante o período de garantia a contratada obriga-se a substituir a cadeira ou reparar, sem ônus para o Ministério Público do Estado de Minas Gerais, o objeto que apresentar defeitos ou incorreções resultantes da fabricação ou de sua correta utilização, no prazo máximo de 7 (sete) dias úteis, a contar do dia seguinte ao da notificação de inconformidade.</w:t>
      </w:r>
    </w:p>
    <w:p w14:paraId="1A80F8B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12.2. O término do atendimento ocorrerá no dia de conclusão do reparo e da disponibilidade do objeto em perfeito estado de uso nas instalações do Ministério Público.</w:t>
      </w:r>
    </w:p>
    <w:p w14:paraId="60D36FF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12.3. O pedido de substituição ou reparo do objeto, durante o período de garantia, poderá ser formalizado por telefone, e-mail, fax ou outro meio hábil de comunicação.</w:t>
      </w:r>
    </w:p>
    <w:p w14:paraId="2A7AE92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12.4. A garantia, em todos os casos, engloba a proteção contra defeitos advindos da fabricação, montagem e desgaste excessivo.</w:t>
      </w:r>
    </w:p>
    <w:p w14:paraId="484FBDF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12.5 A contratada deverá cumprir as obrigações imputadas pela legislação vigente, naquilo que se refere à matéria, como a Lei nº 14.133/21 e a Lei nº 8.078/90.</w:t>
      </w:r>
    </w:p>
    <w:p w14:paraId="363747B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12.6 Os materiais adquiridos que apresentarem defeitos de fabricação ou estiverem em desacordo com o especificado no termo de referência, não serão aceitos e deverão ser substituídos pela contratada, sem qualquer ônus à contratante. Excepcionalmente, a depender do tipo de defeito apresentado, o setor competente poderá decidir pela correção do material.</w:t>
      </w:r>
    </w:p>
    <w:p w14:paraId="01C6AD3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12.7 . Prazos de recolhimento, correção ou substituição e a devolução do bem: A empresa terá o prazo de 7 (sete) dias úteis, para recolher, corrigir ou substituir e devolver o bem, iniciados a partir da notificação pelo setor competente. Poderá ser concedido novo prazo, a juízo do setor competente, caso a empresa justifique a impossibilidade do atendimento no prazo solicitado.</w:t>
      </w:r>
    </w:p>
    <w:p w14:paraId="3DEFF53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12.8. Locais de coleta e devolução: Os locais para coleta e devolução estarão dispostos na notificação/e-mail, devendo ser compatíveis com uma das Unidades do Ministério Público do Estado de Minas Gerais mencionadas como local de recebimento no termo de referência.</w:t>
      </w:r>
    </w:p>
    <w:p w14:paraId="39A01255" w14:textId="77777777" w:rsidR="00901CDC" w:rsidRDefault="00DD550A">
      <w:pPr>
        <w:suppressAutoHyphens w:val="0"/>
        <w:spacing w:beforeAutospacing="1" w:afterAutospacing="1" w:line="240" w:lineRule="auto"/>
        <w:jc w:val="both"/>
        <w:rPr>
          <w:rFonts w:ascii="Arial" w:eastAsia="Arial" w:hAnsi="Arial" w:cs="Arial"/>
          <w:sz w:val="24"/>
          <w:szCs w:val="24"/>
          <w:lang w:eastAsia="pt-BR"/>
        </w:rPr>
      </w:pPr>
      <w:r>
        <w:rPr>
          <w:rFonts w:ascii="Arial" w:eastAsia="Times New Roman" w:hAnsi="Arial" w:cs="Arial"/>
          <w:color w:val="000000"/>
          <w:sz w:val="24"/>
          <w:szCs w:val="24"/>
          <w:lang w:eastAsia="pt-BR"/>
        </w:rPr>
        <w:t>12.9. A responsabilidade por qualquer tipo de custos do recolhimento, transporte, correção e/ou substituição dos materiais será de total responsabilidade da contratada. </w:t>
      </w:r>
    </w:p>
    <w:p w14:paraId="4CEC2A4F"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13 - DO MODELO DE EXECUÇÃO DO OBJETO:</w:t>
      </w:r>
    </w:p>
    <w:p w14:paraId="1B1FF3F7" w14:textId="77777777" w:rsidR="00901CDC" w:rsidRDefault="00DD550A">
      <w:pPr>
        <w:pBdr>
          <w:top w:val="single" w:sz="4" w:space="1" w:color="000000"/>
          <w:left w:val="single" w:sz="4" w:space="1" w:color="000000"/>
          <w:bottom w:val="single" w:sz="4" w:space="1" w:color="000000"/>
          <w:right w:val="single" w:sz="4" w:space="4" w:color="000000"/>
        </w:pBdr>
        <w:spacing w:after="200" w:line="276" w:lineRule="auto"/>
        <w:jc w:val="both"/>
        <w:rPr>
          <w:rFonts w:ascii="Arial" w:eastAsia="Arial" w:hAnsi="Arial" w:cs="Arial"/>
          <w:strike/>
          <w:sz w:val="24"/>
          <w:szCs w:val="24"/>
          <w:lang w:eastAsia="pt-BR"/>
        </w:rPr>
      </w:pPr>
      <w:r>
        <w:rPr>
          <w:rFonts w:ascii="Arial" w:eastAsia="Arial" w:hAnsi="Arial" w:cs="Arial"/>
          <w:b/>
          <w:sz w:val="24"/>
          <w:szCs w:val="24"/>
          <w:lang w:eastAsia="pt-BR"/>
        </w:rPr>
        <w:t xml:space="preserve">13.1 - </w:t>
      </w:r>
      <w:r>
        <w:rPr>
          <w:rFonts w:ascii="Arial" w:eastAsia="Arial" w:hAnsi="Arial" w:cs="Arial"/>
          <w:b/>
          <w:bCs/>
          <w:sz w:val="24"/>
          <w:szCs w:val="24"/>
          <w:lang w:eastAsia="pt-BR"/>
        </w:rPr>
        <w:t>PRAZO DE ENTREGA / EXECUÇÃO E PRAZO DE SUBSTITUIÇÃO / REFAZIMENTO</w:t>
      </w:r>
      <w:r>
        <w:rPr>
          <w:rFonts w:ascii="Arial" w:eastAsia="Arial" w:hAnsi="Arial" w:cs="Arial"/>
          <w:b/>
          <w:sz w:val="24"/>
          <w:szCs w:val="24"/>
          <w:lang w:eastAsia="pt-BR"/>
        </w:rPr>
        <w:t>:</w:t>
      </w:r>
    </w:p>
    <w:p w14:paraId="33DF0759"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13.1.1 - PRAZO DE ENTREGA / EXECUÇÃO</w:t>
      </w:r>
      <w:r>
        <w:rPr>
          <w:rFonts w:ascii="Arial" w:eastAsia="Arial" w:hAnsi="Arial" w:cs="Arial"/>
          <w:b/>
          <w:sz w:val="24"/>
          <w:szCs w:val="24"/>
          <w:lang w:eastAsia="pt-BR"/>
        </w:rPr>
        <w:t>:</w:t>
      </w:r>
    </w:p>
    <w:p w14:paraId="0E29B92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Assinala-se que o registro de preços traz em sua essência o benefício de contratações frequentes e entregas sob demanda no viger da Ata de Registro de Preço, conforme solicitação da Contratante, mediante emissão das Autorizações de Fornecimento respectivas.</w:t>
      </w:r>
    </w:p>
    <w:p w14:paraId="71B0BC2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O prazo de entrega das cadeiras é de até 30 (trinta) dias corridos, contados da data do recebimento da Autorização de Fornecimento, por meio eletrônico, pela contratada.</w:t>
      </w:r>
      <w:bookmarkStart w:id="212" w:name="_Hlk170235416"/>
      <w:bookmarkEnd w:id="212"/>
    </w:p>
    <w:p w14:paraId="242ED36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Contratada deve assinar o documento, bem como responder à Administração confirmando o recebimento da mensagem no prazo máximo de 02 (dois) dias úteis.</w:t>
      </w:r>
    </w:p>
    <w:p w14:paraId="336FCE2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entrega dos materiais/produtos pela CONTRATADA e o recebimento pela CONTRATANTE não implicam em sua aceitação.</w:t>
      </w:r>
    </w:p>
    <w:p w14:paraId="6343DA65" w14:textId="77777777" w:rsidR="00901CDC" w:rsidRDefault="00901CDC">
      <w:pPr>
        <w:spacing w:after="0" w:line="276" w:lineRule="auto"/>
        <w:jc w:val="both"/>
        <w:rPr>
          <w:rFonts w:ascii="Arial" w:eastAsia="Arial" w:hAnsi="Arial" w:cs="Arial"/>
          <w:iCs/>
          <w:sz w:val="24"/>
          <w:szCs w:val="24"/>
          <w:lang w:eastAsia="pt-BR"/>
        </w:rPr>
      </w:pPr>
    </w:p>
    <w:p w14:paraId="3D1E520C"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13.1.2 - PRAZO DE SUBSTITUIÇÃO / REFAZIMENTO:</w:t>
      </w:r>
    </w:p>
    <w:p w14:paraId="4F3E6BC7" w14:textId="77777777" w:rsidR="00901CDC" w:rsidRDefault="00DD550A">
      <w:pPr>
        <w:spacing w:after="200" w:line="276" w:lineRule="auto"/>
        <w:jc w:val="both"/>
        <w:rPr>
          <w:rFonts w:ascii="Arial" w:eastAsia="Arial" w:hAnsi="Arial" w:cs="Arial"/>
          <w:sz w:val="24"/>
          <w:szCs w:val="24"/>
          <w:lang w:eastAsia="pt-BR"/>
        </w:rPr>
      </w:pPr>
      <w:r>
        <w:rPr>
          <w:rFonts w:ascii="Arial" w:hAnsi="Arial" w:cs="Arial"/>
          <w:b/>
          <w:bCs/>
          <w:color w:val="000000"/>
          <w:sz w:val="24"/>
          <w:szCs w:val="24"/>
        </w:rPr>
        <w:t>Prazo de Substituição / Refazimento: </w:t>
      </w:r>
      <w:r>
        <w:rPr>
          <w:rFonts w:ascii="Arial" w:hAnsi="Arial" w:cs="Arial"/>
          <w:color w:val="000000"/>
          <w:sz w:val="24"/>
          <w:szCs w:val="24"/>
        </w:rPr>
        <w:t>A CONTRATADA responsabiliza-se pela quantidade e qualidade dos itens fornecidos, substituindo, em até 07 (dias) úteis da solicitação da CONTRATANTE, aqueles que apresentarem qualquer tipo de vício ou imperfeição, ou não se adequarem às especificações constantes deste Termo de Referência, sob pena de aplicação das sanções cabíveis, inclusive rescisão contratual.</w:t>
      </w:r>
    </w:p>
    <w:p w14:paraId="28B98DD5"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lastRenderedPageBreak/>
        <w:t>13.2 - LOCAL DE ENTREGA / DE PRESTAÇÃO DE SERVIÇOS:</w:t>
      </w:r>
    </w:p>
    <w:p w14:paraId="7182E45D" w14:textId="77777777" w:rsidR="00901CDC" w:rsidRDefault="00DD550A">
      <w:pPr>
        <w:suppressAutoHyphens w:val="0"/>
        <w:spacing w:beforeAutospacing="1" w:afterAutospacing="1" w:line="240" w:lineRule="auto"/>
        <w:jc w:val="both"/>
        <w:rPr>
          <w:rFonts w:ascii="Arial" w:hAnsi="Arial" w:cs="Arial"/>
          <w:color w:val="000000"/>
          <w:sz w:val="24"/>
          <w:szCs w:val="24"/>
          <w:highlight w:val="green"/>
        </w:rPr>
      </w:pPr>
      <w:r>
        <w:rPr>
          <w:rFonts w:ascii="Arial" w:hAnsi="Arial" w:cs="Arial"/>
          <w:color w:val="000000"/>
          <w:sz w:val="24"/>
          <w:szCs w:val="24"/>
          <w:shd w:val="clear" w:color="auto" w:fill="FFFFFF"/>
        </w:rPr>
        <w:t>13.2 A entrega do objeto deverá ser efetuada</w:t>
      </w:r>
      <w:r>
        <w:rPr>
          <w:rFonts w:ascii="Arial" w:eastAsia="Times New Roman" w:hAnsi="Arial" w:cs="Arial"/>
          <w:b/>
          <w:bCs/>
          <w:color w:val="000000"/>
          <w:sz w:val="24"/>
          <w:szCs w:val="24"/>
          <w:highlight w:val="white"/>
          <w:u w:val="single"/>
          <w:lang w:eastAsia="pt-BR"/>
        </w:rPr>
        <w:t>, </w:t>
      </w:r>
      <w:r>
        <w:rPr>
          <w:rFonts w:ascii="Arial" w:eastAsia="Times New Roman" w:hAnsi="Arial" w:cs="Arial"/>
          <w:color w:val="000000"/>
          <w:sz w:val="24"/>
          <w:szCs w:val="24"/>
          <w:highlight w:val="white"/>
          <w:u w:val="single"/>
          <w:lang w:eastAsia="pt-BR"/>
        </w:rPr>
        <w:t>juntamente com a respectiva nota fiscal (ou documento equivalente)</w:t>
      </w:r>
      <w:r>
        <w:rPr>
          <w:rFonts w:ascii="Arial" w:eastAsia="Times New Roman" w:hAnsi="Arial" w:cs="Arial"/>
          <w:color w:val="000000"/>
          <w:sz w:val="24"/>
          <w:szCs w:val="24"/>
          <w:highlight w:val="white"/>
          <w:lang w:eastAsia="pt-BR"/>
        </w:rPr>
        <w:t xml:space="preserve">, </w:t>
      </w:r>
      <w:r>
        <w:rPr>
          <w:rFonts w:ascii="Arial" w:hAnsi="Arial" w:cs="Arial"/>
          <w:color w:val="000000"/>
          <w:sz w:val="24"/>
          <w:szCs w:val="24"/>
          <w:shd w:val="clear" w:color="auto" w:fill="FFFFFF"/>
        </w:rPr>
        <w:t>no operador logístico contratado pelo MPMG, </w:t>
      </w:r>
      <w:r>
        <w:rPr>
          <w:rFonts w:ascii="Arial" w:hAnsi="Arial" w:cs="Arial"/>
          <w:b/>
          <w:bCs/>
          <w:color w:val="000000"/>
          <w:sz w:val="24"/>
          <w:szCs w:val="24"/>
          <w:shd w:val="clear" w:color="auto" w:fill="FFFFFF"/>
        </w:rPr>
        <w:t>Expresso Minas Frios Ltda.</w:t>
      </w:r>
      <w:r>
        <w:rPr>
          <w:rFonts w:ascii="Arial" w:hAnsi="Arial" w:cs="Arial"/>
          <w:color w:val="000000"/>
          <w:sz w:val="24"/>
          <w:szCs w:val="24"/>
          <w:shd w:val="clear" w:color="auto" w:fill="FFFFFF"/>
        </w:rPr>
        <w:t>, com sede na Avenida Engenheiro Darcy Nogueira do Pinho, nº 3201, Galpão 2 - Módulo 2, Bairro Vila Cristina, CEP.: 32.675-515, em Betim/MG, durante o horário 8hrs às 17hrs.</w:t>
      </w:r>
    </w:p>
    <w:p w14:paraId="457FC8A2"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highlight w:val="white"/>
          <w:lang w:eastAsia="pt-BR"/>
        </w:rPr>
        <w:t>13.3 - CRITÉRIOS DE RECEBIMENTO:</w:t>
      </w:r>
    </w:p>
    <w:p w14:paraId="5240CAA3" w14:textId="77777777" w:rsidR="00901CDC" w:rsidRDefault="00DD550A">
      <w:pPr>
        <w:suppressAutoHyphens w:val="0"/>
        <w:spacing w:beforeAutospacing="1" w:after="195"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Provisoriamente: em até 02 (dois) dias úteis, após a entrega respectiva, pela Divisão de Materiais (DIMAT) ou por servidor designado, sem prejuízo da posterior verificação da perfeição e da conformidade do(s) item(</w:t>
      </w:r>
      <w:proofErr w:type="spellStart"/>
      <w:r>
        <w:rPr>
          <w:rFonts w:ascii="Arial" w:eastAsia="Times New Roman" w:hAnsi="Arial" w:cs="Arial"/>
          <w:color w:val="000000"/>
          <w:sz w:val="24"/>
          <w:szCs w:val="24"/>
          <w:lang w:eastAsia="pt-BR"/>
        </w:rPr>
        <w:t>ns</w:t>
      </w:r>
      <w:proofErr w:type="spellEnd"/>
      <w:r>
        <w:rPr>
          <w:rFonts w:ascii="Arial" w:eastAsia="Times New Roman" w:hAnsi="Arial" w:cs="Arial"/>
          <w:color w:val="000000"/>
          <w:sz w:val="24"/>
          <w:szCs w:val="24"/>
          <w:lang w:eastAsia="pt-BR"/>
        </w:rPr>
        <w:t>) fornecido(s) com as exigências deste Termo de Referência, nos termos explicitados na alínea seguinte;</w:t>
      </w:r>
    </w:p>
    <w:p w14:paraId="1AAABC9D" w14:textId="77777777" w:rsidR="00901CDC" w:rsidRDefault="00DD550A">
      <w:pPr>
        <w:suppressAutoHyphens w:val="0"/>
        <w:spacing w:beforeAutospacing="1" w:afterAutospacing="1" w:line="240" w:lineRule="auto"/>
        <w:jc w:val="both"/>
        <w:rPr>
          <w:rFonts w:ascii="Arial" w:eastAsia="Arial" w:hAnsi="Arial" w:cs="Arial"/>
          <w:sz w:val="24"/>
          <w:szCs w:val="24"/>
          <w:lang w:eastAsia="pt-BR"/>
        </w:rPr>
      </w:pPr>
      <w:r>
        <w:rPr>
          <w:rFonts w:ascii="Arial" w:eastAsia="Times New Roman" w:hAnsi="Arial" w:cs="Arial"/>
          <w:color w:val="000000"/>
          <w:sz w:val="24"/>
          <w:szCs w:val="24"/>
          <w:lang w:eastAsia="pt-BR"/>
        </w:rPr>
        <w:t>b) Definitivamente: em até 05 (cinco) dias úteis, contados do recebimento provisório, pela Divisão de Materiais (DIMAT) por servidor designado, com a conferência do(s) item(</w:t>
      </w:r>
      <w:proofErr w:type="spellStart"/>
      <w:r>
        <w:rPr>
          <w:rFonts w:ascii="Arial" w:eastAsia="Times New Roman" w:hAnsi="Arial" w:cs="Arial"/>
          <w:color w:val="000000"/>
          <w:sz w:val="24"/>
          <w:szCs w:val="24"/>
          <w:lang w:eastAsia="pt-BR"/>
        </w:rPr>
        <w:t>ns</w:t>
      </w:r>
      <w:proofErr w:type="spellEnd"/>
      <w:r>
        <w:rPr>
          <w:rFonts w:ascii="Arial" w:eastAsia="Times New Roman" w:hAnsi="Arial" w:cs="Arial"/>
          <w:color w:val="000000"/>
          <w:sz w:val="24"/>
          <w:szCs w:val="24"/>
          <w:lang w:eastAsia="pt-BR"/>
        </w:rPr>
        <w:t>) fornecido(s), atestando sua conformidade e total adequação ao objeto contratado, mediante termo detalhado, com o consequente encaminhamento da nota fiscal à Diretoria de Administração Financeira - DAFI, para análise e pagamento, após os registros pertinentes em sistema próprio.</w:t>
      </w:r>
    </w:p>
    <w:p w14:paraId="23128E01"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14 - DOS CRITÉRIOS DE MEDIÇÃO E PAGAMENTO:</w:t>
      </w:r>
    </w:p>
    <w:p w14:paraId="19DE9455" w14:textId="77777777" w:rsidR="00901CDC" w:rsidRDefault="00DD550A">
      <w:pPr>
        <w:pBdr>
          <w:top w:val="single" w:sz="4" w:space="0" w:color="000000"/>
          <w:left w:val="single" w:sz="4" w:space="1" w:color="000000"/>
          <w:bottom w:val="single" w:sz="4" w:space="0"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 xml:space="preserve">14.1 - CRITÉRIOS DE MEDIÇÃO:              </w:t>
      </w:r>
    </w:p>
    <w:p w14:paraId="0AED3DCD" w14:textId="77777777" w:rsidR="00901CDC" w:rsidRDefault="00DD550A">
      <w:pPr>
        <w:suppressAutoHyphens w:val="0"/>
        <w:spacing w:after="165"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shd w:val="clear" w:color="auto" w:fill="FFFFFF"/>
          <w:lang w:eastAsia="pt-BR"/>
        </w:rPr>
        <w:t>Não há necessidade, pois se trata de caso de fornecimento de bens cuja verificação dos prazos acordados e dos quantitativos são realizados no momento do recebimento provisório/definitivo (item 13.3).</w:t>
      </w:r>
      <w:r>
        <w:rPr>
          <w:rFonts w:ascii="Arial" w:eastAsia="Times New Roman" w:hAnsi="Arial" w:cs="Arial"/>
          <w:color w:val="000000"/>
          <w:sz w:val="24"/>
          <w:szCs w:val="24"/>
          <w:highlight w:val="white"/>
          <w:lang w:eastAsia="pt-BR"/>
        </w:rPr>
        <w:t> </w:t>
      </w:r>
    </w:p>
    <w:p w14:paraId="4A68886F"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sidRPr="00F51790">
        <w:rPr>
          <w:rFonts w:ascii="Arial" w:eastAsia="Arial" w:hAnsi="Arial" w:cs="Arial"/>
          <w:b/>
          <w:bCs/>
          <w:sz w:val="24"/>
          <w:szCs w:val="24"/>
          <w:lang w:eastAsia="pt-BR"/>
        </w:rPr>
        <w:t>14.2 - CRITÉRIOS DE PAGAMENTO:</w:t>
      </w:r>
      <w:r>
        <w:rPr>
          <w:rFonts w:ascii="Arial" w:eastAsia="Arial" w:hAnsi="Arial" w:cs="Arial"/>
          <w:b/>
          <w:bCs/>
          <w:sz w:val="24"/>
          <w:szCs w:val="24"/>
          <w:lang w:eastAsia="pt-BR"/>
        </w:rPr>
        <w:t xml:space="preserve">                   </w:t>
      </w:r>
    </w:p>
    <w:p w14:paraId="2746F58C" w14:textId="712095B7" w:rsidR="007110BB" w:rsidRPr="00B675A1" w:rsidRDefault="007110BB">
      <w:pPr>
        <w:suppressAutoHyphens w:val="0"/>
        <w:spacing w:beforeAutospacing="1" w:afterAutospacing="1" w:line="240" w:lineRule="auto"/>
        <w:jc w:val="both"/>
        <w:rPr>
          <w:rFonts w:ascii="Arial" w:eastAsia="Times New Roman" w:hAnsi="Arial" w:cs="Arial"/>
          <w:color w:val="000000"/>
          <w:sz w:val="24"/>
          <w:szCs w:val="24"/>
          <w:lang w:eastAsia="pt-BR"/>
        </w:rPr>
      </w:pPr>
      <w:r w:rsidRPr="00B675A1">
        <w:rPr>
          <w:rFonts w:ascii="Arial" w:eastAsia="Times New Roman" w:hAnsi="Arial" w:cs="Arial"/>
          <w:color w:val="000000"/>
          <w:sz w:val="24"/>
          <w:szCs w:val="24"/>
          <w:lang w:eastAsia="pt-BR"/>
        </w:rPr>
        <w:t xml:space="preserve">14.2.1 </w:t>
      </w:r>
      <w:r w:rsidR="00DD550A" w:rsidRPr="00B675A1">
        <w:rPr>
          <w:rFonts w:ascii="Arial" w:eastAsia="Times New Roman" w:hAnsi="Arial" w:cs="Arial"/>
          <w:color w:val="000000"/>
          <w:sz w:val="24"/>
          <w:szCs w:val="24"/>
          <w:lang w:eastAsia="pt-BR"/>
        </w:rPr>
        <w:t xml:space="preserve">O pagamento </w:t>
      </w:r>
      <w:r w:rsidRPr="00B675A1">
        <w:rPr>
          <w:rFonts w:ascii="Arial" w:eastAsia="Times New Roman" w:hAnsi="Arial" w:cs="Arial"/>
          <w:color w:val="000000"/>
          <w:sz w:val="24"/>
          <w:szCs w:val="24"/>
          <w:lang w:eastAsia="pt-BR"/>
        </w:rPr>
        <w:t xml:space="preserve">integral </w:t>
      </w:r>
      <w:r w:rsidR="00DD550A" w:rsidRPr="00B675A1">
        <w:rPr>
          <w:rFonts w:ascii="Arial" w:eastAsia="Times New Roman" w:hAnsi="Arial" w:cs="Arial"/>
          <w:color w:val="000000"/>
          <w:sz w:val="24"/>
          <w:szCs w:val="24"/>
          <w:lang w:eastAsia="pt-BR"/>
        </w:rPr>
        <w:t xml:space="preserve">será efetuado no prazo máximo de até </w:t>
      </w:r>
      <w:r w:rsidR="00660243" w:rsidRPr="00B675A1">
        <w:rPr>
          <w:rFonts w:ascii="Arial" w:eastAsia="Times New Roman" w:hAnsi="Arial" w:cs="Arial"/>
          <w:color w:val="000000"/>
          <w:sz w:val="24"/>
          <w:szCs w:val="24"/>
          <w:lang w:eastAsia="pt-BR"/>
        </w:rPr>
        <w:t>30</w:t>
      </w:r>
      <w:r w:rsidRPr="00B675A1">
        <w:rPr>
          <w:rFonts w:ascii="Arial" w:eastAsia="Times New Roman" w:hAnsi="Arial" w:cs="Arial"/>
          <w:color w:val="000000"/>
          <w:sz w:val="24"/>
          <w:szCs w:val="24"/>
          <w:lang w:eastAsia="pt-BR"/>
        </w:rPr>
        <w:t xml:space="preserve"> (</w:t>
      </w:r>
      <w:r w:rsidR="00660243" w:rsidRPr="00B675A1">
        <w:rPr>
          <w:rFonts w:ascii="Arial" w:eastAsia="Times New Roman" w:hAnsi="Arial" w:cs="Arial"/>
          <w:color w:val="000000"/>
          <w:sz w:val="24"/>
          <w:szCs w:val="24"/>
          <w:lang w:eastAsia="pt-BR"/>
        </w:rPr>
        <w:t>trinta)</w:t>
      </w:r>
      <w:r w:rsidRPr="00B675A1">
        <w:rPr>
          <w:rFonts w:ascii="Arial" w:eastAsia="Times New Roman" w:hAnsi="Arial" w:cs="Arial"/>
          <w:color w:val="000000"/>
          <w:sz w:val="24"/>
          <w:szCs w:val="24"/>
          <w:lang w:eastAsia="pt-BR"/>
        </w:rPr>
        <w:t xml:space="preserve"> dias úteis</w:t>
      </w:r>
      <w:r w:rsidR="00DD550A" w:rsidRPr="00B675A1">
        <w:rPr>
          <w:rFonts w:ascii="Arial" w:eastAsia="Times New Roman" w:hAnsi="Arial" w:cs="Arial"/>
          <w:color w:val="000000"/>
          <w:sz w:val="24"/>
          <w:szCs w:val="24"/>
          <w:lang w:eastAsia="pt-BR"/>
        </w:rPr>
        <w:t>, contados</w:t>
      </w:r>
      <w:r w:rsidRPr="00B675A1">
        <w:rPr>
          <w:rFonts w:ascii="Arial" w:eastAsia="Times New Roman" w:hAnsi="Arial" w:cs="Arial"/>
          <w:color w:val="000000"/>
          <w:sz w:val="24"/>
          <w:szCs w:val="24"/>
          <w:lang w:eastAsia="pt-BR"/>
        </w:rPr>
        <w:t xml:space="preserve"> a partir da protocolização da nota fiscal/fatura e do primeiro dia útil seguinte ao recebimento definitivo.</w:t>
      </w:r>
    </w:p>
    <w:p w14:paraId="6846D2ED" w14:textId="77777777" w:rsidR="007110BB" w:rsidRPr="00B675A1" w:rsidRDefault="007110BB">
      <w:pPr>
        <w:suppressAutoHyphens w:val="0"/>
        <w:spacing w:beforeAutospacing="1" w:afterAutospacing="1" w:line="240" w:lineRule="auto"/>
        <w:jc w:val="both"/>
        <w:rPr>
          <w:rFonts w:ascii="Arial" w:eastAsia="Times New Roman" w:hAnsi="Arial" w:cs="Arial"/>
          <w:color w:val="000000"/>
          <w:sz w:val="24"/>
          <w:szCs w:val="24"/>
          <w:lang w:eastAsia="pt-BR"/>
        </w:rPr>
      </w:pPr>
      <w:r w:rsidRPr="00B675A1">
        <w:rPr>
          <w:rFonts w:ascii="Arial" w:eastAsia="Times New Roman" w:hAnsi="Arial" w:cs="Arial"/>
          <w:color w:val="000000"/>
          <w:sz w:val="24"/>
          <w:szCs w:val="24"/>
          <w:lang w:eastAsia="pt-BR"/>
        </w:rPr>
        <w:t>14.2.1.1 O MPMG pagará aos fornecedores o valor unitário por item multiplicado pela quantidade solicitada, que constará na nota de empenho.</w:t>
      </w:r>
    </w:p>
    <w:p w14:paraId="0016AA7D" w14:textId="77777777" w:rsidR="007110BB" w:rsidRPr="00B675A1" w:rsidRDefault="007110BB">
      <w:pPr>
        <w:suppressAutoHyphens w:val="0"/>
        <w:spacing w:beforeAutospacing="1" w:afterAutospacing="1" w:line="240" w:lineRule="auto"/>
        <w:jc w:val="both"/>
        <w:rPr>
          <w:rFonts w:ascii="Arial" w:eastAsia="Times New Roman" w:hAnsi="Arial" w:cs="Arial"/>
          <w:color w:val="000000"/>
          <w:sz w:val="24"/>
          <w:szCs w:val="24"/>
          <w:lang w:eastAsia="pt-BR"/>
        </w:rPr>
      </w:pPr>
      <w:r w:rsidRPr="00B675A1">
        <w:rPr>
          <w:rFonts w:ascii="Arial" w:eastAsia="Times New Roman" w:hAnsi="Arial" w:cs="Arial"/>
          <w:color w:val="000000"/>
          <w:sz w:val="24"/>
          <w:szCs w:val="24"/>
          <w:lang w:eastAsia="pt-BR"/>
        </w:rPr>
        <w:t>14.2.1.2 No preço unitário estão incluídos todos dos impostos, taxas e encargos sociais, além das obrigações trabalhistas, previdenciárias, fiscais e comerciais e das despesas com transportes, as quais correrão por conta dos fornecedores.</w:t>
      </w:r>
    </w:p>
    <w:p w14:paraId="00972F77" w14:textId="77777777" w:rsidR="007110BB" w:rsidRPr="00B675A1" w:rsidRDefault="007110BB">
      <w:pPr>
        <w:suppressAutoHyphens w:val="0"/>
        <w:spacing w:beforeAutospacing="1" w:afterAutospacing="1" w:line="240" w:lineRule="auto"/>
        <w:jc w:val="both"/>
        <w:rPr>
          <w:rFonts w:ascii="Arial" w:eastAsia="Times New Roman" w:hAnsi="Arial" w:cs="Arial"/>
          <w:color w:val="000000"/>
          <w:sz w:val="24"/>
          <w:szCs w:val="24"/>
          <w:lang w:eastAsia="pt-BR"/>
        </w:rPr>
      </w:pPr>
      <w:r w:rsidRPr="00B675A1">
        <w:rPr>
          <w:rFonts w:ascii="Arial" w:eastAsia="Times New Roman" w:hAnsi="Arial" w:cs="Arial"/>
          <w:color w:val="000000"/>
          <w:sz w:val="24"/>
          <w:szCs w:val="24"/>
          <w:lang w:eastAsia="pt-BR"/>
        </w:rPr>
        <w:t xml:space="preserve">14.2.1.2.3 Deverão ser observados os seguintes critérios: </w:t>
      </w:r>
    </w:p>
    <w:p w14:paraId="4304A89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a. A Contratada apresentará à Contratante, acompanhado do objeto entregue, a respectiva nota fiscal (ou documento equivalente) emitida em nome da Procuradoria-Geral de Justiça, CNPJ nº 20.971.057/0001-45, Av. Álvares Cabral, 1.690, bairro Santo Agostinho, Belo Horizonte, MG, constando, em seu corpo, DIMAT (Divisão de Materiais), local de entrega, número do contrato, número do empenho, elementos caracterizadores do objeto, bem como seus dados bancários para pagamento;</w:t>
      </w:r>
    </w:p>
    <w:p w14:paraId="24C4B7D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b. Recebida a nota fiscal (ou documento equivalente), o fiscal do contrato terá o prazo de 10 (dez) dias úteis para encaminhá-la à Diretoria de Administração Financeira (DAFI/Gestão) para pagamento, via SEI, em processo próprio (Tipo: Gestão Orçamentária e Financeira – Processo de Pagamento) acompanhada do atestado de nota fiscal (ou documento equivalente) e do formulário de encaminhamento de documento fiscal. O processo de pagamento iniciado deverá estar relacionado ao processo da contratação respectivo;</w:t>
      </w:r>
    </w:p>
    <w:p w14:paraId="29CD6EE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c. Recebido o processo de pagamento, constatada a sua regularidade, a DAFI terá o prazo de até 09 (nove) dias úteis para efetuar o pagamento, efetuando a retenção tributária, quando a legislação assim a exigir;</w:t>
      </w:r>
    </w:p>
    <w:p w14:paraId="49244572"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 No caso da não aprovação da nota fiscal (ou documento equivalente) por motivo de incorreção, rasura, imprecisão ou circunstância que impeça a liquidação da despesa, ela será devolvida à Contratada para a devida regularização, reiniciando-se os prazos para aceite e consequente pagamento a partir da reapresentação da nota fiscal (ou documento equivalente) devidamente regularizada;</w:t>
      </w:r>
    </w:p>
    <w:p w14:paraId="0F8902B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e. Ocorrendo atraso na entrega/substituição do objeto, a Contratada deverá anexar à respectiva nota fiscal (ou documento equivalente) justificativa e documentação comprobatória dos motivos alegados;</w:t>
      </w:r>
    </w:p>
    <w:p w14:paraId="163A6B0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f. Na hipótese precedente, a Contratante efetuará o pagamento pertinente, retendo o valor de eventual multa por atraso, até a conclusão do Processo Administrativo instaurado para avaliação do descumprimento e da justificativa apresentada:</w:t>
      </w:r>
    </w:p>
    <w:p w14:paraId="5A28634D"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g. O valor eventualmente retido será restituído à Contratada caso a justificativa apresentada seja julgada procedente, sendo convertido em penalidade, caso se conclua pela improcedência da justificativa:</w:t>
      </w:r>
    </w:p>
    <w:p w14:paraId="5A765B8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h. Previamente à emissão de nota de empenho e a cada pagamento, a Administração deverá realizar consulta ao CAGEF para:</w:t>
      </w:r>
    </w:p>
    <w:p w14:paraId="09A36DF2"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 verificar a manutenção das condições de habilitação exigidas no edital;</w:t>
      </w:r>
    </w:p>
    <w:p w14:paraId="5DBD8D1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 identificar possível razão que impeça a participação em licitação, no âmbito do órgão ou entidade, proibição de contratar com o Poder Público, bem como ocorrências impeditivas indiretas.</w:t>
      </w:r>
    </w:p>
    <w:p w14:paraId="4BDAA3B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i) Constatando-se, junto ao CAGEF,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DC68C3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j)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4FD64A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k) Persistindo a irregularidade, o contratante deverá adotar as medidas necessárias à rescisão contratual nos autos do processo administrativo correspondente, assegurados ao contratado o contraditório e a ampla defesa. </w:t>
      </w:r>
    </w:p>
    <w:p w14:paraId="724891B2"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15 - DA VIGÊNCIA CONTRATUAL E DA POSSIBILIDADE DE PRORROGAÇÃO:</w:t>
      </w:r>
    </w:p>
    <w:p w14:paraId="650A5B3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15.1. O prazo de vigência da contratação é de 12 meses contados a partir da data da publicação do contrato no Diário Oficial do Ministério Público de Minas Gerais, nos termos do artigo 105 da Lei n° 14.133/2021.</w:t>
      </w:r>
    </w:p>
    <w:p w14:paraId="595A291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15.2 O prazo de vigência será automaticamente prorrogado, desde que justificadamente, pelo prazo necessário à conclusão do objeto quando este não for concluído no período firmado acima, ressalvadas as providências cabíveis no caso de culpa do contratado, previstas neste instrumento</w:t>
      </w:r>
    </w:p>
    <w:p w14:paraId="72E6541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15.3. Maior detalhamento das regras que serão aplicadas em relação à vigência da contratação será estabelecido no contrato.</w:t>
      </w:r>
    </w:p>
    <w:p w14:paraId="09347A7B" w14:textId="77777777" w:rsidR="00901CDC" w:rsidRDefault="00DD550A">
      <w:pPr>
        <w:pBdr>
          <w:top w:val="single" w:sz="4" w:space="1" w:color="000000"/>
          <w:left w:val="single" w:sz="4" w:space="4" w:color="000000"/>
          <w:bottom w:val="single" w:sz="4" w:space="1" w:color="000000"/>
          <w:right w:val="single" w:sz="4" w:space="4" w:color="000000"/>
        </w:pBdr>
        <w:suppressAutoHyphens w:val="0"/>
        <w:spacing w:beforeAutospacing="1" w:afterAutospacing="1" w:line="240"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r>
        <w:rPr>
          <w:rFonts w:ascii="Arial" w:eastAsia="Times New Roman" w:hAnsi="Arial" w:cs="Arial"/>
          <w:b/>
          <w:bCs/>
          <w:color w:val="000000"/>
          <w:sz w:val="24"/>
          <w:szCs w:val="24"/>
          <w:lang w:eastAsia="pt-BR"/>
        </w:rPr>
        <w:t>16 - DAS OBRIGAÇÕES DA CONTRATADA E DA CONTRATANTE:</w:t>
      </w:r>
    </w:p>
    <w:p w14:paraId="3D4B73D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hAnsi="Arial" w:cs="Arial"/>
          <w:sz w:val="24"/>
          <w:szCs w:val="24"/>
        </w:rPr>
        <w:t>As obrigações contratuais gerais serão estabelecidas em contrato</w:t>
      </w:r>
      <w:r>
        <w:rPr>
          <w:rFonts w:ascii="Arial" w:eastAsia="Times New Roman" w:hAnsi="Arial" w:cs="Arial"/>
          <w:b/>
          <w:bCs/>
          <w:i/>
          <w:iCs/>
          <w:color w:val="000000"/>
          <w:sz w:val="24"/>
          <w:szCs w:val="24"/>
          <w:lang w:eastAsia="pt-BR"/>
        </w:rPr>
        <w:t>.</w:t>
      </w:r>
    </w:p>
    <w:p w14:paraId="12A89B1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16.1 DEVERES DA CONTRATADA:</w:t>
      </w:r>
    </w:p>
    <w:p w14:paraId="69525E8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 Cumprir todas as obrigações constantes no termo de referência, edital, anexos e proposta, assumindo como exclusivamente seus os riscos e as despesas decorrentes da boa e perfeita execução do objeto.</w:t>
      </w:r>
    </w:p>
    <w:p w14:paraId="1800479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16.1.2 Confirmar o recebimento de e-mails enviados pela Contratante e, em relação às Autorizações de Fornecimento, assiná-las e encaminhá-las digitalizadas no e-mail dimat@mpmg.mp.br e dimat.gestao@mpmg.mp.br no prazo máximo de 02 (dois) dias úteis.</w:t>
      </w:r>
    </w:p>
    <w:p w14:paraId="5DC745B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16.1.3. Efetuar a entrega dos bens em perfeitas condições, devidamente protegidos, embalados adequadamente contra danos de transporte, no prazo e local indicados </w:t>
      </w:r>
      <w:r>
        <w:rPr>
          <w:rFonts w:ascii="Arial" w:eastAsia="Times New Roman" w:hAnsi="Arial" w:cs="Arial"/>
          <w:color w:val="000000"/>
          <w:sz w:val="24"/>
          <w:szCs w:val="24"/>
          <w:lang w:eastAsia="pt-BR"/>
        </w:rPr>
        <w:lastRenderedPageBreak/>
        <w:t>pela Administração, em estrita observância das especificações do Edital e da proposta, acompanhado da respectiva nota fiscal, constando detalhadamente as indicações da marca, fabricante, modelo, tipo, procedência e prazo de garantia.</w:t>
      </w:r>
    </w:p>
    <w:p w14:paraId="40C98F5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16.1.4 Agendar previamente, através de envio de e-mail à Contratante, galpaopermanente@mpmg.mp.br, dimat@mpmg.mp.br e dimat.gestao@mpmg.mp.br a data e a hora de entrega integral do material, no (s) local (ais) informado (s) pela Contratante quando do envio da Autorização de Fornecimento.</w:t>
      </w:r>
    </w:p>
    <w:p w14:paraId="0F8CAFA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16.1.4.1 O fornecimento parcelado poderá ser admitido em situações especiais, critério da Contratante, mediante solicitação formal da Contratada, que deverá apresentar, no momento da entrega, as Notas Fiscais correspondentes ao quantitativo efetivamente fornecido naquela oportunidade. A aceitação, por parte da Contratante, do fornecimento parcelado não gera direito a recebimento parcial pela Contratada, sendo o pagamento efetuado após o recebimento definitivo do quantitativo total dos materiais constantes da Nota Fiscal.</w:t>
      </w:r>
    </w:p>
    <w:p w14:paraId="233AA81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16.1.4.2 Em regra, todos os itens serão fornecidos montados. A Contratante, por conveniência e em razão de disponibilidade de espaço no galpão, poderá requisitar que parte do quantitativo seja entregue desmontado, para montagem posterior pela Contratada, sem quaisquer ônus para a Contratante. Para montagens posteriores à entrega, a Contratante encaminhará e-mail à Contratada e solicitará esse serviço, o qual deve ser cumprido no prazo máximo de 05 (cinco) dias úteis.</w:t>
      </w:r>
    </w:p>
    <w:p w14:paraId="1C4ED30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16.1.4.3 Caso a Contratada opte por montar os bens no local da entrega, deverá ser solicitada autorização para a Contratante através do e-mail dimat@mpmg.mp.br:</w:t>
      </w:r>
    </w:p>
    <w:p w14:paraId="170232C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A conclusão da montagem desses bens deverá ocorrer dentro do prazo previsto no item 13.1.;</w:t>
      </w:r>
    </w:p>
    <w:p w14:paraId="4A6376A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b) A Contratada deverá informar, previamente e via e-mail, o(s) nome(s) e documento(s) de identificação do prestador que realizará a montagem dos bens, a quantidade de dias necessários para a montagem, a data de início e a data final, o período em horas, para que a Contratada disponibilize espaço no galpão. Essas informações vinculam a Contratada.</w:t>
      </w:r>
    </w:p>
    <w:p w14:paraId="64CAD30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16.1.5 Descarregar os produtos em local/depósito indicado pela Contratante e armazenados de maneira ordenada, a fim de facilitar a conferência.</w:t>
      </w:r>
    </w:p>
    <w:p w14:paraId="540DC95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16.1.5.1 Os materiais serão recebidos provisoriamente pela Contratante, em até 2 (dois) dias úteis, no ato da entrega, para efeito de posterior verificação de sua conformidade com as especificações, e definitivamente, no prazo máximo de 5 (cinco) dias úteis, contados da instalação do mobiliário, após a verificação da qualidade e da quantidade e consequente aceitação.</w:t>
      </w:r>
    </w:p>
    <w:p w14:paraId="2FF30C9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16.1.5.2 O recebimento provisório e definitivo do objeto não exclui a responsabilidade civil a ele relativa, nem a ético-profissional, pela sua perfeita execução e dar-se-á satisfeita em função do atendimento das seguintes condições:</w:t>
      </w:r>
    </w:p>
    <w:p w14:paraId="1A36D6D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Fornecimento de item novo, nunca utilizado;</w:t>
      </w:r>
    </w:p>
    <w:p w14:paraId="44DCFC1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b) Material embalado, acondicionado, identificado e de acordo com as Especificações Técnicas;</w:t>
      </w:r>
    </w:p>
    <w:p w14:paraId="6CBF5C6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c) Quantidade e qualidade em conformidade com o estabelecido na Autorização de Fornecimento;</w:t>
      </w:r>
    </w:p>
    <w:p w14:paraId="04491D7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 Entrega no prazo, local e horários previsto neste Termo de Referência.</w:t>
      </w:r>
    </w:p>
    <w:p w14:paraId="03FCE2E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16.1.5.3 O recebimento definitivo dar-se-á após verificação física que constate a integridade do produto, assim como da conformidade com as quantidades e especificações constantes no Termo de Referência;</w:t>
      </w:r>
    </w:p>
    <w:p w14:paraId="1799B55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16.1.6 Responsabilizar-se pelos vícios e danos decorrentes do objeto, de acordo com os artigos 12 e 13 e 17 a 27, do Código de Defesa do Consumidor (Lei nº 8.078, de 1990).</w:t>
      </w:r>
    </w:p>
    <w:p w14:paraId="7ECEF3B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16.1.7 Prestar garantia e, de acordo com o caso, suporte técnico conforme estabelecido neste Termo de Referência;</w:t>
      </w:r>
    </w:p>
    <w:p w14:paraId="6468B242"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16.1.8 Responsabilizar-se pela montagem dos itens de mobiliário, sempre que solicitado pela Contratante, no prazo máximo de 05 (cinco) dias úteis a contar da data de comunicação, devendo acordar com a Contratante a data e o horário para tanto.</w:t>
      </w:r>
    </w:p>
    <w:p w14:paraId="1F8B74B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16.1.9 Montar os bens permanentes de acordo com as especificações do fabricante e demais normas técnicas, mantendo todas as condições exigidas e assumidas por ocasião da licitação.</w:t>
      </w:r>
    </w:p>
    <w:p w14:paraId="4408F85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16.1.10 Prestar todos os esclarecimentos que forem solicitados pela Contratante, cujas reclamações se obriga a atender, sem ônus para a Contratante, seja ele via telefone ou através de correio eletrônico.</w:t>
      </w:r>
    </w:p>
    <w:p w14:paraId="272C822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16.1.11 Comunicar ao setor responsável da Contratante, quaisquer anormalidades de caráter urgente, motivos que impossibilitem o cumprimento do prazo previsto, com a devida comprovação, referente ao fornecimento dos materiais/produtos, no prazo mínimo de 48 (quarenta e oito) horas que antecede a data da entrega.</w:t>
      </w:r>
    </w:p>
    <w:p w14:paraId="718A6D8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16.1.12 Manter durante toda a execução do contrato em compatibilidade com as obrigações assumidas, todas as condições de habilitação e qualificação exigidas na licitação.</w:t>
      </w:r>
    </w:p>
    <w:p w14:paraId="6699DAC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16.1.13 Não permitir a utilização de qualquer trabalho do menor de dezesseis anos, exceto na condição de aprendiz para os maiores de quatorze anos; nem permitir a utilização do trabalho do menor de dezoito anos em trabalho noturno, perigoso ou insalubre;</w:t>
      </w:r>
    </w:p>
    <w:p w14:paraId="376B817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16.1.14 Não transferir a terceiros, por qualquer forma, nem mesmo parcialmente, as obrigações assumidas, nem subcontratar qualquer das prestações a que está obrigada;</w:t>
      </w:r>
    </w:p>
    <w:p w14:paraId="3252F61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16.1.15 Responsabilizar-se pela qualidade dos bens fornecidos, bem como por todo o transporte e deslocamentos necessários à entrega dos mesmos, não se admitindo, sob nenhum pretexto, que sejam atribuídos a terceiros os ônus de qualquer problema que porventura venha a ocorrer.</w:t>
      </w:r>
    </w:p>
    <w:p w14:paraId="33B7C93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16.1.16 Responsabilizar-se pelo pagamento de seguros, impostos, taxas e serviços, encargos sociais e trabalhistas, e quaisquer despesas referentes aos bens, inclusive licença em repartições públicas, registros, publicações e autenticações do contrato;</w:t>
      </w:r>
    </w:p>
    <w:p w14:paraId="2CAF1C4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16.1.17 Responder por quaisquer danos causados diretamente aos materiais/produtos ou a outros bens de propriedade da Contratante e de terceiros, quando esses tenham sido ocasionados por seus funcionários durante a entrega.</w:t>
      </w:r>
    </w:p>
    <w:p w14:paraId="54DD56D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16.1.17.1 Respeitar as normas e procedimentos de controle de acesso às dependências da Contratante.</w:t>
      </w:r>
    </w:p>
    <w:p w14:paraId="4A5A528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16.1.17.2 Manter os seus empregados identificados por crachá quando do fornecimento dos materiais/produtos à Contratante.</w:t>
      </w:r>
    </w:p>
    <w:p w14:paraId="061CAA4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16.1.17.3 Substituir imediatamente quaisquer empregados cuja atuação seja considerada inoportuna ou desqualificada pela Contratante;</w:t>
      </w:r>
    </w:p>
    <w:p w14:paraId="14BD709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16.1.17.4 Arcar com a despesa decorrente de qualquer infração, desde que praticada por seus empregados nas dependências da Contratante, bem como qualquer acidente de trabalho.</w:t>
      </w:r>
    </w:p>
    <w:p w14:paraId="4294071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16.1.18 Disponibilizar uma conta de e-mail para fins de comunicação entre as partes e indicar preposto para representá-la durante toda a execução do contrato.</w:t>
      </w:r>
    </w:p>
    <w:p w14:paraId="43E037A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16.1.19 Manter sempre atualizado o seu endereço, telefone, fax, e-mail e meios de contato junto à Contratante.</w:t>
      </w:r>
    </w:p>
    <w:p w14:paraId="0BC49E2D"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16.1.20 Não caucionar ou utilizar o contrato para qualquer operação financeira, sob pena de rescisão contratual.</w:t>
      </w:r>
    </w:p>
    <w:p w14:paraId="10F4CBE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16.1.21 Cumprir com as demais obrigações constantes no Edital e neste Termo.</w:t>
      </w:r>
    </w:p>
    <w:p w14:paraId="1A3F7FE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16.1.22 A inobservância das regras previstas neste termo, edital, contrato acarreta descumprimento contratual, implicando a possibilidade de aplicação das penalidades previstas no edital e seus anexos, sem prejuízo da rescisão por iniciativa da Administração Pública.</w:t>
      </w:r>
    </w:p>
    <w:p w14:paraId="111A03E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br/>
        <w:t>16.1.23 Disponibilizar vídeo e/ou manual do produto e/ou tutorial de orientando como montar, ou utilizar/ajustar o item, no prazo máximo de 05 (cinco) dias úteis a contar da data de comunicação.</w:t>
      </w:r>
    </w:p>
    <w:p w14:paraId="2E157A7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16.2 DEVERES DA CONTRATANTE:</w:t>
      </w:r>
    </w:p>
    <w:p w14:paraId="0908A34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16.2.1 Prestar as informações e esclarecimentos necessários ao bom desempenho das atividades, fiscalizar e gerenciar a execução do objeto contratado.</w:t>
      </w:r>
    </w:p>
    <w:p w14:paraId="2B6D293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16.2.2 Acompanhar e fiscalizar o cumprimento das obrigações da Contratada, através de comissão/servidor especialmente designado.</w:t>
      </w:r>
    </w:p>
    <w:p w14:paraId="15D3334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16.2.3 Encaminhar e-mail com a Autorização de Fornecimento ao Fornecedor.</w:t>
      </w:r>
    </w:p>
    <w:p w14:paraId="626397F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16.2.4 Permitir acesso dos empregados/prepostos/subordinados da Contratada às dependências da Contratante, quando da entrega dos materiais/produtos.</w:t>
      </w:r>
    </w:p>
    <w:p w14:paraId="21C8CE4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16.2.5 Disponibilizar local adequado para a realização da entrega.</w:t>
      </w:r>
    </w:p>
    <w:p w14:paraId="2F9DFF1D"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15.2.6 Receber o objeto no prazo e condições estabelecidas no Edital e seus anexos.</w:t>
      </w:r>
    </w:p>
    <w:p w14:paraId="5B50D16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16.2.7 Verificar minuciosamente, no prazo fixado, a conformidade dos bens recebidos provisoriamente com as especificações constantes do Edital e da proposta, para fins de aceitação e recebimento definitivo, atestando seu recebimento.</w:t>
      </w:r>
    </w:p>
    <w:p w14:paraId="467E3C6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16.2.8 Comunicar à Contratada, por escrito, sobre imperfeições, falhas ou irregularidades verificadas no objeto fornecido, para que seja substituído, reparado ou corrigido.</w:t>
      </w:r>
    </w:p>
    <w:p w14:paraId="73E0090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16.2.9 Atestar a(s) Nota(s) Fiscal(</w:t>
      </w:r>
      <w:proofErr w:type="spellStart"/>
      <w:r>
        <w:rPr>
          <w:rFonts w:ascii="Arial" w:eastAsia="Times New Roman" w:hAnsi="Arial" w:cs="Arial"/>
          <w:color w:val="000000"/>
          <w:sz w:val="24"/>
          <w:szCs w:val="24"/>
          <w:lang w:eastAsia="pt-BR"/>
        </w:rPr>
        <w:t>is</w:t>
      </w:r>
      <w:proofErr w:type="spellEnd"/>
      <w:r>
        <w:rPr>
          <w:rFonts w:ascii="Arial" w:eastAsia="Times New Roman" w:hAnsi="Arial" w:cs="Arial"/>
          <w:color w:val="000000"/>
          <w:sz w:val="24"/>
          <w:szCs w:val="24"/>
          <w:lang w:eastAsia="pt-BR"/>
        </w:rPr>
        <w:t>) correspondente(s), por intermédio do servidor designado para esse fim.</w:t>
      </w:r>
    </w:p>
    <w:p w14:paraId="74C7CBB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16.2.10 A Contratante se obriga a efetuar o pagamento à Contratada, se os materiais entregues e montados estiverem em perfeitas condições, em conformidade com as especificações estipuladas, no prazo e forma estabelecidos no Edital e seus anexos. Reserva-se, contudo, à Contratante, o direito de suspender o pagamento, enquanto não houver a regularização na substituição/conserto do bem entregue em desconformidade com a amostra/protótipo aprovado.</w:t>
      </w:r>
    </w:p>
    <w:p w14:paraId="2FDF8B9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16.2.11 Aplicar as sanções, conforme previsto no contrato.</w:t>
      </w:r>
    </w:p>
    <w:p w14:paraId="2DFB04C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16.2.12 A Contratante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11F3603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16.2.13 A fiscalização exercida pela Contratante não excluirá ou reduzirá a responsabilidade da Contratada pela completa e perfeita entrega/fornecimento do objeto contratual.</w:t>
      </w:r>
    </w:p>
    <w:p w14:paraId="40BE3B73" w14:textId="77777777" w:rsidR="00901CDC" w:rsidRDefault="00DD550A">
      <w:pPr>
        <w:pBdr>
          <w:top w:val="single" w:sz="4" w:space="1" w:color="000000"/>
          <w:left w:val="single" w:sz="4" w:space="4" w:color="000000"/>
          <w:bottom w:val="single" w:sz="4" w:space="1" w:color="000000"/>
          <w:right w:val="single" w:sz="4" w:space="4" w:color="000000"/>
        </w:pBdr>
        <w:suppressAutoHyphens w:val="0"/>
        <w:spacing w:beforeAutospacing="1" w:afterAutospacing="1" w:line="240" w:lineRule="auto"/>
        <w:rPr>
          <w:rFonts w:ascii="Arial" w:eastAsia="Arial" w:hAnsi="Arial" w:cs="Arial"/>
          <w:sz w:val="24"/>
          <w:szCs w:val="24"/>
          <w:lang w:eastAsia="pt-BR"/>
        </w:rPr>
      </w:pPr>
      <w:r>
        <w:rPr>
          <w:rFonts w:ascii="Arial" w:eastAsia="Times New Roman" w:hAnsi="Arial" w:cs="Arial"/>
          <w:color w:val="000000"/>
          <w:sz w:val="24"/>
          <w:szCs w:val="24"/>
          <w:lang w:eastAsia="pt-BR"/>
        </w:rPr>
        <w:t> </w:t>
      </w:r>
      <w:r>
        <w:rPr>
          <w:rFonts w:ascii="Arial" w:eastAsia="Arial" w:hAnsi="Arial" w:cs="Arial"/>
          <w:b/>
          <w:bCs/>
          <w:sz w:val="24"/>
          <w:szCs w:val="24"/>
          <w:lang w:eastAsia="pt-BR"/>
        </w:rPr>
        <w:t>17- DO MODELO DE GESTÃO DO CONTRATO:</w:t>
      </w:r>
    </w:p>
    <w:p w14:paraId="5CFB8A1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17.1. A forma de comunicação entre os gestores ou fiscais da Contratante e o preposto da Contratada será realizada preferencialmente por meio de correspondência eletrônica, com endereço de e-mail informado previamente e/ou cadastrado em seu banco de dados.</w:t>
      </w:r>
    </w:p>
    <w:p w14:paraId="38ED49A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17.1.1. Nos casos de solicitações de fornecimento/serviço, de refazimento, comunicação sobre decisão de pedido de dilação de prazo, pedido de alteração contratual pelo contratado, considerar-se-á realizada a comunicação no dia que em que o destinatário confirmar o recebimento;</w:t>
      </w:r>
    </w:p>
    <w:p w14:paraId="022E84F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17.1.2. Presumir-se-á recebida a comunicação cuja confirmação não for realizada no prazo de 5 (cinco) dias úteis.</w:t>
      </w:r>
    </w:p>
    <w:p w14:paraId="4DAF217D"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17.2. Nos casos de notificações e intimações relacionadas a ocorrências na execução contratual, decisões administrativas proferidas em sede de processo administrativo e decisão acerca de pedido de reequilíbrio, a forma de comunicação será realizada, preferencialmente, de forma eletrônica pelo Sistema Eletrônico de Informações (SEI-MPMG), por meio de prévio cadastro do contratado como usuário externo.</w:t>
      </w:r>
    </w:p>
    <w:p w14:paraId="52A48FA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17.2.1. Considerar-se-á realizada a comunicação no dia em que o usuário externo proceder à consulta eletrônica de seu teor;</w:t>
      </w:r>
    </w:p>
    <w:p w14:paraId="0E26EE7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17.2.2. Na hipótese do inciso anterior, a comunicação será considerada realizada no primeiro dia útil seguinte, quando a consulta ocorra em dia não-útil;</w:t>
      </w:r>
    </w:p>
    <w:p w14:paraId="06969F4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17.2.3. A consulta referida nos itens anteriores deverá ser feita em até 10 (dez) dias corridos, contados da data do encaminhamento de correspondência eletrônica ao usuário externo, sob pena de considerar-se automaticamente realizada na data do término desse prazo.</w:t>
      </w:r>
    </w:p>
    <w:p w14:paraId="5B681C3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17.3. As Partes desde já acordam que terão pleno vigor e produzirão seus efeitos, inclusive como prova documental, todos os documentos e correspondências trocados entre as Partes, na vigência do presente Contrato e eventuais aditivos, desde que a comunicação seja feita de acordo com os itens acima.</w:t>
      </w:r>
    </w:p>
    <w:p w14:paraId="440E3148" w14:textId="77777777" w:rsidR="00901CDC" w:rsidRDefault="00DD550A">
      <w:pPr>
        <w:suppressAutoHyphens w:val="0"/>
        <w:spacing w:beforeAutospacing="1" w:afterAutospacing="1" w:line="240" w:lineRule="auto"/>
        <w:jc w:val="both"/>
        <w:rPr>
          <w:rFonts w:ascii="Arial" w:eastAsia="Arial" w:hAnsi="Arial" w:cs="Arial"/>
          <w:sz w:val="24"/>
          <w:szCs w:val="24"/>
          <w:lang w:eastAsia="pt-BR"/>
        </w:rPr>
      </w:pPr>
      <w:r>
        <w:rPr>
          <w:rFonts w:ascii="Arial" w:eastAsia="Times New Roman" w:hAnsi="Arial" w:cs="Arial"/>
          <w:color w:val="000000"/>
          <w:sz w:val="24"/>
          <w:szCs w:val="24"/>
          <w:lang w:eastAsia="pt-BR"/>
        </w:rPr>
        <w:lastRenderedPageBreak/>
        <w:t>17.4. A Contratante não se responsabilizará por qualquer inconsistência nos dados do endereço de e-mail fornecido pela Contratada. </w:t>
      </w:r>
    </w:p>
    <w:p w14:paraId="6F857ACF"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18 - DAS INFRAÇÕES E DAS SANÇÕES ADMINISTRATIVAS:</w:t>
      </w:r>
    </w:p>
    <w:p w14:paraId="6EC5475D" w14:textId="77777777" w:rsidR="00901CDC" w:rsidRDefault="00DD550A">
      <w:pPr>
        <w:suppressAutoHyphens w:val="0"/>
        <w:spacing w:after="195"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 Comete infração administrativa, nos termos do art. 155 da Lei nº 14.133, de 2021, o contratado que:</w:t>
      </w:r>
    </w:p>
    <w:p w14:paraId="214FB7D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der causa à inexecução parcial do contrato;</w:t>
      </w:r>
    </w:p>
    <w:p w14:paraId="0A4C931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b. der causa à inexecução parcial do contrato que cause grave dano à Administração ou ao funcionamento dos serviços públicos ou ao interesse coletivo;</w:t>
      </w:r>
    </w:p>
    <w:p w14:paraId="36B3A6F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c. der causa à inexecução total do contrato;</w:t>
      </w:r>
    </w:p>
    <w:p w14:paraId="2519CBE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 ensejar o retardamento da execução ou da entrega do objeto da contratação sem motivo justificado;</w:t>
      </w:r>
    </w:p>
    <w:p w14:paraId="69B0BCF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e. apresentar documentação falsa ou prestar declaração falsa durante a execução do contrato;</w:t>
      </w:r>
    </w:p>
    <w:p w14:paraId="3C4DBA8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f. praticar ato fraudulento na execução do contrato;</w:t>
      </w:r>
    </w:p>
    <w:p w14:paraId="0CF9976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g. comportar-se de modo inidôneo ou cometer fraude de qualquer natureza;</w:t>
      </w:r>
    </w:p>
    <w:p w14:paraId="5E30F88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h. praticar ato lesivo previsto no art. 5º da Lei nº 12.846, de 1º de agosto de 2013</w:t>
      </w:r>
    </w:p>
    <w:p w14:paraId="17BBCEF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18.2. Serão aplicadas ao contratado que incorrer nas infrações acima descritas as seguintes sanções:</w:t>
      </w:r>
    </w:p>
    <w:p w14:paraId="1AFF340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Advertência, quando o contratado der causa à inexecução parcial do contrato, sempre que não se justificar a imposição de penalidade mais grave;</w:t>
      </w:r>
    </w:p>
    <w:p w14:paraId="4B7C55D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b) Impedimento de licitar e contratar, quando praticadas as condutas descritas nas alíneas “b”, “c” e “d” do subitem 18.1, sempre que não se justificar a imposição de penalidade mais grave;</w:t>
      </w:r>
    </w:p>
    <w:p w14:paraId="7BF5529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c) Declaração de inidoneidade para licitar e contratar, quando praticadas as condutas descritas nas alíneas “e”, “f”, “g” e “h” do subitem 18.1, bem como nas alíneas “b”, “c” e “d”, que justifiquem a imposição de penalidade mais grave;</w:t>
      </w:r>
    </w:p>
    <w:p w14:paraId="0D6E945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 Multa:</w:t>
      </w:r>
    </w:p>
    <w:p w14:paraId="663DC90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d.1) ATÉ TRINTA DIAS DE ATRASO INJUSTIFICADO NA EXECUÇÃO/REFAZIMENTO DO SERVIÇO/DA ENTREGA DO OBJETO: multa moratória de 0,5% (cinco décimos por cento) por dia, calculada sobre o valor do </w:t>
      </w:r>
      <w:r>
        <w:rPr>
          <w:rFonts w:ascii="Arial" w:eastAsia="Times New Roman" w:hAnsi="Arial" w:cs="Arial"/>
          <w:color w:val="000000"/>
          <w:sz w:val="24"/>
          <w:szCs w:val="24"/>
          <w:lang w:eastAsia="pt-BR"/>
        </w:rPr>
        <w:lastRenderedPageBreak/>
        <w:t>contrato, a partir do primeiro dia útil subsequente ao do vencimento do prazo estipulado para cumprimento da obrigação;</w:t>
      </w:r>
    </w:p>
    <w:p w14:paraId="6B55582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d.2) MAIS DE TRINTA DIAS DE ATRASO INJUSTIFICADO NA EXECUÇÃO/REFAZIMENTO DO SERVIÇO/ DA ENTREGA DO OBJETO: multa moratória de 10% (dez por cento), calculada sobre o valor do contrato;</w:t>
      </w:r>
    </w:p>
    <w:p w14:paraId="44237E6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d.3) NÃO-EXECUÇÃO/REFAZIMENTO DO SERVIÇO/ DA ENTREGA DO OBJETO: multa compensatória de 30% (trinta por cento), calculada sobre o valor do contrato, aplicável a partir do primeiro dia útil subsequente ao do vencimento do prazo para cumprimento das obrigações, sem embargo de indenização dos prejuízos porventura causados à Contratante;</w:t>
      </w:r>
    </w:p>
    <w:p w14:paraId="20B4EBB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d.4) DESCUMPRIMENTO DE OBRIGAÇÃO ACESSÓRIA PREVISTA EM QUALQUER ITEM DESTE INSTRUMENTO: multa compensatória de 0,5% (cinco décimos por cento) por dia, calculada sobre o valor do contrato e limitada a 30% (trinta por cento) desse valor, contada da comunicação da Contratante (via internet, correio etc.), até cessar a inadimplência;</w:t>
      </w:r>
    </w:p>
    <w:p w14:paraId="57C4A5F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18.3. A inexecução parcial ou total do contrato, bem como o não cumprimento ou cumprimento irregular de suas condições por parte da Contratada poderá implicar a sua extinção unilateral, nos termos dos </w:t>
      </w:r>
      <w:proofErr w:type="spellStart"/>
      <w:r>
        <w:rPr>
          <w:rFonts w:ascii="Arial" w:eastAsia="Times New Roman" w:hAnsi="Arial" w:cs="Arial"/>
          <w:color w:val="000000"/>
          <w:sz w:val="24"/>
          <w:szCs w:val="24"/>
          <w:lang w:eastAsia="pt-BR"/>
        </w:rPr>
        <w:t>arts</w:t>
      </w:r>
      <w:proofErr w:type="spellEnd"/>
      <w:r>
        <w:rPr>
          <w:rFonts w:ascii="Arial" w:eastAsia="Times New Roman" w:hAnsi="Arial" w:cs="Arial"/>
          <w:color w:val="000000"/>
          <w:sz w:val="24"/>
          <w:szCs w:val="24"/>
          <w:lang w:eastAsia="pt-BR"/>
        </w:rPr>
        <w:t>. 137, inciso I, e 138, inciso I, da Lei Federal nº 14.133/2021, com aplicação das penalidades cabíveis, mediante a instauração do devido processo administrativo, resguardando-se aos interessados o direito ao contraditório e a ampla defesa, consoante o disposto na Lei nº 14.133/2021, regulamentada pela Resolução PGJ nº 02, de 16 de fevereiro de 2023;</w:t>
      </w:r>
    </w:p>
    <w:p w14:paraId="2E1F318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18.4. Ocorrida a extinção pelo motivo </w:t>
      </w:r>
      <w:proofErr w:type="spellStart"/>
      <w:r>
        <w:rPr>
          <w:rFonts w:ascii="Arial" w:eastAsia="Times New Roman" w:hAnsi="Arial" w:cs="Arial"/>
          <w:color w:val="000000"/>
          <w:sz w:val="24"/>
          <w:szCs w:val="24"/>
          <w:lang w:eastAsia="pt-BR"/>
        </w:rPr>
        <w:t>retrocitado</w:t>
      </w:r>
      <w:proofErr w:type="spellEnd"/>
      <w:r>
        <w:rPr>
          <w:rFonts w:ascii="Arial" w:eastAsia="Times New Roman" w:hAnsi="Arial" w:cs="Arial"/>
          <w:color w:val="000000"/>
          <w:sz w:val="24"/>
          <w:szCs w:val="24"/>
          <w:lang w:eastAsia="pt-BR"/>
        </w:rPr>
        <w:t>, a Contratante poderá contratar o remanescente, com fulcro no art. 90, § 7º da Lei nº 14.133/2021;</w:t>
      </w:r>
    </w:p>
    <w:p w14:paraId="7DBB97C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18.5. A aplicação das sanções previstas neste Contrato não exclui, em hipótese alguma, a obrigação de reparação integral do dano causado ao Contratante;</w:t>
      </w:r>
    </w:p>
    <w:p w14:paraId="20BA8CA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18.6. Todas as sanções previstas neste Contrato poderão ser aplicadas cumulativamente com a multa;</w:t>
      </w:r>
    </w:p>
    <w:p w14:paraId="2FB3AB8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18.7. Ocorrendo atraso de pagamento por culpa exclusiva da Administração, o pagamento será acrescido de atualização financeira, entre as datas do vencimento e do efetivo pagamento, de acordo com a variação pro rata tempore do IPCA, ou outro índice que venha substituí-lo, conforme a legislação vigente;</w:t>
      </w:r>
    </w:p>
    <w:p w14:paraId="1AC83C5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18.8. Na hipótese de a Contratada incorrer em algum dos atos previstos como infrações administrativas na Lei Federal nº 14.133, de 2021, ou em outras leis de licitações e contratos da Administração Pública que também sejam tipificados como atos lesivos do art. 5º, inciso IV, da Lei Federal nº 12.846, de 2013, ficará sujeita às penalidades descritas no art. 6º daquele diploma legal;</w:t>
      </w:r>
    </w:p>
    <w:p w14:paraId="0EC0082A"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xml:space="preserve">18.9. As penalidades previstas na alínea acima serão aplicadas segundo os critérios estabelecidos nos </w:t>
      </w:r>
      <w:proofErr w:type="spellStart"/>
      <w:r>
        <w:rPr>
          <w:rFonts w:ascii="Arial" w:eastAsia="Times New Roman" w:hAnsi="Arial" w:cs="Arial"/>
          <w:color w:val="000000"/>
          <w:sz w:val="24"/>
          <w:szCs w:val="24"/>
          <w:lang w:eastAsia="pt-BR"/>
        </w:rPr>
        <w:t>arts</w:t>
      </w:r>
      <w:proofErr w:type="spellEnd"/>
      <w:r>
        <w:rPr>
          <w:rFonts w:ascii="Arial" w:eastAsia="Times New Roman" w:hAnsi="Arial" w:cs="Arial"/>
          <w:color w:val="000000"/>
          <w:sz w:val="24"/>
          <w:szCs w:val="24"/>
          <w:lang w:eastAsia="pt-BR"/>
        </w:rPr>
        <w:t xml:space="preserve">. 6º e 7º da Lei Federal nº 12.846/13 e nos </w:t>
      </w:r>
      <w:proofErr w:type="spellStart"/>
      <w:r>
        <w:rPr>
          <w:rFonts w:ascii="Arial" w:eastAsia="Times New Roman" w:hAnsi="Arial" w:cs="Arial"/>
          <w:color w:val="000000"/>
          <w:sz w:val="24"/>
          <w:szCs w:val="24"/>
          <w:lang w:eastAsia="pt-BR"/>
        </w:rPr>
        <w:t>arts</w:t>
      </w:r>
      <w:proofErr w:type="spellEnd"/>
      <w:r>
        <w:rPr>
          <w:rFonts w:ascii="Arial" w:eastAsia="Times New Roman" w:hAnsi="Arial" w:cs="Arial"/>
          <w:color w:val="000000"/>
          <w:sz w:val="24"/>
          <w:szCs w:val="24"/>
          <w:lang w:eastAsia="pt-BR"/>
        </w:rPr>
        <w:t xml:space="preserve"> 20 a 27 do Decreto Federal nº 11.129/2022, resguardado à Contratada o direito ao devido processo legal e à ampla defesa;</w:t>
      </w:r>
    </w:p>
    <w:p w14:paraId="7805E0F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e a ampla defesa;</w:t>
      </w:r>
    </w:p>
    <w:p w14:paraId="149435EE"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18.11.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de Fornecedores Impedidos de Licitar e Contratar com a Administração Pública Estadual (CAFIMP);</w:t>
      </w:r>
    </w:p>
    <w:p w14:paraId="14E5A8FB" w14:textId="77777777" w:rsidR="00901CDC" w:rsidRDefault="00DD550A">
      <w:pPr>
        <w:suppressAutoHyphens w:val="0"/>
        <w:spacing w:beforeAutospacing="1" w:afterAutospacing="1" w:line="240" w:lineRule="auto"/>
        <w:jc w:val="both"/>
        <w:rPr>
          <w:rFonts w:ascii="Arial" w:eastAsia="Arial" w:hAnsi="Arial" w:cs="Arial"/>
          <w:sz w:val="24"/>
          <w:szCs w:val="24"/>
          <w:lang w:eastAsia="pt-BR"/>
        </w:rPr>
      </w:pPr>
      <w:r>
        <w:rPr>
          <w:rFonts w:ascii="Arial" w:eastAsia="Times New Roman" w:hAnsi="Arial" w:cs="Arial"/>
          <w:color w:val="000000"/>
          <w:sz w:val="24"/>
          <w:szCs w:val="24"/>
          <w:lang w:eastAsia="pt-BR"/>
        </w:rPr>
        <w:t>18.12. As sanções de impedimento de licitar e contratar e declaração de inidoneidade para licitar ou contratar são passíveis de reabilitação na forma do art. 163 da Lei Federal nº 14.133/21.</w:t>
      </w:r>
    </w:p>
    <w:p w14:paraId="49905D88"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19 - DAS INFORMAÇÕES COMPLEMENTARES:</w:t>
      </w:r>
    </w:p>
    <w:p w14:paraId="4260F4A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19.1 Não serão aceitas, em hipótese alguma, embalagens violadas ou com outros danos que prejudiquem a qualidade do produto.</w:t>
      </w:r>
    </w:p>
    <w:p w14:paraId="1C96D176"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19.2 Na ocorrência de divergência entre qualquer descrição e/ou informação contidas no Portal Compras da SEPLAG/MG e neste Termo de Referência, serão consideradas, para todos os efeitos, as contidas neste Termo de Referência.</w:t>
      </w:r>
    </w:p>
    <w:p w14:paraId="60EE5C14"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19.3 O valor final para o cumprimento do objeto do presente Termo de Referência será definido após a Cotação Prévia de Preços, realizada pelo Setor de Compras e Licitações.</w:t>
      </w:r>
    </w:p>
    <w:p w14:paraId="334F5EA8"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19.4 Os licitantes, antes de apresentarem suas propostas, deverão analisar toda a documentação referente à presente licitação, dirimindo, oportunamente, todas as dúvidas, de modo a não incorrerem em omissões, que não poderão ser alegadas em favor de eventuais pretensões de acréscimo dos preços propostos.</w:t>
      </w:r>
    </w:p>
    <w:p w14:paraId="4BABC516" w14:textId="77777777" w:rsidR="00B675A1" w:rsidRPr="00F51790" w:rsidRDefault="00DD550A" w:rsidP="00B675A1">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19.5 Nenhuma modificação poderá ser feita nas especificações sem autorização </w:t>
      </w:r>
      <w:r w:rsidRPr="00F51790">
        <w:rPr>
          <w:rFonts w:ascii="Arial" w:eastAsia="Times New Roman" w:hAnsi="Arial" w:cs="Arial"/>
          <w:color w:val="000000"/>
          <w:sz w:val="24"/>
          <w:szCs w:val="24"/>
          <w:lang w:eastAsia="pt-BR"/>
        </w:rPr>
        <w:t>expressa da Contratante.</w:t>
      </w:r>
    </w:p>
    <w:p w14:paraId="2B905407" w14:textId="0E541B66" w:rsidR="00B675A1" w:rsidRPr="00F51790" w:rsidRDefault="00B675A1" w:rsidP="00B675A1">
      <w:pPr>
        <w:suppressAutoHyphens w:val="0"/>
        <w:spacing w:beforeAutospacing="1" w:afterAutospacing="1" w:line="240" w:lineRule="auto"/>
        <w:jc w:val="both"/>
        <w:rPr>
          <w:rFonts w:ascii="Arial" w:eastAsia="Times New Roman" w:hAnsi="Arial" w:cs="Arial"/>
          <w:color w:val="000000"/>
          <w:sz w:val="24"/>
          <w:szCs w:val="24"/>
          <w:lang w:eastAsia="pt-BR"/>
        </w:rPr>
      </w:pPr>
      <w:r w:rsidRPr="00F51790">
        <w:rPr>
          <w:rFonts w:ascii="Arial" w:eastAsia="Times New Roman" w:hAnsi="Arial" w:cs="Arial"/>
          <w:color w:val="000000"/>
          <w:sz w:val="24"/>
          <w:szCs w:val="24"/>
          <w:lang w:eastAsia="pt-BR"/>
        </w:rPr>
        <w:lastRenderedPageBreak/>
        <w:t>19.6. A Contratante poderá realizar acréscimos ou supressões nas quantidades inicialmente previstas, respeitados os limites do artigo 125 da Lei 14.133/21 e suas alterações, tendo como base os preços constantes da proposta da Contratada. </w:t>
      </w:r>
    </w:p>
    <w:p w14:paraId="5AF44C69" w14:textId="77777777" w:rsidR="00B675A1" w:rsidRPr="00B675A1" w:rsidRDefault="00B675A1" w:rsidP="00B675A1">
      <w:pPr>
        <w:suppressAutoHyphens w:val="0"/>
        <w:spacing w:beforeAutospacing="1" w:afterAutospacing="1" w:line="240" w:lineRule="auto"/>
        <w:jc w:val="both"/>
        <w:rPr>
          <w:rFonts w:ascii="Arial" w:eastAsia="Times New Roman" w:hAnsi="Arial" w:cs="Arial"/>
          <w:color w:val="000000"/>
          <w:sz w:val="24"/>
          <w:szCs w:val="24"/>
          <w:lang w:eastAsia="pt-BR"/>
        </w:rPr>
      </w:pPr>
      <w:r w:rsidRPr="00F51790">
        <w:rPr>
          <w:rFonts w:ascii="Arial" w:eastAsia="Times New Roman" w:hAnsi="Arial" w:cs="Arial"/>
          <w:color w:val="000000"/>
          <w:sz w:val="24"/>
          <w:szCs w:val="24"/>
          <w:lang w:eastAsia="pt-BR"/>
        </w:rPr>
        <w:t>19.7. A Contratante reserva-se o direito de suspender o pagamento se os itens entregues estiverem em desacordo com as especificações constantes deste Termo de Referência.</w:t>
      </w:r>
    </w:p>
    <w:p w14:paraId="75F87791"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19.8 Os Setores Técnicos SEA-DIMAN, Setor Médico e CEAT Setor Médico foram os responsáveis pelos aspectos técnicos e de especificação do presente objeto. Assim, tais setores poderão ser consultados para análise dos mapas de preço, acompanhamento do pregão para solução de dúvidas técnicas quanto ao objeto, análise de amostras e recebimento definitivo (análise qualitativa) dos bens.</w:t>
      </w:r>
    </w:p>
    <w:p w14:paraId="580FE219" w14:textId="77777777" w:rsidR="00901CDC" w:rsidRDefault="00DD550A">
      <w:pPr>
        <w:pStyle w:val="paragraph"/>
        <w:spacing w:beforeAutospacing="0" w:after="0" w:afterAutospacing="0"/>
        <w:ind w:right="120"/>
        <w:jc w:val="both"/>
        <w:textAlignment w:val="baseline"/>
        <w:rPr>
          <w:rStyle w:val="eop"/>
          <w:rFonts w:ascii="Arial" w:hAnsi="Arial" w:cs="Arial"/>
          <w:color w:val="000000"/>
        </w:rPr>
      </w:pPr>
      <w:r>
        <w:rPr>
          <w:rFonts w:ascii="Arial" w:hAnsi="Arial" w:cs="Arial"/>
          <w:color w:val="000000"/>
        </w:rPr>
        <w:t xml:space="preserve">19.8.1 </w:t>
      </w:r>
      <w:r>
        <w:rPr>
          <w:rStyle w:val="normaltextrun"/>
          <w:rFonts w:ascii="Arial" w:hAnsi="Arial" w:cs="Arial"/>
          <w:b/>
          <w:bCs/>
          <w:color w:val="000000"/>
        </w:rPr>
        <w:t>Do Mapeamento de Riscos</w:t>
      </w:r>
      <w:r>
        <w:rPr>
          <w:rStyle w:val="eop"/>
          <w:rFonts w:ascii="Arial" w:hAnsi="Arial" w:cs="Arial"/>
          <w:color w:val="000000"/>
        </w:rPr>
        <w:t> </w:t>
      </w:r>
    </w:p>
    <w:p w14:paraId="7461ACA0" w14:textId="77777777" w:rsidR="00901CDC" w:rsidRDefault="00901CDC">
      <w:pPr>
        <w:pStyle w:val="paragraph"/>
        <w:spacing w:beforeAutospacing="0" w:after="0" w:afterAutospacing="0"/>
        <w:ind w:right="120"/>
        <w:jc w:val="both"/>
        <w:textAlignment w:val="baseline"/>
        <w:rPr>
          <w:rFonts w:ascii="Arial" w:hAnsi="Arial" w:cs="Arial"/>
        </w:rPr>
      </w:pPr>
    </w:p>
    <w:p w14:paraId="62286445" w14:textId="77777777" w:rsidR="00901CDC" w:rsidRDefault="00DD550A">
      <w:pPr>
        <w:pStyle w:val="paragraph"/>
        <w:spacing w:beforeAutospacing="0" w:after="0" w:afterAutospacing="0"/>
        <w:ind w:right="-1"/>
        <w:jc w:val="both"/>
        <w:textAlignment w:val="baseline"/>
        <w:rPr>
          <w:rStyle w:val="eop"/>
          <w:rFonts w:ascii="Arial" w:hAnsi="Arial" w:cs="Arial"/>
          <w:color w:val="000000"/>
        </w:rPr>
      </w:pPr>
      <w:r>
        <w:rPr>
          <w:rStyle w:val="normaltextrun"/>
          <w:rFonts w:ascii="Arial" w:hAnsi="Arial" w:cs="Arial"/>
          <w:color w:val="000000"/>
        </w:rPr>
        <w:t>Para o presente objeto, não se vislumbram riscos específicos relevantes a serem mapeados. Não se trata de hipótese em que a lei trate como obrigatório o mapeamento específico ou a elaboração de cláusula de matriz de riscos.</w:t>
      </w:r>
      <w:r>
        <w:rPr>
          <w:rStyle w:val="eop"/>
          <w:rFonts w:ascii="Arial" w:hAnsi="Arial" w:cs="Arial"/>
          <w:color w:val="000000"/>
        </w:rPr>
        <w:t> </w:t>
      </w:r>
    </w:p>
    <w:p w14:paraId="429B8581" w14:textId="77777777" w:rsidR="00901CDC" w:rsidRDefault="00901CDC">
      <w:pPr>
        <w:pStyle w:val="paragraph"/>
        <w:spacing w:beforeAutospacing="0" w:after="0" w:afterAutospacing="0"/>
        <w:ind w:right="-1"/>
        <w:jc w:val="both"/>
        <w:textAlignment w:val="baseline"/>
        <w:rPr>
          <w:rFonts w:ascii="Arial" w:hAnsi="Arial" w:cs="Arial"/>
        </w:rPr>
      </w:pPr>
    </w:p>
    <w:p w14:paraId="635D88EB" w14:textId="77777777" w:rsidR="00901CDC" w:rsidRDefault="00DD550A">
      <w:pPr>
        <w:pStyle w:val="paragraph"/>
        <w:spacing w:beforeAutospacing="0" w:after="0" w:afterAutospacing="0"/>
        <w:ind w:right="-1"/>
        <w:jc w:val="both"/>
        <w:textAlignment w:val="baseline"/>
        <w:rPr>
          <w:rStyle w:val="normaltextrun"/>
          <w:rFonts w:ascii="Arial" w:hAnsi="Arial" w:cs="Arial"/>
          <w:color w:val="000000"/>
        </w:rPr>
      </w:pPr>
      <w:r>
        <w:rPr>
          <w:rStyle w:val="normaltextrun"/>
          <w:rFonts w:ascii="Arial" w:hAnsi="Arial" w:cs="Arial"/>
          <w:color w:val="000000"/>
        </w:rPr>
        <w:t>Nos termos do art. 18, inciso X, da Lei 14.133/21, a Superintendência de Gestão Administrativa, com apoio da Diretoria-Geral, do Escritório de Integridade e da Auditoria Interna, está realizando o mapeamento genérico dos riscos que possam comprometer o sucesso das licitações e a boa execução contratual (que será oportunamente juntado aos processos de contratação, após sua conclusão e validação).</w:t>
      </w:r>
    </w:p>
    <w:p w14:paraId="165A7E29" w14:textId="77777777" w:rsidR="00901CDC" w:rsidRDefault="00DD550A">
      <w:pPr>
        <w:pStyle w:val="paragraph"/>
        <w:spacing w:beforeAutospacing="0" w:after="0" w:afterAutospacing="0"/>
        <w:ind w:right="-1"/>
        <w:jc w:val="both"/>
        <w:textAlignment w:val="baseline"/>
        <w:rPr>
          <w:rFonts w:ascii="Arial" w:hAnsi="Arial" w:cs="Arial"/>
        </w:rPr>
      </w:pPr>
      <w:r>
        <w:rPr>
          <w:rStyle w:val="eop"/>
          <w:rFonts w:ascii="Arial" w:hAnsi="Arial" w:cs="Arial"/>
          <w:color w:val="000000"/>
        </w:rPr>
        <w:t> </w:t>
      </w:r>
    </w:p>
    <w:p w14:paraId="28A695C1" w14:textId="77777777" w:rsidR="00901CDC" w:rsidRDefault="00DD550A">
      <w:pPr>
        <w:pStyle w:val="paragraph"/>
        <w:spacing w:beforeAutospacing="0" w:after="0" w:afterAutospacing="0"/>
        <w:ind w:right="-1"/>
        <w:jc w:val="both"/>
        <w:textAlignment w:val="baseline"/>
        <w:rPr>
          <w:rFonts w:ascii="Arial" w:hAnsi="Arial" w:cs="Arial"/>
        </w:rPr>
      </w:pPr>
      <w:r>
        <w:rPr>
          <w:rStyle w:val="normaltextrun"/>
          <w:rFonts w:ascii="Arial" w:hAnsi="Arial" w:cs="Arial"/>
          <w:color w:val="000000"/>
        </w:rPr>
        <w:t xml:space="preserve">Tendo por referência também o art. 22, §3°, da nova lei de licitações, cabe destacar, ainda, que não se trata de contratação de obra, serviço de grande vulto ou em que seja adotado regimes de contratação integrada ou </w:t>
      </w:r>
      <w:proofErr w:type="spellStart"/>
      <w:r>
        <w:rPr>
          <w:rStyle w:val="normaltextrun"/>
          <w:rFonts w:ascii="Arial" w:hAnsi="Arial" w:cs="Arial"/>
          <w:color w:val="000000"/>
        </w:rPr>
        <w:t>semi-integrada</w:t>
      </w:r>
      <w:proofErr w:type="spellEnd"/>
      <w:r>
        <w:rPr>
          <w:rStyle w:val="normaltextrun"/>
          <w:rFonts w:ascii="Arial" w:hAnsi="Arial" w:cs="Arial"/>
          <w:color w:val="000000"/>
        </w:rPr>
        <w:t>, e nem das hipóteses contempladas no art. 1º da Deliberação Conjunta CEGEC/CEINT n.º 01/24.”.</w:t>
      </w:r>
      <w:r>
        <w:rPr>
          <w:rStyle w:val="eop"/>
          <w:rFonts w:ascii="Arial" w:hAnsi="Arial" w:cs="Arial"/>
          <w:color w:val="000000"/>
        </w:rPr>
        <w:t> </w:t>
      </w:r>
    </w:p>
    <w:p w14:paraId="19CBE30F" w14:textId="77777777" w:rsidR="00901CDC" w:rsidRDefault="00901CDC">
      <w:pPr>
        <w:suppressAutoHyphens w:val="0"/>
        <w:spacing w:beforeAutospacing="1" w:afterAutospacing="1" w:line="240" w:lineRule="auto"/>
        <w:ind w:right="-1"/>
        <w:jc w:val="both"/>
        <w:rPr>
          <w:rFonts w:ascii="Arial" w:eastAsia="Times New Roman" w:hAnsi="Arial" w:cs="Arial"/>
          <w:color w:val="000000"/>
          <w:sz w:val="24"/>
          <w:szCs w:val="24"/>
          <w:lang w:eastAsia="pt-BR"/>
        </w:rPr>
      </w:pPr>
    </w:p>
    <w:p w14:paraId="3DD2770A"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b/>
          <w:bCs/>
          <w:sz w:val="24"/>
          <w:szCs w:val="24"/>
          <w:lang w:eastAsia="pt-BR"/>
        </w:rPr>
      </w:pPr>
      <w:r>
        <w:rPr>
          <w:rFonts w:ascii="Arial" w:eastAsia="Arial" w:hAnsi="Arial" w:cs="Arial"/>
          <w:b/>
          <w:bCs/>
          <w:sz w:val="24"/>
          <w:szCs w:val="24"/>
          <w:lang w:eastAsia="pt-BR"/>
        </w:rPr>
        <w:t>20 - UNIDADE ADMINISTRATIVA RESPONSÁVEL: 1091007</w:t>
      </w:r>
    </w:p>
    <w:p w14:paraId="4E2D8423"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Unidade Administrativa Responsável: </w:t>
      </w:r>
      <w:r>
        <w:rPr>
          <w:rFonts w:ascii="Arial" w:eastAsia="Times New Roman" w:hAnsi="Arial" w:cs="Arial"/>
          <w:color w:val="000000"/>
          <w:sz w:val="24"/>
          <w:szCs w:val="24"/>
          <w:lang w:eastAsia="pt-BR"/>
        </w:rPr>
        <w:t>DIMAT - Divisão de Materiais</w:t>
      </w:r>
    </w:p>
    <w:p w14:paraId="433313D2"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Servidor Gerenciador/Fiscal do Contrato: </w:t>
      </w:r>
      <w:r>
        <w:rPr>
          <w:rFonts w:ascii="Arial" w:eastAsia="Times New Roman" w:hAnsi="Arial" w:cs="Arial"/>
          <w:color w:val="000000"/>
          <w:sz w:val="24"/>
          <w:szCs w:val="24"/>
          <w:lang w:eastAsia="pt-BR"/>
        </w:rPr>
        <w:t>Poliana Gontijo de Melo</w:t>
      </w:r>
    </w:p>
    <w:p w14:paraId="198C48B7"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Servidor Gerenciador/Fiscal Suplente do Contrato: </w:t>
      </w:r>
      <w:proofErr w:type="spellStart"/>
      <w:r>
        <w:rPr>
          <w:rFonts w:ascii="Arial" w:eastAsia="Times New Roman" w:hAnsi="Arial" w:cs="Arial"/>
          <w:color w:val="000000"/>
          <w:sz w:val="24"/>
          <w:szCs w:val="24"/>
          <w:lang w:eastAsia="pt-BR"/>
        </w:rPr>
        <w:t>Chillen</w:t>
      </w:r>
      <w:proofErr w:type="spellEnd"/>
      <w:r>
        <w:rPr>
          <w:rFonts w:ascii="Arial" w:eastAsia="Times New Roman" w:hAnsi="Arial" w:cs="Arial"/>
          <w:color w:val="000000"/>
          <w:sz w:val="24"/>
          <w:szCs w:val="24"/>
          <w:lang w:eastAsia="pt-BR"/>
        </w:rPr>
        <w:t xml:space="preserve"> Peixoto de Moura</w:t>
      </w:r>
    </w:p>
    <w:p w14:paraId="3914FBFD" w14:textId="77777777" w:rsidR="00DB1E23" w:rsidRDefault="00DB1E23">
      <w:pPr>
        <w:suppressAutoHyphens w:val="0"/>
        <w:spacing w:beforeAutospacing="1" w:afterAutospacing="1" w:line="240" w:lineRule="auto"/>
        <w:jc w:val="both"/>
        <w:rPr>
          <w:rFonts w:ascii="Arial" w:eastAsia="Times New Roman" w:hAnsi="Arial" w:cs="Arial"/>
          <w:color w:val="000000"/>
          <w:sz w:val="24"/>
          <w:szCs w:val="24"/>
          <w:lang w:eastAsia="pt-BR"/>
        </w:rPr>
      </w:pPr>
    </w:p>
    <w:p w14:paraId="35CE5DC3" w14:textId="77777777" w:rsidR="00901CDC" w:rsidRDefault="00DD550A">
      <w:pPr>
        <w:pBdr>
          <w:top w:val="single" w:sz="4" w:space="1" w:color="000000"/>
          <w:left w:val="single" w:sz="4" w:space="4" w:color="000000"/>
          <w:bottom w:val="single" w:sz="4" w:space="1" w:color="000000"/>
          <w:right w:val="single" w:sz="4" w:space="4" w:color="000000"/>
        </w:pBdr>
        <w:suppressAutoHyphens w:val="0"/>
        <w:spacing w:beforeAutospacing="1" w:afterAutospacing="1" w:line="240" w:lineRule="auto"/>
        <w:rPr>
          <w:rFonts w:ascii="Arial" w:eastAsia="Arial" w:hAnsi="Arial" w:cs="Arial"/>
          <w:b/>
          <w:bCs/>
          <w:sz w:val="24"/>
          <w:szCs w:val="24"/>
          <w:lang w:eastAsia="pt-BR"/>
        </w:rPr>
      </w:pPr>
      <w:r>
        <w:rPr>
          <w:rFonts w:ascii="Arial" w:eastAsia="Times New Roman" w:hAnsi="Arial" w:cs="Arial"/>
          <w:color w:val="000000"/>
          <w:sz w:val="24"/>
          <w:szCs w:val="24"/>
          <w:lang w:eastAsia="pt-BR"/>
        </w:rPr>
        <w:t> </w:t>
      </w:r>
      <w:r>
        <w:rPr>
          <w:rFonts w:ascii="Arial" w:eastAsia="Arial" w:hAnsi="Arial" w:cs="Arial"/>
          <w:b/>
          <w:bCs/>
          <w:sz w:val="24"/>
          <w:szCs w:val="24"/>
          <w:lang w:eastAsia="pt-BR"/>
        </w:rPr>
        <w:t>21 - DA PROTEÇÃO E DO TRATAMENTO DE DADOS:</w:t>
      </w:r>
    </w:p>
    <w:p w14:paraId="48EFCE0B"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21.1. É dever das PARTES observar e cumprir as regras impostas pela Lei Federal n.º 13.709/2018 (LGPD), suas alterações e regulamentações posteriores, devendo ser observadas, no tratamento de dados, a respectiva finalidade específica e a consonância ao interesse público.</w:t>
      </w:r>
    </w:p>
    <w:p w14:paraId="32C04B6C"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21.2. No presente Termo de Referência, o CONTRATANTE assume o papel de controlador, nos termos do artigo 5º, VI, da Lei n.º 13.709/2018, e a CONTRATADA assume o papel de operador, nos termos do artigo 5º, VII, da Lei n.º 13.709/2018.</w:t>
      </w:r>
    </w:p>
    <w:p w14:paraId="161A3665"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21.3. A CONTRATADA deverá guardar sigilo sobre os dados pessoais compartilhados pelo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sob pena de responsabilização administrativa, civil e criminal.</w:t>
      </w:r>
    </w:p>
    <w:p w14:paraId="06A5711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21.4. As PARTES se comprometem a adotar as medidas de segurança técnicas, administrativas e operacionais necessárias a resguardar os dados pessoais que lhe serão confiados, levando em conta as diretrizes de órgãos reguladores, padrões técnicos e boas práticas existentes.</w:t>
      </w:r>
    </w:p>
    <w:p w14:paraId="13F08C99"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21.5. O CONTRATANTE terá o direito de acompanhar, monitorar, auditar e fiscalizar a conformidade da CONTRATADA, diante das obrigações de operador, para a proteção de dados pessoais referentes à execução deste contrato.</w:t>
      </w:r>
    </w:p>
    <w:p w14:paraId="0E4E8C1F"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21.6. Os dados pessoais obtidos a partir do presente contrato serão eliminados após o término de seu tratamento, no âmbito e nos limites técnicos das atividades, sendo permitida a conservação para as finalidades estabelecidas no artigo 16 da Lei n.º 13.709/2018.</w:t>
      </w:r>
    </w:p>
    <w:p w14:paraId="76624020"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21.7. As PARTES deverão comunicar imediatamente entre si, ao titular dos dados, e à Autoridade Nacional de Proteção de Dados (ANPD) a ocorrência de incidente de segurança que possa acarretar risco ou dano relevante ao titular dos dados, em consonância com as providências dispostas no artigo 48 da Lei Federal n.º 13.709/2018.</w:t>
      </w:r>
    </w:p>
    <w:p w14:paraId="3242F4AD" w14:textId="77777777" w:rsidR="00901CDC" w:rsidRDefault="00DD550A">
      <w:pPr>
        <w:suppressAutoHyphens w:val="0"/>
        <w:spacing w:beforeAutospacing="1" w:afterAutospacing="1"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21.8. As PARTES ficam obrigadas a indicar encarregado pela proteção de dados pessoais, ou preposto, para comunicação sobre os assuntos pertinentes à Lei n.º 13.709/2018, suas alterações e regulamentações posteriores.</w:t>
      </w:r>
    </w:p>
    <w:p w14:paraId="4DB15DCC" w14:textId="77777777" w:rsidR="00901CDC" w:rsidRDefault="00DD550A">
      <w:pPr>
        <w:pBdr>
          <w:top w:val="single" w:sz="4" w:space="1" w:color="000000"/>
          <w:left w:val="single" w:sz="4" w:space="4" w:color="000000"/>
          <w:bottom w:val="single" w:sz="4" w:space="1" w:color="000000"/>
          <w:right w:val="single" w:sz="4" w:space="4" w:color="000000"/>
        </w:pBdr>
        <w:suppressAutoHyphens w:val="0"/>
        <w:spacing w:beforeAutospacing="1" w:afterAutospacing="1" w:line="240" w:lineRule="auto"/>
        <w:jc w:val="both"/>
        <w:rPr>
          <w:rFonts w:ascii="Arial" w:hAnsi="Arial" w:cs="Arial"/>
          <w:sz w:val="24"/>
          <w:szCs w:val="24"/>
        </w:rPr>
      </w:pPr>
      <w:r>
        <w:rPr>
          <w:rFonts w:ascii="Arial" w:eastAsia="Times New Roman" w:hAnsi="Arial" w:cs="Arial"/>
          <w:color w:val="000000"/>
          <w:sz w:val="24"/>
          <w:szCs w:val="24"/>
          <w:lang w:eastAsia="pt-BR"/>
        </w:rPr>
        <w:t> </w:t>
      </w:r>
      <w:r>
        <w:rPr>
          <w:rFonts w:ascii="Arial" w:hAnsi="Arial" w:cs="Arial"/>
          <w:b/>
          <w:bCs/>
          <w:sz w:val="24"/>
          <w:szCs w:val="24"/>
        </w:rPr>
        <w:t>22 – DAS ESTIMATIVAS DO VALOR DA CONTRATAÇÃO:</w:t>
      </w:r>
    </w:p>
    <w:p w14:paraId="286849DB" w14:textId="77777777" w:rsidR="00901CDC" w:rsidRDefault="00DD550A">
      <w:pPr>
        <w:suppressAutoHyphens w:val="0"/>
        <w:spacing w:beforeAutospacing="1" w:afterAutospacing="1" w:line="240" w:lineRule="auto"/>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 estimativa da despesa será oportunamente informada nos autos do processo pela DGCL, conforme Mapa de Preços a ser elaborado. </w:t>
      </w:r>
    </w:p>
    <w:p w14:paraId="43E61BDE" w14:textId="77777777" w:rsidR="00901CDC" w:rsidRDefault="00DD550A">
      <w:pPr>
        <w:pBdr>
          <w:top w:val="single" w:sz="4" w:space="1" w:color="000000"/>
          <w:left w:val="single" w:sz="4" w:space="4" w:color="000000"/>
          <w:bottom w:val="single" w:sz="4" w:space="1" w:color="000000"/>
          <w:right w:val="single" w:sz="4" w:space="4" w:color="000000"/>
        </w:pBdr>
        <w:suppressAutoHyphens w:val="0"/>
        <w:spacing w:beforeAutospacing="1" w:afterAutospacing="1" w:line="240" w:lineRule="auto"/>
        <w:rPr>
          <w:rFonts w:ascii="Arial" w:hAnsi="Arial" w:cs="Arial"/>
          <w:b/>
          <w:bCs/>
          <w:sz w:val="24"/>
          <w:szCs w:val="24"/>
        </w:rPr>
      </w:pPr>
      <w:r>
        <w:rPr>
          <w:rFonts w:ascii="Arial" w:hAnsi="Arial" w:cs="Arial"/>
          <w:b/>
          <w:bCs/>
          <w:sz w:val="24"/>
          <w:szCs w:val="24"/>
        </w:rPr>
        <w:t>23 – DA ADEQUAÇÃO ORÇAMENTÁRIA:</w:t>
      </w:r>
    </w:p>
    <w:p w14:paraId="6DC7EE29" w14:textId="77777777" w:rsidR="00901CDC" w:rsidRDefault="00DD550A">
      <w:pPr>
        <w:rPr>
          <w:rFonts w:ascii="Arial" w:hAnsi="Arial" w:cs="Arial"/>
          <w:sz w:val="24"/>
          <w:szCs w:val="24"/>
        </w:rPr>
      </w:pPr>
      <w:r>
        <w:rPr>
          <w:rFonts w:ascii="Arial" w:hAnsi="Arial" w:cs="Arial"/>
          <w:sz w:val="24"/>
          <w:szCs w:val="24"/>
        </w:rPr>
        <w:lastRenderedPageBreak/>
        <w:t>Por se tratar de Registro de Preço, não há falar em adequação orçamentária prévia.</w:t>
      </w:r>
    </w:p>
    <w:p w14:paraId="2A0884EB"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 xml:space="preserve">AUTOR DO TERMO DE REFERÊNCIA </w:t>
      </w:r>
      <w:r>
        <w:rPr>
          <w:rFonts w:ascii="Arial" w:hAnsi="Arial" w:cs="Arial"/>
          <w:b/>
          <w:bCs/>
          <w:sz w:val="24"/>
          <w:szCs w:val="24"/>
        </w:rPr>
        <w:t>(AGENTE DE PLANEJAMENTO DA CONTRATAÇÃO)</w:t>
      </w:r>
      <w:r>
        <w:rPr>
          <w:rFonts w:ascii="Arial" w:eastAsia="Arial" w:hAnsi="Arial" w:cs="Arial"/>
          <w:b/>
          <w:bCs/>
          <w:sz w:val="24"/>
          <w:szCs w:val="24"/>
          <w:lang w:eastAsia="pt-BR"/>
        </w:rPr>
        <w:t>:</w:t>
      </w:r>
    </w:p>
    <w:p w14:paraId="23E0061C" w14:textId="77777777" w:rsidR="00901CDC" w:rsidRDefault="00DD550A">
      <w:pPr>
        <w:suppressAutoHyphens w:val="0"/>
        <w:spacing w:beforeAutospacing="1" w:afterAutospacing="1" w:line="240" w:lineRule="auto"/>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Nome: </w:t>
      </w:r>
      <w:r>
        <w:rPr>
          <w:rFonts w:ascii="Arial" w:eastAsia="Times New Roman" w:hAnsi="Arial" w:cs="Arial"/>
          <w:color w:val="000000"/>
          <w:sz w:val="24"/>
          <w:szCs w:val="24"/>
          <w:lang w:eastAsia="pt-BR"/>
        </w:rPr>
        <w:t>FERNANDA CABRINI VAZ MOTA</w:t>
      </w:r>
    </w:p>
    <w:p w14:paraId="645738BC" w14:textId="77777777" w:rsidR="00901CDC" w:rsidRDefault="00DD550A">
      <w:pPr>
        <w:suppressAutoHyphens w:val="0"/>
        <w:spacing w:beforeAutospacing="1" w:afterAutospacing="1" w:line="240" w:lineRule="auto"/>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Cargo: </w:t>
      </w:r>
      <w:r>
        <w:rPr>
          <w:rFonts w:ascii="Arial" w:eastAsia="Times New Roman" w:hAnsi="Arial" w:cs="Arial"/>
          <w:color w:val="000000"/>
          <w:sz w:val="24"/>
          <w:szCs w:val="24"/>
          <w:lang w:eastAsia="pt-BR"/>
        </w:rPr>
        <w:t>ANALISTA</w:t>
      </w:r>
    </w:p>
    <w:p w14:paraId="012878F7" w14:textId="77777777" w:rsidR="00901CDC" w:rsidRDefault="00DD550A">
      <w:pPr>
        <w:suppressAutoHyphens w:val="0"/>
        <w:spacing w:beforeAutospacing="1" w:afterAutospacing="1" w:line="240" w:lineRule="auto"/>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Unidade Administrativa: </w:t>
      </w:r>
      <w:r>
        <w:rPr>
          <w:rFonts w:ascii="Arial" w:eastAsia="Times New Roman" w:hAnsi="Arial" w:cs="Arial"/>
          <w:color w:val="000000"/>
          <w:sz w:val="24"/>
          <w:szCs w:val="24"/>
          <w:lang w:eastAsia="pt-BR"/>
        </w:rPr>
        <w:t>DIVISÃO DE MATERIAIS</w:t>
      </w:r>
    </w:p>
    <w:p w14:paraId="08B54817" w14:textId="77777777" w:rsidR="00901CDC" w:rsidRDefault="00DD550A">
      <w:pPr>
        <w:pBdr>
          <w:top w:val="single" w:sz="4" w:space="1" w:color="000000"/>
          <w:left w:val="single" w:sz="4" w:space="1" w:color="000000"/>
          <w:bottom w:val="single" w:sz="4" w:space="1" w:color="000000"/>
          <w:right w:val="single" w:sz="4" w:space="1" w:color="000000"/>
        </w:pBdr>
        <w:spacing w:after="200" w:line="276" w:lineRule="auto"/>
        <w:rPr>
          <w:rFonts w:ascii="Arial" w:eastAsia="Arial" w:hAnsi="Arial" w:cs="Arial"/>
          <w:sz w:val="24"/>
          <w:szCs w:val="24"/>
          <w:lang w:eastAsia="pt-BR"/>
        </w:rPr>
      </w:pPr>
      <w:r>
        <w:rPr>
          <w:rFonts w:ascii="Arial" w:eastAsia="Arial" w:hAnsi="Arial" w:cs="Arial"/>
          <w:b/>
          <w:bCs/>
          <w:sz w:val="24"/>
          <w:szCs w:val="24"/>
          <w:lang w:eastAsia="pt-BR"/>
        </w:rPr>
        <w:t>APROVAÇÃO DO TERMO DE REFERÊNCIA:</w:t>
      </w:r>
    </w:p>
    <w:p w14:paraId="2D9B6237" w14:textId="77777777" w:rsidR="00901CDC" w:rsidRDefault="00DD550A">
      <w:pPr>
        <w:suppressAutoHyphens w:val="0"/>
        <w:spacing w:beforeAutospacing="1" w:afterAutospacing="1" w:line="240" w:lineRule="auto"/>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Nome: </w:t>
      </w:r>
      <w:r>
        <w:rPr>
          <w:rFonts w:ascii="Arial" w:eastAsia="Times New Roman" w:hAnsi="Arial" w:cs="Arial"/>
          <w:color w:val="000000"/>
          <w:sz w:val="24"/>
          <w:szCs w:val="24"/>
          <w:lang w:eastAsia="pt-BR"/>
        </w:rPr>
        <w:t>CAROLINA COSTA VAL RODRIGUES</w:t>
      </w:r>
    </w:p>
    <w:p w14:paraId="3D139E60" w14:textId="77777777" w:rsidR="00901CDC" w:rsidRDefault="00DD550A">
      <w:pPr>
        <w:suppressAutoHyphens w:val="0"/>
        <w:spacing w:beforeAutospacing="1" w:afterAutospacing="1" w:line="240" w:lineRule="auto"/>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Cargo: </w:t>
      </w:r>
      <w:r>
        <w:rPr>
          <w:rFonts w:ascii="Arial" w:eastAsia="Times New Roman" w:hAnsi="Arial" w:cs="Arial"/>
          <w:color w:val="000000"/>
          <w:sz w:val="24"/>
          <w:szCs w:val="24"/>
          <w:lang w:eastAsia="pt-BR"/>
        </w:rPr>
        <w:t>COORDENADOR I</w:t>
      </w:r>
    </w:p>
    <w:p w14:paraId="34AFA886" w14:textId="77777777" w:rsidR="00901CDC" w:rsidRDefault="00DD550A">
      <w:pPr>
        <w:suppressAutoHyphens w:val="0"/>
        <w:spacing w:beforeAutospacing="1" w:afterAutospacing="1" w:line="240" w:lineRule="auto"/>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Unidade Administrativa: </w:t>
      </w:r>
      <w:r>
        <w:rPr>
          <w:rFonts w:ascii="Arial" w:eastAsia="Times New Roman" w:hAnsi="Arial" w:cs="Arial"/>
          <w:color w:val="000000"/>
          <w:sz w:val="24"/>
          <w:szCs w:val="24"/>
          <w:lang w:eastAsia="pt-BR"/>
        </w:rPr>
        <w:t>DIVISÃO DE MATERIAIS</w:t>
      </w:r>
    </w:p>
    <w:p w14:paraId="6BE7224C" w14:textId="77777777" w:rsidR="00901CDC" w:rsidRDefault="00DD550A" w:rsidP="003031F4">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3" w:name="_Toc176954849"/>
      <w:r>
        <w:rPr>
          <w:rFonts w:ascii="Arial" w:eastAsia="Times New Roman" w:hAnsi="Arial" w:cs="Arial"/>
          <w:b/>
          <w:bCs/>
          <w:kern w:val="2"/>
          <w:sz w:val="24"/>
          <w:szCs w:val="24"/>
          <w:lang w:eastAsia="ar-SA"/>
        </w:rPr>
        <w:lastRenderedPageBreak/>
        <w:t>APENSO I AO TERMO DE REFERÊNCIA - MODELO DA CADEIRA OPERACIONAL: FOTOGRAFIA DO MODELO ATUALMENTE UTILIZADO PELO MPMG</w:t>
      </w:r>
      <w:bookmarkEnd w:id="213"/>
    </w:p>
    <w:p w14:paraId="1D1BA95C" w14:textId="77777777" w:rsidR="00901CDC" w:rsidRDefault="00DD550A">
      <w:pPr>
        <w:spacing w:before="240" w:after="240" w:line="240" w:lineRule="auto"/>
        <w:jc w:val="both"/>
        <w:rPr>
          <w:rFonts w:ascii="Arial" w:hAnsi="Arial" w:cs="Arial"/>
          <w:b/>
          <w:color w:val="000000"/>
          <w:sz w:val="24"/>
          <w:szCs w:val="24"/>
        </w:rPr>
      </w:pPr>
      <w:r>
        <w:rPr>
          <w:noProof/>
          <w:lang w:eastAsia="pt-BR"/>
        </w:rPr>
        <w:drawing>
          <wp:inline distT="0" distB="0" distL="0" distR="0" wp14:anchorId="0941798C" wp14:editId="2FE0AA62">
            <wp:extent cx="5757545" cy="3425190"/>
            <wp:effectExtent l="0" t="0" r="0" b="0"/>
            <wp:docPr id="2" name="Imagem 5" descr="C:\Users\amarilis\AppData\Local\Microsoft\Windows\INetCache\Content.MSO\391CAF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descr="C:\Users\amarilis\AppData\Local\Microsoft\Windows\INetCache\Content.MSO\391CAF5A.tmp"/>
                    <pic:cNvPicPr>
                      <a:picLocks noChangeAspect="1" noChangeArrowheads="1"/>
                    </pic:cNvPicPr>
                  </pic:nvPicPr>
                  <pic:blipFill>
                    <a:blip r:embed="rId36"/>
                    <a:stretch>
                      <a:fillRect/>
                    </a:stretch>
                  </pic:blipFill>
                  <pic:spPr bwMode="auto">
                    <a:xfrm>
                      <a:off x="0" y="0"/>
                      <a:ext cx="5757545" cy="3425190"/>
                    </a:xfrm>
                    <a:prstGeom prst="rect">
                      <a:avLst/>
                    </a:prstGeom>
                  </pic:spPr>
                </pic:pic>
              </a:graphicData>
            </a:graphic>
          </wp:inline>
        </w:drawing>
      </w:r>
      <w:r>
        <w:rPr>
          <w:noProof/>
          <w:lang w:eastAsia="pt-BR"/>
        </w:rPr>
        <w:drawing>
          <wp:inline distT="0" distB="0" distL="0" distR="0" wp14:anchorId="58F536C0" wp14:editId="52424771">
            <wp:extent cx="5841365" cy="3542030"/>
            <wp:effectExtent l="0" t="0" r="0" b="0"/>
            <wp:docPr id="3" name="Imagem 3" descr="C:\Users\amarilis\AppData\Local\Microsoft\Windows\INetCache\Content.MSO\54DA73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C:\Users\amarilis\AppData\Local\Microsoft\Windows\INetCache\Content.MSO\54DA7320.tmp"/>
                    <pic:cNvPicPr>
                      <a:picLocks noChangeAspect="1" noChangeArrowheads="1"/>
                    </pic:cNvPicPr>
                  </pic:nvPicPr>
                  <pic:blipFill>
                    <a:blip r:embed="rId37"/>
                    <a:stretch>
                      <a:fillRect/>
                    </a:stretch>
                  </pic:blipFill>
                  <pic:spPr bwMode="auto">
                    <a:xfrm>
                      <a:off x="0" y="0"/>
                      <a:ext cx="5841365" cy="3542030"/>
                    </a:xfrm>
                    <a:prstGeom prst="rect">
                      <a:avLst/>
                    </a:prstGeom>
                  </pic:spPr>
                </pic:pic>
              </a:graphicData>
            </a:graphic>
          </wp:inline>
        </w:drawing>
      </w:r>
    </w:p>
    <w:p w14:paraId="493CE9B1" w14:textId="3B46BB2F" w:rsidR="00901CDC" w:rsidRPr="00F51790" w:rsidRDefault="00DD550A" w:rsidP="00C63608">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4" w:name="_Toc176954850"/>
      <w:r w:rsidRPr="00F51790">
        <w:rPr>
          <w:rFonts w:ascii="Arial" w:eastAsia="Times New Roman" w:hAnsi="Arial" w:cs="Arial"/>
          <w:b/>
          <w:bCs/>
          <w:kern w:val="2"/>
          <w:sz w:val="24"/>
          <w:szCs w:val="24"/>
          <w:lang w:eastAsia="ar-SA"/>
        </w:rPr>
        <w:lastRenderedPageBreak/>
        <w:t>ANEXO V</w:t>
      </w:r>
      <w:r w:rsidR="00B86E0F" w:rsidRPr="00F51790">
        <w:rPr>
          <w:rFonts w:ascii="Arial" w:eastAsia="Times New Roman" w:hAnsi="Arial" w:cs="Arial"/>
          <w:b/>
          <w:bCs/>
          <w:kern w:val="2"/>
          <w:sz w:val="24"/>
          <w:szCs w:val="24"/>
          <w:lang w:eastAsia="ar-SA"/>
        </w:rPr>
        <w:t>I</w:t>
      </w:r>
      <w:r w:rsidRPr="00F51790">
        <w:rPr>
          <w:rFonts w:ascii="Arial" w:eastAsia="Times New Roman" w:hAnsi="Arial" w:cs="Arial"/>
          <w:b/>
          <w:bCs/>
          <w:kern w:val="2"/>
          <w:sz w:val="24"/>
          <w:szCs w:val="24"/>
          <w:lang w:eastAsia="ar-SA"/>
        </w:rPr>
        <w:t xml:space="preserve"> – </w:t>
      </w:r>
      <w:r w:rsidR="00B86E0F" w:rsidRPr="00F51790">
        <w:rPr>
          <w:rFonts w:ascii="Arial" w:eastAsia="Times New Roman" w:hAnsi="Arial" w:cs="Arial"/>
          <w:b/>
          <w:bCs/>
          <w:kern w:val="2"/>
          <w:sz w:val="24"/>
          <w:szCs w:val="24"/>
          <w:lang w:eastAsia="ar-SA"/>
        </w:rPr>
        <w:t>DECLARAÇÕES</w:t>
      </w:r>
      <w:bookmarkEnd w:id="214"/>
      <w:r w:rsidR="00B86E0F" w:rsidRPr="00F51790">
        <w:rPr>
          <w:rFonts w:ascii="Arial" w:eastAsia="Times New Roman" w:hAnsi="Arial" w:cs="Arial"/>
          <w:b/>
          <w:bCs/>
          <w:kern w:val="2"/>
          <w:sz w:val="24"/>
          <w:szCs w:val="24"/>
          <w:lang w:eastAsia="ar-SA"/>
        </w:rPr>
        <w:t xml:space="preserve"> </w:t>
      </w:r>
    </w:p>
    <w:p w14:paraId="40DDF8C7" w14:textId="77777777" w:rsidR="00901CDC" w:rsidRPr="00F51790" w:rsidRDefault="00DD550A">
      <w:pPr>
        <w:spacing w:before="288" w:after="288"/>
        <w:jc w:val="both"/>
        <w:rPr>
          <w:rFonts w:ascii="Arial" w:eastAsia="SimSun" w:hAnsi="Arial" w:cs="Arial"/>
          <w:kern w:val="2"/>
          <w:sz w:val="24"/>
          <w:szCs w:val="24"/>
          <w:lang w:eastAsia="hi-IN" w:bidi="hi-IN"/>
        </w:rPr>
      </w:pPr>
      <w:r w:rsidRPr="00F51790">
        <w:rPr>
          <w:rFonts w:ascii="Arial" w:eastAsia="SimSun" w:hAnsi="Arial" w:cs="Arial"/>
          <w:kern w:val="2"/>
          <w:sz w:val="24"/>
          <w:szCs w:val="24"/>
          <w:lang w:eastAsia="hi-IN" w:bidi="hi-IN"/>
        </w:rPr>
        <w:t>Planejamento nº 142/2024</w:t>
      </w:r>
    </w:p>
    <w:p w14:paraId="1E9DBD17" w14:textId="77777777" w:rsidR="00901CDC" w:rsidRPr="00F51790" w:rsidRDefault="00DD550A">
      <w:pPr>
        <w:spacing w:before="360" w:after="360" w:line="240" w:lineRule="auto"/>
        <w:jc w:val="both"/>
        <w:rPr>
          <w:rFonts w:ascii="Arial" w:eastAsia="MS Mincho" w:hAnsi="Arial" w:cs="Arial"/>
          <w:b/>
          <w:bCs/>
          <w:kern w:val="2"/>
          <w:sz w:val="24"/>
          <w:szCs w:val="24"/>
          <w:lang w:eastAsia="hi-IN" w:bidi="hi-IN"/>
        </w:rPr>
      </w:pPr>
      <w:r w:rsidRPr="00F51790">
        <w:rPr>
          <w:rFonts w:ascii="Arial" w:eastAsia="SimSun" w:hAnsi="Arial" w:cs="Arial"/>
          <w:kern w:val="2"/>
          <w:sz w:val="24"/>
          <w:szCs w:val="24"/>
          <w:lang w:eastAsia="hi-IN" w:bidi="hi-IN"/>
        </w:rPr>
        <w:t xml:space="preserve">Objeto: </w:t>
      </w:r>
      <w:r w:rsidRPr="00F51790">
        <w:rPr>
          <w:rFonts w:ascii="Arial" w:eastAsia="MS Mincho" w:hAnsi="Arial" w:cs="Arial"/>
          <w:bCs/>
          <w:kern w:val="2"/>
          <w:sz w:val="24"/>
          <w:szCs w:val="24"/>
          <w:lang w:eastAsia="hi-IN" w:bidi="hi-IN"/>
        </w:rPr>
        <w:t>REGISTRO DE PREÇO para</w:t>
      </w:r>
      <w:r w:rsidRPr="00F51790">
        <w:rPr>
          <w:rFonts w:ascii="Arial" w:eastAsia="MS Mincho" w:hAnsi="Arial" w:cs="Arial"/>
          <w:b/>
          <w:bCs/>
          <w:kern w:val="2"/>
          <w:sz w:val="24"/>
          <w:szCs w:val="24"/>
          <w:lang w:eastAsia="hi-IN" w:bidi="hi-IN"/>
        </w:rPr>
        <w:t xml:space="preserve"> </w:t>
      </w:r>
      <w:r w:rsidRPr="00F51790">
        <w:rPr>
          <w:rFonts w:ascii="Arial" w:hAnsi="Arial" w:cs="Arial"/>
          <w:color w:val="000000"/>
          <w:sz w:val="24"/>
          <w:szCs w:val="24"/>
        </w:rPr>
        <w:t>aquisição de CADEIRAS OPERACIONAIS, conforme especificações, exigências e quantidades estabelecidas no Termo de Referência.</w:t>
      </w:r>
    </w:p>
    <w:p w14:paraId="49E5D1D7" w14:textId="77777777" w:rsidR="00DB1E23" w:rsidRPr="00F51790" w:rsidRDefault="00DB1E23" w:rsidP="00DB1E23">
      <w:pPr>
        <w:jc w:val="both"/>
      </w:pPr>
      <w:bookmarkStart w:id="215" w:name="_Toc389566218"/>
      <w:bookmarkStart w:id="216" w:name="_Toc133230930"/>
      <w:bookmarkStart w:id="217" w:name="_Toc160206127"/>
      <w:r w:rsidRPr="00F51790">
        <w:rPr>
          <w:rFonts w:ascii="Arial" w:hAnsi="Arial"/>
          <w:sz w:val="24"/>
          <w:szCs w:val="24"/>
        </w:rPr>
        <w:t xml:space="preserve">Pelo presente, </w:t>
      </w:r>
      <w:r w:rsidRPr="00F51790">
        <w:rPr>
          <w:rFonts w:ascii="Arial" w:eastAsia="SimSun" w:hAnsi="Arial"/>
          <w:kern w:val="2"/>
          <w:sz w:val="24"/>
          <w:szCs w:val="24"/>
          <w:lang w:eastAsia="hi-IN" w:bidi="hi-IN"/>
        </w:rPr>
        <w:t>a empresa .................................................................................inscrita no CNPJ nº ...................................., por intermédio de seu representante legal, ........................................................................., portador(a) da Carteira de Identidade nº ........................... e do CPF nº ........................................,</w:t>
      </w:r>
      <w:r w:rsidRPr="00F51790">
        <w:rPr>
          <w:rFonts w:eastAsia="SimSun"/>
          <w:kern w:val="2"/>
          <w:lang w:eastAsia="hi-IN" w:bidi="hi-IN"/>
        </w:rPr>
        <w:t xml:space="preserve"> </w:t>
      </w:r>
      <w:r w:rsidRPr="00F51790">
        <w:rPr>
          <w:rFonts w:ascii="Arial" w:eastAsia="SimSun" w:hAnsi="Arial"/>
          <w:b/>
          <w:bCs/>
          <w:kern w:val="2"/>
          <w:sz w:val="24"/>
          <w:szCs w:val="24"/>
          <w:lang w:eastAsia="hi-IN" w:bidi="hi-IN"/>
        </w:rPr>
        <w:t>DECLARA</w:t>
      </w:r>
      <w:r w:rsidRPr="00F51790">
        <w:rPr>
          <w:rFonts w:ascii="Arial" w:eastAsia="SimSun" w:hAnsi="Arial"/>
          <w:kern w:val="2"/>
          <w:sz w:val="24"/>
          <w:szCs w:val="24"/>
          <w:lang w:eastAsia="hi-IN" w:bidi="hi-IN"/>
        </w:rPr>
        <w:t xml:space="preserve">, </w:t>
      </w:r>
      <w:r w:rsidRPr="00F51790">
        <w:rPr>
          <w:rFonts w:ascii="Arial" w:hAnsi="Arial"/>
          <w:sz w:val="24"/>
          <w:szCs w:val="24"/>
        </w:rPr>
        <w:t>sob as penas da legislação aplicável, que:</w:t>
      </w:r>
      <w:r w:rsidRPr="00F51790">
        <w:t xml:space="preserve"> </w:t>
      </w:r>
    </w:p>
    <w:tbl>
      <w:tblPr>
        <w:tblStyle w:val="Tabelacomgrade"/>
        <w:tblW w:w="9072" w:type="dxa"/>
        <w:tblInd w:w="-5" w:type="dxa"/>
        <w:tblLayout w:type="fixed"/>
        <w:tblLook w:val="06A0" w:firstRow="1" w:lastRow="0" w:firstColumn="1" w:lastColumn="0" w:noHBand="1" w:noVBand="1"/>
      </w:tblPr>
      <w:tblGrid>
        <w:gridCol w:w="6804"/>
        <w:gridCol w:w="1134"/>
        <w:gridCol w:w="1134"/>
      </w:tblGrid>
      <w:tr w:rsidR="00DB1E23" w:rsidRPr="00F51790" w14:paraId="04917481" w14:textId="77777777" w:rsidTr="00745FC2">
        <w:trPr>
          <w:trHeight w:val="300"/>
        </w:trPr>
        <w:tc>
          <w:tcPr>
            <w:tcW w:w="6804" w:type="dxa"/>
            <w:vAlign w:val="center"/>
          </w:tcPr>
          <w:p w14:paraId="10AFFE46" w14:textId="77777777" w:rsidR="00DB1E23" w:rsidRPr="00F51790" w:rsidRDefault="00DB1E23" w:rsidP="00745FC2">
            <w:pPr>
              <w:ind w:left="709" w:hanging="709"/>
              <w:jc w:val="center"/>
              <w:rPr>
                <w:rFonts w:ascii="Arial" w:hAnsi="Arial" w:cs="Arial"/>
                <w:b/>
                <w:bCs/>
              </w:rPr>
            </w:pPr>
            <w:r w:rsidRPr="00F51790">
              <w:rPr>
                <w:rFonts w:ascii="Arial" w:hAnsi="Arial" w:cs="Arial"/>
                <w:b/>
                <w:bCs/>
              </w:rPr>
              <w:t>DECLARAÇÃO</w:t>
            </w:r>
          </w:p>
        </w:tc>
        <w:tc>
          <w:tcPr>
            <w:tcW w:w="1134" w:type="dxa"/>
            <w:vAlign w:val="center"/>
          </w:tcPr>
          <w:p w14:paraId="4ABA7CC0" w14:textId="77777777" w:rsidR="00DB1E23" w:rsidRPr="00F51790" w:rsidRDefault="00DB1E23" w:rsidP="00745FC2">
            <w:pPr>
              <w:ind w:left="709" w:right="-102" w:hanging="810"/>
              <w:jc w:val="center"/>
              <w:rPr>
                <w:rFonts w:ascii="Arial" w:hAnsi="Arial" w:cs="Arial"/>
                <w:b/>
                <w:bCs/>
              </w:rPr>
            </w:pPr>
            <w:r w:rsidRPr="00F51790">
              <w:rPr>
                <w:rFonts w:ascii="Arial" w:hAnsi="Arial" w:cs="Arial"/>
                <w:b/>
                <w:bCs/>
              </w:rPr>
              <w:t>DECLARA</w:t>
            </w:r>
          </w:p>
        </w:tc>
        <w:tc>
          <w:tcPr>
            <w:tcW w:w="1134" w:type="dxa"/>
            <w:vAlign w:val="center"/>
          </w:tcPr>
          <w:p w14:paraId="6F50A9DD" w14:textId="77777777" w:rsidR="00DB1E23" w:rsidRPr="00F51790" w:rsidRDefault="00DB1E23" w:rsidP="00745FC2">
            <w:pPr>
              <w:spacing w:before="60"/>
              <w:jc w:val="center"/>
              <w:rPr>
                <w:rFonts w:ascii="Arial" w:hAnsi="Arial" w:cs="Arial"/>
                <w:b/>
                <w:bCs/>
              </w:rPr>
            </w:pPr>
            <w:r w:rsidRPr="00F51790">
              <w:rPr>
                <w:rFonts w:ascii="Arial" w:hAnsi="Arial" w:cs="Arial"/>
                <w:b/>
                <w:bCs/>
              </w:rPr>
              <w:t>NÃO SE APLICA</w:t>
            </w:r>
          </w:p>
        </w:tc>
      </w:tr>
      <w:tr w:rsidR="00DB1E23" w:rsidRPr="00F51790" w14:paraId="22CC0128" w14:textId="77777777" w:rsidTr="00745FC2">
        <w:trPr>
          <w:trHeight w:val="300"/>
        </w:trPr>
        <w:tc>
          <w:tcPr>
            <w:tcW w:w="6804" w:type="dxa"/>
            <w:vAlign w:val="center"/>
          </w:tcPr>
          <w:p w14:paraId="5B2F3E05" w14:textId="77777777" w:rsidR="00DB1E23" w:rsidRPr="00F51790" w:rsidRDefault="00DB1E23" w:rsidP="00DB1E23">
            <w:pPr>
              <w:pStyle w:val="PargrafodaLista"/>
              <w:numPr>
                <w:ilvl w:val="0"/>
                <w:numId w:val="4"/>
              </w:numPr>
              <w:spacing w:before="120" w:after="120"/>
              <w:ind w:left="709" w:hanging="709"/>
              <w:contextualSpacing/>
              <w:jc w:val="both"/>
              <w:rPr>
                <w:rFonts w:eastAsia="Aptos"/>
                <w:sz w:val="22"/>
                <w:szCs w:val="22"/>
              </w:rPr>
            </w:pPr>
            <w:r w:rsidRPr="00F51790">
              <w:rPr>
                <w:rFonts w:eastAsia="Aptos"/>
                <w:sz w:val="22"/>
                <w:szCs w:val="22"/>
              </w:rPr>
              <w:t>Manifesta ciência em relação ao inteiro teor do ato convocatório e dos seus anexos, concorda com suas condições, declara que a sua proposta econômica compreenderá a integralidade dos custos, nos termos do art. 63, §1º, da Lei Federal nº 14.133/21, para atendimento dos direitos trabalhistas assegurados na Constituição Federal de 1988, nas leis trabalhistas, nas normas infralegais, nas convenções coletivas de trabalho e nos termos de ajustamento de conduta vigentes na data da sua entrega em definitivo;</w:t>
            </w:r>
          </w:p>
        </w:tc>
        <w:tc>
          <w:tcPr>
            <w:tcW w:w="1134" w:type="dxa"/>
            <w:vAlign w:val="center"/>
          </w:tcPr>
          <w:p w14:paraId="3E6B38C2" w14:textId="77777777" w:rsidR="00DB1E23" w:rsidRPr="00F51790" w:rsidRDefault="00DB1E23" w:rsidP="00745FC2">
            <w:pPr>
              <w:ind w:left="709" w:hanging="709"/>
              <w:jc w:val="center"/>
            </w:pPr>
          </w:p>
        </w:tc>
        <w:tc>
          <w:tcPr>
            <w:tcW w:w="1134" w:type="dxa"/>
            <w:vAlign w:val="center"/>
          </w:tcPr>
          <w:p w14:paraId="326D3661" w14:textId="77777777" w:rsidR="00DB1E23" w:rsidRPr="00F51790" w:rsidRDefault="00DB1E23" w:rsidP="00745FC2">
            <w:pPr>
              <w:ind w:left="709" w:hanging="709"/>
              <w:jc w:val="center"/>
            </w:pPr>
          </w:p>
        </w:tc>
      </w:tr>
      <w:tr w:rsidR="00DB1E23" w:rsidRPr="00F51790" w14:paraId="30711365" w14:textId="77777777" w:rsidTr="00745FC2">
        <w:trPr>
          <w:trHeight w:val="300"/>
        </w:trPr>
        <w:tc>
          <w:tcPr>
            <w:tcW w:w="6804" w:type="dxa"/>
            <w:vAlign w:val="center"/>
          </w:tcPr>
          <w:p w14:paraId="07550DD0" w14:textId="77777777" w:rsidR="00DB1E23" w:rsidRPr="00F51790" w:rsidRDefault="00DB1E23" w:rsidP="00DB1E23">
            <w:pPr>
              <w:pStyle w:val="PargrafodaLista"/>
              <w:numPr>
                <w:ilvl w:val="0"/>
                <w:numId w:val="4"/>
              </w:numPr>
              <w:spacing w:before="120" w:after="120"/>
              <w:ind w:left="709" w:hanging="709"/>
              <w:contextualSpacing/>
              <w:jc w:val="both"/>
              <w:rPr>
                <w:rFonts w:eastAsia="Aptos"/>
                <w:sz w:val="22"/>
                <w:szCs w:val="22"/>
              </w:rPr>
            </w:pPr>
            <w:r w:rsidRPr="00F51790">
              <w:rPr>
                <w:rFonts w:eastAsia="Aptos"/>
                <w:sz w:val="22"/>
                <w:szCs w:val="22"/>
              </w:rPr>
              <w:t>Inexiste impedimento à sua habilitação, e comunicará a superveniência de ocorrência impeditiva ao órgão ou entidade Contratante;</w:t>
            </w:r>
          </w:p>
        </w:tc>
        <w:tc>
          <w:tcPr>
            <w:tcW w:w="1134" w:type="dxa"/>
            <w:vAlign w:val="center"/>
          </w:tcPr>
          <w:p w14:paraId="64FF9377" w14:textId="77777777" w:rsidR="00DB1E23" w:rsidRPr="00F51790" w:rsidRDefault="00DB1E23" w:rsidP="00745FC2">
            <w:pPr>
              <w:ind w:left="709" w:hanging="709"/>
              <w:jc w:val="center"/>
            </w:pPr>
          </w:p>
        </w:tc>
        <w:tc>
          <w:tcPr>
            <w:tcW w:w="1134" w:type="dxa"/>
            <w:vAlign w:val="center"/>
          </w:tcPr>
          <w:p w14:paraId="3BC93132" w14:textId="77777777" w:rsidR="00DB1E23" w:rsidRPr="00F51790" w:rsidRDefault="00DB1E23" w:rsidP="00745FC2">
            <w:pPr>
              <w:ind w:left="709" w:hanging="709"/>
              <w:jc w:val="center"/>
            </w:pPr>
          </w:p>
        </w:tc>
      </w:tr>
      <w:tr w:rsidR="00DB1E23" w:rsidRPr="00F51790" w14:paraId="5596F78A" w14:textId="77777777" w:rsidTr="00745FC2">
        <w:trPr>
          <w:trHeight w:val="300"/>
        </w:trPr>
        <w:tc>
          <w:tcPr>
            <w:tcW w:w="6804" w:type="dxa"/>
            <w:vAlign w:val="center"/>
          </w:tcPr>
          <w:p w14:paraId="7D01E76C" w14:textId="77777777" w:rsidR="00DB1E23" w:rsidRPr="00F51790" w:rsidRDefault="00DB1E23" w:rsidP="00DB1E23">
            <w:pPr>
              <w:pStyle w:val="PargrafodaLista"/>
              <w:numPr>
                <w:ilvl w:val="0"/>
                <w:numId w:val="4"/>
              </w:numPr>
              <w:spacing w:before="120" w:after="120"/>
              <w:ind w:left="709" w:hanging="709"/>
              <w:contextualSpacing/>
              <w:jc w:val="both"/>
              <w:rPr>
                <w:rFonts w:eastAsia="Aptos"/>
                <w:sz w:val="22"/>
                <w:szCs w:val="22"/>
              </w:rPr>
            </w:pPr>
            <w:r w:rsidRPr="00F51790">
              <w:rPr>
                <w:rFonts w:eastAsia="Aptos"/>
                <w:sz w:val="22"/>
                <w:szCs w:val="22"/>
              </w:rPr>
              <w:t>Cumpre o disposto no inciso XXXIII do art. 7° da Constituição Federal de 1988, que proíbe o trabalho noturno, perigoso ou insalubre a menores de dezoito e de qualquer trabalho a menores de dezesseis anos, salvo na condição de aprendiz, a partir de quatorze anos;</w:t>
            </w:r>
          </w:p>
        </w:tc>
        <w:tc>
          <w:tcPr>
            <w:tcW w:w="1134" w:type="dxa"/>
            <w:vAlign w:val="center"/>
          </w:tcPr>
          <w:p w14:paraId="4D18235A" w14:textId="77777777" w:rsidR="00DB1E23" w:rsidRPr="00F51790" w:rsidRDefault="00DB1E23" w:rsidP="00745FC2">
            <w:pPr>
              <w:ind w:left="709" w:hanging="709"/>
              <w:jc w:val="center"/>
            </w:pPr>
          </w:p>
        </w:tc>
        <w:tc>
          <w:tcPr>
            <w:tcW w:w="1134" w:type="dxa"/>
            <w:vAlign w:val="center"/>
          </w:tcPr>
          <w:p w14:paraId="32111D1F" w14:textId="77777777" w:rsidR="00DB1E23" w:rsidRPr="00F51790" w:rsidRDefault="00DB1E23" w:rsidP="00745FC2">
            <w:pPr>
              <w:ind w:left="709" w:hanging="709"/>
              <w:jc w:val="center"/>
            </w:pPr>
          </w:p>
        </w:tc>
      </w:tr>
      <w:tr w:rsidR="00DB1E23" w:rsidRPr="00F51790" w14:paraId="0C4A7561" w14:textId="77777777" w:rsidTr="00745FC2">
        <w:trPr>
          <w:trHeight w:val="300"/>
        </w:trPr>
        <w:tc>
          <w:tcPr>
            <w:tcW w:w="6804" w:type="dxa"/>
            <w:vAlign w:val="center"/>
          </w:tcPr>
          <w:p w14:paraId="1BA35BB3" w14:textId="77777777" w:rsidR="00DB1E23" w:rsidRPr="00F51790" w:rsidRDefault="00DB1E23" w:rsidP="00DB1E23">
            <w:pPr>
              <w:pStyle w:val="PargrafodaLista"/>
              <w:numPr>
                <w:ilvl w:val="0"/>
                <w:numId w:val="4"/>
              </w:numPr>
              <w:spacing w:before="120" w:after="120"/>
              <w:ind w:left="709" w:hanging="709"/>
              <w:contextualSpacing/>
              <w:jc w:val="both"/>
              <w:rPr>
                <w:rFonts w:eastAsia="Aptos"/>
                <w:sz w:val="22"/>
                <w:szCs w:val="22"/>
              </w:rPr>
            </w:pPr>
            <w:r w:rsidRPr="00F51790">
              <w:rPr>
                <w:rFonts w:eastAsia="Aptos"/>
                <w:sz w:val="22"/>
                <w:szCs w:val="22"/>
              </w:rPr>
              <w:t>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14.133/21;</w:t>
            </w:r>
          </w:p>
        </w:tc>
        <w:tc>
          <w:tcPr>
            <w:tcW w:w="1134" w:type="dxa"/>
            <w:vAlign w:val="center"/>
          </w:tcPr>
          <w:p w14:paraId="6501B173" w14:textId="77777777" w:rsidR="00DB1E23" w:rsidRPr="00F51790" w:rsidRDefault="00DB1E23" w:rsidP="00745FC2">
            <w:pPr>
              <w:ind w:left="709" w:hanging="709"/>
              <w:jc w:val="center"/>
              <w:rPr>
                <w:strike/>
              </w:rPr>
            </w:pPr>
          </w:p>
        </w:tc>
        <w:tc>
          <w:tcPr>
            <w:tcW w:w="1134" w:type="dxa"/>
            <w:vAlign w:val="center"/>
          </w:tcPr>
          <w:p w14:paraId="0D01774D" w14:textId="77777777" w:rsidR="00DB1E23" w:rsidRPr="00F51790" w:rsidRDefault="00DB1E23" w:rsidP="00745FC2">
            <w:pPr>
              <w:ind w:left="709" w:hanging="709"/>
              <w:jc w:val="center"/>
              <w:rPr>
                <w:strike/>
              </w:rPr>
            </w:pPr>
          </w:p>
        </w:tc>
      </w:tr>
      <w:tr w:rsidR="00DB1E23" w:rsidRPr="00F51790" w14:paraId="1FB46B75" w14:textId="77777777" w:rsidTr="00745FC2">
        <w:trPr>
          <w:trHeight w:val="300"/>
        </w:trPr>
        <w:tc>
          <w:tcPr>
            <w:tcW w:w="6804" w:type="dxa"/>
            <w:vAlign w:val="center"/>
          </w:tcPr>
          <w:p w14:paraId="1F85CAC1" w14:textId="77777777" w:rsidR="00DB1E23" w:rsidRPr="00F51790" w:rsidRDefault="00DB1E23" w:rsidP="00DB1E23">
            <w:pPr>
              <w:pStyle w:val="PargrafodaLista"/>
              <w:numPr>
                <w:ilvl w:val="0"/>
                <w:numId w:val="4"/>
              </w:numPr>
              <w:spacing w:before="120" w:after="120"/>
              <w:ind w:left="709" w:hanging="709"/>
              <w:contextualSpacing/>
              <w:jc w:val="both"/>
              <w:rPr>
                <w:rFonts w:eastAsia="Aptos"/>
                <w:sz w:val="22"/>
                <w:szCs w:val="22"/>
              </w:rPr>
            </w:pPr>
            <w:r w:rsidRPr="00F51790">
              <w:rPr>
                <w:rFonts w:eastAsia="Aptos"/>
                <w:sz w:val="22"/>
                <w:szCs w:val="22"/>
              </w:rPr>
              <w:t>Se responsabiliza pelas transações que forem efetuadas no sistema em seu nome, assumindo-as como firmes e verdadeiras;</w:t>
            </w:r>
          </w:p>
        </w:tc>
        <w:tc>
          <w:tcPr>
            <w:tcW w:w="1134" w:type="dxa"/>
            <w:vAlign w:val="center"/>
          </w:tcPr>
          <w:p w14:paraId="6AC010A6" w14:textId="77777777" w:rsidR="00DB1E23" w:rsidRPr="00F51790" w:rsidRDefault="00DB1E23" w:rsidP="00745FC2">
            <w:pPr>
              <w:ind w:left="709" w:hanging="709"/>
              <w:jc w:val="center"/>
            </w:pPr>
          </w:p>
        </w:tc>
        <w:tc>
          <w:tcPr>
            <w:tcW w:w="1134" w:type="dxa"/>
            <w:vAlign w:val="center"/>
          </w:tcPr>
          <w:p w14:paraId="654B9588" w14:textId="77777777" w:rsidR="00DB1E23" w:rsidRPr="00F51790" w:rsidRDefault="00DB1E23" w:rsidP="00745FC2">
            <w:pPr>
              <w:ind w:left="709" w:hanging="709"/>
              <w:jc w:val="center"/>
            </w:pPr>
          </w:p>
        </w:tc>
      </w:tr>
      <w:tr w:rsidR="00DB1E23" w:rsidRPr="00F51790" w14:paraId="62627524" w14:textId="77777777" w:rsidTr="00745FC2">
        <w:trPr>
          <w:trHeight w:val="300"/>
        </w:trPr>
        <w:tc>
          <w:tcPr>
            <w:tcW w:w="9072" w:type="dxa"/>
            <w:gridSpan w:val="3"/>
            <w:vAlign w:val="center"/>
          </w:tcPr>
          <w:p w14:paraId="678B344E" w14:textId="77777777" w:rsidR="00DB1E23" w:rsidRPr="00F51790" w:rsidRDefault="00DB1E23" w:rsidP="00DB1E23">
            <w:pPr>
              <w:pStyle w:val="PargrafodaLista"/>
              <w:numPr>
                <w:ilvl w:val="0"/>
                <w:numId w:val="4"/>
              </w:numPr>
              <w:spacing w:before="120" w:after="120"/>
              <w:ind w:left="709" w:hanging="709"/>
              <w:contextualSpacing/>
              <w:jc w:val="both"/>
              <w:rPr>
                <w:rFonts w:eastAsia="Aptos"/>
                <w:sz w:val="22"/>
                <w:szCs w:val="22"/>
              </w:rPr>
            </w:pPr>
            <w:r w:rsidRPr="00F51790">
              <w:rPr>
                <w:rFonts w:eastAsia="Aptos"/>
                <w:sz w:val="22"/>
                <w:szCs w:val="22"/>
              </w:rPr>
              <w:lastRenderedPageBreak/>
              <w:t>Se fornecedor beneficiário (ME/EPP/Equiparadas) indicado no caput do art. 3º do Decreto Estadual nº 47.437, de 2018, declara que:</w:t>
            </w:r>
          </w:p>
        </w:tc>
      </w:tr>
      <w:tr w:rsidR="00DB1E23" w:rsidRPr="00F51790" w14:paraId="0998597F" w14:textId="77777777" w:rsidTr="00745FC2">
        <w:trPr>
          <w:trHeight w:val="300"/>
        </w:trPr>
        <w:tc>
          <w:tcPr>
            <w:tcW w:w="6804" w:type="dxa"/>
            <w:vAlign w:val="center"/>
          </w:tcPr>
          <w:p w14:paraId="7634D9FD" w14:textId="77777777" w:rsidR="00DB1E23" w:rsidRPr="00F51790" w:rsidRDefault="00DB1E23" w:rsidP="00DB1E23">
            <w:pPr>
              <w:pStyle w:val="PargrafodaLista"/>
              <w:numPr>
                <w:ilvl w:val="1"/>
                <w:numId w:val="4"/>
              </w:numPr>
              <w:spacing w:before="120" w:after="120"/>
              <w:ind w:left="1560" w:hanging="709"/>
              <w:contextualSpacing/>
              <w:jc w:val="both"/>
              <w:rPr>
                <w:rFonts w:eastAsia="Aptos"/>
                <w:sz w:val="22"/>
                <w:szCs w:val="22"/>
              </w:rPr>
            </w:pPr>
            <w:r w:rsidRPr="00F51790">
              <w:rPr>
                <w:rFonts w:eastAsia="Aptos"/>
                <w:sz w:val="22"/>
                <w:szCs w:val="22"/>
              </w:rPr>
              <w:t>Cumpre os requisitos estabelecidos no artigo 3º da Lei Complementar Federal nº 123, de 2006, estando apto a usufruir do tratamento favorecido estabelecido em seus artigos 42 a 49, observado o disposto nos §§ 1º ao 3º do art. 4º, da Lei Federal nº 14.133/21;</w:t>
            </w:r>
          </w:p>
        </w:tc>
        <w:tc>
          <w:tcPr>
            <w:tcW w:w="1134" w:type="dxa"/>
            <w:vAlign w:val="center"/>
          </w:tcPr>
          <w:p w14:paraId="649BBF09" w14:textId="77777777" w:rsidR="00DB1E23" w:rsidRPr="00F51790" w:rsidRDefault="00DB1E23" w:rsidP="00745FC2">
            <w:pPr>
              <w:ind w:left="709" w:hanging="709"/>
              <w:jc w:val="center"/>
            </w:pPr>
          </w:p>
        </w:tc>
        <w:tc>
          <w:tcPr>
            <w:tcW w:w="1134" w:type="dxa"/>
            <w:vAlign w:val="center"/>
          </w:tcPr>
          <w:p w14:paraId="45FCAD7C" w14:textId="77777777" w:rsidR="00DB1E23" w:rsidRPr="00F51790" w:rsidRDefault="00DB1E23" w:rsidP="00745FC2">
            <w:pPr>
              <w:spacing w:before="120" w:after="120" w:line="240" w:lineRule="auto"/>
              <w:ind w:left="709" w:hanging="709"/>
              <w:jc w:val="center"/>
            </w:pPr>
          </w:p>
        </w:tc>
      </w:tr>
      <w:tr w:rsidR="00DB1E23" w:rsidRPr="00F51790" w14:paraId="061907BD" w14:textId="77777777" w:rsidTr="00745FC2">
        <w:trPr>
          <w:trHeight w:val="300"/>
        </w:trPr>
        <w:tc>
          <w:tcPr>
            <w:tcW w:w="6804" w:type="dxa"/>
            <w:vAlign w:val="center"/>
          </w:tcPr>
          <w:p w14:paraId="34AE22BF" w14:textId="77777777" w:rsidR="00DB1E23" w:rsidRPr="00F51790" w:rsidRDefault="00DB1E23" w:rsidP="00DB1E23">
            <w:pPr>
              <w:pStyle w:val="PargrafodaLista"/>
              <w:numPr>
                <w:ilvl w:val="1"/>
                <w:numId w:val="4"/>
              </w:numPr>
              <w:spacing w:before="120" w:after="120"/>
              <w:ind w:left="1560" w:hanging="709"/>
              <w:contextualSpacing/>
              <w:jc w:val="both"/>
              <w:rPr>
                <w:rFonts w:eastAsia="Aptos"/>
                <w:sz w:val="22"/>
                <w:szCs w:val="22"/>
              </w:rPr>
            </w:pPr>
            <w:r w:rsidRPr="00F51790">
              <w:rPr>
                <w:rFonts w:eastAsia="Aptos"/>
                <w:sz w:val="22"/>
                <w:szCs w:val="22"/>
              </w:rPr>
              <w:t>Caso possua restrição no(s) documento(s) de regularidade fiscal, assume o compromisso de promover a regularização caso venha a formular o lance vencedor, cumprindo plenamente os demais requisitos de habilitação.</w:t>
            </w:r>
          </w:p>
        </w:tc>
        <w:tc>
          <w:tcPr>
            <w:tcW w:w="1134" w:type="dxa"/>
            <w:vAlign w:val="center"/>
          </w:tcPr>
          <w:p w14:paraId="1777C96A" w14:textId="77777777" w:rsidR="00DB1E23" w:rsidRPr="00F51790" w:rsidRDefault="00DB1E23" w:rsidP="00745FC2">
            <w:pPr>
              <w:ind w:left="709" w:hanging="709"/>
              <w:jc w:val="center"/>
            </w:pPr>
          </w:p>
        </w:tc>
        <w:tc>
          <w:tcPr>
            <w:tcW w:w="1134" w:type="dxa"/>
            <w:vAlign w:val="center"/>
          </w:tcPr>
          <w:p w14:paraId="69769AAE" w14:textId="77777777" w:rsidR="00DB1E23" w:rsidRPr="00F51790" w:rsidRDefault="00DB1E23" w:rsidP="00745FC2">
            <w:pPr>
              <w:ind w:left="709" w:hanging="709"/>
              <w:jc w:val="center"/>
            </w:pPr>
          </w:p>
        </w:tc>
      </w:tr>
      <w:tr w:rsidR="00DB1E23" w:rsidRPr="00F51790" w14:paraId="3EEDEA3D" w14:textId="77777777" w:rsidTr="00745FC2">
        <w:trPr>
          <w:trHeight w:val="300"/>
        </w:trPr>
        <w:tc>
          <w:tcPr>
            <w:tcW w:w="6804" w:type="dxa"/>
            <w:vAlign w:val="center"/>
          </w:tcPr>
          <w:p w14:paraId="094AA12D" w14:textId="77777777" w:rsidR="00DB1E23" w:rsidRPr="00F51790" w:rsidRDefault="00DB1E23" w:rsidP="00DB1E23">
            <w:pPr>
              <w:pStyle w:val="PargrafodaLista"/>
              <w:numPr>
                <w:ilvl w:val="0"/>
                <w:numId w:val="4"/>
              </w:numPr>
              <w:spacing w:before="120" w:after="120"/>
              <w:ind w:left="709" w:hanging="709"/>
              <w:contextualSpacing/>
              <w:jc w:val="both"/>
              <w:rPr>
                <w:rFonts w:eastAsia="Aptos"/>
                <w:sz w:val="22"/>
                <w:szCs w:val="22"/>
              </w:rPr>
            </w:pPr>
            <w:r w:rsidRPr="00F51790">
              <w:rPr>
                <w:rFonts w:eastAsia="Aptos"/>
                <w:sz w:val="22"/>
                <w:szCs w:val="22"/>
              </w:rPr>
              <w:t>Participa da licitação sob a forma de cooperativa e atende ao disposto no art. 16 da Lei Federal nº 14.133/21;</w:t>
            </w:r>
          </w:p>
          <w:p w14:paraId="0F15E1B7" w14:textId="77777777" w:rsidR="00DB1E23" w:rsidRPr="00F51790" w:rsidRDefault="00DB1E23" w:rsidP="00745FC2">
            <w:pPr>
              <w:pStyle w:val="PargrafodaLista"/>
              <w:spacing w:before="120" w:after="120"/>
              <w:ind w:left="709"/>
              <w:contextualSpacing/>
              <w:jc w:val="both"/>
              <w:rPr>
                <w:rFonts w:eastAsia="Aptos"/>
                <w:sz w:val="10"/>
                <w:szCs w:val="10"/>
              </w:rPr>
            </w:pPr>
          </w:p>
        </w:tc>
        <w:tc>
          <w:tcPr>
            <w:tcW w:w="1134" w:type="dxa"/>
            <w:vAlign w:val="center"/>
          </w:tcPr>
          <w:p w14:paraId="5580DCF5" w14:textId="77777777" w:rsidR="00DB1E23" w:rsidRPr="00F51790" w:rsidRDefault="00DB1E23" w:rsidP="00745FC2">
            <w:pPr>
              <w:pStyle w:val="PargrafodaLista"/>
              <w:spacing w:before="120" w:after="120"/>
              <w:ind w:left="709"/>
              <w:contextualSpacing/>
              <w:jc w:val="both"/>
              <w:rPr>
                <w:rFonts w:ascii="Aptos" w:eastAsia="Aptos" w:hAnsi="Aptos" w:cs="Aptos"/>
                <w:sz w:val="22"/>
                <w:szCs w:val="22"/>
              </w:rPr>
            </w:pPr>
          </w:p>
        </w:tc>
        <w:tc>
          <w:tcPr>
            <w:tcW w:w="1134" w:type="dxa"/>
            <w:vAlign w:val="center"/>
          </w:tcPr>
          <w:p w14:paraId="4BA974AD" w14:textId="77777777" w:rsidR="00DB1E23" w:rsidRPr="00F51790" w:rsidRDefault="00DB1E23" w:rsidP="00745FC2">
            <w:pPr>
              <w:pStyle w:val="PargrafodaLista"/>
              <w:spacing w:before="120" w:after="120"/>
              <w:ind w:left="709"/>
              <w:contextualSpacing/>
              <w:jc w:val="both"/>
              <w:rPr>
                <w:rFonts w:ascii="Aptos" w:eastAsia="Aptos" w:hAnsi="Aptos" w:cs="Aptos"/>
                <w:sz w:val="22"/>
                <w:szCs w:val="22"/>
              </w:rPr>
            </w:pPr>
          </w:p>
        </w:tc>
      </w:tr>
      <w:tr w:rsidR="00DB1E23" w:rsidRPr="00F51790" w14:paraId="4038AC2C" w14:textId="77777777" w:rsidTr="00745FC2">
        <w:trPr>
          <w:trHeight w:val="300"/>
        </w:trPr>
        <w:tc>
          <w:tcPr>
            <w:tcW w:w="6804" w:type="dxa"/>
            <w:vAlign w:val="center"/>
          </w:tcPr>
          <w:p w14:paraId="483FF463" w14:textId="77777777" w:rsidR="00DB1E23" w:rsidRPr="00F51790" w:rsidRDefault="00DB1E23" w:rsidP="00DB1E23">
            <w:pPr>
              <w:pStyle w:val="PargrafodaLista"/>
              <w:numPr>
                <w:ilvl w:val="0"/>
                <w:numId w:val="4"/>
              </w:numPr>
              <w:spacing w:before="120" w:after="120"/>
              <w:ind w:hanging="715"/>
              <w:contextualSpacing/>
              <w:jc w:val="both"/>
              <w:rPr>
                <w:rFonts w:eastAsia="Aptos"/>
                <w:sz w:val="22"/>
                <w:szCs w:val="22"/>
              </w:rPr>
            </w:pPr>
            <w:r w:rsidRPr="00F51790">
              <w:rPr>
                <w:rFonts w:eastAsia="Aptos"/>
                <w:sz w:val="22"/>
                <w:szCs w:val="22"/>
              </w:rPr>
              <w:t>Possui ciência em relação a todas as informações e condições locais para o cumprimento das obrigações objeto da licitação;</w:t>
            </w:r>
          </w:p>
        </w:tc>
        <w:tc>
          <w:tcPr>
            <w:tcW w:w="1134" w:type="dxa"/>
            <w:vAlign w:val="center"/>
          </w:tcPr>
          <w:p w14:paraId="588F45B7" w14:textId="77777777" w:rsidR="00DB1E23" w:rsidRPr="00F51790" w:rsidRDefault="00DB1E23" w:rsidP="00745FC2">
            <w:pPr>
              <w:ind w:left="709" w:hanging="709"/>
              <w:jc w:val="center"/>
            </w:pPr>
          </w:p>
        </w:tc>
        <w:tc>
          <w:tcPr>
            <w:tcW w:w="1134" w:type="dxa"/>
            <w:vAlign w:val="center"/>
          </w:tcPr>
          <w:p w14:paraId="0B726FD3" w14:textId="77777777" w:rsidR="00DB1E23" w:rsidRPr="00F51790" w:rsidRDefault="00DB1E23" w:rsidP="00745FC2">
            <w:pPr>
              <w:ind w:left="709" w:hanging="709"/>
              <w:jc w:val="center"/>
            </w:pPr>
          </w:p>
        </w:tc>
      </w:tr>
      <w:tr w:rsidR="00DB1E23" w:rsidRPr="00F51790" w14:paraId="02CC66E3" w14:textId="77777777" w:rsidTr="00745FC2">
        <w:trPr>
          <w:trHeight w:val="300"/>
        </w:trPr>
        <w:tc>
          <w:tcPr>
            <w:tcW w:w="6804" w:type="dxa"/>
            <w:vAlign w:val="center"/>
          </w:tcPr>
          <w:p w14:paraId="5931E881" w14:textId="77777777" w:rsidR="00DB1E23" w:rsidRPr="00F51790" w:rsidRDefault="00DB1E23" w:rsidP="00DB1E23">
            <w:pPr>
              <w:pStyle w:val="PargrafodaLista"/>
              <w:numPr>
                <w:ilvl w:val="0"/>
                <w:numId w:val="4"/>
              </w:numPr>
              <w:spacing w:before="120" w:after="120"/>
              <w:ind w:left="709" w:hanging="709"/>
              <w:contextualSpacing/>
              <w:jc w:val="both"/>
              <w:rPr>
                <w:rFonts w:eastAsia="SimSun"/>
                <w:sz w:val="22"/>
                <w:szCs w:val="22"/>
                <w:lang w:eastAsia="hi-IN" w:bidi="hi-IN"/>
              </w:rPr>
            </w:pPr>
            <w:r w:rsidRPr="00F51790">
              <w:rPr>
                <w:rFonts w:eastAsia="SimSun"/>
                <w:sz w:val="22"/>
                <w:szCs w:val="22"/>
                <w:lang w:eastAsia="hi-IN" w:bidi="hi-IN"/>
              </w:rPr>
              <w:t xml:space="preserve">Não possui em seu quadro societário funcionário com vínculo de natureza técnica, comercial, econômica, financeira, trabalhista ou civil, ou que seja cônjuge, companheiro ou parente em linha reta, colateral ou por afinidade, até o terceiro grau, inclusive, de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inclusive no período compreendido entre os 6 (seis) meses anteriores à publicação deste Edital até a presente data (Resolução 37/09 do CNMP, alterada pela Resolução nº 172/17, c/c o art. 14, IV, da </w:t>
            </w:r>
            <w:r w:rsidRPr="00F51790">
              <w:rPr>
                <w:rFonts w:eastAsia="MS Mincho"/>
                <w:sz w:val="22"/>
                <w:szCs w:val="22"/>
                <w:lang w:eastAsia="pt-BR"/>
              </w:rPr>
              <w:t>Lei Federal nº 14.133/21</w:t>
            </w:r>
            <w:r w:rsidRPr="00F51790">
              <w:rPr>
                <w:rFonts w:eastAsia="SimSun"/>
                <w:sz w:val="22"/>
                <w:szCs w:val="22"/>
                <w:lang w:eastAsia="hi-IN" w:bidi="hi-IN"/>
              </w:rPr>
              <w:t xml:space="preserve">). </w:t>
            </w:r>
          </w:p>
          <w:p w14:paraId="6AB17281" w14:textId="77777777" w:rsidR="00DB1E23" w:rsidRPr="00F51790" w:rsidRDefault="00DB1E23" w:rsidP="00745FC2">
            <w:pPr>
              <w:pStyle w:val="PargrafodaLista"/>
              <w:spacing w:after="60"/>
              <w:jc w:val="both"/>
              <w:rPr>
                <w:rFonts w:eastAsia="SimSun"/>
                <w:sz w:val="22"/>
                <w:szCs w:val="22"/>
                <w:lang w:eastAsia="hi-IN" w:bidi="hi-IN"/>
              </w:rPr>
            </w:pPr>
            <w:r w:rsidRPr="00F51790">
              <w:rPr>
                <w:rFonts w:eastAsia="SimSun"/>
                <w:sz w:val="22"/>
                <w:szCs w:val="22"/>
                <w:lang w:eastAsia="hi-IN" w:bidi="hi-IN"/>
              </w:rPr>
              <w:t xml:space="preserve">Possui ciência sobre a vedação de contratar cônjuge, companheiro ou parente em linha reta, colateral ou por afinidade, até o terceiro grau, de dirigente do órgão ou entidade contratante ou de agente público que desempenhe função na licitação ou atue na fiscalização ou na gestão do contrato. (art. 48, </w:t>
            </w:r>
            <w:r w:rsidRPr="00F51790">
              <w:rPr>
                <w:rFonts w:eastAsia="Aptos"/>
                <w:sz w:val="22"/>
                <w:szCs w:val="22"/>
              </w:rPr>
              <w:t>§</w:t>
            </w:r>
            <w:r w:rsidRPr="00F51790">
              <w:rPr>
                <w:rFonts w:eastAsia="SimSun"/>
                <w:sz w:val="22"/>
                <w:szCs w:val="22"/>
                <w:lang w:eastAsia="hi-IN" w:bidi="hi-IN"/>
              </w:rPr>
              <w:t xml:space="preserve"> único, da </w:t>
            </w:r>
            <w:r w:rsidRPr="00F51790">
              <w:rPr>
                <w:rFonts w:eastAsia="MS Mincho"/>
                <w:sz w:val="22"/>
                <w:szCs w:val="22"/>
                <w:lang w:eastAsia="pt-BR"/>
              </w:rPr>
              <w:t>Lei Federal nº 14.133/21</w:t>
            </w:r>
            <w:r w:rsidRPr="00F51790">
              <w:rPr>
                <w:rFonts w:eastAsia="SimSun"/>
                <w:sz w:val="22"/>
                <w:szCs w:val="22"/>
                <w:lang w:eastAsia="hi-IN" w:bidi="hi-IN"/>
              </w:rPr>
              <w:t>).</w:t>
            </w:r>
          </w:p>
          <w:p w14:paraId="3482B04E" w14:textId="77777777" w:rsidR="00DB1E23" w:rsidRPr="00F51790" w:rsidRDefault="00DB1E23" w:rsidP="00745FC2">
            <w:pPr>
              <w:pStyle w:val="PargrafodaLista"/>
              <w:spacing w:before="120" w:after="120"/>
              <w:ind w:left="709"/>
              <w:contextualSpacing/>
              <w:jc w:val="both"/>
              <w:rPr>
                <w:rFonts w:eastAsia="Aptos"/>
                <w:sz w:val="22"/>
                <w:szCs w:val="22"/>
              </w:rPr>
            </w:pPr>
            <w:r w:rsidRPr="00F51790">
              <w:rPr>
                <w:rFonts w:eastAsia="SimSun"/>
                <w:sz w:val="22"/>
                <w:szCs w:val="22"/>
                <w:lang w:eastAsia="hi-IN" w:bidi="hi-IN"/>
              </w:rPr>
              <w:t xml:space="preserve">Não está sob controle de grupo de pessoas, físicas ou jurídicas, já participante desta licitação como controlador de outra empresa. </w:t>
            </w:r>
          </w:p>
          <w:p w14:paraId="14B27A54" w14:textId="77777777" w:rsidR="00DB1E23" w:rsidRPr="00F51790" w:rsidRDefault="00DB1E23" w:rsidP="00745FC2">
            <w:pPr>
              <w:pStyle w:val="PargrafodaLista"/>
              <w:spacing w:after="120"/>
              <w:jc w:val="both"/>
              <w:rPr>
                <w:rFonts w:eastAsia="Aptos"/>
                <w:sz w:val="22"/>
                <w:szCs w:val="22"/>
              </w:rPr>
            </w:pPr>
          </w:p>
        </w:tc>
        <w:tc>
          <w:tcPr>
            <w:tcW w:w="1134" w:type="dxa"/>
            <w:vAlign w:val="center"/>
          </w:tcPr>
          <w:p w14:paraId="1E0BA1C3" w14:textId="77777777" w:rsidR="00DB1E23" w:rsidRPr="00F51790" w:rsidRDefault="00DB1E23" w:rsidP="00745FC2">
            <w:pPr>
              <w:ind w:left="709" w:hanging="709"/>
              <w:jc w:val="center"/>
            </w:pPr>
          </w:p>
        </w:tc>
        <w:tc>
          <w:tcPr>
            <w:tcW w:w="1134" w:type="dxa"/>
            <w:vAlign w:val="center"/>
          </w:tcPr>
          <w:p w14:paraId="3F4986FD" w14:textId="77777777" w:rsidR="00DB1E23" w:rsidRPr="00F51790" w:rsidRDefault="00DB1E23" w:rsidP="00745FC2">
            <w:pPr>
              <w:ind w:left="709" w:hanging="709"/>
              <w:jc w:val="center"/>
            </w:pPr>
          </w:p>
        </w:tc>
      </w:tr>
      <w:tr w:rsidR="00DB1E23" w:rsidRPr="00F51790" w14:paraId="20B2A27B" w14:textId="77777777" w:rsidTr="00745FC2">
        <w:trPr>
          <w:trHeight w:val="300"/>
        </w:trPr>
        <w:tc>
          <w:tcPr>
            <w:tcW w:w="9072" w:type="dxa"/>
            <w:gridSpan w:val="3"/>
            <w:vAlign w:val="center"/>
          </w:tcPr>
          <w:p w14:paraId="7693D72C" w14:textId="77777777" w:rsidR="00DB1E23" w:rsidRPr="00F51790" w:rsidRDefault="00DB1E23" w:rsidP="00745FC2">
            <w:pPr>
              <w:ind w:left="709" w:hanging="709"/>
              <w:jc w:val="both"/>
              <w:rPr>
                <w:rFonts w:ascii="Arial" w:eastAsia="Aptos" w:hAnsi="Arial" w:cs="Arial"/>
                <w:b/>
                <w:bCs/>
              </w:rPr>
            </w:pPr>
            <w:r w:rsidRPr="00F51790">
              <w:rPr>
                <w:rFonts w:ascii="Arial" w:eastAsia="Aptos" w:hAnsi="Arial" w:cs="Arial"/>
                <w:b/>
                <w:bCs/>
              </w:rPr>
              <w:lastRenderedPageBreak/>
              <w:t xml:space="preserve">Obs.: O preenchimento deste </w:t>
            </w:r>
            <w:r w:rsidRPr="00F51790">
              <w:rPr>
                <w:rFonts w:ascii="Arial" w:eastAsia="Aptos" w:hAnsi="Arial" w:cs="Arial"/>
                <w:b/>
                <w:bCs/>
                <w:i/>
                <w:iCs/>
              </w:rPr>
              <w:t>checklist</w:t>
            </w:r>
            <w:r w:rsidRPr="00F51790">
              <w:rPr>
                <w:rFonts w:ascii="Arial" w:eastAsia="Aptos" w:hAnsi="Arial" w:cs="Arial"/>
                <w:b/>
                <w:bCs/>
              </w:rPr>
              <w:t xml:space="preserve"> não exime o licitante da apresentação de eventuais outras declarações exigidas no edital e não abrangidas neste documento.</w:t>
            </w:r>
          </w:p>
        </w:tc>
      </w:tr>
    </w:tbl>
    <w:p w14:paraId="00101E08" w14:textId="77777777" w:rsidR="00DB1E23" w:rsidRPr="00F51790" w:rsidRDefault="00DB1E23" w:rsidP="00DB1E23">
      <w:pPr>
        <w:rPr>
          <w:rFonts w:ascii="Arial" w:hAnsi="Arial"/>
          <w:b/>
          <w:bCs/>
        </w:rPr>
      </w:pPr>
      <w:r w:rsidRPr="00F51790">
        <w:rPr>
          <w:rFonts w:ascii="Arial" w:hAnsi="Arial"/>
          <w:b/>
          <w:bCs/>
        </w:rPr>
        <w:t>*N/A = Não se aplica</w:t>
      </w:r>
    </w:p>
    <w:p w14:paraId="3F6D5F76" w14:textId="77777777" w:rsidR="00DB1E23" w:rsidRPr="00F51790" w:rsidRDefault="00DB1E23" w:rsidP="00DB1E23">
      <w:pPr>
        <w:spacing w:before="288" w:after="288"/>
        <w:jc w:val="center"/>
        <w:rPr>
          <w:rFonts w:ascii="Arial" w:eastAsia="SimSun" w:hAnsi="Arial"/>
          <w:kern w:val="2"/>
          <w:sz w:val="24"/>
          <w:szCs w:val="24"/>
          <w:lang w:eastAsia="hi-IN" w:bidi="hi-IN"/>
        </w:rPr>
      </w:pPr>
      <w:r w:rsidRPr="00F51790">
        <w:rPr>
          <w:rFonts w:ascii="Arial" w:eastAsia="SimSun" w:hAnsi="Arial"/>
          <w:kern w:val="2"/>
          <w:sz w:val="24"/>
          <w:szCs w:val="24"/>
          <w:lang w:eastAsia="hi-IN" w:bidi="hi-IN"/>
        </w:rPr>
        <w:t>................................,  ..... de ....................... de ........</w:t>
      </w:r>
    </w:p>
    <w:p w14:paraId="61F418AB" w14:textId="77777777" w:rsidR="00DB1E23" w:rsidRPr="00F51790" w:rsidRDefault="00DB1E23" w:rsidP="00DB1E23">
      <w:pPr>
        <w:spacing w:before="288" w:after="288"/>
        <w:jc w:val="center"/>
        <w:rPr>
          <w:rFonts w:ascii="Arial" w:eastAsia="SimSun" w:hAnsi="Arial"/>
          <w:kern w:val="2"/>
          <w:sz w:val="24"/>
          <w:szCs w:val="24"/>
          <w:lang w:eastAsia="hi-IN" w:bidi="hi-IN"/>
        </w:rPr>
      </w:pPr>
      <w:r w:rsidRPr="00F51790">
        <w:rPr>
          <w:rFonts w:ascii="Arial" w:eastAsia="SimSun" w:hAnsi="Arial"/>
          <w:kern w:val="2"/>
          <w:sz w:val="24"/>
          <w:szCs w:val="24"/>
          <w:lang w:eastAsia="hi-IN" w:bidi="hi-IN"/>
        </w:rPr>
        <w:t>.....................................................................</w:t>
      </w:r>
    </w:p>
    <w:p w14:paraId="6C633A0D" w14:textId="77777777" w:rsidR="00DB1E23" w:rsidRPr="00F51790" w:rsidRDefault="00DB1E23" w:rsidP="00DB1E23">
      <w:pPr>
        <w:spacing w:before="288" w:after="288"/>
        <w:jc w:val="center"/>
        <w:rPr>
          <w:rFonts w:ascii="Arial" w:eastAsia="SimSun" w:hAnsi="Arial"/>
          <w:sz w:val="24"/>
          <w:szCs w:val="24"/>
          <w:lang w:eastAsia="hi-IN" w:bidi="hi-IN"/>
        </w:rPr>
      </w:pPr>
      <w:r w:rsidRPr="00F51790">
        <w:rPr>
          <w:rFonts w:ascii="Arial" w:eastAsia="SimSun" w:hAnsi="Arial"/>
          <w:kern w:val="2"/>
          <w:sz w:val="24"/>
          <w:szCs w:val="24"/>
          <w:lang w:eastAsia="hi-IN" w:bidi="hi-IN"/>
        </w:rPr>
        <w:t>Assinatura do representante legal</w:t>
      </w:r>
    </w:p>
    <w:p w14:paraId="055CC81D" w14:textId="77777777" w:rsidR="00DB1E23" w:rsidRPr="00F51790" w:rsidRDefault="00DB1E23" w:rsidP="00DB1E23">
      <w:pPr>
        <w:spacing w:after="480"/>
        <w:jc w:val="both"/>
        <w:rPr>
          <w:b/>
          <w:bCs/>
          <w:sz w:val="20"/>
          <w:szCs w:val="20"/>
        </w:rPr>
      </w:pPr>
    </w:p>
    <w:p w14:paraId="19969E73" w14:textId="77777777" w:rsidR="00DB1E23" w:rsidRPr="00F51790" w:rsidRDefault="00DB1E23" w:rsidP="00DB1E23">
      <w:pPr>
        <w:spacing w:after="480"/>
        <w:jc w:val="both"/>
        <w:rPr>
          <w:b/>
          <w:bCs/>
          <w:sz w:val="20"/>
          <w:szCs w:val="20"/>
        </w:rPr>
      </w:pPr>
    </w:p>
    <w:p w14:paraId="15550DE3" w14:textId="77777777" w:rsidR="00DB1E23" w:rsidRPr="00F51790" w:rsidRDefault="00DB1E23" w:rsidP="00DB1E23">
      <w:pPr>
        <w:spacing w:after="480"/>
        <w:jc w:val="both"/>
        <w:rPr>
          <w:b/>
          <w:bCs/>
          <w:sz w:val="20"/>
          <w:szCs w:val="20"/>
        </w:rPr>
      </w:pPr>
    </w:p>
    <w:p w14:paraId="2A1503CF" w14:textId="77777777" w:rsidR="00DB1E23" w:rsidRPr="00F51790" w:rsidRDefault="00DB1E23" w:rsidP="00DB1E23">
      <w:pPr>
        <w:spacing w:after="480"/>
        <w:jc w:val="both"/>
        <w:rPr>
          <w:b/>
          <w:bCs/>
          <w:sz w:val="20"/>
          <w:szCs w:val="20"/>
        </w:rPr>
      </w:pPr>
    </w:p>
    <w:p w14:paraId="4350E309" w14:textId="77777777" w:rsidR="00DB1E23" w:rsidRPr="00F51790" w:rsidRDefault="00DB1E23" w:rsidP="00DB1E23">
      <w:pPr>
        <w:spacing w:after="480"/>
        <w:jc w:val="both"/>
        <w:rPr>
          <w:b/>
          <w:bCs/>
          <w:sz w:val="20"/>
          <w:szCs w:val="20"/>
        </w:rPr>
      </w:pPr>
    </w:p>
    <w:p w14:paraId="79A59FB0" w14:textId="77777777" w:rsidR="00DB1E23" w:rsidRPr="00F51790" w:rsidRDefault="00DB1E23" w:rsidP="00DB1E23">
      <w:pPr>
        <w:spacing w:after="480"/>
        <w:jc w:val="both"/>
        <w:rPr>
          <w:b/>
          <w:bCs/>
          <w:sz w:val="20"/>
          <w:szCs w:val="20"/>
        </w:rPr>
      </w:pPr>
    </w:p>
    <w:p w14:paraId="3BB68645" w14:textId="77777777" w:rsidR="00DB1E23" w:rsidRPr="00F51790" w:rsidRDefault="00DB1E23" w:rsidP="00DB1E23">
      <w:pPr>
        <w:spacing w:after="480"/>
        <w:jc w:val="both"/>
        <w:rPr>
          <w:b/>
          <w:bCs/>
          <w:sz w:val="20"/>
          <w:szCs w:val="20"/>
        </w:rPr>
      </w:pPr>
    </w:p>
    <w:p w14:paraId="010D5B0D" w14:textId="77777777" w:rsidR="00DB1E23" w:rsidRPr="00F51790" w:rsidRDefault="00DB1E23" w:rsidP="00DB1E23">
      <w:pPr>
        <w:spacing w:after="480"/>
        <w:jc w:val="both"/>
        <w:rPr>
          <w:b/>
          <w:bCs/>
          <w:sz w:val="20"/>
          <w:szCs w:val="20"/>
        </w:rPr>
      </w:pPr>
    </w:p>
    <w:p w14:paraId="3212078E" w14:textId="77777777" w:rsidR="00DB1E23" w:rsidRPr="00F51790" w:rsidRDefault="00DB1E23" w:rsidP="00DB1E23">
      <w:pPr>
        <w:spacing w:after="480"/>
        <w:jc w:val="both"/>
        <w:rPr>
          <w:b/>
          <w:bCs/>
          <w:sz w:val="20"/>
          <w:szCs w:val="20"/>
        </w:rPr>
      </w:pPr>
    </w:p>
    <w:p w14:paraId="5BAB1216" w14:textId="77777777" w:rsidR="00DB1E23" w:rsidRPr="00F51790" w:rsidRDefault="00DB1E23" w:rsidP="00DB1E23">
      <w:pPr>
        <w:spacing w:after="480"/>
        <w:jc w:val="both"/>
        <w:rPr>
          <w:b/>
          <w:bCs/>
          <w:sz w:val="20"/>
          <w:szCs w:val="20"/>
        </w:rPr>
      </w:pPr>
    </w:p>
    <w:p w14:paraId="086B5855" w14:textId="77777777" w:rsidR="00DB1E23" w:rsidRPr="00F51790" w:rsidRDefault="00DB1E23" w:rsidP="00DB1E23">
      <w:pPr>
        <w:spacing w:after="480"/>
        <w:jc w:val="both"/>
        <w:rPr>
          <w:b/>
          <w:bCs/>
          <w:sz w:val="20"/>
          <w:szCs w:val="20"/>
        </w:rPr>
      </w:pPr>
    </w:p>
    <w:p w14:paraId="3D6F05C9" w14:textId="77777777" w:rsidR="00DB1E23" w:rsidRPr="00F51790" w:rsidRDefault="00DB1E23" w:rsidP="00DB1E23">
      <w:pPr>
        <w:spacing w:after="480"/>
        <w:jc w:val="both"/>
        <w:rPr>
          <w:b/>
          <w:bCs/>
          <w:sz w:val="20"/>
          <w:szCs w:val="20"/>
        </w:rPr>
      </w:pPr>
    </w:p>
    <w:p w14:paraId="45A16F2F" w14:textId="77777777" w:rsidR="00DB1E23" w:rsidRPr="00F51790" w:rsidRDefault="00DB1E23" w:rsidP="00DB1E23">
      <w:pPr>
        <w:spacing w:after="480"/>
        <w:jc w:val="both"/>
        <w:rPr>
          <w:b/>
          <w:bCs/>
          <w:sz w:val="20"/>
          <w:szCs w:val="20"/>
        </w:rPr>
      </w:pPr>
    </w:p>
    <w:p w14:paraId="2A229EA2" w14:textId="431852D3" w:rsidR="00901CDC" w:rsidRDefault="00DD550A" w:rsidP="00C63608">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8" w:name="_Toc176954851"/>
      <w:r w:rsidRPr="00F51790">
        <w:rPr>
          <w:rFonts w:ascii="Arial" w:eastAsia="Times New Roman" w:hAnsi="Arial" w:cs="Arial"/>
          <w:b/>
          <w:bCs/>
          <w:kern w:val="2"/>
          <w:sz w:val="24"/>
          <w:szCs w:val="24"/>
          <w:lang w:eastAsia="ar-SA"/>
        </w:rPr>
        <w:lastRenderedPageBreak/>
        <w:t>ANEXO VI</w:t>
      </w:r>
      <w:r w:rsidR="00B86E0F" w:rsidRPr="00F51790">
        <w:rPr>
          <w:rFonts w:ascii="Arial" w:eastAsia="Times New Roman" w:hAnsi="Arial" w:cs="Arial"/>
          <w:b/>
          <w:bCs/>
          <w:kern w:val="2"/>
          <w:sz w:val="24"/>
          <w:szCs w:val="24"/>
          <w:lang w:eastAsia="ar-SA"/>
        </w:rPr>
        <w:t>I</w:t>
      </w:r>
      <w:r w:rsidRPr="00F51790">
        <w:rPr>
          <w:rFonts w:ascii="Arial" w:eastAsia="Times New Roman" w:hAnsi="Arial" w:cs="Arial"/>
          <w:b/>
          <w:bCs/>
          <w:kern w:val="2"/>
          <w:sz w:val="24"/>
          <w:szCs w:val="24"/>
          <w:lang w:eastAsia="ar-SA"/>
        </w:rPr>
        <w:t xml:space="preserve"> – INFORMAÇÕES SOBRE O ÓRGÃO </w:t>
      </w:r>
      <w:bookmarkEnd w:id="215"/>
      <w:r w:rsidRPr="00F51790">
        <w:rPr>
          <w:rFonts w:ascii="Arial" w:eastAsia="Times New Roman" w:hAnsi="Arial" w:cs="Arial"/>
          <w:b/>
          <w:bCs/>
          <w:kern w:val="2"/>
          <w:sz w:val="24"/>
          <w:szCs w:val="24"/>
          <w:lang w:eastAsia="ar-SA"/>
        </w:rPr>
        <w:t>GE</w:t>
      </w:r>
      <w:r>
        <w:rPr>
          <w:rFonts w:ascii="Arial" w:eastAsia="Times New Roman" w:hAnsi="Arial" w:cs="Arial"/>
          <w:b/>
          <w:bCs/>
          <w:kern w:val="2"/>
          <w:sz w:val="24"/>
          <w:szCs w:val="24"/>
          <w:lang w:eastAsia="ar-SA"/>
        </w:rPr>
        <w:t>RENCIADOR</w:t>
      </w:r>
      <w:bookmarkEnd w:id="218"/>
      <w:r>
        <w:rPr>
          <w:rFonts w:ascii="Arial" w:eastAsia="Times New Roman" w:hAnsi="Arial" w:cs="Arial"/>
          <w:b/>
          <w:bCs/>
          <w:kern w:val="2"/>
          <w:sz w:val="24"/>
          <w:szCs w:val="24"/>
          <w:lang w:eastAsia="ar-SA"/>
        </w:rPr>
        <w:t xml:space="preserve"> </w:t>
      </w:r>
      <w:bookmarkEnd w:id="216"/>
      <w:bookmarkEnd w:id="217"/>
    </w:p>
    <w:p w14:paraId="0D2C6427" w14:textId="77777777" w:rsidR="00901CDC" w:rsidRDefault="00DD550A">
      <w:pPr>
        <w:suppressAutoHyphens w:val="0"/>
        <w:spacing w:before="240" w:after="240"/>
        <w:jc w:val="both"/>
        <w:rPr>
          <w:rFonts w:ascii="Arial" w:hAnsi="Arial" w:cs="Arial"/>
          <w:sz w:val="24"/>
          <w:szCs w:val="24"/>
          <w:lang w:eastAsia="pt-BR"/>
        </w:rPr>
      </w:pPr>
      <w:r>
        <w:rPr>
          <w:rFonts w:ascii="Arial" w:hAnsi="Arial" w:cs="Arial"/>
          <w:sz w:val="24"/>
          <w:szCs w:val="24"/>
          <w:lang w:eastAsia="pt-BR"/>
        </w:rPr>
        <w:t xml:space="preserve">(Anexo IV da Ata de Registro de Preços e Anexo III do Contrato) </w:t>
      </w:r>
    </w:p>
    <w:p w14:paraId="7B0AE197" w14:textId="77777777" w:rsidR="00901CDC" w:rsidRDefault="00901CDC">
      <w:pPr>
        <w:suppressAutoHyphens w:val="0"/>
        <w:spacing w:before="240" w:after="240"/>
        <w:jc w:val="both"/>
        <w:rPr>
          <w:rFonts w:ascii="Arial" w:hAnsi="Arial" w:cs="Arial"/>
          <w:sz w:val="24"/>
          <w:szCs w:val="24"/>
          <w:lang w:eastAsia="pt-BR"/>
        </w:rPr>
      </w:pPr>
    </w:p>
    <w:tbl>
      <w:tblPr>
        <w:tblStyle w:val="Tabelacomgrade1"/>
        <w:tblW w:w="9061" w:type="dxa"/>
        <w:jc w:val="center"/>
        <w:tblLook w:val="04A0" w:firstRow="1" w:lastRow="0" w:firstColumn="1" w:lastColumn="0" w:noHBand="0" w:noVBand="1"/>
      </w:tblPr>
      <w:tblGrid>
        <w:gridCol w:w="1840"/>
        <w:gridCol w:w="1983"/>
        <w:gridCol w:w="5238"/>
      </w:tblGrid>
      <w:tr w:rsidR="00901CDC" w14:paraId="5FA906DE" w14:textId="77777777">
        <w:trPr>
          <w:jc w:val="center"/>
        </w:trPr>
        <w:tc>
          <w:tcPr>
            <w:tcW w:w="1840" w:type="dxa"/>
            <w:shd w:val="clear" w:color="auto" w:fill="auto"/>
            <w:vAlign w:val="center"/>
          </w:tcPr>
          <w:p w14:paraId="6B7D4B40" w14:textId="77777777" w:rsidR="00901CDC" w:rsidRDefault="00901CDC">
            <w:pPr>
              <w:spacing w:before="119" w:after="0" w:line="240" w:lineRule="auto"/>
              <w:jc w:val="center"/>
              <w:rPr>
                <w:rFonts w:ascii="Arial" w:eastAsia="Times New Roman" w:hAnsi="Arial" w:cs="Arial"/>
                <w:b/>
                <w:sz w:val="24"/>
                <w:szCs w:val="24"/>
              </w:rPr>
            </w:pPr>
          </w:p>
        </w:tc>
        <w:tc>
          <w:tcPr>
            <w:tcW w:w="1983" w:type="dxa"/>
            <w:shd w:val="clear" w:color="auto" w:fill="auto"/>
            <w:vAlign w:val="center"/>
          </w:tcPr>
          <w:p w14:paraId="40BCB795"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b/>
                <w:sz w:val="24"/>
                <w:szCs w:val="24"/>
              </w:rPr>
              <w:t>Órgão</w:t>
            </w:r>
          </w:p>
        </w:tc>
        <w:tc>
          <w:tcPr>
            <w:tcW w:w="5238" w:type="dxa"/>
            <w:shd w:val="clear" w:color="auto" w:fill="auto"/>
            <w:vAlign w:val="center"/>
          </w:tcPr>
          <w:p w14:paraId="22DBA72C"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b/>
                <w:sz w:val="24"/>
                <w:szCs w:val="24"/>
              </w:rPr>
              <w:t>Gestor da Ata de Registro de Preços (Nome/contato)</w:t>
            </w:r>
          </w:p>
        </w:tc>
      </w:tr>
      <w:tr w:rsidR="00901CDC" w14:paraId="6B7604C1" w14:textId="77777777">
        <w:trPr>
          <w:trHeight w:val="851"/>
          <w:jc w:val="center"/>
        </w:trPr>
        <w:tc>
          <w:tcPr>
            <w:tcW w:w="1840" w:type="dxa"/>
            <w:shd w:val="clear" w:color="auto" w:fill="auto"/>
            <w:vAlign w:val="center"/>
          </w:tcPr>
          <w:p w14:paraId="72796237"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b/>
                <w:sz w:val="24"/>
                <w:szCs w:val="24"/>
              </w:rPr>
              <w:t>Gerenciador</w:t>
            </w:r>
          </w:p>
        </w:tc>
        <w:tc>
          <w:tcPr>
            <w:tcW w:w="1983" w:type="dxa"/>
            <w:shd w:val="clear" w:color="auto" w:fill="auto"/>
            <w:vAlign w:val="center"/>
          </w:tcPr>
          <w:p w14:paraId="35B9C394"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sz w:val="24"/>
                <w:szCs w:val="24"/>
              </w:rPr>
              <w:t>Procuradoria-Geral de Justiça do Estado de Minas Gerais</w:t>
            </w:r>
          </w:p>
        </w:tc>
        <w:tc>
          <w:tcPr>
            <w:tcW w:w="5238" w:type="dxa"/>
            <w:shd w:val="clear" w:color="auto" w:fill="auto"/>
            <w:vAlign w:val="center"/>
          </w:tcPr>
          <w:p w14:paraId="3290D850" w14:textId="77777777" w:rsidR="00901CDC" w:rsidRDefault="00DD550A">
            <w:pPr>
              <w:spacing w:before="119" w:after="0" w:line="240" w:lineRule="auto"/>
              <w:jc w:val="center"/>
              <w:rPr>
                <w:rFonts w:ascii="Arial" w:hAnsi="Arial" w:cs="Arial"/>
                <w:sz w:val="24"/>
                <w:szCs w:val="24"/>
              </w:rPr>
            </w:pPr>
            <w:r>
              <w:rPr>
                <w:rFonts w:ascii="Arial" w:eastAsia="Times New Roman" w:hAnsi="Arial" w:cs="Arial"/>
                <w:sz w:val="24"/>
                <w:szCs w:val="24"/>
              </w:rPr>
              <w:t>Brás Marques de Souza</w:t>
            </w:r>
          </w:p>
          <w:p w14:paraId="79C73CD7" w14:textId="77777777" w:rsidR="00901CDC" w:rsidRDefault="00DD550A">
            <w:pPr>
              <w:spacing w:before="119" w:after="0" w:line="240" w:lineRule="auto"/>
              <w:jc w:val="center"/>
              <w:rPr>
                <w:rFonts w:ascii="Arial" w:hAnsi="Arial" w:cs="Arial"/>
                <w:sz w:val="24"/>
                <w:szCs w:val="24"/>
              </w:rPr>
            </w:pPr>
            <w:r>
              <w:rPr>
                <w:rFonts w:ascii="Arial" w:eastAsia="Times New Roman" w:hAnsi="Arial" w:cs="Arial"/>
                <w:sz w:val="24"/>
                <w:szCs w:val="24"/>
              </w:rPr>
              <w:t>Telefone: (31) 3330-8492</w:t>
            </w:r>
          </w:p>
        </w:tc>
      </w:tr>
    </w:tbl>
    <w:p w14:paraId="29A15BAC" w14:textId="77777777" w:rsidR="00901CDC" w:rsidRDefault="00901CDC">
      <w:pPr>
        <w:spacing w:before="119" w:after="0" w:line="240" w:lineRule="auto"/>
        <w:jc w:val="center"/>
        <w:rPr>
          <w:rFonts w:ascii="Arial" w:eastAsia="Times New Roman" w:hAnsi="Arial" w:cs="Arial"/>
          <w:kern w:val="2"/>
          <w:sz w:val="24"/>
          <w:szCs w:val="24"/>
          <w:lang w:eastAsia="ar-SA"/>
        </w:rPr>
      </w:pPr>
    </w:p>
    <w:tbl>
      <w:tblPr>
        <w:tblStyle w:val="Tabelacomgrade1"/>
        <w:tblW w:w="9072" w:type="dxa"/>
        <w:jc w:val="center"/>
        <w:tblLook w:val="04A0" w:firstRow="1" w:lastRow="0" w:firstColumn="1" w:lastColumn="0" w:noHBand="0" w:noVBand="1"/>
      </w:tblPr>
      <w:tblGrid>
        <w:gridCol w:w="1842"/>
        <w:gridCol w:w="2126"/>
        <w:gridCol w:w="2692"/>
        <w:gridCol w:w="2412"/>
      </w:tblGrid>
      <w:tr w:rsidR="00901CDC" w14:paraId="70683F29" w14:textId="77777777">
        <w:trPr>
          <w:jc w:val="center"/>
        </w:trPr>
        <w:tc>
          <w:tcPr>
            <w:tcW w:w="1841" w:type="dxa"/>
            <w:shd w:val="clear" w:color="auto" w:fill="auto"/>
            <w:vAlign w:val="center"/>
          </w:tcPr>
          <w:p w14:paraId="2E469D31" w14:textId="77777777" w:rsidR="00901CDC" w:rsidRDefault="00901CDC">
            <w:pPr>
              <w:spacing w:before="119" w:after="0" w:line="240" w:lineRule="auto"/>
              <w:jc w:val="center"/>
              <w:rPr>
                <w:rFonts w:ascii="Arial" w:eastAsia="Times New Roman" w:hAnsi="Arial" w:cs="Arial"/>
                <w:b/>
                <w:sz w:val="24"/>
                <w:szCs w:val="24"/>
              </w:rPr>
            </w:pPr>
          </w:p>
        </w:tc>
        <w:tc>
          <w:tcPr>
            <w:tcW w:w="2126" w:type="dxa"/>
            <w:shd w:val="clear" w:color="auto" w:fill="auto"/>
            <w:vAlign w:val="center"/>
          </w:tcPr>
          <w:p w14:paraId="6609341E"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b/>
                <w:sz w:val="24"/>
                <w:szCs w:val="24"/>
              </w:rPr>
              <w:t>Órgão</w:t>
            </w:r>
          </w:p>
        </w:tc>
        <w:tc>
          <w:tcPr>
            <w:tcW w:w="2692" w:type="dxa"/>
            <w:shd w:val="clear" w:color="auto" w:fill="auto"/>
            <w:vAlign w:val="center"/>
          </w:tcPr>
          <w:p w14:paraId="0A216281"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b/>
                <w:sz w:val="24"/>
                <w:szCs w:val="24"/>
              </w:rPr>
              <w:t>Local de Entrega</w:t>
            </w:r>
          </w:p>
        </w:tc>
        <w:tc>
          <w:tcPr>
            <w:tcW w:w="2412" w:type="dxa"/>
            <w:shd w:val="clear" w:color="auto" w:fill="auto"/>
            <w:vAlign w:val="center"/>
          </w:tcPr>
          <w:p w14:paraId="3DCCAF27"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b/>
                <w:sz w:val="24"/>
                <w:szCs w:val="24"/>
              </w:rPr>
              <w:t>Setor Fiscalizador (Nome/contato)</w:t>
            </w:r>
          </w:p>
        </w:tc>
      </w:tr>
      <w:tr w:rsidR="00901CDC" w14:paraId="79C9D564" w14:textId="77777777">
        <w:trPr>
          <w:trHeight w:val="851"/>
          <w:jc w:val="center"/>
        </w:trPr>
        <w:tc>
          <w:tcPr>
            <w:tcW w:w="1841" w:type="dxa"/>
            <w:shd w:val="clear" w:color="auto" w:fill="auto"/>
            <w:vAlign w:val="center"/>
          </w:tcPr>
          <w:p w14:paraId="6A4BF97C"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b/>
                <w:sz w:val="24"/>
                <w:szCs w:val="24"/>
              </w:rPr>
              <w:t>Gerenciador</w:t>
            </w:r>
          </w:p>
        </w:tc>
        <w:tc>
          <w:tcPr>
            <w:tcW w:w="2126" w:type="dxa"/>
            <w:shd w:val="clear" w:color="auto" w:fill="auto"/>
            <w:vAlign w:val="center"/>
          </w:tcPr>
          <w:p w14:paraId="7FAEF1F8"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sz w:val="24"/>
                <w:szCs w:val="24"/>
              </w:rPr>
              <w:t>Procuradoria-Geral de Justiça do Estado de Minas Gerais</w:t>
            </w:r>
          </w:p>
        </w:tc>
        <w:tc>
          <w:tcPr>
            <w:tcW w:w="2692" w:type="dxa"/>
            <w:shd w:val="clear" w:color="auto" w:fill="auto"/>
            <w:vAlign w:val="center"/>
          </w:tcPr>
          <w:p w14:paraId="11EBC2A1" w14:textId="5725DE22" w:rsidR="0053652E" w:rsidRPr="0053652E" w:rsidRDefault="0053652E">
            <w:pPr>
              <w:spacing w:before="119" w:after="0" w:line="240" w:lineRule="auto"/>
              <w:jc w:val="center"/>
              <w:rPr>
                <w:rFonts w:ascii="Arial" w:eastAsia="Times New Roman" w:hAnsi="Arial" w:cs="Arial"/>
                <w:b/>
                <w:bCs/>
                <w:color w:val="000000"/>
                <w:sz w:val="24"/>
                <w:szCs w:val="24"/>
                <w:u w:val="single"/>
                <w:shd w:val="clear" w:color="auto" w:fill="FFFFFF"/>
              </w:rPr>
            </w:pPr>
            <w:r w:rsidRPr="0053652E">
              <w:rPr>
                <w:rFonts w:ascii="Arial" w:eastAsia="Times New Roman" w:hAnsi="Arial" w:cs="Arial"/>
                <w:b/>
                <w:bCs/>
                <w:color w:val="000000"/>
                <w:sz w:val="24"/>
                <w:szCs w:val="24"/>
                <w:u w:val="single"/>
                <w:shd w:val="clear" w:color="auto" w:fill="FFFFFF"/>
              </w:rPr>
              <w:t>Betim/MG</w:t>
            </w:r>
          </w:p>
          <w:p w14:paraId="2576D4B3" w14:textId="13251D8F" w:rsidR="00901CDC" w:rsidRDefault="00DD32CB">
            <w:pPr>
              <w:spacing w:before="119" w:after="0" w:line="240" w:lineRule="auto"/>
              <w:jc w:val="center"/>
              <w:rPr>
                <w:rFonts w:ascii="Arial" w:hAnsi="Arial" w:cs="Arial"/>
                <w:sz w:val="24"/>
                <w:szCs w:val="24"/>
              </w:rPr>
            </w:pPr>
            <w:r>
              <w:rPr>
                <w:rFonts w:ascii="Arial" w:eastAsia="Times New Roman" w:hAnsi="Arial" w:cs="Arial"/>
                <w:color w:val="000000"/>
                <w:sz w:val="24"/>
                <w:szCs w:val="24"/>
                <w:shd w:val="clear" w:color="auto" w:fill="FFFFFF"/>
              </w:rPr>
              <w:t>O</w:t>
            </w:r>
            <w:r w:rsidR="00DD550A">
              <w:rPr>
                <w:rFonts w:ascii="Arial" w:eastAsia="Times New Roman" w:hAnsi="Arial" w:cs="Arial"/>
                <w:color w:val="000000"/>
                <w:sz w:val="24"/>
                <w:szCs w:val="24"/>
                <w:shd w:val="clear" w:color="auto" w:fill="FFFFFF"/>
              </w:rPr>
              <w:t>perador logístico contratado pelo MPMG</w:t>
            </w:r>
            <w:r w:rsidR="00DD550A">
              <w:rPr>
                <w:rFonts w:ascii="Arial" w:hAnsi="Arial" w:cs="Arial"/>
                <w:b/>
                <w:bCs/>
                <w:color w:val="000000"/>
                <w:sz w:val="24"/>
                <w:szCs w:val="24"/>
                <w:shd w:val="clear" w:color="auto" w:fill="FFFFFF"/>
              </w:rPr>
              <w:t xml:space="preserve"> (Expresso Minas Frios Ltda.</w:t>
            </w:r>
            <w:r w:rsidR="00DD550A">
              <w:rPr>
                <w:rFonts w:ascii="Arial" w:hAnsi="Arial" w:cs="Arial"/>
                <w:color w:val="000000"/>
                <w:sz w:val="24"/>
                <w:szCs w:val="24"/>
                <w:shd w:val="clear" w:color="auto" w:fill="FFFFFF"/>
              </w:rPr>
              <w:t>, com sede na Avenida Engenheiro Darcy Nogueira do Pinho, nº 3201, Galpão 2 - Módulo 2, Bairro Vila Cristina, CEP.: 32.675-515, em Betim/MG)</w:t>
            </w:r>
            <w:r w:rsidR="00DD550A">
              <w:rPr>
                <w:rFonts w:ascii="Arial" w:eastAsia="Times New Roman" w:hAnsi="Arial" w:cs="Arial"/>
                <w:sz w:val="24"/>
                <w:szCs w:val="24"/>
                <w:highlight w:val="white"/>
              </w:rPr>
              <w:t xml:space="preserve"> - Telefones: (031) 333</w:t>
            </w:r>
            <w:r w:rsidR="00DD550A">
              <w:rPr>
                <w:rFonts w:ascii="Arial" w:eastAsia="Times New Roman" w:hAnsi="Arial" w:cs="Arial"/>
                <w:sz w:val="24"/>
                <w:szCs w:val="24"/>
              </w:rPr>
              <w:t>1-6328 / (031) 3331-6329</w:t>
            </w:r>
          </w:p>
        </w:tc>
        <w:tc>
          <w:tcPr>
            <w:tcW w:w="2412" w:type="dxa"/>
            <w:shd w:val="clear" w:color="auto" w:fill="auto"/>
            <w:vAlign w:val="center"/>
          </w:tcPr>
          <w:p w14:paraId="5ACAACF8" w14:textId="77777777" w:rsidR="00901CDC" w:rsidRDefault="00DD550A">
            <w:pPr>
              <w:spacing w:before="119" w:after="0" w:line="240" w:lineRule="auto"/>
              <w:jc w:val="center"/>
              <w:rPr>
                <w:rFonts w:ascii="Arial" w:hAnsi="Arial" w:cs="Arial"/>
                <w:sz w:val="24"/>
                <w:szCs w:val="24"/>
              </w:rPr>
            </w:pPr>
            <w:r>
              <w:rPr>
                <w:rFonts w:ascii="Arial" w:eastAsia="Times New Roman" w:hAnsi="Arial" w:cs="Arial"/>
                <w:sz w:val="24"/>
                <w:szCs w:val="24"/>
              </w:rPr>
              <w:t>Nome do setor</w:t>
            </w:r>
          </w:p>
          <w:p w14:paraId="2C5A8D0C" w14:textId="77777777" w:rsidR="00901CDC" w:rsidRDefault="00DD550A">
            <w:pPr>
              <w:spacing w:before="119" w:after="0" w:line="240" w:lineRule="auto"/>
              <w:jc w:val="center"/>
              <w:rPr>
                <w:rFonts w:ascii="Arial" w:hAnsi="Arial" w:cs="Arial"/>
                <w:sz w:val="24"/>
                <w:szCs w:val="24"/>
              </w:rPr>
            </w:pPr>
            <w:r>
              <w:rPr>
                <w:rFonts w:ascii="Arial" w:eastAsia="Times New Roman" w:hAnsi="Arial" w:cs="Arial"/>
                <w:sz w:val="24"/>
                <w:szCs w:val="24"/>
              </w:rPr>
              <w:t>Responsável: Divisão de Materiais - DIMAT</w:t>
            </w:r>
          </w:p>
          <w:p w14:paraId="28E1CEDE" w14:textId="77777777" w:rsidR="00901CDC" w:rsidRDefault="00DD550A">
            <w:pPr>
              <w:spacing w:before="119" w:after="0" w:line="240" w:lineRule="auto"/>
              <w:jc w:val="center"/>
              <w:rPr>
                <w:rFonts w:ascii="Arial" w:hAnsi="Arial" w:cs="Arial"/>
                <w:b/>
                <w:sz w:val="24"/>
                <w:szCs w:val="24"/>
              </w:rPr>
            </w:pPr>
            <w:r>
              <w:rPr>
                <w:rFonts w:ascii="Arial" w:eastAsia="Times New Roman" w:hAnsi="Arial" w:cs="Arial"/>
                <w:sz w:val="24"/>
                <w:szCs w:val="24"/>
              </w:rPr>
              <w:t xml:space="preserve">Telefone: (31) </w:t>
            </w:r>
            <w:r>
              <w:rPr>
                <w:rStyle w:val="ui-provider"/>
                <w:rFonts w:ascii="Arial" w:eastAsia="Times New Roman" w:hAnsi="Arial" w:cs="Arial"/>
                <w:sz w:val="24"/>
                <w:szCs w:val="24"/>
              </w:rPr>
              <w:t>3386-6572 e 3386-6565</w:t>
            </w:r>
          </w:p>
        </w:tc>
      </w:tr>
    </w:tbl>
    <w:p w14:paraId="4F0C46C0" w14:textId="77777777" w:rsidR="00901CDC" w:rsidRDefault="00901CDC">
      <w:pPr>
        <w:spacing w:before="240" w:after="240" w:line="240" w:lineRule="auto"/>
        <w:jc w:val="both"/>
        <w:rPr>
          <w:rFonts w:ascii="Arial" w:eastAsia="Times New Roman" w:hAnsi="Arial" w:cs="Arial"/>
          <w:sz w:val="24"/>
          <w:szCs w:val="24"/>
          <w:lang w:eastAsia="pt-BR"/>
        </w:rPr>
      </w:pPr>
    </w:p>
    <w:p w14:paraId="25032378" w14:textId="77777777" w:rsidR="00901CDC" w:rsidRDefault="00DD550A">
      <w:pPr>
        <w:spacing w:after="0" w:line="240" w:lineRule="auto"/>
        <w:rPr>
          <w:rFonts w:ascii="Arial" w:eastAsia="Times New Roman" w:hAnsi="Arial" w:cs="Arial"/>
          <w:sz w:val="24"/>
          <w:szCs w:val="24"/>
          <w:lang w:eastAsia="pt-BR"/>
        </w:rPr>
      </w:pPr>
      <w:r>
        <w:br w:type="page"/>
      </w:r>
    </w:p>
    <w:p w14:paraId="047485C5" w14:textId="172E52C1" w:rsidR="00901CDC" w:rsidRDefault="00DD550A" w:rsidP="00C63608">
      <w:pPr>
        <w:keepNext/>
        <w:keepLines/>
        <w:tabs>
          <w:tab w:val="left" w:pos="567"/>
        </w:tabs>
        <w:spacing w:before="288" w:after="288" w:line="247" w:lineRule="auto"/>
        <w:jc w:val="both"/>
        <w:outlineLvl w:val="0"/>
        <w:rPr>
          <w:rFonts w:ascii="Arial" w:eastAsia="Times New Roman" w:hAnsi="Arial" w:cs="Arial"/>
          <w:b/>
          <w:bCs/>
          <w:kern w:val="2"/>
          <w:sz w:val="24"/>
          <w:szCs w:val="24"/>
          <w:lang w:eastAsia="ar-SA"/>
        </w:rPr>
      </w:pPr>
      <w:bookmarkStart w:id="219" w:name="_Toc478473796"/>
      <w:bookmarkStart w:id="220" w:name="_Toc133230932"/>
      <w:bookmarkStart w:id="221" w:name="_Toc160206129"/>
      <w:bookmarkStart w:id="222" w:name="_Toc176954852"/>
      <w:r>
        <w:rPr>
          <w:rFonts w:ascii="Arial" w:eastAsia="Times New Roman" w:hAnsi="Arial" w:cs="Arial"/>
          <w:b/>
          <w:bCs/>
          <w:kern w:val="2"/>
          <w:sz w:val="24"/>
          <w:szCs w:val="24"/>
          <w:lang w:eastAsia="ar-SA"/>
        </w:rPr>
        <w:lastRenderedPageBreak/>
        <w:t>ANEXO V</w:t>
      </w:r>
      <w:r w:rsidR="00B86E0F">
        <w:rPr>
          <w:rFonts w:ascii="Arial" w:eastAsia="Times New Roman" w:hAnsi="Arial" w:cs="Arial"/>
          <w:b/>
          <w:bCs/>
          <w:kern w:val="2"/>
          <w:sz w:val="24"/>
          <w:szCs w:val="24"/>
          <w:lang w:eastAsia="ar-SA"/>
        </w:rPr>
        <w:t>I</w:t>
      </w:r>
      <w:r>
        <w:rPr>
          <w:rFonts w:ascii="Arial" w:eastAsia="Times New Roman" w:hAnsi="Arial" w:cs="Arial"/>
          <w:b/>
          <w:bCs/>
          <w:kern w:val="2"/>
          <w:sz w:val="24"/>
          <w:szCs w:val="24"/>
          <w:lang w:eastAsia="ar-SA"/>
        </w:rPr>
        <w:t>II – TERMO DE ADESÃO DO(S) ÓRGÃO(S) NÃO PARTICIPANTE(S</w:t>
      </w:r>
      <w:bookmarkEnd w:id="219"/>
      <w:r>
        <w:rPr>
          <w:rFonts w:ascii="Arial" w:eastAsia="Times New Roman" w:hAnsi="Arial" w:cs="Arial"/>
          <w:b/>
          <w:bCs/>
          <w:kern w:val="2"/>
          <w:sz w:val="24"/>
          <w:szCs w:val="24"/>
          <w:lang w:eastAsia="ar-SA"/>
        </w:rPr>
        <w:t>)</w:t>
      </w:r>
      <w:bookmarkEnd w:id="220"/>
      <w:bookmarkEnd w:id="221"/>
      <w:bookmarkEnd w:id="222"/>
    </w:p>
    <w:p w14:paraId="053C7B83" w14:textId="77777777" w:rsidR="00901CDC" w:rsidRDefault="00DD550A">
      <w:pPr>
        <w:suppressAutoHyphens w:val="0"/>
        <w:spacing w:before="240" w:after="240"/>
        <w:jc w:val="both"/>
        <w:rPr>
          <w:rFonts w:ascii="Arial" w:hAnsi="Arial" w:cs="Arial"/>
          <w:sz w:val="24"/>
          <w:szCs w:val="24"/>
          <w:lang w:eastAsia="pt-BR"/>
        </w:rPr>
      </w:pPr>
      <w:r>
        <w:rPr>
          <w:rFonts w:ascii="Arial" w:hAnsi="Arial" w:cs="Arial"/>
          <w:sz w:val="24"/>
          <w:szCs w:val="24"/>
          <w:lang w:eastAsia="pt-BR"/>
        </w:rPr>
        <w:t xml:space="preserve"> (Anexo V da Ata de Registro de Preços) </w:t>
      </w:r>
    </w:p>
    <w:p w14:paraId="7C5AF2C1" w14:textId="77777777" w:rsidR="00901CDC" w:rsidRDefault="00901CDC">
      <w:pPr>
        <w:spacing w:before="240" w:after="240" w:line="240" w:lineRule="auto"/>
        <w:jc w:val="both"/>
        <w:rPr>
          <w:rFonts w:ascii="Arial" w:eastAsia="Times New Roman" w:hAnsi="Arial" w:cs="Arial"/>
          <w:sz w:val="24"/>
          <w:szCs w:val="24"/>
          <w:lang w:eastAsia="pt-BR"/>
        </w:rPr>
      </w:pPr>
    </w:p>
    <w:p w14:paraId="481FCFB9"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ÓRGÃO GERENCIADOR:</w:t>
      </w:r>
      <w:r>
        <w:rPr>
          <w:rFonts w:ascii="Arial" w:eastAsia="Times New Roman" w:hAnsi="Arial" w:cs="Arial"/>
          <w:color w:val="000000"/>
          <w:sz w:val="24"/>
          <w:szCs w:val="24"/>
          <w:lang w:eastAsia="pt-BR"/>
        </w:rPr>
        <w:t> O </w:t>
      </w:r>
      <w:r>
        <w:rPr>
          <w:rFonts w:ascii="Arial" w:eastAsia="Times New Roman" w:hAnsi="Arial" w:cs="Arial"/>
          <w:b/>
          <w:bCs/>
          <w:color w:val="000000"/>
          <w:sz w:val="24"/>
          <w:szCs w:val="24"/>
          <w:lang w:eastAsia="pt-BR"/>
        </w:rPr>
        <w:t>Ministério Público do Estado de Minas Gerais</w:t>
      </w:r>
      <w:r>
        <w:rPr>
          <w:rFonts w:ascii="Arial" w:eastAsia="Times New Roman" w:hAnsi="Arial" w:cs="Arial"/>
          <w:color w:val="000000"/>
          <w:sz w:val="24"/>
          <w:szCs w:val="24"/>
          <w:lang w:eastAsia="pt-BR"/>
        </w:rPr>
        <w:t>, por intermédio da </w:t>
      </w:r>
      <w:r>
        <w:rPr>
          <w:rFonts w:ascii="Arial" w:eastAsia="Times New Roman" w:hAnsi="Arial" w:cs="Arial"/>
          <w:b/>
          <w:bCs/>
          <w:color w:val="000000"/>
          <w:sz w:val="24"/>
          <w:szCs w:val="24"/>
          <w:lang w:eastAsia="pt-BR"/>
        </w:rPr>
        <w:t>Procuradoria-Geral de Justiça</w:t>
      </w:r>
      <w:r>
        <w:rPr>
          <w:rFonts w:ascii="Arial" w:eastAsia="Times New Roman" w:hAnsi="Arial" w:cs="Arial"/>
          <w:color w:val="000000"/>
          <w:sz w:val="24"/>
          <w:szCs w:val="24"/>
          <w:lang w:eastAsia="pt-BR"/>
        </w:rPr>
        <w:t>, com sede na Av. Álvares Cabral, 1690, bairro Santo Agostinho, Belo Horizonte, MG, inscrita no CNPJ sob o nº 20.971.057/0001-45, isenta de inscrição estadual, doravante denominada </w:t>
      </w:r>
      <w:r>
        <w:rPr>
          <w:rFonts w:ascii="Arial" w:eastAsia="Times New Roman" w:hAnsi="Arial" w:cs="Arial"/>
          <w:b/>
          <w:bCs/>
          <w:color w:val="000000"/>
          <w:sz w:val="24"/>
          <w:szCs w:val="24"/>
          <w:lang w:eastAsia="pt-BR"/>
        </w:rPr>
        <w:t>Órgão Gerenciador.</w:t>
      </w:r>
    </w:p>
    <w:p w14:paraId="0770BE8F"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0B4B18F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ÓRGÃO NÃO PARTICIPANTE:</w:t>
      </w:r>
      <w:r>
        <w:rPr>
          <w:rFonts w:ascii="Arial" w:eastAsia="Times New Roman" w:hAnsi="Arial" w:cs="Arial"/>
          <w:color w:val="000000"/>
          <w:sz w:val="24"/>
          <w:szCs w:val="24"/>
          <w:lang w:eastAsia="pt-BR"/>
        </w:rPr>
        <w:t> O(A) _______________________, com sede na _____________ &lt;endereço completo&gt;, inscrita no CNPJ sob o n°. ______________, neste ato representado(a) pelo(a) __________________, brasileiro(a), &lt;estado civil&gt;, &lt;profissão&gt;, inscrito(a) no Cadastro de Pessoas Físicas sob o nº. ____________, portador(a) do RG n°. _________________, doravante denominado </w:t>
      </w:r>
      <w:r>
        <w:rPr>
          <w:rFonts w:ascii="Arial" w:eastAsia="Times New Roman" w:hAnsi="Arial" w:cs="Arial"/>
          <w:b/>
          <w:bCs/>
          <w:color w:val="000000"/>
          <w:sz w:val="24"/>
          <w:szCs w:val="24"/>
          <w:lang w:eastAsia="pt-BR"/>
        </w:rPr>
        <w:t>Órgão Não Participante.</w:t>
      </w:r>
    </w:p>
    <w:p w14:paraId="5B098B3A"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182F2590"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 partes acima qualificadas firmam o presente </w:t>
      </w:r>
      <w:r>
        <w:rPr>
          <w:rFonts w:ascii="Arial" w:eastAsia="Times New Roman" w:hAnsi="Arial" w:cs="Arial"/>
          <w:b/>
          <w:bCs/>
          <w:color w:val="000000"/>
          <w:sz w:val="24"/>
          <w:szCs w:val="24"/>
          <w:lang w:eastAsia="pt-BR"/>
        </w:rPr>
        <w:t>Termo de Adesão ao Registro de Preços</w:t>
      </w:r>
      <w:r>
        <w:rPr>
          <w:rFonts w:ascii="Arial" w:eastAsia="Times New Roman" w:hAnsi="Arial" w:cs="Arial"/>
          <w:color w:val="000000"/>
          <w:sz w:val="24"/>
          <w:szCs w:val="24"/>
          <w:lang w:eastAsia="pt-BR"/>
        </w:rPr>
        <w:t>, mediante as cláusulas e condições estabelecidas no Edital do Processo Licitatório nº _____/________, na respectiva Ata de Registro de Preços e seus anexos, com fundamento no Decreto Estadual 48.779/24.</w:t>
      </w:r>
    </w:p>
    <w:p w14:paraId="63C0B19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269FB7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Pelo presente instrumento, o(a) _______________________, </w:t>
      </w:r>
      <w:r>
        <w:rPr>
          <w:rFonts w:ascii="Arial" w:eastAsia="Times New Roman" w:hAnsi="Arial" w:cs="Arial"/>
          <w:b/>
          <w:bCs/>
          <w:color w:val="000000"/>
          <w:sz w:val="24"/>
          <w:szCs w:val="24"/>
          <w:lang w:eastAsia="pt-BR"/>
        </w:rPr>
        <w:t>Órgão Não Participante</w:t>
      </w:r>
      <w:r>
        <w:rPr>
          <w:rFonts w:ascii="Arial" w:eastAsia="Times New Roman" w:hAnsi="Arial" w:cs="Arial"/>
          <w:color w:val="000000"/>
          <w:sz w:val="24"/>
          <w:szCs w:val="24"/>
          <w:lang w:eastAsia="pt-BR"/>
        </w:rPr>
        <w:t>, concorda com os termos do Registro de Preços, gerido pela </w:t>
      </w:r>
      <w:r>
        <w:rPr>
          <w:rFonts w:ascii="Arial" w:eastAsia="Times New Roman" w:hAnsi="Arial" w:cs="Arial"/>
          <w:b/>
          <w:bCs/>
          <w:color w:val="000000"/>
          <w:sz w:val="24"/>
          <w:szCs w:val="24"/>
          <w:lang w:eastAsia="pt-BR"/>
        </w:rPr>
        <w:t>Procuradoria-Geral de Justiça do Estado de Minas Gerais, Órgão Gerenciador</w:t>
      </w:r>
      <w:r>
        <w:rPr>
          <w:rFonts w:ascii="Arial" w:eastAsia="Times New Roman" w:hAnsi="Arial" w:cs="Arial"/>
          <w:color w:val="000000"/>
          <w:sz w:val="24"/>
          <w:szCs w:val="24"/>
          <w:lang w:eastAsia="pt-BR"/>
        </w:rPr>
        <w:t>,</w:t>
      </w:r>
      <w:r>
        <w:rPr>
          <w:rFonts w:ascii="Arial" w:eastAsia="Times New Roman" w:hAnsi="Arial" w:cs="Arial"/>
          <w:b/>
          <w:bCs/>
          <w:color w:val="000000"/>
          <w:sz w:val="24"/>
          <w:szCs w:val="24"/>
          <w:lang w:eastAsia="pt-BR"/>
        </w:rPr>
        <w:t> </w:t>
      </w:r>
      <w:r>
        <w:rPr>
          <w:rFonts w:ascii="Arial" w:eastAsia="Times New Roman" w:hAnsi="Arial" w:cs="Arial"/>
          <w:color w:val="000000"/>
          <w:sz w:val="24"/>
          <w:szCs w:val="24"/>
          <w:lang w:eastAsia="pt-BR"/>
        </w:rPr>
        <w:t>aderindo ao(s) seguinte(s) item(</w:t>
      </w:r>
      <w:proofErr w:type="spellStart"/>
      <w:r>
        <w:rPr>
          <w:rFonts w:ascii="Arial" w:eastAsia="Times New Roman" w:hAnsi="Arial" w:cs="Arial"/>
          <w:color w:val="000000"/>
          <w:sz w:val="24"/>
          <w:szCs w:val="24"/>
          <w:lang w:eastAsia="pt-BR"/>
        </w:rPr>
        <w:t>ns</w:t>
      </w:r>
      <w:proofErr w:type="spellEnd"/>
      <w:r>
        <w:rPr>
          <w:rFonts w:ascii="Arial" w:eastAsia="Times New Roman" w:hAnsi="Arial" w:cs="Arial"/>
          <w:color w:val="000000"/>
          <w:sz w:val="24"/>
          <w:szCs w:val="24"/>
          <w:lang w:eastAsia="pt-BR"/>
        </w:rPr>
        <w:t>), na(s) quantidade(s) abaixo informada(s):</w:t>
      </w:r>
    </w:p>
    <w:p w14:paraId="66E10FF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bl>
      <w:tblPr>
        <w:tblW w:w="9064" w:type="dxa"/>
        <w:tblCellMar>
          <w:top w:w="15" w:type="dxa"/>
          <w:left w:w="22" w:type="dxa"/>
          <w:bottom w:w="15" w:type="dxa"/>
          <w:right w:w="22" w:type="dxa"/>
        </w:tblCellMar>
        <w:tblLook w:val="04A0" w:firstRow="1" w:lastRow="0" w:firstColumn="1" w:lastColumn="0" w:noHBand="0" w:noVBand="1"/>
      </w:tblPr>
      <w:tblGrid>
        <w:gridCol w:w="1210"/>
        <w:gridCol w:w="1884"/>
        <w:gridCol w:w="1872"/>
        <w:gridCol w:w="2836"/>
        <w:gridCol w:w="1262"/>
      </w:tblGrid>
      <w:tr w:rsidR="00901CDC" w14:paraId="1FF381C8" w14:textId="77777777">
        <w:trPr>
          <w:trHeight w:val="743"/>
        </w:trPr>
        <w:tc>
          <w:tcPr>
            <w:tcW w:w="1210"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32E9427" w14:textId="77777777" w:rsidR="00901CDC" w:rsidRDefault="00DD550A">
            <w:pPr>
              <w:spacing w:before="120" w:after="120" w:line="240" w:lineRule="auto"/>
              <w:ind w:left="120" w:right="120"/>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ITEM</w:t>
            </w:r>
          </w:p>
        </w:tc>
        <w:tc>
          <w:tcPr>
            <w:tcW w:w="1884"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CF68E10" w14:textId="77777777" w:rsidR="00901CDC" w:rsidRDefault="00DD550A">
            <w:pPr>
              <w:spacing w:before="120" w:after="120" w:line="240" w:lineRule="auto"/>
              <w:ind w:left="120" w:right="120"/>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QUANTIDADE</w:t>
            </w:r>
          </w:p>
        </w:tc>
        <w:tc>
          <w:tcPr>
            <w:tcW w:w="18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9B4B2E2" w14:textId="77777777" w:rsidR="00901CDC" w:rsidRDefault="00DD550A">
            <w:pPr>
              <w:spacing w:before="120" w:after="120" w:line="240" w:lineRule="auto"/>
              <w:ind w:left="120" w:right="120"/>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UNIDADE</w:t>
            </w:r>
          </w:p>
        </w:tc>
        <w:tc>
          <w:tcPr>
            <w:tcW w:w="2836"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43F7559" w14:textId="77777777" w:rsidR="00901CDC" w:rsidRDefault="00DD550A">
            <w:pPr>
              <w:spacing w:before="120" w:after="120" w:line="240" w:lineRule="auto"/>
              <w:ind w:left="120" w:right="120"/>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DESCRIÇÃO</w:t>
            </w:r>
          </w:p>
        </w:tc>
        <w:tc>
          <w:tcPr>
            <w:tcW w:w="126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185AABB" w14:textId="77777777" w:rsidR="00901CDC" w:rsidRDefault="00DD550A">
            <w:pPr>
              <w:spacing w:before="120" w:after="120" w:line="240" w:lineRule="auto"/>
              <w:ind w:left="120" w:right="120"/>
              <w:jc w:val="center"/>
              <w:rPr>
                <w:rFonts w:ascii="Arial" w:eastAsia="Times New Roman" w:hAnsi="Arial" w:cs="Arial"/>
                <w:b/>
                <w:bCs/>
                <w:color w:val="000000"/>
                <w:sz w:val="24"/>
                <w:szCs w:val="24"/>
                <w:lang w:eastAsia="pt-BR"/>
              </w:rPr>
            </w:pPr>
            <w:r>
              <w:rPr>
                <w:rFonts w:ascii="Arial" w:eastAsia="Times New Roman" w:hAnsi="Arial" w:cs="Arial"/>
                <w:b/>
                <w:bCs/>
                <w:color w:val="000000"/>
                <w:sz w:val="24"/>
                <w:szCs w:val="24"/>
                <w:lang w:eastAsia="pt-BR"/>
              </w:rPr>
              <w:t>CÓDIGO SIAD</w:t>
            </w:r>
          </w:p>
        </w:tc>
      </w:tr>
      <w:tr w:rsidR="00901CDC" w14:paraId="34969C85" w14:textId="77777777">
        <w:tc>
          <w:tcPr>
            <w:tcW w:w="1210"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BC691D3"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84"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BD52005"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A3A4DE2"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2836"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9CAD0DC"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26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54BB6821"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r>
      <w:tr w:rsidR="00901CDC" w14:paraId="292EC9DE" w14:textId="77777777">
        <w:tc>
          <w:tcPr>
            <w:tcW w:w="1210" w:type="dxa"/>
            <w:tcBorders>
              <w:top w:val="outset" w:sz="6" w:space="0" w:color="000000"/>
              <w:left w:val="outset" w:sz="6" w:space="0" w:color="000000"/>
              <w:bottom w:val="outset" w:sz="6" w:space="0" w:color="000000"/>
              <w:right w:val="outset" w:sz="6" w:space="0" w:color="000000"/>
            </w:tcBorders>
            <w:shd w:val="clear" w:color="auto" w:fill="auto"/>
            <w:vAlign w:val="center"/>
          </w:tcPr>
          <w:p w14:paraId="10FF6EB0"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84"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2461DA5"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46EC1643"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2836" w:type="dxa"/>
            <w:tcBorders>
              <w:top w:val="outset" w:sz="6" w:space="0" w:color="000000"/>
              <w:left w:val="outset" w:sz="6" w:space="0" w:color="000000"/>
              <w:bottom w:val="outset" w:sz="6" w:space="0" w:color="000000"/>
              <w:right w:val="outset" w:sz="6" w:space="0" w:color="000000"/>
            </w:tcBorders>
            <w:shd w:val="clear" w:color="auto" w:fill="auto"/>
            <w:vAlign w:val="center"/>
          </w:tcPr>
          <w:p w14:paraId="6A1EE194"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26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DC0D16B"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r>
      <w:tr w:rsidR="00901CDC" w14:paraId="69D5A17A" w14:textId="77777777">
        <w:tc>
          <w:tcPr>
            <w:tcW w:w="1210" w:type="dxa"/>
            <w:tcBorders>
              <w:top w:val="outset" w:sz="6" w:space="0" w:color="000000"/>
              <w:left w:val="outset" w:sz="6" w:space="0" w:color="000000"/>
              <w:bottom w:val="outset" w:sz="6" w:space="0" w:color="000000"/>
              <w:right w:val="outset" w:sz="6" w:space="0" w:color="000000"/>
            </w:tcBorders>
            <w:shd w:val="clear" w:color="auto" w:fill="auto"/>
            <w:vAlign w:val="center"/>
          </w:tcPr>
          <w:p w14:paraId="030314E1"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84" w:type="dxa"/>
            <w:tcBorders>
              <w:top w:val="outset" w:sz="6" w:space="0" w:color="000000"/>
              <w:left w:val="outset" w:sz="6" w:space="0" w:color="000000"/>
              <w:bottom w:val="outset" w:sz="6" w:space="0" w:color="000000"/>
              <w:right w:val="outset" w:sz="6" w:space="0" w:color="000000"/>
            </w:tcBorders>
            <w:shd w:val="clear" w:color="auto" w:fill="auto"/>
            <w:vAlign w:val="center"/>
          </w:tcPr>
          <w:p w14:paraId="2844BD4D"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87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01F0A57"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2836" w:type="dxa"/>
            <w:tcBorders>
              <w:top w:val="outset" w:sz="6" w:space="0" w:color="000000"/>
              <w:left w:val="outset" w:sz="6" w:space="0" w:color="000000"/>
              <w:bottom w:val="outset" w:sz="6" w:space="0" w:color="000000"/>
              <w:right w:val="outset" w:sz="6" w:space="0" w:color="000000"/>
            </w:tcBorders>
            <w:shd w:val="clear" w:color="auto" w:fill="auto"/>
            <w:vAlign w:val="center"/>
          </w:tcPr>
          <w:p w14:paraId="71DC9481"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c>
          <w:tcPr>
            <w:tcW w:w="1262" w:type="dxa"/>
            <w:tcBorders>
              <w:top w:val="outset" w:sz="6" w:space="0" w:color="000000"/>
              <w:left w:val="outset" w:sz="6" w:space="0" w:color="000000"/>
              <w:bottom w:val="outset" w:sz="6" w:space="0" w:color="000000"/>
              <w:right w:val="outset" w:sz="6" w:space="0" w:color="000000"/>
            </w:tcBorders>
            <w:shd w:val="clear" w:color="auto" w:fill="auto"/>
            <w:vAlign w:val="center"/>
          </w:tcPr>
          <w:p w14:paraId="3639FE18"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tc>
      </w:tr>
    </w:tbl>
    <w:p w14:paraId="43A0BF74"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Observação: o quantitativo solicitado na tabela acima está em conformidade com o limite estabelecido no item ________ do Edital do Processo Licitatório nº _________.</w:t>
      </w:r>
    </w:p>
    <w:p w14:paraId="08DDA1D5"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lastRenderedPageBreak/>
        <w:t>(**) Observação: o órgão não participante deverá efetivar a contratação solicitada em até 90 (noventa) dias, contados da autorização do órgão gerenciador, respeitada a vigência da ARP.</w:t>
      </w:r>
    </w:p>
    <w:p w14:paraId="39960FF1"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Observação: este termo de adesão deverá ser preenchido apenas nos casos de adesões de órgãos </w:t>
      </w:r>
      <w:r>
        <w:rPr>
          <w:rFonts w:ascii="Arial" w:eastAsia="Times New Roman" w:hAnsi="Arial" w:cs="Arial"/>
          <w:b/>
          <w:bCs/>
          <w:color w:val="000000"/>
          <w:sz w:val="24"/>
          <w:szCs w:val="24"/>
          <w:lang w:eastAsia="pt-BR"/>
        </w:rPr>
        <w:t>não</w:t>
      </w:r>
      <w:r>
        <w:rPr>
          <w:rFonts w:ascii="Arial" w:eastAsia="Times New Roman" w:hAnsi="Arial" w:cs="Arial"/>
          <w:color w:val="000000"/>
          <w:sz w:val="24"/>
          <w:szCs w:val="24"/>
          <w:lang w:eastAsia="pt-BR"/>
        </w:rPr>
        <w:t> integrantes do SIRP.</w:t>
      </w:r>
    </w:p>
    <w:p w14:paraId="4CEE66CB" w14:textId="77777777" w:rsidR="00901CDC" w:rsidRDefault="00DD550A">
      <w:pPr>
        <w:spacing w:before="240" w:after="24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0EA5634" w14:textId="77777777" w:rsidR="00901CDC" w:rsidRDefault="00DD550A">
      <w:pPr>
        <w:spacing w:before="240" w:after="24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 de ....................... de ........</w:t>
      </w:r>
    </w:p>
    <w:p w14:paraId="68FA0EA3"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5C1065E5"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w:t>
      </w:r>
    </w:p>
    <w:p w14:paraId="7C21E47E"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Assinatura do representante legal</w:t>
      </w:r>
    </w:p>
    <w:p w14:paraId="3B47C1F7" w14:textId="77777777" w:rsidR="00901CDC" w:rsidRDefault="00901CDC">
      <w:pPr>
        <w:spacing w:before="240" w:after="240" w:line="240" w:lineRule="auto"/>
        <w:rPr>
          <w:rFonts w:ascii="Arial" w:eastAsia="Times New Roman" w:hAnsi="Arial" w:cs="Arial"/>
          <w:color w:val="000000"/>
          <w:sz w:val="24"/>
          <w:szCs w:val="24"/>
          <w:lang w:eastAsia="pt-BR"/>
        </w:rPr>
      </w:pPr>
    </w:p>
    <w:p w14:paraId="4AE8F4E0" w14:textId="77777777" w:rsidR="00901CDC" w:rsidRDefault="00DD550A">
      <w:pPr>
        <w:spacing w:before="240" w:after="24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6070E8A"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E, por estarem as partes justas e compromissadas, assinam a presente Ata, para um só efeito de direito, por meio de senha/assinatura eletrônica, na presença de duas testemunhas.</w:t>
      </w:r>
    </w:p>
    <w:p w14:paraId="37C5A3D1"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42A610B" w14:textId="77777777" w:rsidR="00901CDC" w:rsidRDefault="00901CDC">
      <w:pPr>
        <w:spacing w:before="120" w:after="120" w:line="240" w:lineRule="auto"/>
        <w:ind w:left="120" w:right="120"/>
        <w:jc w:val="both"/>
        <w:rPr>
          <w:rFonts w:ascii="Arial" w:eastAsia="Times New Roman" w:hAnsi="Arial" w:cs="Arial"/>
          <w:color w:val="000000"/>
          <w:sz w:val="24"/>
          <w:szCs w:val="24"/>
          <w:lang w:eastAsia="pt-BR"/>
        </w:rPr>
      </w:pPr>
    </w:p>
    <w:p w14:paraId="58D9ADD9"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w:t>
      </w:r>
    </w:p>
    <w:p w14:paraId="31EF4948"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Procuradoria-Geral de Justiça</w:t>
      </w:r>
    </w:p>
    <w:p w14:paraId="43DB14C4"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46B8733A"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w:t>
      </w:r>
    </w:p>
    <w:p w14:paraId="2D29519C"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252CA9D6"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w:t>
      </w:r>
    </w:p>
    <w:p w14:paraId="3D7C3A41"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61D39C57"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__________________________</w:t>
      </w:r>
    </w:p>
    <w:p w14:paraId="0E218F73"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3888DA16" w14:textId="77777777" w:rsidR="00901CDC" w:rsidRDefault="00DD550A">
      <w:pPr>
        <w:spacing w:before="120" w:after="120" w:line="240" w:lineRule="auto"/>
        <w:ind w:left="120" w:right="120"/>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w:t>
      </w:r>
    </w:p>
    <w:p w14:paraId="75235761"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Testemunhas:</w:t>
      </w:r>
    </w:p>
    <w:p w14:paraId="67DC18D3" w14:textId="77777777" w:rsidR="00901CDC" w:rsidRDefault="00DD550A">
      <w:pPr>
        <w:spacing w:before="120" w:after="120" w:line="240" w:lineRule="auto"/>
        <w:ind w:left="120" w:right="120"/>
        <w:jc w:val="both"/>
        <w:rPr>
          <w:rFonts w:ascii="Arial" w:eastAsia="Times New Roman" w:hAnsi="Arial" w:cs="Arial"/>
          <w:color w:val="000000"/>
          <w:sz w:val="24"/>
          <w:szCs w:val="24"/>
          <w:lang w:eastAsia="pt-BR"/>
        </w:rPr>
      </w:pPr>
      <w:r>
        <w:rPr>
          <w:rFonts w:ascii="Arial" w:eastAsia="Times New Roman" w:hAnsi="Arial" w:cs="Arial"/>
          <w:b/>
          <w:bCs/>
          <w:color w:val="000000"/>
          <w:sz w:val="24"/>
          <w:szCs w:val="24"/>
          <w:lang w:eastAsia="pt-BR"/>
        </w:rPr>
        <w:t>1)</w:t>
      </w:r>
    </w:p>
    <w:p w14:paraId="01B148C6" w14:textId="77777777" w:rsidR="00901CDC" w:rsidRDefault="00DD550A">
      <w:pPr>
        <w:spacing w:before="120" w:after="120" w:line="240" w:lineRule="auto"/>
        <w:ind w:left="120" w:right="120"/>
        <w:jc w:val="both"/>
      </w:pPr>
      <w:bookmarkStart w:id="223" w:name="_Hlk161828238"/>
      <w:r>
        <w:rPr>
          <w:rFonts w:ascii="Arial" w:eastAsia="Times New Roman" w:hAnsi="Arial" w:cs="Arial"/>
          <w:b/>
          <w:bCs/>
          <w:color w:val="000000"/>
          <w:sz w:val="24"/>
          <w:szCs w:val="24"/>
          <w:lang w:eastAsia="pt-BR"/>
        </w:rPr>
        <w:t>2)</w:t>
      </w:r>
      <w:bookmarkEnd w:id="223"/>
    </w:p>
    <w:sectPr w:rsidR="00901CDC">
      <w:type w:val="continuous"/>
      <w:pgSz w:w="11906" w:h="16838"/>
      <w:pgMar w:top="2665" w:right="1134" w:bottom="1134" w:left="1701" w:header="425" w:footer="709"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D9788" w14:textId="77777777" w:rsidR="00B44B8C" w:rsidRDefault="00B44B8C">
      <w:pPr>
        <w:spacing w:after="0" w:line="240" w:lineRule="auto"/>
      </w:pPr>
      <w:r>
        <w:separator/>
      </w:r>
    </w:p>
  </w:endnote>
  <w:endnote w:type="continuationSeparator" w:id="0">
    <w:p w14:paraId="248399A6" w14:textId="77777777" w:rsidR="00B44B8C" w:rsidRDefault="00B44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Open Sans">
    <w:altName w:val="Arial"/>
    <w:charset w:val="00"/>
    <w:family w:val="swiss"/>
    <w:pitch w:val="variable"/>
    <w:sig w:usb0="E00002EF" w:usb1="4000205B" w:usb2="00000028" w:usb3="00000000" w:csb0="000001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A7963" w14:textId="1656151E" w:rsidR="007110BB" w:rsidRDefault="007110BB">
    <w:pPr>
      <w:pStyle w:val="Rodap"/>
      <w:jc w:val="right"/>
      <w:rPr>
        <w:rFonts w:ascii="Times New Roman" w:hAnsi="Times New Roman" w:cs="Times New Roman"/>
      </w:rPr>
    </w:pPr>
    <w:r>
      <w:fldChar w:fldCharType="begin"/>
    </w:r>
    <w:r>
      <w:instrText>PAGE</w:instrText>
    </w:r>
    <w:r>
      <w:fldChar w:fldCharType="separate"/>
    </w:r>
    <w:r w:rsidR="00844C0D">
      <w:rPr>
        <w:noProof/>
      </w:rPr>
      <w:t>2</w:t>
    </w:r>
    <w:r>
      <w:fldChar w:fldCharType="end"/>
    </w:r>
  </w:p>
  <w:p w14:paraId="64AFCB64" w14:textId="77777777" w:rsidR="007110BB" w:rsidRDefault="007110BB">
    <w:pPr>
      <w:pStyle w:val="Rodap"/>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55ABEC" w14:textId="77777777" w:rsidR="00B44B8C" w:rsidRDefault="00B44B8C">
      <w:pPr>
        <w:spacing w:after="0" w:line="240" w:lineRule="auto"/>
      </w:pPr>
      <w:r>
        <w:separator/>
      </w:r>
    </w:p>
  </w:footnote>
  <w:footnote w:type="continuationSeparator" w:id="0">
    <w:p w14:paraId="344E5C65" w14:textId="77777777" w:rsidR="00B44B8C" w:rsidRDefault="00B44B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BB0150" w14:textId="77777777" w:rsidR="007110BB" w:rsidRDefault="007110BB">
    <w:pPr>
      <w:pStyle w:val="Cabealho"/>
      <w:jc w:val="center"/>
      <w:rPr>
        <w:rFonts w:ascii="Times New Roman" w:hAnsi="Times New Roman" w:cs="Times New Roman"/>
      </w:rPr>
    </w:pPr>
    <w:r>
      <w:rPr>
        <w:noProof/>
        <w:lang w:eastAsia="pt-BR"/>
      </w:rPr>
      <w:drawing>
        <wp:inline distT="0" distB="0" distL="0" distR="0" wp14:anchorId="03388FD5" wp14:editId="2BF2A051">
          <wp:extent cx="717550" cy="7429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17550" cy="742950"/>
                  </a:xfrm>
                  <a:prstGeom prst="rect">
                    <a:avLst/>
                  </a:prstGeom>
                </pic:spPr>
              </pic:pic>
            </a:graphicData>
          </a:graphic>
        </wp:inline>
      </w:drawing>
    </w:r>
  </w:p>
  <w:p w14:paraId="2E2E50E6" w14:textId="77777777" w:rsidR="007110BB" w:rsidRDefault="007110BB">
    <w:pPr>
      <w:pStyle w:val="Cabealho"/>
      <w:jc w:val="center"/>
      <w:rPr>
        <w:rFonts w:ascii="Times New Roman" w:hAnsi="Times New Roman" w:cs="Times New Roman"/>
        <w:sz w:val="14"/>
        <w:szCs w:val="14"/>
      </w:rPr>
    </w:pPr>
  </w:p>
  <w:p w14:paraId="41E264B1" w14:textId="77777777" w:rsidR="007110BB" w:rsidRDefault="007110BB">
    <w:pPr>
      <w:pStyle w:val="Cabealho"/>
      <w:tabs>
        <w:tab w:val="right" w:pos="-2160"/>
      </w:tabs>
      <w:jc w:val="center"/>
      <w:rPr>
        <w:rFonts w:ascii="Times New Roman" w:hAnsi="Times New Roman" w:cs="Times New Roman"/>
        <w:sz w:val="25"/>
        <w:szCs w:val="25"/>
      </w:rPr>
    </w:pPr>
    <w:r>
      <w:rPr>
        <w:rFonts w:ascii="Times New Roman" w:hAnsi="Times New Roman" w:cs="Times New Roman"/>
        <w:sz w:val="25"/>
        <w:szCs w:val="25"/>
      </w:rPr>
      <w:t>MINISTÉRIO PÚBLICO DO ESTADO DE MINAS GERAIS</w:t>
    </w:r>
  </w:p>
  <w:p w14:paraId="253DABAD" w14:textId="77777777" w:rsidR="007110BB" w:rsidRDefault="007110BB">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PROCURADORIA-GERAL DE JUSTIÇA</w:t>
    </w:r>
  </w:p>
  <w:p w14:paraId="49EFC95D" w14:textId="77777777" w:rsidR="007110BB" w:rsidRDefault="007110BB">
    <w:pPr>
      <w:pStyle w:val="Cabealho"/>
      <w:tabs>
        <w:tab w:val="right" w:pos="-2160"/>
      </w:tabs>
      <w:jc w:val="center"/>
      <w:rPr>
        <w:rFonts w:ascii="Times New Roman" w:hAnsi="Times New Roman" w:cs="Times New Roman"/>
        <w:sz w:val="20"/>
        <w:szCs w:val="20"/>
      </w:rPr>
    </w:pPr>
    <w:r>
      <w:rPr>
        <w:rFonts w:ascii="Times New Roman" w:hAnsi="Times New Roman" w:cs="Times New Roman"/>
        <w:sz w:val="20"/>
        <w:szCs w:val="20"/>
      </w:rPr>
      <w:t>DIRETORIA DE GESTÃO DE COMPRAS E LICITAÇÕES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14F60"/>
    <w:multiLevelType w:val="multilevel"/>
    <w:tmpl w:val="9F54FA2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lowerLetter"/>
      <w:pStyle w:val="Ttulo8"/>
      <w:suff w:val="nothing"/>
      <w:lvlText w:val="%8."/>
      <w:lvlJc w:val="left"/>
      <w:pPr>
        <w:ind w:left="0" w:firstLine="0"/>
      </w:pPr>
      <w:rPr>
        <w:rFonts w:cs="Times New Roman"/>
      </w:rPr>
    </w:lvl>
    <w:lvl w:ilvl="8">
      <w:start w:val="1"/>
      <w:numFmt w:val="none"/>
      <w:suff w:val="nothing"/>
      <w:lvlText w:val=""/>
      <w:lvlJc w:val="left"/>
      <w:pPr>
        <w:ind w:left="0" w:firstLine="0"/>
      </w:pPr>
    </w:lvl>
  </w:abstractNum>
  <w:abstractNum w:abstractNumId="1" w15:restartNumberingAfterBreak="0">
    <w:nsid w:val="07186310"/>
    <w:multiLevelType w:val="multilevel"/>
    <w:tmpl w:val="3E408336"/>
    <w:lvl w:ilvl="0">
      <w:start w:val="2"/>
      <w:numFmt w:val="decimal"/>
      <w:lvlText w:val="%1"/>
      <w:lvlJc w:val="left"/>
      <w:pPr>
        <w:ind w:left="435" w:hanging="435"/>
      </w:pPr>
      <w:rPr>
        <w:rFonts w:hint="default"/>
      </w:rPr>
    </w:lvl>
    <w:lvl w:ilvl="1">
      <w:start w:val="2"/>
      <w:numFmt w:val="decimal"/>
      <w:lvlText w:val="%1.%2"/>
      <w:lvlJc w:val="left"/>
      <w:pPr>
        <w:ind w:left="1357" w:hanging="435"/>
      </w:pPr>
      <w:rPr>
        <w:rFonts w:hint="default"/>
      </w:rPr>
    </w:lvl>
    <w:lvl w:ilvl="2">
      <w:start w:val="2"/>
      <w:numFmt w:val="decimal"/>
      <w:lvlText w:val="%1.%2.%3"/>
      <w:lvlJc w:val="left"/>
      <w:pPr>
        <w:ind w:left="2564" w:hanging="720"/>
      </w:pPr>
      <w:rPr>
        <w:rFonts w:hint="default"/>
      </w:rPr>
    </w:lvl>
    <w:lvl w:ilvl="3">
      <w:start w:val="1"/>
      <w:numFmt w:val="decimal"/>
      <w:lvlText w:val="%1.%2.%3.%4"/>
      <w:lvlJc w:val="left"/>
      <w:pPr>
        <w:ind w:left="3486" w:hanging="720"/>
      </w:pPr>
      <w:rPr>
        <w:rFonts w:hint="default"/>
      </w:rPr>
    </w:lvl>
    <w:lvl w:ilvl="4">
      <w:start w:val="1"/>
      <w:numFmt w:val="decimal"/>
      <w:lvlText w:val="%1.%2.%3.%4.%5"/>
      <w:lvlJc w:val="left"/>
      <w:pPr>
        <w:ind w:left="4768" w:hanging="1080"/>
      </w:pPr>
      <w:rPr>
        <w:rFonts w:hint="default"/>
      </w:rPr>
    </w:lvl>
    <w:lvl w:ilvl="5">
      <w:start w:val="1"/>
      <w:numFmt w:val="decimal"/>
      <w:lvlText w:val="%1.%2.%3.%4.%5.%6"/>
      <w:lvlJc w:val="left"/>
      <w:pPr>
        <w:ind w:left="5690" w:hanging="1080"/>
      </w:pPr>
      <w:rPr>
        <w:rFonts w:hint="default"/>
      </w:rPr>
    </w:lvl>
    <w:lvl w:ilvl="6">
      <w:start w:val="1"/>
      <w:numFmt w:val="decimal"/>
      <w:lvlText w:val="%1.%2.%3.%4.%5.%6.%7"/>
      <w:lvlJc w:val="left"/>
      <w:pPr>
        <w:ind w:left="6972" w:hanging="1440"/>
      </w:pPr>
      <w:rPr>
        <w:rFonts w:hint="default"/>
      </w:rPr>
    </w:lvl>
    <w:lvl w:ilvl="7">
      <w:start w:val="1"/>
      <w:numFmt w:val="decimal"/>
      <w:lvlText w:val="%1.%2.%3.%4.%5.%6.%7.%8"/>
      <w:lvlJc w:val="left"/>
      <w:pPr>
        <w:ind w:left="7894" w:hanging="1440"/>
      </w:pPr>
      <w:rPr>
        <w:rFonts w:hint="default"/>
      </w:rPr>
    </w:lvl>
    <w:lvl w:ilvl="8">
      <w:start w:val="1"/>
      <w:numFmt w:val="decimal"/>
      <w:lvlText w:val="%1.%2.%3.%4.%5.%6.%7.%8.%9"/>
      <w:lvlJc w:val="left"/>
      <w:pPr>
        <w:ind w:left="8816" w:hanging="1440"/>
      </w:pPr>
      <w:rPr>
        <w:rFonts w:hint="default"/>
      </w:rPr>
    </w:lvl>
  </w:abstractNum>
  <w:abstractNum w:abstractNumId="2" w15:restartNumberingAfterBreak="0">
    <w:nsid w:val="08024969"/>
    <w:multiLevelType w:val="multilevel"/>
    <w:tmpl w:val="787A4292"/>
    <w:lvl w:ilvl="0">
      <w:start w:val="1"/>
      <w:numFmt w:val="decimal"/>
      <w:lvlText w:val="%1."/>
      <w:lvlJc w:val="left"/>
      <w:pPr>
        <w:ind w:left="720" w:hanging="360"/>
      </w:pPr>
      <w:rPr>
        <w:b/>
      </w:rPr>
    </w:lvl>
    <w:lvl w:ilvl="1">
      <w:start w:val="1"/>
      <w:numFmt w:val="decimal"/>
      <w:lvlText w:val="%1.%2."/>
      <w:lvlJc w:val="left"/>
      <w:pPr>
        <w:ind w:left="1440" w:hanging="360"/>
      </w:pPr>
      <w:rPr>
        <w:b/>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1C2162D4"/>
    <w:multiLevelType w:val="multilevel"/>
    <w:tmpl w:val="4DF62AB6"/>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2564"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abstractNum w:abstractNumId="4" w15:restartNumberingAfterBreak="0">
    <w:nsid w:val="74B7677A"/>
    <w:multiLevelType w:val="multilevel"/>
    <w:tmpl w:val="014C0820"/>
    <w:lvl w:ilvl="0">
      <w:start w:val="11"/>
      <w:numFmt w:val="decimal"/>
      <w:lvlText w:val="%1"/>
      <w:lvlJc w:val="left"/>
      <w:pPr>
        <w:ind w:left="375" w:hanging="375"/>
      </w:pPr>
    </w:lvl>
    <w:lvl w:ilvl="1">
      <w:start w:val="1"/>
      <w:numFmt w:val="decimal"/>
      <w:lvlText w:val="%1.%2"/>
      <w:lvlJc w:val="left"/>
      <w:pPr>
        <w:ind w:left="735" w:hanging="375"/>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320" w:hanging="1440"/>
      </w:pPr>
    </w:lvl>
  </w:abstractNum>
  <w:num w:numId="1" w16cid:durableId="1801726525">
    <w:abstractNumId w:val="0"/>
  </w:num>
  <w:num w:numId="2" w16cid:durableId="1368916511">
    <w:abstractNumId w:val="3"/>
  </w:num>
  <w:num w:numId="3" w16cid:durableId="10569147">
    <w:abstractNumId w:val="4"/>
  </w:num>
  <w:num w:numId="4" w16cid:durableId="1885874327">
    <w:abstractNumId w:val="2"/>
  </w:num>
  <w:num w:numId="5" w16cid:durableId="8052731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CDC"/>
    <w:rsid w:val="00010E87"/>
    <w:rsid w:val="00063EF1"/>
    <w:rsid w:val="00085277"/>
    <w:rsid w:val="00086258"/>
    <w:rsid w:val="001329D9"/>
    <w:rsid w:val="00137493"/>
    <w:rsid w:val="00150FBA"/>
    <w:rsid w:val="00160225"/>
    <w:rsid w:val="001D1412"/>
    <w:rsid w:val="001F600D"/>
    <w:rsid w:val="00251F8F"/>
    <w:rsid w:val="003031F4"/>
    <w:rsid w:val="0038001C"/>
    <w:rsid w:val="003A0AD5"/>
    <w:rsid w:val="003A5D33"/>
    <w:rsid w:val="003B5F17"/>
    <w:rsid w:val="00424A05"/>
    <w:rsid w:val="00495CB8"/>
    <w:rsid w:val="004B6C76"/>
    <w:rsid w:val="004C437F"/>
    <w:rsid w:val="00506497"/>
    <w:rsid w:val="00535E47"/>
    <w:rsid w:val="0053652E"/>
    <w:rsid w:val="005B2B09"/>
    <w:rsid w:val="00660243"/>
    <w:rsid w:val="00670225"/>
    <w:rsid w:val="006C2B31"/>
    <w:rsid w:val="007110BB"/>
    <w:rsid w:val="0073136A"/>
    <w:rsid w:val="007508A8"/>
    <w:rsid w:val="007616EB"/>
    <w:rsid w:val="00824413"/>
    <w:rsid w:val="00844C0D"/>
    <w:rsid w:val="00901CDC"/>
    <w:rsid w:val="00942389"/>
    <w:rsid w:val="0097756F"/>
    <w:rsid w:val="00984799"/>
    <w:rsid w:val="009A7322"/>
    <w:rsid w:val="009F1ECB"/>
    <w:rsid w:val="00A06A46"/>
    <w:rsid w:val="00AA2FAB"/>
    <w:rsid w:val="00B44B8C"/>
    <w:rsid w:val="00B56C34"/>
    <w:rsid w:val="00B675A1"/>
    <w:rsid w:val="00B86E0F"/>
    <w:rsid w:val="00BA40EC"/>
    <w:rsid w:val="00BE1AB4"/>
    <w:rsid w:val="00BE2DB3"/>
    <w:rsid w:val="00C63608"/>
    <w:rsid w:val="00C87AF9"/>
    <w:rsid w:val="00C96D06"/>
    <w:rsid w:val="00CF2280"/>
    <w:rsid w:val="00D47F5E"/>
    <w:rsid w:val="00D543B3"/>
    <w:rsid w:val="00DB1E23"/>
    <w:rsid w:val="00DD0A23"/>
    <w:rsid w:val="00DD32CB"/>
    <w:rsid w:val="00DD550A"/>
    <w:rsid w:val="00E41E12"/>
    <w:rsid w:val="00E71512"/>
    <w:rsid w:val="00EC61F5"/>
    <w:rsid w:val="00ED231C"/>
    <w:rsid w:val="00F51790"/>
    <w:rsid w:val="00F57999"/>
    <w:rsid w:val="00F92333"/>
    <w:rsid w:val="00FF009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2ACBA"/>
  <w15:docId w15:val="{0ADEC64C-913F-4A3A-A7AD-C6556F65B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59" w:lineRule="auto"/>
    </w:pPr>
    <w:rPr>
      <w:sz w:val="22"/>
    </w:rPr>
  </w:style>
  <w:style w:type="paragraph" w:styleId="Ttulo1">
    <w:name w:val="heading 1"/>
    <w:basedOn w:val="Normal"/>
    <w:next w:val="Normal"/>
    <w:link w:val="Ttulo1Char"/>
    <w:uiPriority w:val="99"/>
    <w:qFormat/>
    <w:rsid w:val="00B942F6"/>
    <w:pPr>
      <w:keepNext/>
      <w:keepLines/>
      <w:spacing w:before="480" w:after="0" w:line="240" w:lineRule="auto"/>
      <w:outlineLvl w:val="0"/>
    </w:pPr>
    <w:rPr>
      <w:rFonts w:ascii="Cambria" w:eastAsia="Times New Roman" w:hAnsi="Cambria" w:cs="Cambria"/>
      <w:b/>
      <w:bCs/>
      <w:color w:val="365F91"/>
      <w:kern w:val="2"/>
      <w:sz w:val="28"/>
      <w:szCs w:val="28"/>
      <w:lang w:eastAsia="ar-SA"/>
    </w:rPr>
  </w:style>
  <w:style w:type="paragraph" w:styleId="Ttulo2">
    <w:name w:val="heading 2"/>
    <w:basedOn w:val="Normal"/>
    <w:next w:val="Normal"/>
    <w:link w:val="Ttulo2Char"/>
    <w:uiPriority w:val="99"/>
    <w:qFormat/>
    <w:rsid w:val="00B942F6"/>
    <w:pPr>
      <w:keepNext/>
      <w:keepLines/>
      <w:spacing w:before="200" w:after="0" w:line="240" w:lineRule="auto"/>
      <w:outlineLvl w:val="1"/>
    </w:pPr>
    <w:rPr>
      <w:rFonts w:ascii="Cambria" w:eastAsia="Times New Roman" w:hAnsi="Cambria" w:cs="Cambria"/>
      <w:b/>
      <w:bCs/>
      <w:kern w:val="2"/>
      <w:sz w:val="26"/>
      <w:szCs w:val="26"/>
      <w:lang w:eastAsia="ar-SA"/>
    </w:rPr>
  </w:style>
  <w:style w:type="paragraph" w:styleId="Ttulo3">
    <w:name w:val="heading 3"/>
    <w:basedOn w:val="Normal"/>
    <w:next w:val="Normal"/>
    <w:link w:val="Ttulo3Char"/>
    <w:uiPriority w:val="9"/>
    <w:unhideWhenUsed/>
    <w:qFormat/>
    <w:rsid w:val="00B942F6"/>
    <w:pPr>
      <w:keepNext/>
      <w:spacing w:before="240" w:after="60" w:line="240" w:lineRule="auto"/>
      <w:outlineLvl w:val="2"/>
    </w:pPr>
    <w:rPr>
      <w:rFonts w:ascii="Cambria" w:eastAsia="Times New Roman" w:hAnsi="Cambria" w:cs="Times New Roman"/>
      <w:b/>
      <w:bCs/>
      <w:kern w:val="2"/>
      <w:sz w:val="26"/>
      <w:szCs w:val="26"/>
      <w:lang w:eastAsia="ar-SA"/>
    </w:rPr>
  </w:style>
  <w:style w:type="paragraph" w:styleId="Ttulo8">
    <w:name w:val="heading 8"/>
    <w:basedOn w:val="Normal"/>
    <w:next w:val="Normal"/>
    <w:link w:val="Ttulo8Char"/>
    <w:uiPriority w:val="99"/>
    <w:qFormat/>
    <w:rsid w:val="00B942F6"/>
    <w:pPr>
      <w:keepNext/>
      <w:numPr>
        <w:ilvl w:val="7"/>
        <w:numId w:val="1"/>
      </w:numPr>
      <w:pBdr>
        <w:top w:val="single" w:sz="2" w:space="1" w:color="000000"/>
        <w:left w:val="single" w:sz="2" w:space="1" w:color="000000"/>
        <w:bottom w:val="single" w:sz="2" w:space="1" w:color="000000"/>
        <w:right w:val="single" w:sz="2" w:space="1" w:color="000000"/>
      </w:pBdr>
      <w:tabs>
        <w:tab w:val="left" w:pos="6109"/>
      </w:tabs>
      <w:snapToGrid w:val="0"/>
      <w:spacing w:after="0" w:line="240" w:lineRule="auto"/>
      <w:ind w:left="5749" w:right="1700"/>
      <w:jc w:val="center"/>
      <w:outlineLvl w:val="7"/>
    </w:pPr>
    <w:rPr>
      <w:rFonts w:ascii="Arial" w:eastAsia="Times New Roman" w:hAnsi="Arial" w:cs="Arial"/>
      <w:b/>
      <w:bCs/>
      <w:kern w:val="2"/>
      <w:sz w:val="28"/>
      <w:szCs w:val="28"/>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qFormat/>
    <w:rsid w:val="00B942F6"/>
    <w:rPr>
      <w:rFonts w:ascii="Cambria" w:eastAsia="Times New Roman" w:hAnsi="Cambria" w:cs="Cambria"/>
      <w:b/>
      <w:bCs/>
      <w:color w:val="365F91"/>
      <w:kern w:val="2"/>
      <w:sz w:val="28"/>
      <w:szCs w:val="28"/>
      <w:lang w:eastAsia="ar-SA"/>
    </w:rPr>
  </w:style>
  <w:style w:type="character" w:customStyle="1" w:styleId="Ttulo2Char">
    <w:name w:val="Título 2 Char"/>
    <w:basedOn w:val="Fontepargpadro"/>
    <w:link w:val="Ttulo2"/>
    <w:uiPriority w:val="99"/>
    <w:qFormat/>
    <w:rsid w:val="00B942F6"/>
    <w:rPr>
      <w:rFonts w:ascii="Cambria" w:eastAsia="Times New Roman" w:hAnsi="Cambria" w:cs="Cambria"/>
      <w:b/>
      <w:bCs/>
      <w:kern w:val="2"/>
      <w:sz w:val="26"/>
      <w:szCs w:val="26"/>
      <w:lang w:eastAsia="ar-SA"/>
    </w:rPr>
  </w:style>
  <w:style w:type="character" w:customStyle="1" w:styleId="Ttulo3Char">
    <w:name w:val="Título 3 Char"/>
    <w:basedOn w:val="Fontepargpadro"/>
    <w:link w:val="Ttulo3"/>
    <w:uiPriority w:val="9"/>
    <w:qFormat/>
    <w:rsid w:val="00B942F6"/>
    <w:rPr>
      <w:rFonts w:ascii="Cambria" w:eastAsia="Times New Roman" w:hAnsi="Cambria" w:cs="Times New Roman"/>
      <w:b/>
      <w:bCs/>
      <w:kern w:val="2"/>
      <w:sz w:val="26"/>
      <w:szCs w:val="26"/>
      <w:lang w:eastAsia="ar-SA"/>
    </w:rPr>
  </w:style>
  <w:style w:type="character" w:customStyle="1" w:styleId="Ttulo8Char">
    <w:name w:val="Título 8 Char"/>
    <w:basedOn w:val="Fontepargpadro"/>
    <w:link w:val="Ttulo8"/>
    <w:uiPriority w:val="99"/>
    <w:qFormat/>
    <w:rsid w:val="00B942F6"/>
    <w:rPr>
      <w:rFonts w:ascii="Arial" w:eastAsia="Times New Roman" w:hAnsi="Arial" w:cs="Arial"/>
      <w:b/>
      <w:bCs/>
      <w:kern w:val="2"/>
      <w:sz w:val="28"/>
      <w:szCs w:val="28"/>
      <w:lang w:eastAsia="ar-SA"/>
    </w:rPr>
  </w:style>
  <w:style w:type="character" w:customStyle="1" w:styleId="LinkdaInternet">
    <w:name w:val="Link da Internet"/>
    <w:basedOn w:val="Fontepargpadro"/>
    <w:uiPriority w:val="99"/>
    <w:unhideWhenUsed/>
    <w:rsid w:val="008E794A"/>
    <w:rPr>
      <w:color w:val="0563C1" w:themeColor="hyperlink"/>
      <w:u w:val="single"/>
    </w:rPr>
  </w:style>
  <w:style w:type="character" w:customStyle="1" w:styleId="CabealhoChar">
    <w:name w:val="Cabeçalho Char"/>
    <w:basedOn w:val="Fontepargpadro"/>
    <w:link w:val="Cabealho"/>
    <w:uiPriority w:val="99"/>
    <w:qFormat/>
    <w:rsid w:val="00B942F6"/>
    <w:rPr>
      <w:rFonts w:ascii="Arial" w:eastAsia="Times New Roman" w:hAnsi="Arial" w:cs="Arial"/>
      <w:kern w:val="2"/>
      <w:sz w:val="24"/>
      <w:szCs w:val="24"/>
      <w:lang w:eastAsia="ar-SA"/>
    </w:rPr>
  </w:style>
  <w:style w:type="character" w:customStyle="1" w:styleId="RodapChar">
    <w:name w:val="Rodapé Char"/>
    <w:basedOn w:val="Fontepargpadro"/>
    <w:link w:val="Rodap"/>
    <w:uiPriority w:val="99"/>
    <w:qFormat/>
    <w:rsid w:val="00B942F6"/>
    <w:rPr>
      <w:rFonts w:ascii="Arial" w:eastAsia="Times New Roman" w:hAnsi="Arial" w:cs="Arial"/>
      <w:kern w:val="2"/>
      <w:sz w:val="24"/>
      <w:szCs w:val="24"/>
      <w:lang w:eastAsia="ar-SA"/>
    </w:rPr>
  </w:style>
  <w:style w:type="character" w:customStyle="1" w:styleId="Formatao01">
    <w:name w:val="Formatação01"/>
    <w:qFormat/>
    <w:rsid w:val="00B942F6"/>
    <w:rPr>
      <w:rFonts w:ascii="Arial" w:hAnsi="Arial" w:cs="Arial"/>
    </w:rPr>
  </w:style>
  <w:style w:type="character" w:customStyle="1" w:styleId="TextodebaloChar">
    <w:name w:val="Texto de balão Char"/>
    <w:basedOn w:val="Fontepargpadro"/>
    <w:link w:val="Textodebalo"/>
    <w:uiPriority w:val="99"/>
    <w:qFormat/>
    <w:rsid w:val="00B942F6"/>
    <w:rPr>
      <w:rFonts w:ascii="Tahoma" w:eastAsia="Times New Roman" w:hAnsi="Tahoma" w:cs="Tahoma"/>
      <w:kern w:val="2"/>
      <w:sz w:val="16"/>
      <w:szCs w:val="16"/>
      <w:lang w:eastAsia="ar-SA"/>
    </w:rPr>
  </w:style>
  <w:style w:type="character" w:customStyle="1" w:styleId="CorpodetextoChar">
    <w:name w:val="Corpo de texto Char"/>
    <w:basedOn w:val="Fontepargpadro"/>
    <w:link w:val="Corpodetexto"/>
    <w:uiPriority w:val="99"/>
    <w:qFormat/>
    <w:rsid w:val="00B942F6"/>
    <w:rPr>
      <w:rFonts w:ascii="Arial" w:eastAsia="Times New Roman" w:hAnsi="Arial" w:cs="Arial"/>
      <w:sz w:val="20"/>
      <w:szCs w:val="20"/>
      <w:lang w:eastAsia="pt-BR"/>
    </w:rPr>
  </w:style>
  <w:style w:type="character" w:customStyle="1" w:styleId="Corpodetexto2Char">
    <w:name w:val="Corpo de texto 2 Char"/>
    <w:basedOn w:val="Fontepargpadro"/>
    <w:link w:val="Corpodetexto2"/>
    <w:uiPriority w:val="99"/>
    <w:qFormat/>
    <w:rsid w:val="00B942F6"/>
    <w:rPr>
      <w:rFonts w:ascii="Arial" w:eastAsia="Times New Roman" w:hAnsi="Arial" w:cs="Arial"/>
      <w:b/>
      <w:bCs/>
      <w:color w:val="FF0000"/>
      <w:sz w:val="24"/>
      <w:szCs w:val="24"/>
      <w:lang w:eastAsia="pt-BR"/>
    </w:rPr>
  </w:style>
  <w:style w:type="character" w:customStyle="1" w:styleId="RecuodecorpodetextoChar">
    <w:name w:val="Recuo de corpo de texto Char"/>
    <w:basedOn w:val="Fontepargpadro"/>
    <w:link w:val="Recuodecorpodetexto"/>
    <w:uiPriority w:val="99"/>
    <w:qFormat/>
    <w:rsid w:val="00B942F6"/>
    <w:rPr>
      <w:rFonts w:ascii="Arial" w:eastAsia="Times New Roman" w:hAnsi="Arial" w:cs="Arial"/>
      <w:kern w:val="2"/>
      <w:sz w:val="24"/>
      <w:szCs w:val="24"/>
      <w:lang w:eastAsia="ar-SA"/>
    </w:rPr>
  </w:style>
  <w:style w:type="character" w:styleId="Forte">
    <w:name w:val="Strong"/>
    <w:basedOn w:val="Fontepargpadro"/>
    <w:uiPriority w:val="22"/>
    <w:qFormat/>
    <w:rsid w:val="00B942F6"/>
    <w:rPr>
      <w:rFonts w:ascii="Times New Roman" w:hAnsi="Times New Roman" w:cs="Times New Roman"/>
      <w:b/>
      <w:bCs/>
    </w:rPr>
  </w:style>
  <w:style w:type="character" w:customStyle="1" w:styleId="Linkdainternetvisitado">
    <w:name w:val="Link da internet visitado"/>
    <w:basedOn w:val="Fontepargpadro"/>
    <w:uiPriority w:val="99"/>
    <w:semiHidden/>
    <w:unhideWhenUsed/>
    <w:rsid w:val="00B942F6"/>
    <w:rPr>
      <w:color w:val="800080"/>
      <w:u w:val="single"/>
    </w:rPr>
  </w:style>
  <w:style w:type="character" w:styleId="TextodoEspaoReservado">
    <w:name w:val="Placeholder Text"/>
    <w:basedOn w:val="Fontepargpadro"/>
    <w:uiPriority w:val="99"/>
    <w:semiHidden/>
    <w:qFormat/>
    <w:rsid w:val="00B942F6"/>
    <w:rPr>
      <w:color w:val="808080"/>
    </w:rPr>
  </w:style>
  <w:style w:type="character" w:styleId="nfase">
    <w:name w:val="Emphasis"/>
    <w:basedOn w:val="Fontepargpadro"/>
    <w:uiPriority w:val="20"/>
    <w:qFormat/>
    <w:rsid w:val="00B942F6"/>
    <w:rPr>
      <w:i/>
      <w:iCs/>
    </w:rPr>
  </w:style>
  <w:style w:type="character" w:customStyle="1" w:styleId="zmsearchresult">
    <w:name w:val="zmsearchresult"/>
    <w:basedOn w:val="Fontepargpadro"/>
    <w:qFormat/>
    <w:rsid w:val="00B942F6"/>
  </w:style>
  <w:style w:type="character" w:styleId="Refdecomentrio">
    <w:name w:val="annotation reference"/>
    <w:basedOn w:val="Fontepargpadro"/>
    <w:uiPriority w:val="99"/>
    <w:unhideWhenUsed/>
    <w:qFormat/>
    <w:rsid w:val="00B942F6"/>
    <w:rPr>
      <w:sz w:val="16"/>
      <w:szCs w:val="16"/>
    </w:rPr>
  </w:style>
  <w:style w:type="character" w:customStyle="1" w:styleId="TextodecomentrioChar">
    <w:name w:val="Texto de comentário Char"/>
    <w:basedOn w:val="Fontepargpadro"/>
    <w:link w:val="Textodecomentrio"/>
    <w:qFormat/>
    <w:rsid w:val="00B942F6"/>
    <w:rPr>
      <w:rFonts w:ascii="Arial" w:eastAsia="Times New Roman" w:hAnsi="Arial" w:cs="Arial"/>
      <w:kern w:val="2"/>
      <w:sz w:val="20"/>
      <w:szCs w:val="20"/>
      <w:lang w:eastAsia="ar-SA"/>
    </w:rPr>
  </w:style>
  <w:style w:type="character" w:customStyle="1" w:styleId="AssuntodocomentrioChar">
    <w:name w:val="Assunto do comentário Char"/>
    <w:basedOn w:val="TextodecomentrioChar"/>
    <w:link w:val="Assuntodocomentrio"/>
    <w:uiPriority w:val="99"/>
    <w:semiHidden/>
    <w:qFormat/>
    <w:rsid w:val="00B942F6"/>
    <w:rPr>
      <w:rFonts w:ascii="Arial" w:eastAsia="Times New Roman" w:hAnsi="Arial" w:cs="Arial"/>
      <w:b/>
      <w:bCs/>
      <w:kern w:val="2"/>
      <w:sz w:val="20"/>
      <w:szCs w:val="20"/>
      <w:lang w:eastAsia="ar-SA"/>
    </w:rPr>
  </w:style>
  <w:style w:type="character" w:customStyle="1" w:styleId="Nivel01Char">
    <w:name w:val="Nivel 01 Char"/>
    <w:basedOn w:val="Fontepargpadro"/>
    <w:link w:val="Nivel01"/>
    <w:qFormat/>
    <w:rsid w:val="00B942F6"/>
    <w:rPr>
      <w:rFonts w:ascii="Arial" w:eastAsia="MS Gothic" w:hAnsi="Arial" w:cs="Arial"/>
      <w:b/>
      <w:bCs/>
      <w:sz w:val="20"/>
      <w:szCs w:val="20"/>
      <w:lang w:eastAsia="pt-BR"/>
    </w:rPr>
  </w:style>
  <w:style w:type="character" w:customStyle="1" w:styleId="Nivel2Char">
    <w:name w:val="Nivel 2 Char"/>
    <w:basedOn w:val="Fontepargpadro"/>
    <w:link w:val="Nivel2"/>
    <w:qFormat/>
    <w:locked/>
    <w:rsid w:val="00B942F6"/>
    <w:rPr>
      <w:rFonts w:ascii="Arial" w:eastAsia="MS Mincho" w:hAnsi="Arial" w:cs="Arial"/>
      <w:color w:val="000000"/>
      <w:sz w:val="20"/>
      <w:szCs w:val="20"/>
      <w:lang w:eastAsia="pt-BR"/>
    </w:rPr>
  </w:style>
  <w:style w:type="character" w:customStyle="1" w:styleId="Nivel3Char">
    <w:name w:val="Nivel 3 Char"/>
    <w:basedOn w:val="Fontepargpadro"/>
    <w:link w:val="Nivel3"/>
    <w:qFormat/>
    <w:rsid w:val="00B942F6"/>
    <w:rPr>
      <w:rFonts w:ascii="Arial" w:eastAsia="MS Mincho" w:hAnsi="Arial" w:cs="Arial"/>
      <w:color w:val="000000"/>
      <w:sz w:val="20"/>
      <w:szCs w:val="20"/>
      <w:lang w:eastAsia="pt-BR"/>
    </w:rPr>
  </w:style>
  <w:style w:type="character" w:customStyle="1" w:styleId="Nivel4Char">
    <w:name w:val="Nivel 4 Char"/>
    <w:basedOn w:val="Fontepargpadro"/>
    <w:link w:val="Nivel4"/>
    <w:qFormat/>
    <w:rsid w:val="00B942F6"/>
    <w:rPr>
      <w:rFonts w:ascii="Arial" w:eastAsia="MS Mincho" w:hAnsi="Arial" w:cs="Arial"/>
      <w:sz w:val="20"/>
      <w:szCs w:val="20"/>
      <w:lang w:eastAsia="pt-BR"/>
    </w:rPr>
  </w:style>
  <w:style w:type="character" w:customStyle="1" w:styleId="PargrafodaListaChar">
    <w:name w:val="Parágrafo da Lista Char"/>
    <w:basedOn w:val="Fontepargpadro"/>
    <w:link w:val="PargrafodaLista"/>
    <w:uiPriority w:val="34"/>
    <w:qFormat/>
    <w:rsid w:val="00B942F6"/>
    <w:rPr>
      <w:rFonts w:ascii="Arial" w:eastAsia="Times New Roman" w:hAnsi="Arial" w:cs="Arial"/>
      <w:kern w:val="2"/>
      <w:sz w:val="24"/>
      <w:szCs w:val="24"/>
      <w:lang w:eastAsia="ar-SA"/>
    </w:rPr>
  </w:style>
  <w:style w:type="character" w:customStyle="1" w:styleId="MenoPendente1">
    <w:name w:val="Menção Pendente1"/>
    <w:basedOn w:val="Fontepargpadro"/>
    <w:uiPriority w:val="99"/>
    <w:semiHidden/>
    <w:unhideWhenUsed/>
    <w:qFormat/>
    <w:rsid w:val="005A67D3"/>
    <w:rPr>
      <w:color w:val="605E5C"/>
      <w:shd w:val="clear" w:color="auto" w:fill="E1DFDD"/>
    </w:rPr>
  </w:style>
  <w:style w:type="character" w:customStyle="1" w:styleId="normaltextrun">
    <w:name w:val="normaltextrun"/>
    <w:basedOn w:val="Fontepargpadro"/>
    <w:qFormat/>
    <w:rsid w:val="007C17EB"/>
  </w:style>
  <w:style w:type="character" w:customStyle="1" w:styleId="eop">
    <w:name w:val="eop"/>
    <w:basedOn w:val="Fontepargpadro"/>
    <w:qFormat/>
    <w:rsid w:val="007C17EB"/>
  </w:style>
  <w:style w:type="character" w:customStyle="1" w:styleId="Vnculodendice">
    <w:name w:val="Vínculo de índice"/>
    <w:qFormat/>
  </w:style>
  <w:style w:type="character" w:customStyle="1" w:styleId="MenoPendente2">
    <w:name w:val="Menção Pendente2"/>
    <w:basedOn w:val="Fontepargpadro"/>
    <w:uiPriority w:val="99"/>
    <w:semiHidden/>
    <w:unhideWhenUsed/>
    <w:qFormat/>
    <w:rsid w:val="00D955FA"/>
    <w:rPr>
      <w:color w:val="605E5C"/>
      <w:shd w:val="clear" w:color="auto" w:fill="E1DFDD"/>
    </w:rPr>
  </w:style>
  <w:style w:type="character" w:customStyle="1" w:styleId="cf01">
    <w:name w:val="cf01"/>
    <w:basedOn w:val="Fontepargpadro"/>
    <w:qFormat/>
    <w:rsid w:val="007E2558"/>
    <w:rPr>
      <w:rFonts w:ascii="Segoe UI" w:hAnsi="Segoe UI" w:cs="Segoe UI"/>
      <w:sz w:val="18"/>
      <w:szCs w:val="18"/>
      <w:shd w:val="clear" w:color="auto" w:fill="FFFF00"/>
    </w:rPr>
  </w:style>
  <w:style w:type="character" w:customStyle="1" w:styleId="MenoPendente3">
    <w:name w:val="Menção Pendente3"/>
    <w:basedOn w:val="Fontepargpadro"/>
    <w:uiPriority w:val="99"/>
    <w:semiHidden/>
    <w:unhideWhenUsed/>
    <w:qFormat/>
    <w:rsid w:val="00EF3007"/>
    <w:rPr>
      <w:color w:val="605E5C"/>
      <w:shd w:val="clear" w:color="auto" w:fill="E1DFDD"/>
    </w:rPr>
  </w:style>
  <w:style w:type="character" w:customStyle="1" w:styleId="ui-provider">
    <w:name w:val="ui-provider"/>
    <w:basedOn w:val="Fontepargpadro"/>
    <w:qFormat/>
    <w:rsid w:val="00E65AA9"/>
  </w:style>
  <w:style w:type="character" w:customStyle="1" w:styleId="ListLabel1">
    <w:name w:val="ListLabel 1"/>
    <w:qFormat/>
    <w:rsid w:val="00624D4F"/>
    <w:rPr>
      <w:rFonts w:ascii="Times New Roman" w:eastAsia="Times New Roman" w:hAnsi="Times New Roman" w:cs="Times New Roman"/>
      <w:color w:val="0000FF"/>
      <w:kern w:val="0"/>
      <w:sz w:val="24"/>
      <w:szCs w:val="24"/>
      <w:u w:val="single"/>
      <w:lang w:eastAsia="pt-BR"/>
      <w14:ligatures w14:val="none"/>
    </w:rPr>
  </w:style>
  <w:style w:type="character" w:customStyle="1" w:styleId="commentauthor">
    <w:name w:val="commentauthor"/>
    <w:basedOn w:val="Fontepargpadro"/>
    <w:qFormat/>
    <w:rsid w:val="00857029"/>
  </w:style>
  <w:style w:type="character" w:customStyle="1" w:styleId="ListLabel2">
    <w:name w:val="ListLabel 2"/>
    <w:qFormat/>
    <w:rPr>
      <w:rFonts w:cs="Times New Roman"/>
    </w:rPr>
  </w:style>
  <w:style w:type="character" w:customStyle="1" w:styleId="ListLabel3">
    <w:name w:val="ListLabel 3"/>
    <w:qFormat/>
    <w:rPr>
      <w:b/>
    </w:rPr>
  </w:style>
  <w:style w:type="character" w:customStyle="1" w:styleId="ListLabel4">
    <w:name w:val="ListLabel 4"/>
    <w:qFormat/>
    <w:rPr>
      <w:b w:val="0"/>
      <w:i w:val="0"/>
      <w:strike w:val="0"/>
      <w:dstrike w:val="0"/>
      <w:color w:val="auto"/>
      <w:sz w:val="20"/>
      <w:szCs w:val="20"/>
      <w:u w:val="none"/>
    </w:rPr>
  </w:style>
  <w:style w:type="character" w:customStyle="1" w:styleId="ListLabel5">
    <w:name w:val="ListLabel 5"/>
    <w:qFormat/>
    <w:rPr>
      <w:b w:val="0"/>
      <w:i w:val="0"/>
      <w:strike w:val="0"/>
      <w:dstrike w:val="0"/>
      <w:color w:val="auto"/>
      <w:sz w:val="20"/>
      <w:szCs w:val="20"/>
    </w:rPr>
  </w:style>
  <w:style w:type="character" w:customStyle="1" w:styleId="ListLabel6">
    <w:name w:val="ListLabel 6"/>
    <w:qFormat/>
    <w:rPr>
      <w:color w:val="191D27"/>
    </w:rPr>
  </w:style>
  <w:style w:type="character" w:customStyle="1" w:styleId="ListLabel7">
    <w:name w:val="ListLabel 7"/>
    <w:qFormat/>
    <w:rPr>
      <w:color w:val="191D27"/>
    </w:rPr>
  </w:style>
  <w:style w:type="character" w:customStyle="1" w:styleId="ListLabel8">
    <w:name w:val="ListLabel 8"/>
    <w:qFormat/>
    <w:rPr>
      <w:color w:val="191D27"/>
    </w:rPr>
  </w:style>
  <w:style w:type="character" w:customStyle="1" w:styleId="ListLabel9">
    <w:name w:val="ListLabel 9"/>
    <w:qFormat/>
    <w:rPr>
      <w:color w:val="191D27"/>
    </w:rPr>
  </w:style>
  <w:style w:type="character" w:customStyle="1" w:styleId="ListLabel10">
    <w:name w:val="ListLabel 10"/>
    <w:qFormat/>
    <w:rPr>
      <w:color w:val="191D27"/>
    </w:rPr>
  </w:style>
  <w:style w:type="character" w:customStyle="1" w:styleId="ListLabel11">
    <w:name w:val="ListLabel 11"/>
    <w:qFormat/>
    <w:rPr>
      <w:color w:val="191D27"/>
    </w:rPr>
  </w:style>
  <w:style w:type="character" w:customStyle="1" w:styleId="ListLabel12">
    <w:name w:val="ListLabel 12"/>
    <w:qFormat/>
    <w:rPr>
      <w:color w:val="191D27"/>
    </w:rPr>
  </w:style>
  <w:style w:type="character" w:customStyle="1" w:styleId="ListLabel13">
    <w:name w:val="ListLabel 13"/>
    <w:qFormat/>
    <w:rPr>
      <w:color w:val="191D27"/>
    </w:rPr>
  </w:style>
  <w:style w:type="character" w:customStyle="1" w:styleId="ListLabel14">
    <w:name w:val="ListLabel 14"/>
    <w:qFormat/>
    <w:rPr>
      <w:color w:val="191D27"/>
    </w:rPr>
  </w:style>
  <w:style w:type="character" w:customStyle="1" w:styleId="ListLabel15">
    <w:name w:val="ListLabel 15"/>
    <w:qFormat/>
    <w:rPr>
      <w:rFonts w:cs="Arial"/>
      <w:b/>
      <w:sz w:val="24"/>
      <w:szCs w:val="24"/>
    </w:rPr>
  </w:style>
  <w:style w:type="character" w:customStyle="1" w:styleId="ListLabel16">
    <w:name w:val="ListLabel 16"/>
    <w:qFormat/>
    <w:rPr>
      <w:rFonts w:cs="Arial"/>
    </w:rPr>
  </w:style>
  <w:style w:type="character" w:customStyle="1" w:styleId="ListLabel17">
    <w:name w:val="ListLabel 17"/>
    <w:qFormat/>
    <w:rPr>
      <w:rFonts w:cs="Arial"/>
      <w:sz w:val="24"/>
      <w:szCs w:val="24"/>
    </w:rPr>
  </w:style>
  <w:style w:type="character" w:customStyle="1" w:styleId="ListLabel18">
    <w:name w:val="ListLabel 18"/>
    <w:qFormat/>
    <w:rPr>
      <w:rFonts w:cs="Arial"/>
    </w:rPr>
  </w:style>
  <w:style w:type="character" w:customStyle="1" w:styleId="ListLabel19">
    <w:name w:val="ListLabel 19"/>
    <w:qFormat/>
    <w:rPr>
      <w:rFonts w:cs="Times New Roman"/>
    </w:rPr>
  </w:style>
  <w:style w:type="character" w:customStyle="1" w:styleId="ListLabel20">
    <w:name w:val="ListLabel 20"/>
    <w:qFormat/>
    <w:rPr>
      <w:rFonts w:cs="Times New Roman"/>
    </w:rPr>
  </w:style>
  <w:style w:type="character" w:customStyle="1" w:styleId="ListLabel21">
    <w:name w:val="ListLabel 21"/>
    <w:qFormat/>
    <w:rPr>
      <w:rFonts w:cs="Times New Roman"/>
    </w:rPr>
  </w:style>
  <w:style w:type="character" w:customStyle="1" w:styleId="ListLabel22">
    <w:name w:val="ListLabel 22"/>
    <w:qFormat/>
    <w:rPr>
      <w:rFonts w:cs="Times New Roman"/>
    </w:rPr>
  </w:style>
  <w:style w:type="character" w:customStyle="1" w:styleId="ListLabel23">
    <w:name w:val="ListLabel 23"/>
    <w:qFormat/>
    <w:rPr>
      <w:rFonts w:cs="Times New Roman"/>
    </w:rPr>
  </w:style>
  <w:style w:type="character" w:customStyle="1" w:styleId="ListLabel24">
    <w:name w:val="ListLabel 24"/>
    <w:qFormat/>
    <w:rPr>
      <w:rFonts w:ascii="Arial" w:eastAsia="MS Mincho" w:hAnsi="Arial" w:cs="Arial"/>
      <w:kern w:val="2"/>
      <w:sz w:val="24"/>
      <w:szCs w:val="24"/>
      <w:lang w:eastAsia="ar-SA"/>
    </w:rPr>
  </w:style>
  <w:style w:type="character" w:customStyle="1" w:styleId="ListLabel25">
    <w:name w:val="ListLabel 25"/>
    <w:qFormat/>
    <w:rPr>
      <w:rFonts w:ascii="Arial" w:eastAsia="MS Mincho" w:hAnsi="Arial" w:cs="Arial"/>
      <w:sz w:val="24"/>
      <w:szCs w:val="24"/>
      <w:lang w:eastAsia="pt-BR"/>
    </w:rPr>
  </w:style>
  <w:style w:type="character" w:customStyle="1" w:styleId="ListLabel26">
    <w:name w:val="ListLabel 26"/>
    <w:qFormat/>
    <w:rPr>
      <w:rFonts w:ascii="Arial" w:eastAsia="MS Mincho" w:hAnsi="Arial" w:cs="Arial"/>
      <w:sz w:val="24"/>
      <w:szCs w:val="24"/>
      <w:u w:val="single"/>
      <w:lang w:eastAsia="pt-BR"/>
    </w:rPr>
  </w:style>
  <w:style w:type="character" w:customStyle="1" w:styleId="ListLabel27">
    <w:name w:val="ListLabel 27"/>
    <w:qFormat/>
    <w:rPr>
      <w:rFonts w:ascii="Arial" w:eastAsia="Times New Roman" w:hAnsi="Arial" w:cs="Arial"/>
      <w:sz w:val="24"/>
      <w:szCs w:val="24"/>
      <w:lang w:eastAsia="pt-BR"/>
    </w:rPr>
  </w:style>
  <w:style w:type="character" w:customStyle="1" w:styleId="ListLabel28">
    <w:name w:val="ListLabel 28"/>
    <w:qFormat/>
    <w:rPr>
      <w:rFonts w:ascii="Arial" w:eastAsia="Times New Roman" w:hAnsi="Arial" w:cs="Arial"/>
      <w:color w:val="000000"/>
      <w:sz w:val="24"/>
      <w:szCs w:val="24"/>
      <w:lang w:eastAsia="pt-BR"/>
    </w:rPr>
  </w:style>
  <w:style w:type="character" w:customStyle="1" w:styleId="ListLabel29">
    <w:name w:val="ListLabel 29"/>
    <w:qFormat/>
    <w:rPr>
      <w:rFonts w:ascii="Arial" w:eastAsia="Times New Roman" w:hAnsi="Arial" w:cs="Arial"/>
      <w:kern w:val="2"/>
      <w:sz w:val="24"/>
      <w:szCs w:val="24"/>
      <w:u w:val="single"/>
      <w:lang w:eastAsia="ar-SA"/>
    </w:rPr>
  </w:style>
  <w:style w:type="character" w:customStyle="1" w:styleId="ListLabel30">
    <w:name w:val="ListLabel 30"/>
    <w:qFormat/>
    <w:rPr>
      <w:rFonts w:ascii="Arial" w:eastAsia="Times New Roman" w:hAnsi="Arial" w:cs="Arial"/>
      <w:kern w:val="2"/>
      <w:sz w:val="24"/>
      <w:szCs w:val="24"/>
      <w:lang w:eastAsia="ar-SA"/>
    </w:rPr>
  </w:style>
  <w:style w:type="character" w:customStyle="1" w:styleId="ListLabel31">
    <w:name w:val="ListLabel 31"/>
    <w:qFormat/>
    <w:rPr>
      <w:rFonts w:ascii="Arial" w:eastAsia="SimSun" w:hAnsi="Arial" w:cs="Arial"/>
      <w:kern w:val="2"/>
      <w:sz w:val="24"/>
      <w:szCs w:val="24"/>
      <w:lang w:eastAsia="hi-IN" w:bidi="hi-IN"/>
    </w:rPr>
  </w:style>
  <w:style w:type="character" w:customStyle="1" w:styleId="ListLabel32">
    <w:name w:val="ListLabel 32"/>
    <w:qFormat/>
    <w:rPr>
      <w:rFonts w:ascii="Arial" w:eastAsia="Arial" w:hAnsi="Arial" w:cs="Arial"/>
      <w:kern w:val="2"/>
      <w:sz w:val="24"/>
      <w:szCs w:val="24"/>
      <w:lang w:eastAsia="hi-IN" w:bidi="hi-IN"/>
    </w:rPr>
  </w:style>
  <w:style w:type="character" w:customStyle="1" w:styleId="ListLabel33">
    <w:name w:val="ListLabel 33"/>
    <w:qFormat/>
    <w:rPr>
      <w:rFonts w:ascii="Arial" w:hAnsi="Arial" w:cs="Arial"/>
      <w:color w:val="auto"/>
      <w:kern w:val="2"/>
      <w:sz w:val="24"/>
      <w:szCs w:val="24"/>
      <w:u w:val="none"/>
      <w:lang w:eastAsia="ar-SA"/>
    </w:rPr>
  </w:style>
  <w:style w:type="character" w:customStyle="1" w:styleId="ListLabel34">
    <w:name w:val="ListLabel 34"/>
    <w:qFormat/>
    <w:rPr>
      <w:rFonts w:ascii="Arial" w:eastAsiaTheme="minorHAnsi" w:hAnsi="Arial" w:cs="Arial"/>
    </w:rPr>
  </w:style>
  <w:style w:type="character" w:customStyle="1" w:styleId="ListLabel35">
    <w:name w:val="ListLabel 35"/>
    <w:qFormat/>
  </w:style>
  <w:style w:type="character" w:customStyle="1" w:styleId="ListLabel36">
    <w:name w:val="ListLabel 36"/>
    <w:qFormat/>
    <w:rPr>
      <w:rFonts w:cs="Times New Roman"/>
    </w:rPr>
  </w:style>
  <w:style w:type="character" w:customStyle="1" w:styleId="ListLabel37">
    <w:name w:val="ListLabel 37"/>
    <w:qFormat/>
    <w:rPr>
      <w:rFonts w:ascii="Arial" w:eastAsia="MS Mincho" w:hAnsi="Arial" w:cs="Arial"/>
      <w:kern w:val="2"/>
      <w:sz w:val="24"/>
      <w:szCs w:val="24"/>
      <w:lang w:eastAsia="ar-SA"/>
    </w:rPr>
  </w:style>
  <w:style w:type="character" w:customStyle="1" w:styleId="ListLabel38">
    <w:name w:val="ListLabel 38"/>
    <w:qFormat/>
    <w:rPr>
      <w:rFonts w:ascii="Arial" w:eastAsia="MS Mincho" w:hAnsi="Arial" w:cs="Arial"/>
      <w:sz w:val="24"/>
      <w:szCs w:val="24"/>
      <w:lang w:eastAsia="pt-BR"/>
    </w:rPr>
  </w:style>
  <w:style w:type="character" w:customStyle="1" w:styleId="ListLabel39">
    <w:name w:val="ListLabel 39"/>
    <w:qFormat/>
    <w:rPr>
      <w:rFonts w:ascii="Arial" w:eastAsia="MS Mincho" w:hAnsi="Arial" w:cs="Arial"/>
      <w:sz w:val="24"/>
      <w:szCs w:val="24"/>
      <w:u w:val="single"/>
      <w:lang w:eastAsia="pt-BR"/>
    </w:rPr>
  </w:style>
  <w:style w:type="character" w:customStyle="1" w:styleId="ListLabel40">
    <w:name w:val="ListLabel 40"/>
    <w:qFormat/>
    <w:rPr>
      <w:rFonts w:ascii="Arial" w:eastAsia="Times New Roman" w:hAnsi="Arial" w:cs="Arial"/>
      <w:sz w:val="24"/>
      <w:szCs w:val="24"/>
      <w:lang w:eastAsia="pt-BR"/>
    </w:rPr>
  </w:style>
  <w:style w:type="character" w:customStyle="1" w:styleId="ListLabel41">
    <w:name w:val="ListLabel 41"/>
    <w:qFormat/>
    <w:rPr>
      <w:rFonts w:ascii="Arial" w:eastAsia="MS Mincho" w:hAnsi="Arial" w:cs="Arial"/>
      <w:sz w:val="24"/>
      <w:szCs w:val="24"/>
      <w:lang w:eastAsia="pt-BR"/>
    </w:rPr>
  </w:style>
  <w:style w:type="character" w:customStyle="1" w:styleId="ListLabel42">
    <w:name w:val="ListLabel 42"/>
    <w:qFormat/>
    <w:rPr>
      <w:rFonts w:ascii="Arial" w:eastAsia="Times New Roman" w:hAnsi="Arial" w:cs="Arial"/>
      <w:kern w:val="2"/>
      <w:sz w:val="24"/>
      <w:szCs w:val="24"/>
      <w:u w:val="single"/>
      <w:lang w:eastAsia="ar-SA"/>
    </w:rPr>
  </w:style>
  <w:style w:type="character" w:customStyle="1" w:styleId="ListLabel43">
    <w:name w:val="ListLabel 43"/>
    <w:qFormat/>
    <w:rPr>
      <w:rFonts w:ascii="Arial" w:eastAsia="Times New Roman" w:hAnsi="Arial" w:cs="Arial"/>
      <w:kern w:val="2"/>
      <w:sz w:val="24"/>
      <w:szCs w:val="24"/>
      <w:lang w:eastAsia="ar-SA"/>
    </w:rPr>
  </w:style>
  <w:style w:type="character" w:customStyle="1" w:styleId="ListLabel44">
    <w:name w:val="ListLabel 44"/>
    <w:qFormat/>
    <w:rPr>
      <w:rFonts w:ascii="Arial" w:eastAsia="SimSun" w:hAnsi="Arial" w:cs="Arial"/>
      <w:kern w:val="2"/>
      <w:sz w:val="24"/>
      <w:szCs w:val="24"/>
      <w:lang w:eastAsia="hi-IN" w:bidi="hi-IN"/>
    </w:rPr>
  </w:style>
  <w:style w:type="character" w:customStyle="1" w:styleId="ListLabel45">
    <w:name w:val="ListLabel 45"/>
    <w:qFormat/>
    <w:rPr>
      <w:rFonts w:ascii="Arial" w:eastAsia="Arial" w:hAnsi="Arial" w:cs="Arial"/>
      <w:kern w:val="2"/>
      <w:sz w:val="24"/>
      <w:szCs w:val="24"/>
      <w:lang w:eastAsia="hi-IN" w:bidi="hi-IN"/>
    </w:rPr>
  </w:style>
  <w:style w:type="character" w:customStyle="1" w:styleId="ListLabel46">
    <w:name w:val="ListLabel 46"/>
    <w:qFormat/>
    <w:rPr>
      <w:rFonts w:ascii="Arial" w:hAnsi="Arial" w:cs="Arial"/>
      <w:color w:val="auto"/>
      <w:kern w:val="2"/>
      <w:sz w:val="24"/>
      <w:szCs w:val="24"/>
      <w:u w:val="none"/>
      <w:lang w:eastAsia="ar-SA"/>
    </w:rPr>
  </w:style>
  <w:style w:type="character" w:customStyle="1" w:styleId="ListLabel47">
    <w:name w:val="ListLabel 47"/>
    <w:qFormat/>
    <w:rPr>
      <w:rFonts w:ascii="Arial" w:eastAsiaTheme="minorHAnsi" w:hAnsi="Arial" w:cs="Arial"/>
    </w:rPr>
  </w:style>
  <w:style w:type="character" w:customStyle="1" w:styleId="ListLabel48">
    <w:name w:val="ListLabel 48"/>
    <w:qFormat/>
    <w:rPr>
      <w:highlight w:val="whit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uiPriority w:val="99"/>
    <w:rsid w:val="00B942F6"/>
    <w:pPr>
      <w:spacing w:after="0" w:line="360" w:lineRule="auto"/>
      <w:jc w:val="both"/>
    </w:pPr>
    <w:rPr>
      <w:rFonts w:ascii="Arial" w:eastAsia="Times New Roman" w:hAnsi="Arial" w:cs="Arial"/>
      <w:sz w:val="20"/>
      <w:szCs w:val="20"/>
      <w:lang w:eastAsia="pt-BR"/>
    </w:rPr>
  </w:style>
  <w:style w:type="paragraph" w:styleId="Lista">
    <w:name w:val="List"/>
    <w:basedOn w:val="Normal"/>
    <w:rsid w:val="00B942F6"/>
    <w:pPr>
      <w:spacing w:after="0" w:line="240" w:lineRule="auto"/>
      <w:jc w:val="both"/>
    </w:pPr>
    <w:rPr>
      <w:rFonts w:ascii="Times New Roman" w:eastAsia="Times New Roman" w:hAnsi="Times New Roman" w:cs="Tahoma"/>
      <w:color w:val="FF0000"/>
      <w:kern w:val="2"/>
      <w:sz w:val="24"/>
      <w:lang w:eastAsia="zh-CN"/>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ontedodatabela">
    <w:name w:val="Conteúdo da tabela"/>
    <w:basedOn w:val="Normal"/>
    <w:qFormat/>
    <w:rsid w:val="00B942F6"/>
    <w:pPr>
      <w:suppressLineNumbers/>
      <w:spacing w:after="0" w:line="240" w:lineRule="auto"/>
    </w:pPr>
    <w:rPr>
      <w:rFonts w:ascii="Arial" w:eastAsia="Times New Roman" w:hAnsi="Arial" w:cs="Arial"/>
      <w:kern w:val="2"/>
      <w:sz w:val="24"/>
      <w:szCs w:val="24"/>
      <w:lang w:eastAsia="ar-SA"/>
    </w:rPr>
  </w:style>
  <w:style w:type="paragraph" w:customStyle="1" w:styleId="CPLLista">
    <w:name w:val="CPL_Lista"/>
    <w:uiPriority w:val="99"/>
    <w:qFormat/>
    <w:rsid w:val="00B942F6"/>
    <w:pPr>
      <w:widowControl w:val="0"/>
      <w:suppressAutoHyphens/>
      <w:spacing w:after="113"/>
      <w:jc w:val="both"/>
    </w:pPr>
    <w:rPr>
      <w:rFonts w:ascii="Arial" w:eastAsia="SimSun" w:hAnsi="Arial"/>
      <w:kern w:val="2"/>
      <w:sz w:val="24"/>
      <w:szCs w:val="24"/>
      <w:lang w:eastAsia="hi-IN" w:bidi="hi-IN"/>
    </w:rPr>
  </w:style>
  <w:style w:type="paragraph" w:customStyle="1" w:styleId="CPLPadrao">
    <w:name w:val="CPL_Padrao"/>
    <w:qFormat/>
    <w:rsid w:val="00B942F6"/>
    <w:pPr>
      <w:suppressAutoHyphens/>
      <w:spacing w:after="283"/>
      <w:jc w:val="both"/>
    </w:pPr>
    <w:rPr>
      <w:rFonts w:ascii="Arial" w:eastAsia="SimSun" w:hAnsi="Arial"/>
      <w:kern w:val="2"/>
      <w:sz w:val="24"/>
      <w:szCs w:val="24"/>
      <w:lang w:eastAsia="hi-IN" w:bidi="hi-IN"/>
    </w:rPr>
  </w:style>
  <w:style w:type="paragraph" w:customStyle="1" w:styleId="CabealhoeRodap">
    <w:name w:val="Cabeçalho e Rodapé"/>
    <w:basedOn w:val="Normal"/>
    <w:qFormat/>
  </w:style>
  <w:style w:type="paragraph" w:styleId="Cabealho">
    <w:name w:val="header"/>
    <w:basedOn w:val="Normal"/>
    <w:link w:val="Cabealho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Rodap">
    <w:name w:val="footer"/>
    <w:basedOn w:val="Normal"/>
    <w:link w:val="RodapChar"/>
    <w:uiPriority w:val="99"/>
    <w:rsid w:val="00B942F6"/>
    <w:pPr>
      <w:tabs>
        <w:tab w:val="center" w:pos="4252"/>
        <w:tab w:val="right" w:pos="8504"/>
      </w:tabs>
      <w:spacing w:after="0" w:line="240" w:lineRule="auto"/>
    </w:pPr>
    <w:rPr>
      <w:rFonts w:ascii="Arial" w:eastAsia="Times New Roman" w:hAnsi="Arial" w:cs="Arial"/>
      <w:kern w:val="2"/>
      <w:sz w:val="24"/>
      <w:szCs w:val="24"/>
      <w:lang w:eastAsia="ar-SA"/>
    </w:rPr>
  </w:style>
  <w:style w:type="paragraph" w:styleId="Textodebalo">
    <w:name w:val="Balloon Text"/>
    <w:basedOn w:val="Normal"/>
    <w:link w:val="TextodebaloChar"/>
    <w:uiPriority w:val="99"/>
    <w:qFormat/>
    <w:rsid w:val="00B942F6"/>
    <w:pPr>
      <w:spacing w:after="0" w:line="240" w:lineRule="auto"/>
    </w:pPr>
    <w:rPr>
      <w:rFonts w:ascii="Tahoma" w:eastAsia="Times New Roman" w:hAnsi="Tahoma" w:cs="Tahoma"/>
      <w:kern w:val="2"/>
      <w:sz w:val="16"/>
      <w:szCs w:val="16"/>
      <w:lang w:eastAsia="ar-SA"/>
    </w:rPr>
  </w:style>
  <w:style w:type="paragraph" w:styleId="CabealhodoSumrio">
    <w:name w:val="TOC Heading"/>
    <w:basedOn w:val="Ttulo1"/>
    <w:next w:val="Normal"/>
    <w:uiPriority w:val="99"/>
    <w:qFormat/>
    <w:rsid w:val="00B942F6"/>
    <w:pPr>
      <w:suppressAutoHyphens w:val="0"/>
      <w:spacing w:line="276" w:lineRule="auto"/>
    </w:pPr>
    <w:rPr>
      <w:kern w:val="0"/>
      <w:lang w:eastAsia="pt-BR"/>
    </w:rPr>
  </w:style>
  <w:style w:type="paragraph" w:customStyle="1" w:styleId="CPLTitulo">
    <w:name w:val="CPL_Titulo"/>
    <w:uiPriority w:val="99"/>
    <w:qFormat/>
    <w:rsid w:val="00B942F6"/>
    <w:pPr>
      <w:keepNext/>
      <w:suppressAutoHyphens/>
      <w:spacing w:after="283"/>
      <w:outlineLvl w:val="0"/>
    </w:pPr>
    <w:rPr>
      <w:rFonts w:ascii="Arial" w:eastAsia="SimSun" w:hAnsi="Arial"/>
      <w:b/>
      <w:bCs/>
      <w:kern w:val="2"/>
      <w:sz w:val="24"/>
      <w:szCs w:val="24"/>
      <w:lang w:eastAsia="hi-IN" w:bidi="hi-IN"/>
    </w:rPr>
  </w:style>
  <w:style w:type="paragraph" w:styleId="Sumrio1">
    <w:name w:val="toc 1"/>
    <w:basedOn w:val="Normal"/>
    <w:next w:val="Normal"/>
    <w:autoRedefine/>
    <w:uiPriority w:val="39"/>
    <w:rsid w:val="00E31C6B"/>
    <w:pPr>
      <w:tabs>
        <w:tab w:val="left" w:pos="440"/>
        <w:tab w:val="right" w:leader="dot" w:pos="9061"/>
      </w:tabs>
      <w:spacing w:before="120" w:after="120" w:line="240" w:lineRule="auto"/>
      <w:jc w:val="both"/>
    </w:pPr>
    <w:rPr>
      <w:rFonts w:ascii="Arial" w:eastAsia="Times New Roman" w:hAnsi="Arial" w:cs="Arial"/>
      <w:kern w:val="2"/>
      <w:sz w:val="24"/>
      <w:szCs w:val="24"/>
      <w:lang w:eastAsia="ar-SA"/>
    </w:rPr>
  </w:style>
  <w:style w:type="paragraph" w:styleId="Sumrio2">
    <w:name w:val="toc 2"/>
    <w:basedOn w:val="Normal"/>
    <w:next w:val="Normal"/>
    <w:autoRedefine/>
    <w:uiPriority w:val="99"/>
    <w:rsid w:val="00B942F6"/>
    <w:pPr>
      <w:spacing w:after="100" w:line="276" w:lineRule="auto"/>
      <w:ind w:left="220"/>
    </w:pPr>
    <w:rPr>
      <w:rFonts w:ascii="Calibri" w:eastAsia="Times New Roman" w:hAnsi="Calibri" w:cs="Calibri"/>
      <w:lang w:eastAsia="pt-BR"/>
    </w:rPr>
  </w:style>
  <w:style w:type="paragraph" w:styleId="Sumrio3">
    <w:name w:val="toc 3"/>
    <w:basedOn w:val="Normal"/>
    <w:next w:val="Normal"/>
    <w:autoRedefine/>
    <w:uiPriority w:val="39"/>
    <w:rsid w:val="00EE0BDB"/>
    <w:pPr>
      <w:tabs>
        <w:tab w:val="right" w:leader="dot" w:pos="9061"/>
      </w:tabs>
      <w:spacing w:after="100" w:line="276" w:lineRule="auto"/>
      <w:jc w:val="both"/>
    </w:pPr>
    <w:rPr>
      <w:rFonts w:ascii="Arial" w:eastAsia="Times New Roman" w:hAnsi="Arial" w:cs="Arial"/>
      <w:sz w:val="24"/>
      <w:szCs w:val="24"/>
      <w:lang w:eastAsia="pt-BR"/>
    </w:rPr>
  </w:style>
  <w:style w:type="paragraph" w:styleId="PargrafodaLista">
    <w:name w:val="List Paragraph"/>
    <w:basedOn w:val="Normal"/>
    <w:link w:val="PargrafodaListaChar"/>
    <w:uiPriority w:val="34"/>
    <w:qFormat/>
    <w:rsid w:val="00B942F6"/>
    <w:pPr>
      <w:spacing w:after="0" w:line="240" w:lineRule="auto"/>
      <w:ind w:left="720"/>
    </w:pPr>
    <w:rPr>
      <w:rFonts w:ascii="Arial" w:eastAsia="Times New Roman" w:hAnsi="Arial" w:cs="Arial"/>
      <w:kern w:val="2"/>
      <w:sz w:val="24"/>
      <w:szCs w:val="24"/>
      <w:lang w:eastAsia="ar-SA"/>
    </w:rPr>
  </w:style>
  <w:style w:type="paragraph" w:styleId="Corpodetexto2">
    <w:name w:val="Body Text 2"/>
    <w:basedOn w:val="Normal"/>
    <w:link w:val="Corpodetexto2Char"/>
    <w:uiPriority w:val="99"/>
    <w:qFormat/>
    <w:rsid w:val="00B942F6"/>
    <w:pPr>
      <w:spacing w:after="0" w:line="240" w:lineRule="auto"/>
      <w:jc w:val="both"/>
    </w:pPr>
    <w:rPr>
      <w:rFonts w:ascii="Arial" w:eastAsia="Times New Roman" w:hAnsi="Arial" w:cs="Arial"/>
      <w:b/>
      <w:bCs/>
      <w:color w:val="FF0000"/>
      <w:sz w:val="24"/>
      <w:szCs w:val="24"/>
      <w:lang w:eastAsia="pt-BR"/>
    </w:rPr>
  </w:style>
  <w:style w:type="paragraph" w:customStyle="1" w:styleId="CPLPadraoNegrito">
    <w:name w:val="CPL_Padrao_Negrito"/>
    <w:uiPriority w:val="99"/>
    <w:qFormat/>
    <w:rsid w:val="00B942F6"/>
    <w:pPr>
      <w:suppressAutoHyphens/>
      <w:spacing w:after="283"/>
      <w:jc w:val="both"/>
    </w:pPr>
    <w:rPr>
      <w:rFonts w:ascii="Arial" w:eastAsia="SimSun" w:hAnsi="Arial"/>
      <w:b/>
      <w:bCs/>
      <w:kern w:val="2"/>
      <w:sz w:val="24"/>
      <w:szCs w:val="24"/>
      <w:lang w:eastAsia="hi-IN" w:bidi="hi-IN"/>
    </w:rPr>
  </w:style>
  <w:style w:type="paragraph" w:styleId="Recuodecorpodetexto">
    <w:name w:val="Body Text Indent"/>
    <w:basedOn w:val="Normal"/>
    <w:link w:val="RecuodecorpodetextoChar"/>
    <w:uiPriority w:val="99"/>
    <w:rsid w:val="00B942F6"/>
    <w:pPr>
      <w:spacing w:after="120" w:line="240" w:lineRule="auto"/>
      <w:ind w:left="283"/>
    </w:pPr>
    <w:rPr>
      <w:rFonts w:ascii="Arial" w:eastAsia="Times New Roman" w:hAnsi="Arial" w:cs="Arial"/>
      <w:kern w:val="2"/>
      <w:sz w:val="24"/>
      <w:szCs w:val="24"/>
      <w:lang w:eastAsia="ar-SA"/>
    </w:rPr>
  </w:style>
  <w:style w:type="paragraph" w:styleId="NormalWeb">
    <w:name w:val="Normal (Web)"/>
    <w:basedOn w:val="Normal"/>
    <w:uiPriority w:val="99"/>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
    <w:name w:val="western"/>
    <w:basedOn w:val="Normal"/>
    <w:qFormat/>
    <w:rsid w:val="00B942F6"/>
    <w:pPr>
      <w:spacing w:beforeAutospacing="1" w:after="0" w:line="240" w:lineRule="auto"/>
      <w:jc w:val="both"/>
    </w:pPr>
    <w:rPr>
      <w:rFonts w:ascii="Arial" w:eastAsia="Times New Roman" w:hAnsi="Arial" w:cs="Arial"/>
      <w:color w:val="000000"/>
      <w:sz w:val="24"/>
      <w:szCs w:val="24"/>
      <w:lang w:eastAsia="pt-BR"/>
    </w:rPr>
  </w:style>
  <w:style w:type="paragraph" w:customStyle="1" w:styleId="western1">
    <w:name w:val="western1"/>
    <w:basedOn w:val="Normal"/>
    <w:uiPriority w:val="99"/>
    <w:qFormat/>
    <w:rsid w:val="00B942F6"/>
    <w:pPr>
      <w:spacing w:beforeAutospacing="1" w:after="0" w:line="240" w:lineRule="auto"/>
    </w:pPr>
    <w:rPr>
      <w:rFonts w:ascii="Arial" w:eastAsia="Times New Roman" w:hAnsi="Arial" w:cs="Arial"/>
      <w:color w:val="000000"/>
      <w:sz w:val="24"/>
      <w:szCs w:val="24"/>
      <w:lang w:eastAsia="pt-BR"/>
    </w:rPr>
  </w:style>
  <w:style w:type="paragraph" w:customStyle="1" w:styleId="texto1">
    <w:name w:val="texto1"/>
    <w:basedOn w:val="Normal"/>
    <w:qFormat/>
    <w:rsid w:val="00B942F6"/>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rsid w:val="00B942F6"/>
    <w:pPr>
      <w:suppressAutoHyphens/>
      <w:spacing w:after="160"/>
      <w:textAlignment w:val="baseline"/>
    </w:pPr>
    <w:rPr>
      <w:rFonts w:ascii="Liberation Serif" w:eastAsia="SimSun" w:hAnsi="Liberation Serif"/>
      <w:kern w:val="2"/>
      <w:sz w:val="24"/>
      <w:szCs w:val="24"/>
      <w:lang w:eastAsia="zh-CN" w:bidi="hi-IN"/>
    </w:rPr>
  </w:style>
  <w:style w:type="paragraph" w:styleId="Textodecomentrio">
    <w:name w:val="annotation text"/>
    <w:basedOn w:val="Normal"/>
    <w:link w:val="TextodecomentrioChar"/>
    <w:unhideWhenUsed/>
    <w:qFormat/>
    <w:rsid w:val="00B942F6"/>
    <w:pPr>
      <w:spacing w:after="0" w:line="240" w:lineRule="auto"/>
    </w:pPr>
    <w:rPr>
      <w:rFonts w:ascii="Arial" w:eastAsia="Times New Roman" w:hAnsi="Arial" w:cs="Arial"/>
      <w:kern w:val="2"/>
      <w:sz w:val="20"/>
      <w:szCs w:val="20"/>
      <w:lang w:eastAsia="ar-SA"/>
    </w:rPr>
  </w:style>
  <w:style w:type="paragraph" w:styleId="Assuntodocomentrio">
    <w:name w:val="annotation subject"/>
    <w:basedOn w:val="Textodecomentrio"/>
    <w:next w:val="Textodecomentrio"/>
    <w:link w:val="AssuntodocomentrioChar"/>
    <w:uiPriority w:val="99"/>
    <w:semiHidden/>
    <w:unhideWhenUsed/>
    <w:qFormat/>
    <w:rsid w:val="00B942F6"/>
    <w:rPr>
      <w:b/>
      <w:bCs/>
    </w:rPr>
  </w:style>
  <w:style w:type="paragraph" w:styleId="Reviso">
    <w:name w:val="Revision"/>
    <w:uiPriority w:val="99"/>
    <w:semiHidden/>
    <w:qFormat/>
    <w:rsid w:val="00B942F6"/>
    <w:pPr>
      <w:suppressAutoHyphens/>
    </w:pPr>
    <w:rPr>
      <w:rFonts w:ascii="Arial" w:eastAsia="Times New Roman" w:hAnsi="Arial"/>
      <w:kern w:val="2"/>
      <w:sz w:val="24"/>
      <w:szCs w:val="24"/>
      <w:lang w:eastAsia="ar-SA"/>
    </w:rPr>
  </w:style>
  <w:style w:type="paragraph" w:customStyle="1" w:styleId="Nivel01">
    <w:name w:val="Nivel 01"/>
    <w:basedOn w:val="Ttulo1"/>
    <w:next w:val="Normal"/>
    <w:link w:val="Nivel01Char"/>
    <w:qFormat/>
    <w:rsid w:val="00B942F6"/>
    <w:pPr>
      <w:tabs>
        <w:tab w:val="left" w:pos="567"/>
      </w:tabs>
      <w:suppressAutoHyphens w:val="0"/>
      <w:spacing w:before="240"/>
      <w:jc w:val="both"/>
    </w:pPr>
    <w:rPr>
      <w:rFonts w:ascii="Arial" w:eastAsia="MS Gothic" w:hAnsi="Arial" w:cs="Arial"/>
      <w:color w:val="auto"/>
      <w:kern w:val="0"/>
      <w:sz w:val="20"/>
      <w:szCs w:val="20"/>
      <w:lang w:eastAsia="pt-BR"/>
    </w:rPr>
  </w:style>
  <w:style w:type="paragraph" w:customStyle="1" w:styleId="Nivel2">
    <w:name w:val="Nivel 2"/>
    <w:basedOn w:val="Normal"/>
    <w:link w:val="Nivel2Char"/>
    <w:qFormat/>
    <w:rsid w:val="00B942F6"/>
    <w:pPr>
      <w:spacing w:before="120" w:after="120" w:line="276" w:lineRule="auto"/>
      <w:jc w:val="both"/>
    </w:pPr>
    <w:rPr>
      <w:rFonts w:ascii="Arial" w:eastAsia="MS Mincho" w:hAnsi="Arial" w:cs="Arial"/>
      <w:color w:val="000000"/>
      <w:sz w:val="20"/>
      <w:szCs w:val="20"/>
      <w:lang w:eastAsia="pt-BR"/>
    </w:rPr>
  </w:style>
  <w:style w:type="paragraph" w:customStyle="1" w:styleId="Nivel3">
    <w:name w:val="Nivel 3"/>
    <w:basedOn w:val="Normal"/>
    <w:link w:val="Nivel3Char"/>
    <w:qFormat/>
    <w:rsid w:val="00B942F6"/>
    <w:pPr>
      <w:tabs>
        <w:tab w:val="left" w:pos="0"/>
      </w:tabs>
      <w:spacing w:before="120" w:after="120" w:line="276" w:lineRule="auto"/>
      <w:ind w:left="360" w:hanging="360"/>
      <w:jc w:val="both"/>
    </w:pPr>
    <w:rPr>
      <w:rFonts w:ascii="Arial" w:eastAsia="MS Mincho" w:hAnsi="Arial" w:cs="Arial"/>
      <w:color w:val="000000"/>
      <w:sz w:val="20"/>
      <w:szCs w:val="20"/>
      <w:lang w:eastAsia="pt-BR"/>
    </w:rPr>
  </w:style>
  <w:style w:type="paragraph" w:customStyle="1" w:styleId="Nivel4">
    <w:name w:val="Nivel 4"/>
    <w:basedOn w:val="Nivel3"/>
    <w:link w:val="Nivel4Char"/>
    <w:qFormat/>
    <w:rsid w:val="00B942F6"/>
    <w:pPr>
      <w:ind w:left="851" w:firstLine="0"/>
    </w:pPr>
    <w:rPr>
      <w:color w:val="auto"/>
    </w:rPr>
  </w:style>
  <w:style w:type="paragraph" w:customStyle="1" w:styleId="Nivel5">
    <w:name w:val="Nivel 5"/>
    <w:basedOn w:val="Nivel4"/>
    <w:qFormat/>
    <w:rsid w:val="00B942F6"/>
    <w:pPr>
      <w:ind w:left="1276"/>
    </w:pPr>
  </w:style>
  <w:style w:type="paragraph" w:customStyle="1" w:styleId="itemnivel3">
    <w:name w:val="item_nivel3"/>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6C0186"/>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commentcontentpara">
    <w:name w:val="commentcontentpara"/>
    <w:basedOn w:val="Normal"/>
    <w:qFormat/>
    <w:rsid w:val="00857029"/>
    <w:pPr>
      <w:suppressAutoHyphens w:val="0"/>
      <w:spacing w:beforeAutospacing="1" w:afterAutospacing="1" w:line="240" w:lineRule="auto"/>
    </w:pPr>
    <w:rPr>
      <w:rFonts w:ascii="Times New Roman" w:eastAsia="Times New Roman" w:hAnsi="Times New Roman" w:cs="Times New Roman"/>
      <w:sz w:val="24"/>
      <w:szCs w:val="24"/>
      <w:lang w:eastAsia="pt-BR"/>
    </w:rPr>
  </w:style>
  <w:style w:type="paragraph" w:customStyle="1" w:styleId="paragraph">
    <w:name w:val="paragraph"/>
    <w:basedOn w:val="Normal"/>
    <w:qFormat/>
    <w:rsid w:val="00A95589"/>
    <w:pPr>
      <w:suppressAutoHyphens w:val="0"/>
      <w:spacing w:beforeAutospacing="1" w:afterAutospacing="1" w:line="240" w:lineRule="auto"/>
    </w:pPr>
    <w:rPr>
      <w:rFonts w:ascii="Times New Roman" w:eastAsia="Times New Roman" w:hAnsi="Times New Roman" w:cs="Times New Roman"/>
      <w:sz w:val="24"/>
      <w:szCs w:val="24"/>
      <w:lang w:eastAsia="pt-BR"/>
    </w:rPr>
  </w:style>
  <w:style w:type="numbering" w:customStyle="1" w:styleId="Semlista1">
    <w:name w:val="Sem lista1"/>
    <w:uiPriority w:val="99"/>
    <w:semiHidden/>
    <w:unhideWhenUsed/>
    <w:qFormat/>
    <w:rsid w:val="00B942F6"/>
  </w:style>
  <w:style w:type="table" w:customStyle="1" w:styleId="siad">
    <w:name w:val="siad"/>
    <w:uiPriority w:val="99"/>
    <w:rsid w:val="00B942F6"/>
    <w:pPr>
      <w:spacing w:after="200" w:line="276" w:lineRule="auto"/>
    </w:pPr>
    <w:rPr>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customStyle="1" w:styleId="Tabelacomgrade1">
    <w:name w:val="Tabela com grade1"/>
    <w:basedOn w:val="Tabelanormal"/>
    <w:uiPriority w:val="59"/>
    <w:rsid w:val="00FF5820"/>
    <w:rPr>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ad1">
    <w:name w:val="siad1"/>
    <w:uiPriority w:val="99"/>
    <w:rsid w:val="00FF5820"/>
    <w:pPr>
      <w:spacing w:after="200" w:line="276" w:lineRule="auto"/>
    </w:pPr>
    <w:rPr>
      <w:szCs w:val="20"/>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80" w:type="dxa"/>
        <w:left w:w="80" w:type="dxa"/>
        <w:bottom w:w="80" w:type="dxa"/>
        <w:right w:w="80" w:type="dxa"/>
      </w:tblCellMar>
    </w:tblPr>
  </w:style>
  <w:style w:type="table" w:styleId="Tabelacomgrade">
    <w:name w:val="Table Grid"/>
    <w:basedOn w:val="Tabelanormal"/>
    <w:uiPriority w:val="59"/>
    <w:rsid w:val="00FF58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064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3790395">
      <w:bodyDiv w:val="1"/>
      <w:marLeft w:val="0"/>
      <w:marRight w:val="0"/>
      <w:marTop w:val="0"/>
      <w:marBottom w:val="0"/>
      <w:divBdr>
        <w:top w:val="none" w:sz="0" w:space="0" w:color="auto"/>
        <w:left w:val="none" w:sz="0" w:space="0" w:color="auto"/>
        <w:bottom w:val="none" w:sz="0" w:space="0" w:color="auto"/>
        <w:right w:val="none" w:sz="0" w:space="0" w:color="auto"/>
      </w:divBdr>
      <w:divsChild>
        <w:div w:id="963775242">
          <w:marLeft w:val="0"/>
          <w:marRight w:val="0"/>
          <w:marTop w:val="0"/>
          <w:marBottom w:val="0"/>
          <w:divBdr>
            <w:top w:val="none" w:sz="0" w:space="0" w:color="auto"/>
            <w:left w:val="none" w:sz="0" w:space="0" w:color="auto"/>
            <w:bottom w:val="none" w:sz="0" w:space="0" w:color="auto"/>
            <w:right w:val="none" w:sz="0" w:space="0" w:color="auto"/>
          </w:divBdr>
        </w:div>
        <w:div w:id="2106605526">
          <w:marLeft w:val="0"/>
          <w:marRight w:val="0"/>
          <w:marTop w:val="0"/>
          <w:marBottom w:val="0"/>
          <w:divBdr>
            <w:top w:val="none" w:sz="0" w:space="0" w:color="auto"/>
            <w:left w:val="none" w:sz="0" w:space="0" w:color="auto"/>
            <w:bottom w:val="none" w:sz="0" w:space="0" w:color="auto"/>
            <w:right w:val="none" w:sz="0" w:space="0" w:color="auto"/>
          </w:divBdr>
        </w:div>
      </w:divsChild>
    </w:div>
    <w:div w:id="1754860457">
      <w:bodyDiv w:val="1"/>
      <w:marLeft w:val="0"/>
      <w:marRight w:val="0"/>
      <w:marTop w:val="0"/>
      <w:marBottom w:val="0"/>
      <w:divBdr>
        <w:top w:val="none" w:sz="0" w:space="0" w:color="auto"/>
        <w:left w:val="none" w:sz="0" w:space="0" w:color="auto"/>
        <w:bottom w:val="none" w:sz="0" w:space="0" w:color="auto"/>
        <w:right w:val="none" w:sz="0" w:space="0" w:color="auto"/>
      </w:divBdr>
      <w:divsChild>
        <w:div w:id="1876038155">
          <w:marLeft w:val="0"/>
          <w:marRight w:val="0"/>
          <w:marTop w:val="0"/>
          <w:marBottom w:val="0"/>
          <w:divBdr>
            <w:top w:val="none" w:sz="0" w:space="0" w:color="auto"/>
            <w:left w:val="none" w:sz="0" w:space="0" w:color="auto"/>
            <w:bottom w:val="none" w:sz="0" w:space="0" w:color="auto"/>
            <w:right w:val="none" w:sz="0" w:space="0" w:color="auto"/>
          </w:divBdr>
        </w:div>
        <w:div w:id="104425525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www.planalto.gov.br/ccivil_03/_ato2019-2022/2021/lei/L14133.htm" TargetMode="External"/><Relationship Id="rId26" Type="http://schemas.openxmlformats.org/officeDocument/2006/relationships/hyperlink" Target="mailto:dgcl@mpmg.mp.br"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ortaltransparencia.gov.br/sancoes/ceis" TargetMode="External"/><Relationship Id="rId34" Type="http://schemas.openxmlformats.org/officeDocument/2006/relationships/hyperlink" Target="file:///C:\Users\ltrindade\Downloads\OneDrive_2024-04-17\CONSIDERA%25C3%2587%25C3%2595ES%2016.04\_blank"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compras.mg.gov.br/"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mpras.mg.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mpmg.mp.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mpras.mg.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mpmg.mp.br/" TargetMode="External"/><Relationship Id="rId37"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www.mpmg.mp.br/"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www.planalto.gov.br/ccivil_03/leis/lcp/lcp123.htm" TargetMode="External"/><Relationship Id="rId31" Type="http://schemas.openxmlformats.org/officeDocument/2006/relationships/hyperlink" Target="mailto:dgcl@mpmg.mp.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mg.gov.br/" TargetMode="External"/><Relationship Id="rId22" Type="http://schemas.openxmlformats.org/officeDocument/2006/relationships/hyperlink" Target="https://www.portaltransparencia.gov.br/sancoes/cnep"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compras.mg.gov.br/" TargetMode="External"/><Relationship Id="rId35" Type="http://schemas.openxmlformats.org/officeDocument/2006/relationships/hyperlink" Target="mailto:dimat.gestao@mpmg.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1eb315a1-fd1d-4c46-bc29-5324cfd31550">
      <Terms xmlns="http://schemas.microsoft.com/office/infopath/2007/PartnerControls"/>
    </lcf76f155ced4ddcb4097134ff3c332f>
    <_ip_UnifiedCompliancePolicyProperties xmlns="http://schemas.microsoft.com/sharepoint/v3" xsi:nil="true"/>
    <TaxCatchAll xmlns="040f40de-0951-4de2-aa99-b1ea904a966c" xsi:nil="true"/>
    <_Flow_SignoffStatus xmlns="1eb315a1-fd1d-4c46-bc29-5324cfd31550" xsi:nil="true"/>
    <silvia xmlns="1eb315a1-fd1d-4c46-bc29-5324cfd31550">
      <UserInfo>
        <DisplayName/>
        <AccountId xsi:nil="true"/>
        <AccountType/>
      </UserInfo>
    </silvia>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766810F3571A045AFE15E5668B16395" ma:contentTypeVersion="21" ma:contentTypeDescription="Crie um novo documento." ma:contentTypeScope="" ma:versionID="714dd3d5d5bb3634b74ef3da0d24d965">
  <xsd:schema xmlns:xsd="http://www.w3.org/2001/XMLSchema" xmlns:xs="http://www.w3.org/2001/XMLSchema" xmlns:p="http://schemas.microsoft.com/office/2006/metadata/properties" xmlns:ns1="http://schemas.microsoft.com/sharepoint/v3" xmlns:ns2="1eb315a1-fd1d-4c46-bc29-5324cfd31550" xmlns:ns3="040f40de-0951-4de2-aa99-b1ea904a966c" targetNamespace="http://schemas.microsoft.com/office/2006/metadata/properties" ma:root="true" ma:fieldsID="e449ced90c3f37ea7d9efc54e82c31f2" ns1:_="" ns2:_="" ns3:_="">
    <xsd:import namespace="http://schemas.microsoft.com/sharepoint/v3"/>
    <xsd:import namespace="1eb315a1-fd1d-4c46-bc29-5324cfd31550"/>
    <xsd:import namespace="040f40de-0951-4de2-aa99-b1ea904a96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_Flow_SignoffStatus" minOccurs="0"/>
                <xsd:element ref="ns2:lcf76f155ced4ddcb4097134ff3c332f" minOccurs="0"/>
                <xsd:element ref="ns3:TaxCatchAll" minOccurs="0"/>
                <xsd:element ref="ns2:MediaServiceObjectDetectorVersions" minOccurs="0"/>
                <xsd:element ref="ns2:silvia" minOccurs="0"/>
                <xsd:element ref="ns1:_ip_UnifiedCompliancePolicyProperties" minOccurs="0"/>
                <xsd:element ref="ns1:_ip_UnifiedCompliancePolicyUIAc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5" nillable="true" ma:displayName="Propriedades da Política de Conformidade Unificada" ma:hidden="true" ma:internalName="_ip_UnifiedCompliancePolicyProperties">
      <xsd:simpleType>
        <xsd:restriction base="dms:Note"/>
      </xsd:simpleType>
    </xsd:element>
    <xsd:element name="_ip_UnifiedCompliancePolicyUIAction" ma:index="26"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b315a1-fd1d-4c46-bc29-5324cfd315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19" nillable="true" ma:displayName="Status de liberação" ma:internalName="Status_x0020_de_x0020_libera_x00e7__x00e3_o">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6905f465-c0dd-4870-bbe2-ba24a410d07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silvia" ma:index="24" nillable="true" ma:displayName="silvia" ma:format="Dropdown" ma:list="UserInfo" ma:SharePointGroup="0" ma:internalName="silvia">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LengthInSeconds" ma:index="2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0f40de-0951-4de2-aa99-b1ea904a966c"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eb441b97-112f-42a4-9487-746d41916657}" ma:internalName="TaxCatchAll" ma:showField="CatchAllData" ma:web="040f40de-0951-4de2-aa99-b1ea904a96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AD031-BA14-481D-804F-FDCDAC3A3954}">
  <ds:schemaRefs>
    <ds:schemaRef ds:uri="http://schemas.microsoft.com/sharepoint/v3/contenttype/forms"/>
  </ds:schemaRefs>
</ds:datastoreItem>
</file>

<file path=customXml/itemProps2.xml><?xml version="1.0" encoding="utf-8"?>
<ds:datastoreItem xmlns:ds="http://schemas.openxmlformats.org/officeDocument/2006/customXml" ds:itemID="{2278019B-7FD6-4B11-AA22-A96CFCE1156F}">
  <ds:schemaRefs>
    <ds:schemaRef ds:uri="http://schemas.microsoft.com/office/2006/metadata/properties"/>
    <ds:schemaRef ds:uri="http://schemas.microsoft.com/office/infopath/2007/PartnerControls"/>
    <ds:schemaRef ds:uri="http://schemas.microsoft.com/sharepoint/v3"/>
    <ds:schemaRef ds:uri="1eb315a1-fd1d-4c46-bc29-5324cfd31550"/>
    <ds:schemaRef ds:uri="040f40de-0951-4de2-aa99-b1ea904a966c"/>
  </ds:schemaRefs>
</ds:datastoreItem>
</file>

<file path=customXml/itemProps3.xml><?xml version="1.0" encoding="utf-8"?>
<ds:datastoreItem xmlns:ds="http://schemas.openxmlformats.org/officeDocument/2006/customXml" ds:itemID="{9A73396C-E8E2-4F62-862C-120A58FD2A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b315a1-fd1d-4c46-bc29-5324cfd31550"/>
    <ds:schemaRef ds:uri="040f40de-0951-4de2-aa99-b1ea904a96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C4C461-5243-4C3B-B5BD-E46BFDC2B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117</Pages>
  <Words>32900</Words>
  <Characters>177665</Characters>
  <Application>Microsoft Office Word</Application>
  <DocSecurity>0</DocSecurity>
  <Lines>1480</Lines>
  <Paragraphs>420</Paragraphs>
  <ScaleCrop>false</ScaleCrop>
  <HeadingPairs>
    <vt:vector size="2" baseType="variant">
      <vt:variant>
        <vt:lpstr>Título</vt:lpstr>
      </vt:variant>
      <vt:variant>
        <vt:i4>1</vt:i4>
      </vt:variant>
    </vt:vector>
  </HeadingPairs>
  <TitlesOfParts>
    <vt:vector size="1" baseType="lpstr">
      <vt:lpstr/>
    </vt:vector>
  </TitlesOfParts>
  <Company>Ministério Público do Estado de Minas Gerais - MPMG</Company>
  <LinksUpToDate>false</LinksUpToDate>
  <CharactersWithSpaces>210145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Amarilis Assis Simao Curcio</dc:creator>
  <dc:description/>
  <cp:lastModifiedBy>Amarílis Assis Simão Curcio</cp:lastModifiedBy>
  <cp:revision>7</cp:revision>
  <dcterms:created xsi:type="dcterms:W3CDTF">2024-09-12T14:19:00Z</dcterms:created>
  <dcterms:modified xsi:type="dcterms:W3CDTF">2024-09-12T14:28:00Z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Ministério Público do Estado de Minas Gerais - MPMG</vt:lpwstr>
  </property>
  <property fmtid="{D5CDD505-2E9C-101B-9397-08002B2CF9AE}" pid="4" name="ContentTypeId">
    <vt:lpwstr>0x0101005766810F3571A045AFE15E5668B16395</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MediaServiceImageTags">
    <vt:lpwstr/>
  </property>
  <property fmtid="{D5CDD505-2E9C-101B-9397-08002B2CF9AE}" pid="9" name="ScaleCrop">
    <vt:bool>false</vt:bool>
  </property>
  <property fmtid="{D5CDD505-2E9C-101B-9397-08002B2CF9AE}" pid="10" name="ShareDoc">
    <vt:bool>false</vt:bool>
  </property>
</Properties>
</file>