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9C1F028">
      <w:pPr>
        <w:pStyle w:val="4"/>
        <w:jc w:val="center"/>
        <w:rPr>
          <w:rFonts w:hint="default"/>
          <w:b/>
          <w:bCs/>
          <w:sz w:val="24"/>
          <w:szCs w:val="24"/>
          <w:lang w:eastAsia="pt-BR" w:val="en-US"/>
        </w:rPr>
      </w:pPr>
      <w:r>
        <w:rPr>
          <w:rFonts w:ascii="Calibri" w:cs="Calibri" w:hAnsi="Calibri" w:hint="default"/>
          <w:b/>
          <w:bCs/>
          <w:sz w:val="24"/>
          <w:szCs w:val="24"/>
          <w:lang w:bidi="ar-SA" w:eastAsia="pt-BR" w:val="pt-BR"/>
        </w:rPr>
        <w:t xml:space="preserve">Aviso </w:t>
      </w:r>
      <w:r>
        <w:rPr>
          <w:rFonts w:ascii="Calibri" w:cs="Calibri" w:hAnsi="Calibri" w:hint="default"/>
          <w:b/>
          <w:bCs/>
          <w:sz w:val="24"/>
          <w:szCs w:val="24"/>
          <w:lang w:bidi="ar-SA" w:eastAsia="pt-BR" w:val="en-US"/>
        </w:rPr>
        <w:t xml:space="preserve">d</w:t>
      </w:r>
      <w:r>
        <w:rPr>
          <w:rFonts w:ascii="Calibri" w:cs="Calibri" w:hAnsi="Calibri" w:hint="default"/>
          <w:b/>
          <w:bCs/>
          <w:sz w:val="24"/>
          <w:szCs w:val="24"/>
          <w:lang w:bidi="ar-SA" w:eastAsia="pt-BR" w:val="pt-BR"/>
        </w:rPr>
        <w:t xml:space="preserve">e </w:t>
      </w:r>
      <w:r>
        <w:rPr>
          <w:rFonts w:hint="default"/>
          <w:b/>
          <w:bCs/>
          <w:sz w:val="24"/>
          <w:szCs w:val="24"/>
          <w:lang w:eastAsia="pt-BR" w:val="en-US"/>
        </w:rPr>
        <w:t xml:space="preserve">Dispensa</w:t>
      </w:r>
    </w:p>
    <w:p w14:paraId="253EAEB9">
      <w:pPr>
        <w:pStyle w:val="4"/>
        <w:jc w:val="center"/>
        <w:rPr>
          <w:rFonts w:hint="default"/>
          <w:b/>
          <w:bCs/>
          <w:sz w:val="24"/>
          <w:szCs w:val="24"/>
          <w:lang w:eastAsia="pt-BR" w:val="en-US"/>
        </w:rPr>
      </w:pPr>
    </w:p>
    <w:p w14:paraId="757A6F3C">
      <w:pPr>
        <w:pStyle w:val="4"/>
        <w:jc w:val="both"/>
        <w:rPr>
          <w:rFonts w:ascii="Calibri" w:cs="Calibri" w:hAnsi="Calibri" w:hint="default"/>
          <w:b/>
          <w:bCs/>
        </w:rPr>
      </w:pPr>
    </w:p>
    <w:p w14:paraId="23064DD3">
      <w:pPr>
        <w:pStyle w:val="4"/>
        <w:jc w:val="both"/>
        <w:rPr>
          <w:rFonts w:ascii="Calibri" w:cs="Calibri" w:hAnsi="Calibri" w:hint="default"/>
          <w:b/>
          <w:bCs/>
          <w:lang w:val="pt-BR"/>
        </w:rPr>
      </w:pPr>
      <w:r>
        <w:rPr>
          <w:rFonts w:ascii="Calibri" w:cs="Calibri" w:hAnsi="Calibri" w:hint="default"/>
          <w:b/>
          <w:bCs/>
        </w:rPr>
        <w:t xml:space="preserve">Processo </w:t>
      </w:r>
      <w:r>
        <w:rPr>
          <w:rFonts w:ascii="Calibri" w:cs="Calibri" w:hAnsi="Calibri" w:hint="default"/>
          <w:b/>
          <w:bCs/>
          <w:lang w:val="pt-BR"/>
        </w:rPr>
        <w:t xml:space="preserve">A</w:t>
      </w:r>
      <w:r>
        <w:rPr>
          <w:rFonts w:ascii="Calibri" w:cs="Calibri" w:hAnsi="Calibri" w:hint="default"/>
          <w:b/>
          <w:bCs/>
        </w:rPr>
        <w:t xml:space="preserve">dministrativo n° </w:t>
      </w:r>
      <w:r>
        <w:rPr>
          <w:rFonts w:ascii="Calibri" w:hAnsi="Calibri" w:hint="default"/>
          <w:b/>
          <w:bCs/>
        </w:rPr>
        <w:t xml:space="preserve">005/2026</w:t>
      </w:r>
    </w:p>
    <w:p w14:paraId="1F259AF8">
      <w:pPr>
        <w:pStyle w:val="4"/>
        <w:jc w:val="both"/>
        <w:rPr>
          <w:rFonts w:cs="Calibri" w:hint="default"/>
          <w:b/>
          <w:bCs/>
          <w:lang w:val="pt-BR"/>
        </w:rPr>
      </w:pPr>
    </w:p>
    <w:p w14:paraId="5D23D525">
      <w:pPr>
        <w:pStyle w:val="4"/>
        <w:jc w:val="both"/>
        <w:rPr>
          <w:rFonts w:ascii="Calibri" w:cs="Calibri" w:hAnsi="Calibri" w:hint="default"/>
          <w:b/>
          <w:bCs/>
        </w:rPr>
      </w:pPr>
      <w:r>
        <w:rPr>
          <w:rFonts w:hint="default"/>
          <w:b/>
          <w:bCs/>
          <w:lang w:val="pt-BR"/>
        </w:rPr>
        <w:t xml:space="preserve">Dispensa</w:t>
      </w:r>
      <w:r>
        <w:rPr>
          <w:rFonts w:ascii="Calibri" w:cs="Calibri" w:hAnsi="Calibri" w:hint="default"/>
          <w:b/>
          <w:bCs/>
        </w:rPr>
        <w:t xml:space="preserve"> Nº </w:t>
      </w:r>
      <w:r>
        <w:rPr>
          <w:rFonts w:ascii="Calibri" w:hAnsi="Calibri" w:hint="default"/>
          <w:b/>
          <w:bCs/>
        </w:rPr>
        <w:t xml:space="preserve">002/2026</w:t>
      </w:r>
    </w:p>
    <w:p w14:paraId="2A35FA50">
      <w:pPr>
        <w:pStyle w:val="4"/>
        <w:jc w:val="both"/>
        <w:rPr>
          <w:rFonts w:ascii="Calibri" w:cs="Calibri" w:hAnsi="Calibri" w:hint="default"/>
          <w:b/>
          <w:bCs/>
        </w:rPr>
      </w:pPr>
    </w:p>
    <w:p w14:paraId="0C7536D6">
      <w:pPr>
        <w:pStyle w:val="4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b/>
          <w:bCs/>
        </w:rPr>
        <w:t xml:space="preserve">Contratante: </w:t>
      </w:r>
      <w:r>
        <w:rPr>
          <w:rFonts w:ascii="Calibri" w:cs="Calibri" w:hAnsi="Calibri" w:hint="default"/>
        </w:rPr>
        <w:t xml:space="preserve">MUNICÍPIO DE MAFRA / </w:t>
      </w:r>
      <w:r>
        <w:rPr>
          <w:rFonts w:ascii="Calibri" w:hAnsi="Calibri" w:hint="default"/>
        </w:rPr>
        <w:t xml:space="preserve">Fundo Municipal de Educação de Mafra</w:t>
      </w:r>
    </w:p>
    <w:p w14:paraId="770EFB25">
      <w:pPr>
        <w:pStyle w:val="4"/>
        <w:jc w:val="both"/>
        <w:rPr>
          <w:rFonts w:ascii="Calibri" w:cs="Calibri" w:hAnsi="Calibri" w:hint="default"/>
        </w:rPr>
      </w:pPr>
    </w:p>
    <w:p w14:paraId="7A74FB36">
      <w:pPr>
        <w:keepNext w:val="false"/>
        <w:keepLines w:val="false"/>
        <w:widowControl/>
        <w:suppressLineNumbers w:val="false"/>
        <w:jc w:val="left"/>
        <w:rPr>
          <w:rFonts w:ascii="Calibri" w:cs="Calibri" w:eastAsia="Calibri" w:hAnsi="Calibri" w:hint="default"/>
          <w:b w:val="false"/>
          <w:bCs w:val="false"/>
          <w:sz w:val="22"/>
          <w:szCs w:val="22"/>
          <w:lang w:bidi="ar-SA" w:eastAsia="zh-CN" w:val="en-US"/>
        </w:rPr>
      </w:pPr>
      <w:r>
        <w:rPr>
          <w:rFonts w:ascii="Calibri" w:cs="Calibri" w:eastAsia="Calibri" w:hAnsi="Calibri" w:hint="default"/>
          <w:b/>
          <w:bCs/>
          <w:color w:val="auto"/>
          <w:kern w:val="0"/>
          <w:sz w:val="22"/>
          <w:szCs w:val="22"/>
          <w:lang w:bidi="ar-SA" w:eastAsia="en-US" w:val="pt-BR"/>
        </w:rPr>
        <w:t xml:space="preserve">Contratada: </w:t>
      </w:r>
      <w:r>
        <w:rPr>
          <w:rFonts w:ascii="Calibri" w:cs="Calibri" w:eastAsia="Calibri" w:hAnsi="Calibri" w:hint="default"/>
          <w:sz w:val="22"/>
          <w:szCs w:val="22"/>
          <w:lang w:bidi="ar-SA" w:eastAsia="en-US" w:val="pt-BR"/>
        </w:rPr>
        <w:t xml:space="preserve"> </w:t>
      </w:r>
      <w:r>
        <w:rPr>
          <w:rFonts w:ascii="Calibri" w:cs="Calibri" w:eastAsia="Calibri" w:hAnsi="Calibri" w:hint="default"/>
          <w:b/>
          <w:bCs/>
          <w:color w:val="auto"/>
          <w:kern w:val="0"/>
          <w:sz w:val="22"/>
          <w:szCs w:val="22"/>
          <w:lang w:bidi="ar-SA" w:eastAsia="en-US" w:val="pt-BR"/>
        </w:rPr>
        <w:t xml:space="preserve">SERVIÇO NACIONAL DE APRENDIZAGEM COMERCIAL - SENAC (03.603.739/0001-86)</w:t>
      </w:r>
    </w:p>
    <w:p w14:paraId="28E207E4">
      <w:pPr>
        <w:widowControl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  <w:r>
        <w:rPr>
          <w:rFonts w:ascii="Calibri" w:cs="Calibri" w:hAnsi="Calibri" w:hint="default"/>
          <w:b/>
          <w:bCs/>
        </w:rPr>
        <w:t xml:space="preserve">Objeto:</w:t>
      </w:r>
      <w:r>
        <w:rPr>
          <w:rFonts w:ascii="Calibri" w:cs="Calibri" w:hAnsi="Calibri" w:hint="default"/>
        </w:rPr>
        <w:t xml:space="preserve"> </w:t>
      </w:r>
      <w:r>
        <w:rPr>
          <w:rFonts w:ascii="Calibri" w:hAnsi="Calibri" w:hint="default"/>
        </w:rPr>
        <w:t xml:space="preserve">Contratação de empresa especializada na prestação de serviços de capacitação dos profissionais do magistério, em atendimento à Lei Municipal nº 3.795, de 04 de abril de 2012.</w:t>
      </w:r>
      <w:r>
        <w:rPr>
          <w:rFonts w:cs="Calibri" w:hint="default"/>
          <w:lang w:val="pt-BR"/>
        </w:rPr>
        <w:t xml:space="preserve">.</w:t>
      </w:r>
    </w:p>
    <w:p w14:paraId="56D744B7">
      <w:pPr>
        <w:pStyle w:val="4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b/>
          <w:bCs/>
        </w:rPr>
        <w:t xml:space="preserve">Fundamento Legal: </w:t>
      </w:r>
      <w:r>
        <w:rPr>
          <w:rFonts w:ascii="Calibri" w:hAnsi="Calibri" w:hint="default"/>
          <w:b w:val="false"/>
          <w:bCs w:val="false"/>
        </w:rPr>
        <w:t xml:space="preserve">Art. 75, XV</w:t>
      </w:r>
      <w:r>
        <w:rPr>
          <w:rFonts w:cs="Calibri" w:hint="default"/>
          <w:lang w:val="pt-BR"/>
        </w:rPr>
        <w:t xml:space="preserve"> </w:t>
      </w: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 xml:space="preserve">da Lei 14.133/2021 </w:t>
      </w:r>
      <w:r>
        <w:rPr>
          <w:rFonts w:hint="default"/>
          <w:lang w:val="pt-BR"/>
        </w:rPr>
        <w:t xml:space="preserve">e no art. 2º do Decreto Municipal 5407/24.</w:t>
      </w:r>
    </w:p>
    <w:p w14:paraId="655286C7">
      <w:pPr>
        <w:pStyle w:val="4"/>
        <w:jc w:val="both"/>
        <w:rPr>
          <w:rFonts w:ascii="Calibri" w:cs="Calibri" w:hAnsi="Calibri" w:hint="default"/>
          <w:lang w:val="pt-BR"/>
        </w:rPr>
      </w:pPr>
    </w:p>
    <w:p w14:paraId="516D9139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zh-CN" w:val="pt-BR"/>
        </w:rPr>
      </w:pPr>
      <w:r>
        <w:rPr>
          <w:rFonts w:ascii="Calibri" w:cs="Calibri" w:hAnsi="Calibri" w:hint="default"/>
          <w:b/>
          <w:bCs/>
        </w:rPr>
        <w:t xml:space="preserve">Justificativa:</w:t>
      </w:r>
      <w:r>
        <w:rPr>
          <w:rFonts w:ascii="Calibri" w:cs="Calibri" w:hAnsi="Calibri" w:hint="default"/>
          <w:b/>
          <w:bCs/>
          <w:lang w:val="pt-BR"/>
        </w:rPr>
        <w:t xml:space="preserve"> </w:t>
      </w:r>
      <w:r>
        <w:rPr>
          <w:rFonts w:ascii="Calibri" w:hAnsi="Calibri" w:hint="default"/>
          <w:b w:val="false"/>
          <w:bCs w:val="false"/>
          <w:lang w:val="pt-BR"/>
        </w:rPr>
        <w:t xml:space="preserve">A necessidade de contratação de solução educacional visando ministrar curso de treinamento e capacitação profissional e aperfeiçoamento de pessoal dos professores da rede municipal de ensino, da Educação Infantil e do Ensino Fundamental do município de Mafra/SC é justificada por uma série de benefícios. Em primeiro lugar, essa iniciativa demonstra um compromisso claro com a valorização e o desenvolvimento contínuo dos profissionais da educação, refletindo positivamente na qualidade do ensino oferecido. A expertise da empresa especializada contribui para a implementação de práticas pedagógicas inovadoras e alinhadas às diretrizes educacionais mais recentes. Além disso, ao investir na capacitação dos professores, a administração pública está potencializando o aprimoramento do desempenho acadêmico dos alunos, promovendo um impacto positivo a longo prazo na qualidade da educação municipal e, consequentemente, no desenvolvimento do próprio município. Assim, dentre as possibilidades de licitação dispensável previstas no art. 75 da Lei 14.133/21, o inciso XV dispõe sobre a contratação de instituição brasileira que tenha por finalidade estatutária apoiar, captar e executar atividades de ensino, pesquisa, extensão, desenvolvimento institucional, científico e tecnológico e estímulo à inovação, inclusive para gerir administrativa e financeiramente essas atividades, ou para contratação de instituição dedicada à recuperação social da pessoa presa, desde que o contratado tenha inquestionável reputação ética e profissional e não tenha fins lucrativos. Nessa toada, o Tribunal de Contas da União – TCU – orienta que haja conexão entre a natureza da instituição e o objeto contratado, além da compatibilidade dos preços praticados pelo mercado. A par disso, constata-se que o Serviço Nacional de Aprendizagem Comercial – SENAC (03.603.739/0001-86) possui reconhecimento inquestionável em cursos profissionalizantes tanto a nível regional, estadual, como nacional. A entidade selecionada – SENAC – goza de reputação ético-profissional e conta com experiência de mais de 70 anos no mercado, além da sua reconhecida credibilidade em atender diferentes órgãos estatais e organizações que fazem a gestão pública. Desse modo, a escolha do SENAC para contratação com base na dispensa de licitação leva em consideração a sua natureza especializada. Trata-se de uma instituição que integra o Sistema S, sendo amplamente reconhecida como referência no estímulo e aperfeiçoamento de políticas de gestão pública. A instituição possui vasta experiência na aplicação de cursos de capacitação, além de expertise e conhecimento específico em cursos de treinamento e capacitação profissional e aperfeiçoamento de pessoal, em todos os níveis de educação. A expertise reconhecida do SENAC na área educacional, com vasta experiência na oferta de cursos e treinamentos, confere um respaldo significativo à qualidade das capacitações propostas. Desta feita, a contratação direta com o SENAC é justificável pela sua notória especialização e singularidade, pois não há concorrência real que possa oferecer serviços equivalentes com a mesma qualidade e eficiência. Ademais, a proposta de capacitação oferecida pela empresa está plenamente alinhada aos objetivos da Secretaria de Educação do município, fundamentada em diversos aspectos que ressaltam a compatibilidade entre as propostas educacionais da instituição e as necessidades da rede escolar local. Assim, a reputação da instituição, consolidada ao longo dos anos, sugere um compromisso com a excelência pedagógica, um atributo crucial para atender às demandas específicas de aprimoramento do corpo docente municipal.</w:t>
      </w:r>
      <w:r>
        <w:rPr>
          <w:rFonts w:ascii="Calibri" w:cs="Calibri" w:hAnsi="Calibri" w:hint="default"/>
          <w:b/>
          <w:bCs/>
        </w:rPr>
        <w:t xml:space="preserve"> </w:t>
      </w:r>
      <w:r>
        <w:rPr>
          <w:rFonts w:ascii="Calibri" w:cs="Calibri" w:hAnsi="Calibri" w:hint="default"/>
        </w:rPr>
        <w:t xml:space="preserve">.</w:t>
      </w:r>
    </w:p>
    <w:p w14:paraId="5E942418">
      <w:pPr>
        <w:pStyle w:val="4"/>
        <w:jc w:val="both"/>
        <w:rPr>
          <w:rFonts w:ascii="Calibri" w:cs="Calibri" w:hAnsi="Calibri" w:hint="default"/>
        </w:rPr>
      </w:pPr>
    </w:p>
    <w:p w14:paraId="649FB954">
      <w:pPr>
        <w:pStyle w:val="4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b/>
          <w:bCs/>
        </w:rPr>
        <w:t xml:space="preserve">Valor Total: 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R$ 108.182,60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 (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cento e oito mil e cento e oitenta e dois reais e sessenta centavos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)</w:t>
      </w: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 xml:space="preserve"> </w:t>
      </w:r>
    </w:p>
    <w:p w14:paraId="513429E8">
      <w:pPr>
        <w:pStyle w:val="4"/>
        <w:jc w:val="both"/>
        <w:rPr>
          <w:rFonts w:ascii="Calibri" w:cs="Calibri" w:hAnsi="Calibri" w:hint="default"/>
        </w:rPr>
      </w:pPr>
    </w:p>
    <w:p w14:paraId="3F26C3BF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  <w:r>
        <w:rPr>
          <w:rFonts w:ascii="Calibri" w:cs="Calibri" w:hAnsi="Calibri" w:hint="default"/>
          <w:b/>
          <w:bCs/>
        </w:rPr>
        <w:t>Despacho Final:</w:t>
      </w:r>
      <w:r>
        <w:rPr>
          <w:rFonts w:ascii="Calibri" w:cs="Calibri" w:hAnsi="Calibri" w:hint="default"/>
        </w:rPr>
        <w:t xml:space="preserve"> </w:t>
      </w: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>De acordo com as justificativas e fundamentações apresentadas no referido processo, RATIFICO e AUTORIZO a realização da Dispensa de Licitação, em conformidade com o Art. 75, II da Lei 14.133/2021 e no art. 2º do Decreto Municipal 5407/2024.</w:t>
      </w:r>
    </w:p>
    <w:p w14:paraId="79EF0677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</w:p>
    <w:p w14:paraId="1D8BE47C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</w:p>
    <w:p w14:paraId="018BAC79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</w:p>
    <w:p w14:paraId="16FC8524">
      <w:pPr>
        <w:pStyle w:val="4"/>
        <w:widowControl/>
        <w:suppressAutoHyphens/>
        <w:bidi w:val="false"/>
        <w:jc w:val="right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 xml:space="preserve">Mafra/SC, 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29 de janeiro de 2026</w:t>
      </w: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 xml:space="preserve"> .</w:t>
      </w:r>
    </w:p>
    <w:p w14:paraId="22A62022">
      <w:pPr>
        <w:pStyle w:val="4"/>
        <w:jc w:val="both"/>
        <w:rPr>
          <w:rFonts w:ascii="Calibri" w:cs="Calibri" w:hAnsi="Calibri" w:hint="default"/>
        </w:rPr>
      </w:pPr>
    </w:p>
    <w:p w14:paraId="3BAD6E37">
      <w:pPr>
        <w:pStyle w:val="4"/>
        <w:jc w:val="both"/>
        <w:rPr>
          <w:rFonts w:ascii="Calibri" w:cs="Calibri" w:hAnsi="Calibri" w:hint="default"/>
        </w:rPr>
      </w:pPr>
    </w:p>
    <w:p w14:paraId="77F5574A">
      <w:pPr>
        <w:pStyle w:val="4"/>
        <w:jc w:val="both"/>
        <w:rPr>
          <w:rFonts w:ascii="Calibri" w:cs="Calibri" w:hAnsi="Calibri" w:hint="default"/>
        </w:rPr>
      </w:pPr>
    </w:p>
    <w:p w14:paraId="73E3284E">
      <w:pPr>
        <w:pStyle w:val="4"/>
        <w:jc w:val="both"/>
        <w:rPr>
          <w:rFonts w:ascii="Calibri" w:cs="Calibri" w:hAnsi="Calibri" w:hint="default"/>
          <w:sz w:val="22"/>
          <w:szCs w:val="22"/>
        </w:rPr>
      </w:pPr>
    </w:p>
    <w:p w14:paraId="61E40379">
      <w:pPr>
        <w:pStyle w:val="4"/>
        <w:jc w:val="center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</w:rPr>
        <w:t>EMERSON MAAS</w:t>
      </w:r>
    </w:p>
    <w:p w14:paraId="0706C978">
      <w:pPr>
        <w:pStyle w:val="4"/>
        <w:jc w:val="center"/>
        <w:rPr>
          <w:rFonts w:hint="default"/>
          <w:lang w:val="pt-BR"/>
        </w:rPr>
      </w:pPr>
      <w:r>
        <w:rPr>
          <w:rFonts w:ascii="Calibri" w:cs="Calibri" w:hAnsi="Calibri" w:hint="default"/>
        </w:rPr>
        <w:t>PREFEITO MUNICIPAL</w:t>
      </w:r>
    </w:p>
    <w:p w14:paraId="2ECBE08B"/>
    <w:sectPr>
      <w:headerReference r:id="rId5" w:type="default"/>
      <w:pgSz w:h="16838" w:w="11906"/>
      <w:pgMar w:bottom="1134" w:footer="720" w:gutter="0" w:header="720" w:left="1701" w:right="1134" w:top="1701"/>
      <w:cols w:num="1" w:space="720"/>
      <w:docGrid w:charSpace="0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5D267869">
    <w:pPr>
      <w:pStyle w:val="5"/>
      <w:rPr>
        <w:rFonts w:hint="default"/>
        <w:lang w:val="pt-BR"/>
      </w:rPr>
    </w:pPr>
    <w:r>
      <w:rPr>
        <w:rFonts w:hint="default"/>
        <w:lang w:val="pt-BR"/>
      </w:rPr>
      <w:drawing>
        <wp:inline distT="0" distB="0" distL="114300" distR="114300">
          <wp:extent cx="5263515" cy="1000760"/>
          <wp:effectExtent l="0" t="0" r="0" b="0"/>
          <wp:docPr id="1" name="Imagem 1" descr="cabeçalho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" descr="cabeçalho"/>
                  <pic:cNvPicPr>
                    <a:picLocks noChangeAspect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63515" cy="1000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3CBA779E"/>
    <w:rsid w:val="434F2F9A"/>
    <w:rsid w:val="47FC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before="0" w:after="0" w:line="240" w:lineRule="auto"/>
    </w:p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7"/>
    <Relationship Target="theme/theme1.xml" Type="http://schemas.openxmlformats.org/officeDocument/2006/relationships/theme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0</Words>
  <Characters>0</Characters>
  <Lines>1</Lines>
  <Paragraphs>1</Paragraphs>
  <TotalTime>7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fernanda.minski</dc:creator>
  <cp:lastModifiedBy>fernanda.minski</cp:lastModifiedBy>
  <dcterms:modified xsi:type="dcterms:W3CDTF">2025-08-28T19:16:03Z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785AC469959D4A2086651480D45F83AE_12</vt:lpwstr>
  </property>
</Properties>
</file>