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para fornecimento de serviço de acesso à internet banda larga, com link dedicado e/ou corporativo via fibra óptica, incluindo suporte técnico presencial e remoto, manutenção preventiva e corretiva, disponibilização de endereços IP válidos (IP fixo), equipamento de borda em comodato e garantia de disponibilidade, para atendimento das demandas da Secretaria Municipal de Educação, Cultura e Esporte de Mafra.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181/2026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055/2026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R$ 141.124,80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cento e quarenta e um mil e cento e vinte e quatro reais e oitenta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