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C31DC" w14:textId="77777777" w:rsidR="00397A8F" w:rsidRDefault="00397A8F">
      <w:pPr>
        <w:spacing w:line="276" w:lineRule="auto"/>
        <w:jc w:val="center"/>
        <w:rPr>
          <w:rFonts w:cs="Arial"/>
          <w:b/>
          <w:bCs/>
          <w:color w:val="000000" w:themeColor="text1"/>
          <w:szCs w:val="20"/>
        </w:rPr>
      </w:pPr>
    </w:p>
    <w:p w14:paraId="487170E8" w14:textId="77777777" w:rsidR="00397A8F" w:rsidRDefault="00397A8F">
      <w:pPr>
        <w:spacing w:line="276" w:lineRule="auto"/>
        <w:rPr>
          <w:rFonts w:ascii="Bookman Old Style" w:hAnsi="Bookman Old Style" w:cs="Arial"/>
          <w:b/>
          <w:bCs/>
          <w:color w:val="000000" w:themeColor="text1"/>
          <w:sz w:val="18"/>
          <w:szCs w:val="18"/>
        </w:rPr>
      </w:pPr>
    </w:p>
    <w:p w14:paraId="43053FA9" w14:textId="77777777" w:rsidR="00397A8F" w:rsidRPr="00AF0640" w:rsidRDefault="00625E41">
      <w:pPr>
        <w:shd w:val="clear" w:color="auto" w:fill="D9D9D9" w:themeFill="background1" w:themeFillShade="D9"/>
        <w:spacing w:line="276" w:lineRule="auto"/>
        <w:jc w:val="center"/>
        <w:rPr>
          <w:rFonts w:ascii="Bookman Old Style" w:hAnsi="Bookman Old Style" w:cs="Arial"/>
          <w:b/>
          <w:bCs/>
          <w:sz w:val="18"/>
          <w:szCs w:val="18"/>
        </w:rPr>
      </w:pPr>
      <w:r>
        <w:rPr>
          <w:rFonts w:ascii="Bookman Old Style" w:hAnsi="Bookman Old Style" w:cs="Arial"/>
          <w:b/>
          <w:bCs/>
          <w:color w:val="000000" w:themeColor="text1"/>
          <w:sz w:val="18"/>
          <w:szCs w:val="18"/>
        </w:rPr>
        <w:t xml:space="preserve">AVISO DE </w:t>
      </w:r>
      <w:r w:rsidRPr="00AF0640">
        <w:rPr>
          <w:rFonts w:ascii="Bookman Old Style" w:hAnsi="Bookman Old Style" w:cs="Arial"/>
          <w:b/>
          <w:bCs/>
          <w:sz w:val="18"/>
          <w:szCs w:val="18"/>
        </w:rPr>
        <w:t>DISPENSA ELETRÔNICA Nº 01/2025</w:t>
      </w:r>
    </w:p>
    <w:p w14:paraId="3B6805E5" w14:textId="68FA5EF1" w:rsidR="00397A8F" w:rsidRPr="00AF0640" w:rsidRDefault="00625E41">
      <w:pPr>
        <w:shd w:val="clear" w:color="auto" w:fill="D9D9D9" w:themeFill="background1" w:themeFillShade="D9"/>
        <w:spacing w:after="120" w:line="276" w:lineRule="auto"/>
        <w:ind w:right="-15"/>
        <w:jc w:val="center"/>
        <w:rPr>
          <w:rFonts w:ascii="Bookman Old Style" w:hAnsi="Bookman Old Style" w:cs="Arial"/>
          <w:b/>
          <w:bCs/>
          <w:sz w:val="18"/>
          <w:szCs w:val="18"/>
        </w:rPr>
      </w:pPr>
      <w:r w:rsidRPr="00AF0640">
        <w:rPr>
          <w:rFonts w:ascii="Bookman Old Style" w:hAnsi="Bookman Old Style" w:cs="Arial"/>
          <w:b/>
          <w:bCs/>
          <w:sz w:val="18"/>
          <w:szCs w:val="18"/>
        </w:rPr>
        <w:t>PROCESSO ADMINISTRATIVO N° 0</w:t>
      </w:r>
      <w:r w:rsidR="00AF0640" w:rsidRPr="00AF0640">
        <w:rPr>
          <w:rFonts w:ascii="Bookman Old Style" w:hAnsi="Bookman Old Style" w:cs="Arial"/>
          <w:b/>
          <w:bCs/>
          <w:sz w:val="18"/>
          <w:szCs w:val="18"/>
        </w:rPr>
        <w:t>2</w:t>
      </w:r>
      <w:r w:rsidRPr="00AF0640">
        <w:rPr>
          <w:rFonts w:ascii="Bookman Old Style" w:hAnsi="Bookman Old Style" w:cs="Arial"/>
          <w:b/>
          <w:bCs/>
          <w:sz w:val="18"/>
          <w:szCs w:val="18"/>
        </w:rPr>
        <w:t>/2025</w:t>
      </w:r>
    </w:p>
    <w:p w14:paraId="20B6F151" w14:textId="77777777" w:rsidR="00397A8F" w:rsidRDefault="00397A8F">
      <w:pPr>
        <w:rPr>
          <w:rFonts w:ascii="Bookman Old Style" w:hAnsi="Bookman Old Style" w:cs="Arial"/>
          <w:sz w:val="18"/>
          <w:szCs w:val="18"/>
        </w:rPr>
      </w:pPr>
    </w:p>
    <w:p w14:paraId="25548313" w14:textId="77777777" w:rsidR="00397A8F" w:rsidRDefault="00AF4124">
      <w:pPr>
        <w:snapToGrid w:val="0"/>
        <w:spacing w:after="120" w:line="276" w:lineRule="auto"/>
        <w:ind w:right="-30" w:firstLine="540"/>
        <w:jc w:val="both"/>
        <w:rPr>
          <w:rFonts w:ascii="Bookman Old Style" w:hAnsi="Bookman Old Style" w:cs="Arial"/>
          <w:color w:val="000000" w:themeColor="text1"/>
          <w:sz w:val="18"/>
          <w:szCs w:val="18"/>
        </w:rPr>
      </w:pPr>
      <w:r w:rsidRPr="00AF4124">
        <w:rPr>
          <w:rFonts w:ascii="Bookman Old Style" w:hAnsi="Bookman Old Style" w:cs="Arial"/>
          <w:color w:val="000000" w:themeColor="text1"/>
          <w:sz w:val="18"/>
          <w:szCs w:val="18"/>
        </w:rPr>
        <w:t xml:space="preserve">A </w:t>
      </w:r>
      <w:r w:rsidRPr="00AF4124">
        <w:rPr>
          <w:rFonts w:ascii="Bookman Old Style" w:hAnsi="Bookman Old Style" w:cs="Arial"/>
          <w:b/>
          <w:color w:val="000000" w:themeColor="text1"/>
          <w:sz w:val="18"/>
          <w:szCs w:val="18"/>
        </w:rPr>
        <w:t>CÂMARA MUNICIPAL DE PITANGUI</w:t>
      </w:r>
      <w:r w:rsidRPr="00AF4124">
        <w:rPr>
          <w:rFonts w:ascii="Bookman Old Style" w:hAnsi="Bookman Old Style" w:cs="Arial"/>
          <w:color w:val="000000" w:themeColor="text1"/>
          <w:sz w:val="18"/>
          <w:szCs w:val="18"/>
        </w:rPr>
        <w:t>, com endereço Praça Dr. Antônio Fiúza, n.º 164, São Francisco, Pitangui/MG, CEP 35.650-000, Estado de Minas Gerais, inscrita no CNPJ sob o nº 23.770.993/0001-86</w:t>
      </w:r>
      <w:r w:rsidR="00625E41">
        <w:rPr>
          <w:rFonts w:ascii="Bookman Old Style" w:hAnsi="Bookman Old Style" w:cs="Arial"/>
          <w:color w:val="000000" w:themeColor="text1"/>
          <w:sz w:val="18"/>
          <w:szCs w:val="18"/>
        </w:rPr>
        <w:t xml:space="preserve">, torna pública que realizará Dispensa Eletrônica, </w:t>
      </w:r>
      <w:r w:rsidR="00625E41">
        <w:rPr>
          <w:rFonts w:ascii="Bookman Old Style" w:hAnsi="Bookman Old Style" w:cs="Arial"/>
          <w:bCs/>
          <w:color w:val="000000" w:themeColor="text1"/>
          <w:sz w:val="18"/>
          <w:szCs w:val="18"/>
        </w:rPr>
        <w:t>com critério de julgamento</w:t>
      </w:r>
      <w:r w:rsidR="00625E41">
        <w:rPr>
          <w:rFonts w:ascii="Bookman Old Style" w:hAnsi="Bookman Old Style" w:cs="Arial"/>
          <w:b/>
          <w:bCs/>
          <w:color w:val="000000" w:themeColor="text1"/>
          <w:sz w:val="18"/>
          <w:szCs w:val="18"/>
        </w:rPr>
        <w:t xml:space="preserve"> </w:t>
      </w:r>
      <w:r w:rsidR="00625E41">
        <w:rPr>
          <w:rFonts w:ascii="Bookman Old Style" w:hAnsi="Bookman Old Style" w:cs="Arial"/>
          <w:b/>
          <w:bCs/>
          <w:iCs/>
          <w:sz w:val="18"/>
          <w:szCs w:val="18"/>
        </w:rPr>
        <w:t>menor preço,</w:t>
      </w:r>
      <w:r w:rsidR="00625E41">
        <w:rPr>
          <w:rFonts w:ascii="Bookman Old Style" w:hAnsi="Bookman Old Style" w:cs="Arial"/>
          <w:b/>
          <w:bCs/>
          <w:i/>
          <w:sz w:val="18"/>
          <w:szCs w:val="18"/>
        </w:rPr>
        <w:t xml:space="preserve"> </w:t>
      </w:r>
      <w:r w:rsidR="00625E41">
        <w:rPr>
          <w:rFonts w:ascii="Bookman Old Style" w:hAnsi="Bookman Old Style" w:cs="Arial"/>
          <w:color w:val="000000" w:themeColor="text1"/>
          <w:sz w:val="18"/>
          <w:szCs w:val="18"/>
        </w:rPr>
        <w:t>na hipótese do art. 75</w:t>
      </w:r>
      <w:r w:rsidR="00625E41">
        <w:rPr>
          <w:rFonts w:ascii="Bookman Old Style" w:hAnsi="Bookman Old Style" w:cs="Arial"/>
          <w:i/>
          <w:iCs/>
          <w:color w:val="000000" w:themeColor="text1"/>
          <w:sz w:val="18"/>
          <w:szCs w:val="18"/>
        </w:rPr>
        <w:t>,</w:t>
      </w:r>
      <w:r w:rsidR="00625E41">
        <w:rPr>
          <w:rFonts w:ascii="Bookman Old Style" w:hAnsi="Bookman Old Style" w:cs="Arial"/>
          <w:b/>
          <w:i/>
          <w:iCs/>
          <w:color w:val="FF0000"/>
          <w:sz w:val="18"/>
          <w:szCs w:val="18"/>
        </w:rPr>
        <w:t xml:space="preserve"> </w:t>
      </w:r>
      <w:r w:rsidR="00625E41">
        <w:rPr>
          <w:rFonts w:ascii="Bookman Old Style" w:hAnsi="Bookman Old Style" w:cs="Arial"/>
          <w:bCs/>
          <w:sz w:val="18"/>
          <w:szCs w:val="18"/>
        </w:rPr>
        <w:t>II,</w:t>
      </w:r>
      <w:r w:rsidR="00625E41">
        <w:rPr>
          <w:rFonts w:ascii="Bookman Old Style" w:hAnsi="Bookman Old Style" w:cs="Arial"/>
          <w:sz w:val="18"/>
          <w:szCs w:val="18"/>
        </w:rPr>
        <w:t xml:space="preserve"> </w:t>
      </w:r>
      <w:r w:rsidR="00625E41">
        <w:rPr>
          <w:rFonts w:ascii="Bookman Old Style" w:hAnsi="Bookman Old Style" w:cs="Arial"/>
          <w:bCs/>
          <w:sz w:val="18"/>
          <w:szCs w:val="18"/>
        </w:rPr>
        <w:t>nos termos da Lei nº 14.133, de 1º de abril de 2021, e demais legislação aplicável</w:t>
      </w:r>
      <w:r w:rsidR="00625E41">
        <w:rPr>
          <w:rFonts w:ascii="Bookman Old Style" w:hAnsi="Bookman Old Style" w:cs="Arial"/>
          <w:color w:val="000000"/>
          <w:sz w:val="18"/>
          <w:szCs w:val="18"/>
        </w:rPr>
        <w:t>.</w:t>
      </w:r>
    </w:p>
    <w:p w14:paraId="363530CB" w14:textId="77777777" w:rsidR="00397A8F" w:rsidRDefault="00397A8F">
      <w:pPr>
        <w:spacing w:line="276" w:lineRule="auto"/>
        <w:jc w:val="both"/>
        <w:rPr>
          <w:rFonts w:ascii="Bookman Old Style" w:hAnsi="Bookman Old Style" w:cs="Arial"/>
          <w:color w:val="000000" w:themeColor="text1"/>
          <w:sz w:val="18"/>
          <w:szCs w:val="18"/>
        </w:rPr>
      </w:pPr>
    </w:p>
    <w:p w14:paraId="319D9AC3" w14:textId="0AE7E237" w:rsidR="00397A8F" w:rsidRPr="005614F8" w:rsidRDefault="00625E41">
      <w:pPr>
        <w:spacing w:line="276" w:lineRule="auto"/>
        <w:jc w:val="both"/>
        <w:rPr>
          <w:rFonts w:ascii="Bookman Old Style" w:hAnsi="Bookman Old Style" w:cs="Arial"/>
          <w:b/>
          <w:bCs/>
          <w:sz w:val="18"/>
          <w:szCs w:val="18"/>
        </w:rPr>
      </w:pPr>
      <w:r>
        <w:rPr>
          <w:rFonts w:ascii="Bookman Old Style" w:hAnsi="Bookman Old Style" w:cs="Arial"/>
          <w:b/>
          <w:bCs/>
          <w:color w:val="000000" w:themeColor="text1"/>
          <w:sz w:val="18"/>
          <w:szCs w:val="18"/>
        </w:rPr>
        <w:t>DATA DA SESSÃO</w:t>
      </w:r>
      <w:r w:rsidRPr="005614F8">
        <w:rPr>
          <w:rFonts w:ascii="Bookman Old Style" w:hAnsi="Bookman Old Style" w:cs="Arial"/>
          <w:b/>
          <w:bCs/>
          <w:sz w:val="18"/>
          <w:szCs w:val="18"/>
        </w:rPr>
        <w:t>:</w:t>
      </w:r>
      <w:r w:rsidR="00557577">
        <w:rPr>
          <w:rFonts w:ascii="Bookman Old Style" w:hAnsi="Bookman Old Style" w:cs="Arial"/>
          <w:b/>
          <w:bCs/>
          <w:sz w:val="18"/>
          <w:szCs w:val="18"/>
        </w:rPr>
        <w:t xml:space="preserve"> 12/03/2025</w:t>
      </w:r>
    </w:p>
    <w:p w14:paraId="0646FB77" w14:textId="77777777" w:rsidR="00397A8F" w:rsidRDefault="00625E41">
      <w:pPr>
        <w:rPr>
          <w:rFonts w:ascii="Bookman Old Style" w:hAnsi="Bookman Old Style" w:cs="Arial"/>
          <w:color w:val="000000" w:themeColor="text1"/>
          <w:sz w:val="18"/>
          <w:szCs w:val="18"/>
        </w:rPr>
      </w:pPr>
      <w:r>
        <w:rPr>
          <w:rFonts w:ascii="Bookman Old Style" w:hAnsi="Bookman Old Style" w:cs="Arial"/>
          <w:b/>
          <w:bCs/>
          <w:color w:val="000000" w:themeColor="text1"/>
          <w:sz w:val="18"/>
          <w:szCs w:val="18"/>
        </w:rPr>
        <w:t>LINK:</w:t>
      </w:r>
      <w:r>
        <w:rPr>
          <w:rFonts w:ascii="Bookman Old Style" w:hAnsi="Bookman Old Style" w:cs="Arial"/>
          <w:color w:val="000000" w:themeColor="text1"/>
          <w:sz w:val="18"/>
          <w:szCs w:val="18"/>
        </w:rPr>
        <w:t xml:space="preserve"> </w:t>
      </w:r>
      <w:r w:rsidRPr="00AF4124">
        <w:rPr>
          <w:rFonts w:ascii="Bookman Old Style" w:hAnsi="Bookman Old Style" w:cs="Arial"/>
          <w:color w:val="FF0000"/>
          <w:sz w:val="18"/>
          <w:szCs w:val="18"/>
        </w:rPr>
        <w:t>www.licitardigital.com.br</w:t>
      </w:r>
    </w:p>
    <w:p w14:paraId="6C29C8CA" w14:textId="1D9CEF02" w:rsidR="00397A8F" w:rsidRDefault="00625E41">
      <w:pPr>
        <w:rPr>
          <w:rFonts w:ascii="Bookman Old Style" w:hAnsi="Bookman Old Style" w:cs="Arial"/>
          <w:i/>
          <w:color w:val="FF0000"/>
          <w:sz w:val="18"/>
          <w:szCs w:val="18"/>
        </w:rPr>
      </w:pPr>
      <w:r>
        <w:rPr>
          <w:rFonts w:ascii="Bookman Old Style" w:hAnsi="Bookman Old Style" w:cs="Arial"/>
          <w:b/>
          <w:bCs/>
          <w:color w:val="000000" w:themeColor="text1"/>
          <w:sz w:val="18"/>
          <w:szCs w:val="18"/>
        </w:rPr>
        <w:t>HORÁRIO DA FASE DE LANCES:</w:t>
      </w:r>
      <w:r>
        <w:rPr>
          <w:rFonts w:ascii="Bookman Old Style" w:hAnsi="Bookman Old Style" w:cs="Arial"/>
          <w:color w:val="000000" w:themeColor="text1"/>
          <w:sz w:val="18"/>
          <w:szCs w:val="18"/>
        </w:rPr>
        <w:t xml:space="preserve"> </w:t>
      </w:r>
      <w:r w:rsidR="00557577">
        <w:rPr>
          <w:rFonts w:ascii="Bookman Old Style" w:hAnsi="Bookman Old Style" w:cs="Arial"/>
          <w:color w:val="FF0000"/>
          <w:sz w:val="18"/>
          <w:szCs w:val="18"/>
        </w:rPr>
        <w:t>07</w:t>
      </w:r>
      <w:r w:rsidR="00654A2B">
        <w:rPr>
          <w:rFonts w:ascii="Bookman Old Style" w:hAnsi="Bookman Old Style" w:cs="Arial"/>
          <w:color w:val="FF0000"/>
          <w:sz w:val="18"/>
          <w:szCs w:val="18"/>
        </w:rPr>
        <w:t>:30</w:t>
      </w:r>
      <w:r w:rsidRPr="00AF4124">
        <w:rPr>
          <w:rFonts w:ascii="Bookman Old Style" w:hAnsi="Bookman Old Style" w:cs="Arial"/>
          <w:color w:val="FF0000"/>
          <w:sz w:val="18"/>
          <w:szCs w:val="18"/>
        </w:rPr>
        <w:t xml:space="preserve"> às </w:t>
      </w:r>
      <w:r w:rsidR="00557577">
        <w:rPr>
          <w:rFonts w:ascii="Bookman Old Style" w:hAnsi="Bookman Old Style" w:cs="Arial"/>
          <w:color w:val="FF0000"/>
          <w:sz w:val="18"/>
          <w:szCs w:val="18"/>
        </w:rPr>
        <w:t>13</w:t>
      </w:r>
      <w:r w:rsidR="00654A2B">
        <w:rPr>
          <w:rFonts w:ascii="Bookman Old Style" w:hAnsi="Bookman Old Style" w:cs="Arial"/>
          <w:color w:val="FF0000"/>
          <w:sz w:val="18"/>
          <w:szCs w:val="18"/>
        </w:rPr>
        <w:t>:30</w:t>
      </w:r>
    </w:p>
    <w:p w14:paraId="1A08CEF1" w14:textId="77777777" w:rsidR="00397A8F" w:rsidRPr="00AF4124" w:rsidRDefault="00625E41">
      <w:pPr>
        <w:rPr>
          <w:rFonts w:ascii="Bookman Old Style" w:hAnsi="Bookman Old Style" w:cs="Arial"/>
          <w:color w:val="FF0000"/>
          <w:sz w:val="18"/>
          <w:szCs w:val="18"/>
        </w:rPr>
      </w:pPr>
      <w:r>
        <w:rPr>
          <w:rFonts w:ascii="Bookman Old Style" w:hAnsi="Bookman Old Style" w:cs="Arial"/>
          <w:b/>
          <w:bCs/>
          <w:color w:val="000000" w:themeColor="text1"/>
          <w:sz w:val="18"/>
          <w:szCs w:val="18"/>
        </w:rPr>
        <w:t xml:space="preserve">SUPORTE AO FORNECEDOR: </w:t>
      </w:r>
      <w:r w:rsidRPr="00AF4124">
        <w:rPr>
          <w:rFonts w:ascii="Bookman Old Style" w:hAnsi="Bookman Old Style" w:cs="Arial"/>
          <w:color w:val="FF0000"/>
          <w:sz w:val="18"/>
          <w:szCs w:val="18"/>
        </w:rPr>
        <w:t>(31) 3191-0707 - contato@licitardigital.com.br</w:t>
      </w:r>
    </w:p>
    <w:p w14:paraId="5EF7BA35" w14:textId="77777777" w:rsidR="00397A8F" w:rsidRDefault="00397A8F">
      <w:pPr>
        <w:pStyle w:val="PADRO"/>
        <w:keepNext w:val="0"/>
        <w:widowControl/>
        <w:shd w:val="clear" w:color="auto" w:fill="auto"/>
        <w:spacing w:before="120" w:after="120"/>
        <w:ind w:left="360" w:firstLine="0"/>
        <w:rPr>
          <w:rFonts w:ascii="Bookman Old Style" w:hAnsi="Bookman Old Style" w:cs="Arial"/>
          <w:b/>
          <w:sz w:val="18"/>
          <w:szCs w:val="18"/>
        </w:rPr>
      </w:pPr>
    </w:p>
    <w:p w14:paraId="60AF681B" w14:textId="77777777" w:rsidR="00397A8F" w:rsidRDefault="00625E41">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OBJETO DA CONTRATAÇÃO DIRETA</w:t>
      </w:r>
    </w:p>
    <w:p w14:paraId="4439C061" w14:textId="454E195C" w:rsidR="00397A8F" w:rsidRPr="00FF7A5E" w:rsidRDefault="00625E41">
      <w:pPr>
        <w:pStyle w:val="PADRO"/>
        <w:keepNext w:val="0"/>
        <w:widowControl/>
        <w:shd w:val="clear" w:color="auto" w:fill="auto"/>
        <w:spacing w:before="120" w:after="120"/>
        <w:ind w:firstLine="0"/>
        <w:rPr>
          <w:rFonts w:ascii="Book Antiqua" w:hAnsi="Book Antiqua"/>
          <w:b/>
          <w:sz w:val="24"/>
        </w:rPr>
      </w:pPr>
      <w:r>
        <w:rPr>
          <w:rFonts w:ascii="Bookman Old Style" w:hAnsi="Bookman Old Style" w:cs="Arial"/>
          <w:b/>
          <w:sz w:val="18"/>
          <w:szCs w:val="18"/>
        </w:rPr>
        <w:t xml:space="preserve">1.1. </w:t>
      </w:r>
      <w:r>
        <w:rPr>
          <w:rFonts w:ascii="Bookman Old Style" w:hAnsi="Bookman Old Style" w:cs="Arial"/>
          <w:color w:val="000000" w:themeColor="text1"/>
          <w:sz w:val="18"/>
          <w:szCs w:val="18"/>
        </w:rPr>
        <w:t xml:space="preserve">O objeto da </w:t>
      </w:r>
      <w:r w:rsidRPr="00FF7A5E">
        <w:rPr>
          <w:rFonts w:ascii="Bookman Old Style" w:hAnsi="Bookman Old Style" w:cs="Arial"/>
          <w:color w:val="000000" w:themeColor="text1"/>
          <w:sz w:val="18"/>
          <w:szCs w:val="18"/>
        </w:rPr>
        <w:t xml:space="preserve">presente dispensa é a escolha da proposta mais vantajosa </w:t>
      </w:r>
      <w:r w:rsidR="00AF4124" w:rsidRPr="00FF7A5E">
        <w:rPr>
          <w:rFonts w:ascii="Bookman Old Style" w:hAnsi="Bookman Old Style" w:cs="Arial"/>
          <w:color w:val="000000" w:themeColor="text1"/>
          <w:sz w:val="18"/>
          <w:szCs w:val="18"/>
        </w:rPr>
        <w:t xml:space="preserve">para a </w:t>
      </w:r>
      <w:bookmarkStart w:id="0" w:name="_Hlk191462546"/>
      <w:r w:rsidR="00FF7A5E" w:rsidRPr="00FF7A5E">
        <w:rPr>
          <w:rFonts w:ascii="Book Antiqua" w:hAnsi="Book Antiqua"/>
          <w:bCs/>
          <w:sz w:val="18"/>
          <w:szCs w:val="18"/>
        </w:rPr>
        <w:t>contratação de empresa especializada em serviços de radiodifusão para transmissão das reuniões legislativas, com montagem dos equipamentos de transmissão (link) e inclusão na grade de programação</w:t>
      </w:r>
      <w:bookmarkEnd w:id="0"/>
      <w:r w:rsidR="00FF7A5E" w:rsidRPr="00FF7A5E">
        <w:rPr>
          <w:rFonts w:ascii="Bookman Old Style" w:hAnsi="Bookman Old Style" w:cs="Arial"/>
          <w:color w:val="000000" w:themeColor="text1"/>
          <w:sz w:val="18"/>
          <w:szCs w:val="18"/>
        </w:rPr>
        <w:t xml:space="preserve"> para</w:t>
      </w:r>
      <w:r w:rsidR="00AF4124" w:rsidRPr="00FF7A5E">
        <w:rPr>
          <w:rFonts w:ascii="Bookman Old Style" w:hAnsi="Bookman Old Style" w:cs="Arial"/>
          <w:color w:val="000000" w:themeColor="text1"/>
          <w:sz w:val="18"/>
          <w:szCs w:val="18"/>
        </w:rPr>
        <w:t xml:space="preserve"> Câmara Municipal de Pitangui/MG, </w:t>
      </w:r>
      <w:r w:rsidRPr="00FF7A5E">
        <w:rPr>
          <w:rFonts w:ascii="Bookman Old Style" w:hAnsi="Bookman Old Style" w:cs="Arial"/>
          <w:sz w:val="18"/>
          <w:szCs w:val="18"/>
        </w:rPr>
        <w:t>em conformidade com as exigências legais e administrativas</w:t>
      </w:r>
      <w:r w:rsidRPr="00FF7A5E">
        <w:rPr>
          <w:rFonts w:ascii="Bookman Old Style" w:hAnsi="Bookman Old Style" w:cs="Arial"/>
          <w:b/>
          <w:sz w:val="18"/>
          <w:szCs w:val="18"/>
        </w:rPr>
        <w:t>.</w:t>
      </w:r>
    </w:p>
    <w:p w14:paraId="76962AA4" w14:textId="77777777" w:rsidR="00397A8F" w:rsidRDefault="00625E41">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1.1.2.</w:t>
      </w:r>
      <w:r>
        <w:rPr>
          <w:rFonts w:ascii="Bookman Old Style" w:hAnsi="Bookman Old Style" w:cs="Arial"/>
          <w:sz w:val="18"/>
          <w:szCs w:val="18"/>
        </w:rPr>
        <w:t xml:space="preserve"> A contratação será conforme tabela constante abaixo.</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073"/>
        <w:gridCol w:w="1366"/>
        <w:gridCol w:w="1168"/>
        <w:gridCol w:w="1158"/>
      </w:tblGrid>
      <w:tr w:rsidR="00AF4124" w:rsidRPr="00AF4124" w14:paraId="6AFC4E67" w14:textId="77777777" w:rsidTr="003E1961">
        <w:trPr>
          <w:trHeight w:val="722"/>
          <w:jc w:val="center"/>
        </w:trPr>
        <w:tc>
          <w:tcPr>
            <w:tcW w:w="759" w:type="dxa"/>
            <w:shd w:val="clear" w:color="auto" w:fill="D9D9D9" w:themeFill="background1" w:themeFillShade="D9"/>
          </w:tcPr>
          <w:p w14:paraId="79EEDADF" w14:textId="77777777" w:rsidR="00AF4124" w:rsidRPr="00AF4124" w:rsidRDefault="00AF4124" w:rsidP="003E1961">
            <w:pPr>
              <w:jc w:val="both"/>
              <w:rPr>
                <w:rFonts w:ascii="Bookman Old Style" w:hAnsi="Bookman Old Style" w:cs="Arial"/>
                <w:b/>
                <w:sz w:val="18"/>
              </w:rPr>
            </w:pPr>
          </w:p>
          <w:p w14:paraId="5B4FA29C" w14:textId="77777777" w:rsidR="00AF4124" w:rsidRPr="00AF4124" w:rsidRDefault="00AF4124" w:rsidP="003E1961">
            <w:pPr>
              <w:jc w:val="both"/>
              <w:rPr>
                <w:rFonts w:ascii="Bookman Old Style" w:hAnsi="Bookman Old Style" w:cs="Arial"/>
                <w:b/>
                <w:sz w:val="18"/>
              </w:rPr>
            </w:pPr>
            <w:r w:rsidRPr="00AF4124">
              <w:rPr>
                <w:rFonts w:ascii="Bookman Old Style" w:hAnsi="Bookman Old Style" w:cs="Arial"/>
                <w:b/>
                <w:sz w:val="18"/>
              </w:rPr>
              <w:t>ITEM</w:t>
            </w:r>
          </w:p>
        </w:tc>
        <w:tc>
          <w:tcPr>
            <w:tcW w:w="4073" w:type="dxa"/>
            <w:shd w:val="clear" w:color="auto" w:fill="D9D9D9" w:themeFill="background1" w:themeFillShade="D9"/>
          </w:tcPr>
          <w:p w14:paraId="191E0F6B" w14:textId="77777777" w:rsidR="00AF4124" w:rsidRPr="00AF4124" w:rsidRDefault="00AF4124" w:rsidP="003E1961">
            <w:pPr>
              <w:jc w:val="center"/>
              <w:rPr>
                <w:rFonts w:ascii="Bookman Old Style" w:hAnsi="Bookman Old Style" w:cs="Arial"/>
                <w:b/>
                <w:sz w:val="18"/>
              </w:rPr>
            </w:pPr>
          </w:p>
          <w:p w14:paraId="3142400F" w14:textId="77777777" w:rsidR="00AF4124" w:rsidRPr="00AF4124" w:rsidRDefault="00AF4124" w:rsidP="003E1961">
            <w:pPr>
              <w:jc w:val="center"/>
              <w:rPr>
                <w:rFonts w:ascii="Bookman Old Style" w:hAnsi="Bookman Old Style" w:cs="Arial"/>
                <w:b/>
                <w:sz w:val="18"/>
              </w:rPr>
            </w:pPr>
            <w:r w:rsidRPr="00AF4124">
              <w:rPr>
                <w:rFonts w:ascii="Bookman Old Style" w:hAnsi="Bookman Old Style" w:cs="Arial"/>
                <w:b/>
                <w:sz w:val="18"/>
              </w:rPr>
              <w:t>SERVIÇO DE RADIODIFUSÃO</w:t>
            </w:r>
          </w:p>
        </w:tc>
        <w:tc>
          <w:tcPr>
            <w:tcW w:w="1366" w:type="dxa"/>
            <w:shd w:val="clear" w:color="auto" w:fill="D9D9D9" w:themeFill="background1" w:themeFillShade="D9"/>
          </w:tcPr>
          <w:p w14:paraId="55A03E2A" w14:textId="77777777" w:rsidR="00AF4124" w:rsidRPr="00AF4124" w:rsidRDefault="00AF4124" w:rsidP="003E1961">
            <w:pPr>
              <w:jc w:val="center"/>
              <w:rPr>
                <w:rFonts w:ascii="Bookman Old Style" w:hAnsi="Bookman Old Style" w:cs="Arial"/>
                <w:b/>
                <w:sz w:val="18"/>
              </w:rPr>
            </w:pPr>
            <w:r w:rsidRPr="00AF4124">
              <w:rPr>
                <w:rFonts w:ascii="Bookman Old Style" w:hAnsi="Bookman Old Style" w:cs="Arial"/>
                <w:b/>
                <w:sz w:val="18"/>
              </w:rPr>
              <w:t>QUANT. ESTIMADA</w:t>
            </w:r>
          </w:p>
        </w:tc>
        <w:tc>
          <w:tcPr>
            <w:tcW w:w="1168" w:type="dxa"/>
            <w:shd w:val="clear" w:color="auto" w:fill="D9D9D9" w:themeFill="background1" w:themeFillShade="D9"/>
          </w:tcPr>
          <w:p w14:paraId="7F7DAC5E" w14:textId="77777777" w:rsidR="00AF4124" w:rsidRPr="00AF4124" w:rsidRDefault="00AF4124" w:rsidP="003E1961">
            <w:pPr>
              <w:jc w:val="center"/>
              <w:rPr>
                <w:rFonts w:ascii="Bookman Old Style" w:hAnsi="Bookman Old Style" w:cs="Arial"/>
                <w:b/>
                <w:sz w:val="18"/>
              </w:rPr>
            </w:pPr>
            <w:r w:rsidRPr="00AF4124">
              <w:rPr>
                <w:rFonts w:ascii="Bookman Old Style" w:hAnsi="Bookman Old Style" w:cs="Arial"/>
                <w:b/>
                <w:sz w:val="18"/>
              </w:rPr>
              <w:t>VALOR UNITÁRIO R$</w:t>
            </w:r>
          </w:p>
        </w:tc>
        <w:tc>
          <w:tcPr>
            <w:tcW w:w="1158" w:type="dxa"/>
            <w:shd w:val="clear" w:color="auto" w:fill="D9D9D9" w:themeFill="background1" w:themeFillShade="D9"/>
          </w:tcPr>
          <w:p w14:paraId="134A8D8F" w14:textId="77777777" w:rsidR="00AF4124" w:rsidRPr="00AF4124" w:rsidRDefault="00AF4124" w:rsidP="003E1961">
            <w:pPr>
              <w:jc w:val="center"/>
              <w:rPr>
                <w:rFonts w:ascii="Bookman Old Style" w:hAnsi="Bookman Old Style" w:cs="Arial"/>
                <w:b/>
                <w:sz w:val="18"/>
              </w:rPr>
            </w:pPr>
            <w:r w:rsidRPr="00AF4124">
              <w:rPr>
                <w:rFonts w:ascii="Bookman Old Style" w:hAnsi="Bookman Old Style" w:cs="Arial"/>
                <w:b/>
                <w:sz w:val="18"/>
              </w:rPr>
              <w:t xml:space="preserve">VALOR TOTAL </w:t>
            </w:r>
          </w:p>
          <w:p w14:paraId="2E2560B8" w14:textId="77777777" w:rsidR="00AF4124" w:rsidRPr="00AF4124" w:rsidRDefault="00AF4124" w:rsidP="003E1961">
            <w:pPr>
              <w:jc w:val="center"/>
              <w:rPr>
                <w:rFonts w:ascii="Bookman Old Style" w:hAnsi="Bookman Old Style" w:cs="Arial"/>
                <w:b/>
                <w:sz w:val="18"/>
              </w:rPr>
            </w:pPr>
            <w:r w:rsidRPr="00AF4124">
              <w:rPr>
                <w:rFonts w:ascii="Bookman Old Style" w:hAnsi="Bookman Old Style" w:cs="Arial"/>
                <w:b/>
                <w:sz w:val="18"/>
              </w:rPr>
              <w:t>R$</w:t>
            </w:r>
          </w:p>
        </w:tc>
      </w:tr>
      <w:tr w:rsidR="00AF4124" w:rsidRPr="00AF4124" w14:paraId="65154EE5" w14:textId="77777777" w:rsidTr="003E1961">
        <w:trPr>
          <w:trHeight w:val="1234"/>
          <w:jc w:val="center"/>
        </w:trPr>
        <w:tc>
          <w:tcPr>
            <w:tcW w:w="759" w:type="dxa"/>
            <w:shd w:val="clear" w:color="auto" w:fill="auto"/>
          </w:tcPr>
          <w:p w14:paraId="6C58C445" w14:textId="77777777" w:rsidR="00AF4124" w:rsidRPr="00AF4124" w:rsidRDefault="00AF4124" w:rsidP="003E1961">
            <w:pPr>
              <w:jc w:val="both"/>
              <w:rPr>
                <w:rFonts w:ascii="Bookman Old Style" w:hAnsi="Bookman Old Style" w:cs="Arial"/>
                <w:sz w:val="18"/>
              </w:rPr>
            </w:pPr>
            <w:r w:rsidRPr="00AF4124">
              <w:rPr>
                <w:rFonts w:ascii="Bookman Old Style" w:hAnsi="Bookman Old Style" w:cs="Arial"/>
                <w:sz w:val="18"/>
              </w:rPr>
              <w:t>01</w:t>
            </w:r>
          </w:p>
        </w:tc>
        <w:tc>
          <w:tcPr>
            <w:tcW w:w="4073" w:type="dxa"/>
            <w:shd w:val="clear" w:color="auto" w:fill="auto"/>
          </w:tcPr>
          <w:p w14:paraId="246E78D7" w14:textId="6C311C84" w:rsidR="00AF4124" w:rsidRPr="00AF4124" w:rsidRDefault="00AF4124" w:rsidP="003E1961">
            <w:pPr>
              <w:jc w:val="both"/>
              <w:rPr>
                <w:rFonts w:ascii="Bookman Old Style" w:hAnsi="Bookman Old Style" w:cs="Arial"/>
                <w:sz w:val="18"/>
              </w:rPr>
            </w:pPr>
            <w:r w:rsidRPr="00AF4124">
              <w:rPr>
                <w:rFonts w:ascii="Bookman Old Style" w:hAnsi="Bookman Old Style" w:cs="Arial"/>
                <w:sz w:val="18"/>
              </w:rPr>
              <w:t xml:space="preserve">Transmissão de Reunião Ordinária com estimativa </w:t>
            </w:r>
            <w:r w:rsidRPr="00B6552D">
              <w:rPr>
                <w:rFonts w:ascii="Bookman Old Style" w:hAnsi="Bookman Old Style" w:cs="Arial"/>
                <w:sz w:val="18"/>
              </w:rPr>
              <w:t xml:space="preserve">regimental de 3 horas de duração, às terças-feiras, de 20h às 23h, nos períodos de </w:t>
            </w:r>
            <w:r w:rsidR="00B6552D" w:rsidRPr="00B6552D">
              <w:rPr>
                <w:rFonts w:ascii="Bookman Old Style" w:hAnsi="Bookman Old Style" w:cs="Arial"/>
                <w:sz w:val="18"/>
              </w:rPr>
              <w:t>04</w:t>
            </w:r>
            <w:r w:rsidRPr="00B6552D">
              <w:rPr>
                <w:rFonts w:ascii="Bookman Old Style" w:hAnsi="Bookman Old Style" w:cs="Arial"/>
                <w:sz w:val="18"/>
              </w:rPr>
              <w:t>/</w:t>
            </w:r>
            <w:r w:rsidR="00B6552D" w:rsidRPr="00B6552D">
              <w:rPr>
                <w:rFonts w:ascii="Bookman Old Style" w:hAnsi="Bookman Old Style" w:cs="Arial"/>
                <w:sz w:val="18"/>
              </w:rPr>
              <w:t>03</w:t>
            </w:r>
            <w:r w:rsidRPr="00B6552D">
              <w:rPr>
                <w:rFonts w:ascii="Bookman Old Style" w:hAnsi="Bookman Old Style" w:cs="Arial"/>
                <w:sz w:val="18"/>
              </w:rPr>
              <w:t xml:space="preserve"> a 15/12, podendo ser ampliados por imposição legal.</w:t>
            </w:r>
          </w:p>
        </w:tc>
        <w:tc>
          <w:tcPr>
            <w:tcW w:w="1366" w:type="dxa"/>
            <w:shd w:val="clear" w:color="auto" w:fill="auto"/>
          </w:tcPr>
          <w:p w14:paraId="3D1E87A1" w14:textId="77777777" w:rsidR="00AF4124" w:rsidRPr="007478DD" w:rsidRDefault="00AF4124" w:rsidP="003E1961">
            <w:pPr>
              <w:jc w:val="both"/>
              <w:rPr>
                <w:rFonts w:ascii="Bookman Old Style" w:hAnsi="Bookman Old Style" w:cs="Arial"/>
                <w:sz w:val="18"/>
              </w:rPr>
            </w:pPr>
          </w:p>
          <w:p w14:paraId="5745F5D1" w14:textId="77777777" w:rsidR="00AF4124" w:rsidRPr="007478DD" w:rsidRDefault="00AF4124" w:rsidP="003E1961">
            <w:pPr>
              <w:jc w:val="both"/>
              <w:rPr>
                <w:rFonts w:ascii="Bookman Old Style" w:hAnsi="Bookman Old Style" w:cs="Arial"/>
                <w:sz w:val="18"/>
              </w:rPr>
            </w:pPr>
          </w:p>
          <w:p w14:paraId="31F433F6" w14:textId="230ACA1D" w:rsidR="00AF4124" w:rsidRPr="007478DD" w:rsidRDefault="00AF4124" w:rsidP="003E1961">
            <w:pPr>
              <w:jc w:val="center"/>
              <w:rPr>
                <w:rFonts w:ascii="Bookman Old Style" w:hAnsi="Bookman Old Style" w:cs="Arial"/>
                <w:sz w:val="18"/>
              </w:rPr>
            </w:pPr>
            <w:r w:rsidRPr="007478DD">
              <w:rPr>
                <w:rFonts w:ascii="Bookman Old Style" w:hAnsi="Bookman Old Style" w:cs="Arial"/>
                <w:sz w:val="18"/>
              </w:rPr>
              <w:t>4</w:t>
            </w:r>
            <w:r w:rsidR="00AF0640" w:rsidRPr="007478DD">
              <w:rPr>
                <w:rFonts w:ascii="Bookman Old Style" w:hAnsi="Bookman Old Style" w:cs="Arial"/>
                <w:sz w:val="18"/>
              </w:rPr>
              <w:t>1</w:t>
            </w:r>
          </w:p>
        </w:tc>
        <w:tc>
          <w:tcPr>
            <w:tcW w:w="1168" w:type="dxa"/>
            <w:shd w:val="clear" w:color="auto" w:fill="auto"/>
            <w:vAlign w:val="center"/>
          </w:tcPr>
          <w:p w14:paraId="007A2077" w14:textId="3F6868D2" w:rsidR="00AF4124" w:rsidRPr="007478DD" w:rsidRDefault="00AF4124" w:rsidP="003E1961">
            <w:pPr>
              <w:jc w:val="center"/>
              <w:rPr>
                <w:rFonts w:ascii="Bookman Old Style" w:hAnsi="Bookman Old Style" w:cs="Arial"/>
                <w:sz w:val="18"/>
              </w:rPr>
            </w:pPr>
            <w:r w:rsidRPr="007478DD">
              <w:rPr>
                <w:rFonts w:ascii="Bookman Old Style" w:hAnsi="Bookman Old Style" w:cs="Arial"/>
                <w:sz w:val="18"/>
              </w:rPr>
              <w:t>R$ 1.</w:t>
            </w:r>
            <w:r w:rsidR="00AD6F02" w:rsidRPr="007478DD">
              <w:rPr>
                <w:rFonts w:ascii="Bookman Old Style" w:hAnsi="Bookman Old Style" w:cs="Arial"/>
                <w:sz w:val="18"/>
              </w:rPr>
              <w:t>433</w:t>
            </w:r>
            <w:r w:rsidRPr="007478DD">
              <w:rPr>
                <w:rFonts w:ascii="Bookman Old Style" w:hAnsi="Bookman Old Style" w:cs="Arial"/>
                <w:sz w:val="18"/>
              </w:rPr>
              <w:t>,</w:t>
            </w:r>
            <w:r w:rsidR="00AD6F02" w:rsidRPr="007478DD">
              <w:rPr>
                <w:rFonts w:ascii="Bookman Old Style" w:hAnsi="Bookman Old Style" w:cs="Arial"/>
                <w:sz w:val="18"/>
              </w:rPr>
              <w:t>33</w:t>
            </w:r>
          </w:p>
        </w:tc>
        <w:tc>
          <w:tcPr>
            <w:tcW w:w="1158" w:type="dxa"/>
            <w:shd w:val="clear" w:color="auto" w:fill="auto"/>
            <w:vAlign w:val="center"/>
          </w:tcPr>
          <w:p w14:paraId="683C1C44" w14:textId="516AB652" w:rsidR="00AF4124" w:rsidRPr="007478DD" w:rsidRDefault="00AF4124" w:rsidP="003E1961">
            <w:pPr>
              <w:jc w:val="center"/>
              <w:rPr>
                <w:rFonts w:ascii="Bookman Old Style" w:hAnsi="Bookman Old Style" w:cs="Arial"/>
                <w:sz w:val="18"/>
              </w:rPr>
            </w:pPr>
            <w:r w:rsidRPr="007478DD">
              <w:rPr>
                <w:rFonts w:ascii="Bookman Old Style" w:hAnsi="Bookman Old Style" w:cs="Arial"/>
                <w:sz w:val="18"/>
              </w:rPr>
              <w:t xml:space="preserve">R$ </w:t>
            </w:r>
            <w:r w:rsidR="00AD6F02" w:rsidRPr="007478DD">
              <w:rPr>
                <w:rFonts w:ascii="Bookman Old Style" w:hAnsi="Bookman Old Style" w:cs="Arial"/>
                <w:sz w:val="18"/>
              </w:rPr>
              <w:t>58</w:t>
            </w:r>
            <w:r w:rsidRPr="007478DD">
              <w:rPr>
                <w:rFonts w:ascii="Bookman Old Style" w:hAnsi="Bookman Old Style" w:cs="Arial"/>
                <w:sz w:val="18"/>
              </w:rPr>
              <w:t>.</w:t>
            </w:r>
            <w:r w:rsidR="00AD6F02" w:rsidRPr="007478DD">
              <w:rPr>
                <w:rFonts w:ascii="Bookman Old Style" w:hAnsi="Bookman Old Style" w:cs="Arial"/>
                <w:sz w:val="18"/>
              </w:rPr>
              <w:t>766</w:t>
            </w:r>
            <w:r w:rsidRPr="007478DD">
              <w:rPr>
                <w:rFonts w:ascii="Bookman Old Style" w:hAnsi="Bookman Old Style" w:cs="Arial"/>
                <w:sz w:val="18"/>
              </w:rPr>
              <w:t>,</w:t>
            </w:r>
            <w:r w:rsidR="00AD6F02" w:rsidRPr="007478DD">
              <w:rPr>
                <w:rFonts w:ascii="Bookman Old Style" w:hAnsi="Bookman Old Style" w:cs="Arial"/>
                <w:sz w:val="18"/>
              </w:rPr>
              <w:t>53</w:t>
            </w:r>
          </w:p>
        </w:tc>
      </w:tr>
    </w:tbl>
    <w:p w14:paraId="7D808599" w14:textId="77777777" w:rsidR="00397A8F" w:rsidRDefault="00625E41">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1.1.3.</w:t>
      </w:r>
      <w:r>
        <w:rPr>
          <w:rFonts w:ascii="Bookman Old Style" w:hAnsi="Bookman Old Style" w:cs="Arial"/>
          <w:sz w:val="18"/>
          <w:szCs w:val="18"/>
        </w:rPr>
        <w:t xml:space="preserve"> Havendo mais de item ou lote faculta-se ao fornecedor a participação em quantos forem de seu interesse. Entretanto, optando-se por participar de um lote, deve o fornecedor enviar proposta para todos os itens que o compõem.</w:t>
      </w:r>
    </w:p>
    <w:p w14:paraId="469239B0" w14:textId="77777777" w:rsidR="00397A8F" w:rsidRDefault="00625E41">
      <w:pPr>
        <w:pStyle w:val="PADRO"/>
        <w:keepNext w:val="0"/>
        <w:widowControl/>
        <w:shd w:val="clear" w:color="auto" w:fill="auto"/>
        <w:spacing w:before="120" w:after="120"/>
        <w:ind w:firstLine="0"/>
        <w:rPr>
          <w:rFonts w:ascii="Bookman Old Style" w:hAnsi="Bookman Old Style" w:cs="Arial"/>
          <w:sz w:val="18"/>
          <w:szCs w:val="18"/>
        </w:rPr>
      </w:pPr>
      <w:r>
        <w:rPr>
          <w:rFonts w:ascii="Bookman Old Style" w:hAnsi="Bookman Old Style" w:cs="Arial"/>
          <w:b/>
          <w:bCs/>
          <w:sz w:val="18"/>
          <w:szCs w:val="18"/>
        </w:rPr>
        <w:t>1.1.4.</w:t>
      </w:r>
      <w:r>
        <w:rPr>
          <w:rFonts w:ascii="Bookman Old Style" w:hAnsi="Bookman Old Style" w:cs="Arial"/>
          <w:sz w:val="18"/>
          <w:szCs w:val="18"/>
        </w:rPr>
        <w:t xml:space="preserve"> O critério de julgamento adotado será o</w:t>
      </w:r>
      <w:r>
        <w:rPr>
          <w:rFonts w:ascii="Bookman Old Style" w:hAnsi="Bookman Old Style" w:cs="Arial"/>
          <w:i/>
          <w:iCs/>
          <w:sz w:val="18"/>
          <w:szCs w:val="18"/>
        </w:rPr>
        <w:t xml:space="preserve"> </w:t>
      </w:r>
      <w:r>
        <w:rPr>
          <w:rFonts w:ascii="Bookman Old Style" w:hAnsi="Bookman Old Style" w:cs="Arial"/>
          <w:b/>
          <w:bCs/>
          <w:sz w:val="18"/>
          <w:szCs w:val="18"/>
        </w:rPr>
        <w:t>menor preço</w:t>
      </w:r>
      <w:r>
        <w:rPr>
          <w:rFonts w:ascii="Bookman Old Style" w:hAnsi="Bookman Old Style" w:cs="Arial"/>
          <w:sz w:val="18"/>
          <w:szCs w:val="18"/>
        </w:rPr>
        <w:t>,</w:t>
      </w:r>
      <w:r>
        <w:rPr>
          <w:rFonts w:ascii="Bookman Old Style" w:hAnsi="Bookman Old Style" w:cs="Arial"/>
          <w:color w:val="FF0000"/>
          <w:sz w:val="18"/>
          <w:szCs w:val="18"/>
        </w:rPr>
        <w:t xml:space="preserve"> </w:t>
      </w:r>
      <w:r>
        <w:rPr>
          <w:rFonts w:ascii="Bookman Old Style" w:hAnsi="Bookman Old Style" w:cs="Arial"/>
          <w:sz w:val="18"/>
          <w:szCs w:val="18"/>
        </w:rPr>
        <w:t>observadas as exigências contidas neste Aviso de Contratação Direta e seus Anexos quanto às especificações do objeto.</w:t>
      </w:r>
    </w:p>
    <w:p w14:paraId="72BBFF8F" w14:textId="77777777" w:rsidR="00397A8F" w:rsidRDefault="00397A8F">
      <w:pPr>
        <w:pStyle w:val="PADRO"/>
        <w:keepNext w:val="0"/>
        <w:widowControl/>
        <w:shd w:val="clear" w:color="auto" w:fill="auto"/>
        <w:spacing w:before="120" w:after="120"/>
        <w:ind w:firstLine="0"/>
        <w:rPr>
          <w:rFonts w:ascii="Bookman Old Style" w:hAnsi="Bookman Old Style" w:cs="Arial"/>
          <w:color w:val="000000" w:themeColor="text1"/>
          <w:sz w:val="18"/>
          <w:szCs w:val="18"/>
        </w:rPr>
      </w:pPr>
    </w:p>
    <w:p w14:paraId="3147FCFF" w14:textId="77777777" w:rsidR="00397A8F" w:rsidRDefault="00625E41">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PARTICIPAÇÃO NA DISPENSA ELETRÔNICA.</w:t>
      </w:r>
    </w:p>
    <w:p w14:paraId="31C199C8" w14:textId="77777777" w:rsidR="00397A8F" w:rsidRDefault="00625E41">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2.1. A participação na presente dispensa eletrônica se dará mediante a plataforma </w:t>
      </w:r>
      <w:hyperlink r:id="rId8" w:history="1">
        <w:r w:rsidRPr="00AF4124">
          <w:rPr>
            <w:rStyle w:val="Hyperlink"/>
            <w:rFonts w:ascii="Bookman Old Style" w:hAnsi="Bookman Old Style" w:cs="Arial"/>
            <w:color w:val="FF0000"/>
            <w:sz w:val="18"/>
            <w:szCs w:val="18"/>
            <w:highlight w:val="yellow"/>
          </w:rPr>
          <w:t>www.licitardigital.com.br</w:t>
        </w:r>
      </w:hyperlink>
      <w:r w:rsidRPr="00AF4124">
        <w:rPr>
          <w:rFonts w:ascii="Bookman Old Style" w:hAnsi="Bookman Old Style" w:cs="Arial"/>
          <w:color w:val="FF0000"/>
          <w:sz w:val="18"/>
          <w:szCs w:val="18"/>
          <w:highlight w:val="yellow"/>
        </w:rPr>
        <w:t>.</w:t>
      </w:r>
    </w:p>
    <w:p w14:paraId="6B354AA5" w14:textId="77777777" w:rsidR="00397A8F" w:rsidRDefault="00625E41">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2.1.1. Os fornecedores deverão atender aos procedimentos estabelecidos pelo LICITAR DIGITAL para acesso ao sistema e operacionalização.</w:t>
      </w:r>
    </w:p>
    <w:p w14:paraId="767D9699" w14:textId="77777777" w:rsidR="00397A8F" w:rsidRDefault="00625E41">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2.1.2. O fornecedor é o responsável por qualquer transação efetuada diretamente ou por seu representante no Sistema de Dispensa Eletrônica, não caben</w:t>
      </w:r>
      <w:r w:rsidR="00AF4124">
        <w:rPr>
          <w:rFonts w:ascii="Bookman Old Style" w:hAnsi="Bookman Old Style" w:cs="Arial"/>
          <w:sz w:val="18"/>
          <w:szCs w:val="18"/>
        </w:rPr>
        <w:t xml:space="preserve">do ao provedor do Sistema ou a Câmara Municipal </w:t>
      </w:r>
      <w:r>
        <w:rPr>
          <w:rFonts w:ascii="Bookman Old Style" w:hAnsi="Bookman Old Style" w:cs="Arial"/>
          <w:sz w:val="18"/>
          <w:szCs w:val="18"/>
        </w:rPr>
        <w:t>a responsabilidade por eventuais danos decorrentes de uso indevido da senha, ainda que por terceiros não autorizados.</w:t>
      </w:r>
    </w:p>
    <w:p w14:paraId="4B0752C2"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 Não poderão participar desta dispensa os fornecedores:</w:t>
      </w:r>
    </w:p>
    <w:p w14:paraId="72FEBAF5"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lastRenderedPageBreak/>
        <w:t>2.2.1. que não atendam às condições deste Aviso de Contratação Direta e seu(s) anexo(s);</w:t>
      </w:r>
    </w:p>
    <w:p w14:paraId="31574B15"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2.2.2 estrangeiros que não tenham representação legal no Brasil com poderes expressos para receber citação e responder administrativa ou judicialmente;</w:t>
      </w:r>
    </w:p>
    <w:p w14:paraId="7CE824B0"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2.2.3. que se enquadrem nas seguintes vedações:</w:t>
      </w:r>
    </w:p>
    <w:p w14:paraId="70D47FC0"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autor do anteprojeto, do projeto básico ou do projeto executivo, pessoa física ou jurídica, quando a contratação versar sobre obra, serviços ou fornecimento de bens a ele relacionados;</w:t>
      </w:r>
    </w:p>
    <w:p w14:paraId="2335E6DB"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5E62E02"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pessoa física ou jurídica que se encontre, ao tempo da contratação, impossibilitada de contratar em decorrência de sanção que lhe foi imposta;</w:t>
      </w:r>
    </w:p>
    <w:p w14:paraId="4A7FE362"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430C95"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empresas controladoras, controladas ou coligadas, nos termos da </w:t>
      </w:r>
      <w:hyperlink r:id="rId9" w:history="1">
        <w:r>
          <w:rPr>
            <w:rStyle w:val="Hyperlink"/>
            <w:rFonts w:ascii="Bookman Old Style" w:eastAsia="Calibri" w:hAnsi="Bookman Old Style" w:cs="Arial"/>
            <w:color w:val="auto"/>
            <w:sz w:val="18"/>
            <w:szCs w:val="18"/>
            <w:u w:val="none"/>
          </w:rPr>
          <w:t>Lei nº 6.404, de 15 de dezembro de 1976</w:t>
        </w:r>
      </w:hyperlink>
      <w:r>
        <w:rPr>
          <w:rFonts w:ascii="Bookman Old Style" w:hAnsi="Bookman Old Style" w:cs="Arial"/>
          <w:color w:val="000000"/>
          <w:sz w:val="18"/>
          <w:szCs w:val="18"/>
        </w:rPr>
        <w:t>, concorrendo entre si;</w:t>
      </w:r>
    </w:p>
    <w:p w14:paraId="52466BC5" w14:textId="77777777" w:rsidR="00397A8F" w:rsidRDefault="00625E41">
      <w:pPr>
        <w:numPr>
          <w:ilvl w:val="3"/>
          <w:numId w:val="22"/>
        </w:numPr>
        <w:spacing w:before="120" w:after="120" w:line="276" w:lineRule="auto"/>
        <w:ind w:left="284" w:firstLine="142"/>
        <w:jc w:val="both"/>
        <w:rPr>
          <w:rFonts w:ascii="Bookman Old Style" w:hAnsi="Bookman Old Style" w:cs="Arial"/>
          <w:color w:val="000000" w:themeColor="text1"/>
          <w:sz w:val="18"/>
          <w:szCs w:val="18"/>
        </w:rPr>
      </w:pPr>
      <w:r>
        <w:rPr>
          <w:rFonts w:ascii="Bookman Old Style" w:hAnsi="Bookman Old Style" w:cs="Arial"/>
          <w:color w:val="000000"/>
          <w:sz w:val="18"/>
          <w:szCs w:val="18"/>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2A154E2" w14:textId="77777777" w:rsidR="00397A8F" w:rsidRDefault="00625E41">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color w:val="000000"/>
          <w:sz w:val="18"/>
          <w:szCs w:val="18"/>
        </w:rPr>
        <w:t>2.2.3.1. Equiparam-se aos autores do projeto as empresas integrantes do mesmo grupo econômico;</w:t>
      </w:r>
    </w:p>
    <w:p w14:paraId="324246A8" w14:textId="77777777" w:rsidR="00397A8F" w:rsidRDefault="00625E41">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color w:val="000000"/>
          <w:sz w:val="18"/>
          <w:szCs w:val="18"/>
        </w:rPr>
        <w:t>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39D6BE1"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 xml:space="preserve">2.3. </w:t>
      </w:r>
      <w:r>
        <w:rPr>
          <w:rFonts w:ascii="Bookman Old Style" w:hAnsi="Bookman Old Style" w:cs="Arial"/>
          <w:iCs/>
          <w:sz w:val="18"/>
          <w:szCs w:val="18"/>
        </w:rPr>
        <w:t>Será permitida a participação de cooperativas, desde que apresentem demonstrativo de atuação em regime cooperado, com repartição de receitas e despesas entre os cooperados e atendam ao art. 16 da Lei nº 14.133/21.</w:t>
      </w:r>
      <w:r>
        <w:rPr>
          <w:rFonts w:ascii="Bookman Old Style" w:hAnsi="Bookman Old Style" w:cs="Arial"/>
          <w:sz w:val="18"/>
          <w:szCs w:val="18"/>
        </w:rPr>
        <w:t>Serão estendidas a elas os benefícios previstos para as microempresas e empresas de pequeno porte quando atenderem ao disposto no art. 34 da Lei nº 11.488, de 15 de junho de 2007.</w:t>
      </w:r>
    </w:p>
    <w:p w14:paraId="39407034" w14:textId="77777777" w:rsidR="00397A8F" w:rsidRDefault="00625E41">
      <w:pPr>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2.4. </w:t>
      </w:r>
      <w:r>
        <w:rPr>
          <w:rFonts w:ascii="Bookman Old Style" w:hAnsi="Bookman Old Style" w:cs="Arial"/>
          <w:color w:val="000000" w:themeColor="text1"/>
          <w:sz w:val="18"/>
          <w:szCs w:val="18"/>
        </w:rPr>
        <w:t>O ingresso do fornecedor na disputa da dispensa eletrônica se dará com o cadastramento de sua proposta inicial, na forma deste item.</w:t>
      </w:r>
    </w:p>
    <w:p w14:paraId="781D5015" w14:textId="77777777" w:rsidR="00397A8F" w:rsidRDefault="00625E41">
      <w:pPr>
        <w:autoSpaceDE w:val="0"/>
        <w:snapToGrid w:val="0"/>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2.5.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79623A0"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2.5.1.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5E17D79"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2.6. Todas as especificações do </w:t>
      </w:r>
      <w:r>
        <w:rPr>
          <w:rFonts w:ascii="Bookman Old Style" w:hAnsi="Bookman Old Style" w:cs="Arial"/>
          <w:color w:val="000000" w:themeColor="text1"/>
          <w:sz w:val="18"/>
          <w:szCs w:val="18"/>
        </w:rPr>
        <w:t>objeto</w:t>
      </w:r>
      <w:r>
        <w:rPr>
          <w:rFonts w:ascii="Bookman Old Style" w:hAnsi="Bookman Old Style" w:cs="Arial"/>
          <w:sz w:val="18"/>
          <w:szCs w:val="18"/>
        </w:rPr>
        <w:t xml:space="preserve"> contidas na proposta, em especial o preço, vinculam a Contratada.</w:t>
      </w:r>
    </w:p>
    <w:p w14:paraId="66978EAE"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lastRenderedPageBreak/>
        <w:t>2.7. Nos valores propostos estarão inclusos todos os custos operacionais, encargos previdenciários, trabalhistas, tributários, comerciais e quaisquer outros que incidam direta ou indiretamente na prestação dos serviços;</w:t>
      </w:r>
    </w:p>
    <w:p w14:paraId="5F498FA3"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2.8. Os preços ofertados, tanto na proposta inicial, quanto na etapa de lances, serão de exclusiva responsabilidade do fornecedor, não lhe assistindo o direito de pleitear qualquer alteração, sob alegação de erro, omissão ou qualquer outro pretexto.</w:t>
      </w:r>
    </w:p>
    <w:p w14:paraId="241845AB"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2.9. Se o regime tributário da empresa implicar o recolhimento de tributos em percentuais variáveis, a cotação adequada será a que corresponde à média dos efetivos recolhimentos da empresa nos últimos doze meses. </w:t>
      </w:r>
    </w:p>
    <w:p w14:paraId="523588B6"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2.10. Independentemente do percentual de tributo inserido na planilha, no pagamento serão retidos na fonte os percentuais estabelecidos na legislação vigente.</w:t>
      </w:r>
    </w:p>
    <w:p w14:paraId="6ACA94EB"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2.11. A apresentação das propostas implica obrigatoriedade do cumprimento das disposições nelas contidas, em conformidade com o que dispõe o </w:t>
      </w:r>
      <w:r>
        <w:rPr>
          <w:rFonts w:ascii="Bookman Old Style" w:hAnsi="Bookman Old Style" w:cs="Arial"/>
          <w:iCs/>
          <w:sz w:val="18"/>
          <w:szCs w:val="18"/>
        </w:rPr>
        <w:t>Termo de Referência,</w:t>
      </w:r>
      <w:r>
        <w:rPr>
          <w:rFonts w:ascii="Bookman Old Style" w:hAnsi="Bookman Old Style" w:cs="Arial"/>
          <w:i/>
          <w:sz w:val="18"/>
          <w:szCs w:val="18"/>
        </w:rPr>
        <w:t xml:space="preserve"> </w:t>
      </w:r>
      <w:r>
        <w:rPr>
          <w:rFonts w:ascii="Bookman Old Style" w:hAnsi="Bookman Old Style" w:cs="Arial"/>
          <w:sz w:val="18"/>
          <w:szCs w:val="18"/>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8BFDD4D"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sz w:val="18"/>
          <w:szCs w:val="18"/>
        </w:rPr>
        <w:t xml:space="preserve">2.12. Uma vez enviada a proposta no sistema, os fornecedores </w:t>
      </w:r>
      <w:r>
        <w:rPr>
          <w:rFonts w:ascii="Bookman Old Style" w:hAnsi="Bookman Old Style" w:cs="Arial"/>
          <w:b/>
          <w:bCs/>
          <w:sz w:val="18"/>
          <w:szCs w:val="18"/>
        </w:rPr>
        <w:t>NÃO</w:t>
      </w:r>
      <w:r>
        <w:rPr>
          <w:rFonts w:ascii="Bookman Old Style" w:hAnsi="Bookman Old Style" w:cs="Arial"/>
          <w:sz w:val="18"/>
          <w:szCs w:val="18"/>
        </w:rPr>
        <w:t xml:space="preserve"> poderão retirá-la, substituí-la ou modificá-la, salvo o sistema permitir</w:t>
      </w:r>
      <w:r>
        <w:rPr>
          <w:rFonts w:ascii="Bookman Old Style" w:hAnsi="Bookman Old Style" w:cs="Arial"/>
          <w:color w:val="000000"/>
          <w:sz w:val="18"/>
          <w:szCs w:val="18"/>
        </w:rPr>
        <w:t>;</w:t>
      </w:r>
    </w:p>
    <w:p w14:paraId="7399BC65"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sz w:val="18"/>
          <w:szCs w:val="18"/>
        </w:rPr>
        <w:t xml:space="preserve">2.13. No cadastramento da proposta inicial, o fornecedor deverá, também, assinalar “sim” ou “não” em campo </w:t>
      </w:r>
      <w:r>
        <w:rPr>
          <w:rFonts w:ascii="Bookman Old Style" w:hAnsi="Bookman Old Style" w:cs="Arial"/>
          <w:sz w:val="18"/>
          <w:szCs w:val="18"/>
        </w:rPr>
        <w:t>próprio</w:t>
      </w:r>
      <w:r>
        <w:rPr>
          <w:rFonts w:ascii="Bookman Old Style" w:hAnsi="Bookman Old Style" w:cs="Arial"/>
          <w:color w:val="000000"/>
          <w:sz w:val="18"/>
          <w:szCs w:val="18"/>
        </w:rPr>
        <w:t xml:space="preserve"> do sistema eletrônico, às seguintes declarações:</w:t>
      </w:r>
      <w:r>
        <w:rPr>
          <w:rFonts w:ascii="Bookman Old Style" w:eastAsia="Zurich BT" w:hAnsi="Bookman Old Style" w:cs="Arial"/>
          <w:color w:val="000000"/>
          <w:sz w:val="18"/>
          <w:szCs w:val="18"/>
        </w:rPr>
        <w:t xml:space="preserve"> </w:t>
      </w:r>
    </w:p>
    <w:p w14:paraId="6BDD5E68" w14:textId="77777777" w:rsidR="00397A8F" w:rsidRPr="000C1FC5" w:rsidRDefault="00625E41">
      <w:pPr>
        <w:spacing w:before="120" w:after="120" w:line="276" w:lineRule="auto"/>
        <w:ind w:left="284"/>
        <w:jc w:val="both"/>
        <w:rPr>
          <w:rFonts w:ascii="Bookman Old Style" w:hAnsi="Bookman Old Style" w:cs="Arial"/>
          <w:sz w:val="18"/>
          <w:szCs w:val="18"/>
        </w:rPr>
      </w:pPr>
      <w:r w:rsidRPr="00B6552D">
        <w:rPr>
          <w:rFonts w:ascii="Bookman Old Style" w:hAnsi="Bookman Old Style" w:cs="Arial"/>
          <w:sz w:val="18"/>
          <w:szCs w:val="18"/>
        </w:rPr>
        <w:t xml:space="preserve">2.13.1. que inexistem fatos impeditivos para sua habilitação no certame, ciente da obrigatoriedade </w:t>
      </w:r>
      <w:r w:rsidRPr="000C1FC5">
        <w:rPr>
          <w:rFonts w:ascii="Bookman Old Style" w:hAnsi="Bookman Old Style" w:cs="Arial"/>
          <w:sz w:val="18"/>
          <w:szCs w:val="18"/>
        </w:rPr>
        <w:t>de declarar ocorrências posteriores;</w:t>
      </w:r>
    </w:p>
    <w:p w14:paraId="267BB564" w14:textId="14BDCF6F" w:rsidR="00397A8F" w:rsidRPr="000C1FC5" w:rsidRDefault="00625E41">
      <w:pPr>
        <w:spacing w:before="120" w:after="120" w:line="276" w:lineRule="auto"/>
        <w:ind w:left="284"/>
        <w:jc w:val="both"/>
        <w:rPr>
          <w:rFonts w:ascii="Bookman Old Style" w:hAnsi="Bookman Old Style" w:cs="Arial"/>
          <w:color w:val="FF0000"/>
          <w:sz w:val="18"/>
          <w:szCs w:val="18"/>
        </w:rPr>
      </w:pPr>
      <w:r w:rsidRPr="000C1FC5">
        <w:rPr>
          <w:rFonts w:ascii="Bookman Old Style" w:hAnsi="Bookman Old Style" w:cs="Arial"/>
          <w:color w:val="FF0000"/>
          <w:sz w:val="18"/>
          <w:szCs w:val="18"/>
        </w:rPr>
        <w:t>2.13.2. que cumpre os requisitos estabelecidos no artigo 3° da Lei Complementar nº 123, de 2006, estando apto a usufruir do tratamento favorecido estabelecido em seus arts. 42 a 49</w:t>
      </w:r>
      <w:r w:rsidR="000C1FC5" w:rsidRPr="000C1FC5">
        <w:rPr>
          <w:rFonts w:ascii="Bookman Old Style" w:hAnsi="Bookman Old Style" w:cs="Arial"/>
          <w:color w:val="FF0000"/>
          <w:sz w:val="18"/>
          <w:szCs w:val="18"/>
        </w:rPr>
        <w:t>, se for o caso</w:t>
      </w:r>
      <w:r w:rsidRPr="000C1FC5">
        <w:rPr>
          <w:rFonts w:ascii="Bookman Old Style" w:hAnsi="Bookman Old Style" w:cs="Arial"/>
          <w:color w:val="FF0000"/>
          <w:sz w:val="18"/>
          <w:szCs w:val="18"/>
        </w:rPr>
        <w:t>.</w:t>
      </w:r>
    </w:p>
    <w:p w14:paraId="72EA8FAC" w14:textId="77777777" w:rsidR="00397A8F" w:rsidRPr="00B6552D" w:rsidRDefault="00625E41">
      <w:pPr>
        <w:spacing w:before="120" w:after="120" w:line="276" w:lineRule="auto"/>
        <w:ind w:left="284"/>
        <w:jc w:val="both"/>
        <w:rPr>
          <w:rFonts w:ascii="Bookman Old Style" w:hAnsi="Bookman Old Style" w:cs="Arial"/>
          <w:sz w:val="18"/>
          <w:szCs w:val="18"/>
        </w:rPr>
      </w:pPr>
      <w:r w:rsidRPr="000C1FC5">
        <w:rPr>
          <w:rFonts w:ascii="Bookman Old Style" w:hAnsi="Bookman Old Style" w:cs="Arial"/>
          <w:sz w:val="18"/>
          <w:szCs w:val="18"/>
        </w:rPr>
        <w:t>2.13.3. que está ciente e concorda com as condições contidas no Aviso de Contratação Direta e seus anexos;</w:t>
      </w:r>
    </w:p>
    <w:p w14:paraId="2B96AB3A" w14:textId="77777777" w:rsidR="00397A8F" w:rsidRPr="00B6552D" w:rsidRDefault="00625E41">
      <w:pPr>
        <w:spacing w:before="120" w:after="120" w:line="276" w:lineRule="auto"/>
        <w:ind w:left="284"/>
        <w:jc w:val="both"/>
        <w:rPr>
          <w:rFonts w:ascii="Bookman Old Style" w:hAnsi="Bookman Old Style" w:cs="Arial"/>
          <w:sz w:val="18"/>
          <w:szCs w:val="18"/>
        </w:rPr>
      </w:pPr>
      <w:r w:rsidRPr="00B6552D">
        <w:rPr>
          <w:rFonts w:ascii="Bookman Old Style" w:hAnsi="Bookman Old Style" w:cs="Arial"/>
          <w:sz w:val="18"/>
          <w:szCs w:val="18"/>
        </w:rPr>
        <w:t>2.13.5. que não emprega menor de 18 anos em trabalho noturno, perigoso ou insalubre e não emprega menor de 16 anos, salvo menor, a partir de 14 anos, na condição de aprendiz, nos termos do artigo 7°, XXXIII, da Constituição;</w:t>
      </w:r>
    </w:p>
    <w:p w14:paraId="4E339FB8" w14:textId="77777777" w:rsidR="00397A8F" w:rsidRPr="00B6552D" w:rsidRDefault="00625E41">
      <w:pPr>
        <w:spacing w:before="120" w:after="120" w:line="276" w:lineRule="auto"/>
        <w:ind w:left="284"/>
        <w:jc w:val="both"/>
        <w:rPr>
          <w:rFonts w:ascii="Bookman Old Style" w:hAnsi="Bookman Old Style" w:cs="Arial"/>
          <w:sz w:val="18"/>
          <w:szCs w:val="18"/>
        </w:rPr>
      </w:pPr>
      <w:r w:rsidRPr="00B6552D">
        <w:rPr>
          <w:rFonts w:ascii="Bookman Old Style" w:hAnsi="Bookman Old Style" w:cs="Arial"/>
          <w:sz w:val="18"/>
          <w:szCs w:val="18"/>
        </w:rPr>
        <w:t xml:space="preserve">2.13.6. Declaração de que cumpre as exigências de reserva de cargos para pessoa com deficiência e para reabilitado da Previdência Social, previstas em lei e em outras normas específicas.  </w:t>
      </w:r>
    </w:p>
    <w:p w14:paraId="2D8332E8" w14:textId="77777777" w:rsidR="00397A8F" w:rsidRDefault="00625E41">
      <w:pPr>
        <w:spacing w:before="120" w:after="120" w:line="276" w:lineRule="auto"/>
        <w:jc w:val="both"/>
        <w:rPr>
          <w:rFonts w:ascii="Bookman Old Style" w:hAnsi="Bookman Old Style" w:cs="Arial"/>
          <w:iCs/>
          <w:sz w:val="18"/>
          <w:szCs w:val="18"/>
        </w:rPr>
      </w:pPr>
      <w:r>
        <w:rPr>
          <w:rFonts w:ascii="Bookman Old Style" w:hAnsi="Bookman Old Style" w:cs="Arial"/>
          <w:iCs/>
          <w:sz w:val="18"/>
          <w:szCs w:val="18"/>
        </w:rPr>
        <w:t>2.14. O valor final mínimo poderá ser alterado pelo fornecedor durante a fase de disputa, desde que não assuma valor superior a lance já registrado por ele no sistema.</w:t>
      </w:r>
    </w:p>
    <w:p w14:paraId="1D44B8B0" w14:textId="77777777" w:rsidR="00397A8F" w:rsidRDefault="00397A8F">
      <w:pPr>
        <w:spacing w:before="120" w:after="120" w:line="276" w:lineRule="auto"/>
        <w:jc w:val="both"/>
        <w:rPr>
          <w:rFonts w:ascii="Bookman Old Style" w:hAnsi="Bookman Old Style" w:cs="Arial"/>
          <w:iCs/>
          <w:sz w:val="18"/>
          <w:szCs w:val="18"/>
        </w:rPr>
      </w:pPr>
    </w:p>
    <w:p w14:paraId="706DF992" w14:textId="77777777" w:rsidR="00397A8F" w:rsidRDefault="00625E41">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FASE DE LANCES</w:t>
      </w:r>
    </w:p>
    <w:p w14:paraId="460C5ABD"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3.1. A partir do horário e da data estabelecida neste Aviso de Contratação Direta, a sessão pública será automaticamente aberta pelo sistema para o envio de lances públicos e sucessivos, </w:t>
      </w:r>
      <w:r>
        <w:rPr>
          <w:rFonts w:ascii="Bookman Old Style" w:hAnsi="Bookman Old Style" w:cs="Arial"/>
          <w:bCs/>
          <w:sz w:val="18"/>
          <w:szCs w:val="18"/>
          <w:lang w:eastAsia="en-US"/>
        </w:rPr>
        <w:t>exclusivamente por meio do sistema eletrônico</w:t>
      </w:r>
      <w:r>
        <w:rPr>
          <w:rFonts w:ascii="Bookman Old Style" w:hAnsi="Bookman Old Style" w:cs="Arial"/>
          <w:sz w:val="18"/>
          <w:szCs w:val="18"/>
          <w:lang w:eastAsia="en-US"/>
        </w:rPr>
        <w:t xml:space="preserve">, </w:t>
      </w:r>
      <w:r>
        <w:rPr>
          <w:rFonts w:ascii="Bookman Old Style" w:hAnsi="Bookman Old Style" w:cs="Arial"/>
          <w:color w:val="000000" w:themeColor="text1"/>
          <w:sz w:val="18"/>
          <w:szCs w:val="18"/>
          <w:lang w:eastAsia="en-US"/>
        </w:rPr>
        <w:t>sendo encerrado no horário de finalização de lances também já previsto neste aviso.</w:t>
      </w:r>
    </w:p>
    <w:p w14:paraId="6301D282"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rPr>
        <w:t xml:space="preserve">3.2. Iniciada a etapa competitiva, os fornecedores deverão encaminhar lances exclusivamente por meio de sistema eletrônico, sendo imediatamente informados do seu recebimento e do valor consignado no registro. </w:t>
      </w:r>
    </w:p>
    <w:p w14:paraId="57F5BADD" w14:textId="77777777" w:rsidR="00397A8F" w:rsidRDefault="00625E41">
      <w:pPr>
        <w:spacing w:before="120" w:after="120" w:line="276" w:lineRule="auto"/>
        <w:ind w:left="284"/>
        <w:jc w:val="both"/>
        <w:rPr>
          <w:rFonts w:ascii="Bookman Old Style" w:hAnsi="Bookman Old Style" w:cs="Arial"/>
          <w:sz w:val="18"/>
          <w:szCs w:val="18"/>
          <w:lang w:eastAsia="en-US"/>
        </w:rPr>
      </w:pPr>
      <w:r>
        <w:rPr>
          <w:rFonts w:ascii="Bookman Old Style" w:hAnsi="Bookman Old Style" w:cs="Arial"/>
          <w:sz w:val="18"/>
          <w:szCs w:val="18"/>
        </w:rPr>
        <w:t>3.2.1. O lance deverá ser ofertado pelo valor unitário do item.</w:t>
      </w:r>
    </w:p>
    <w:p w14:paraId="090E90DF"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3.3. O fornecedor somente poderá oferecer valor inferior ou maior percentual de desconto em relação ao último lance por ele ofertado e registrado pelo sistema.</w:t>
      </w:r>
    </w:p>
    <w:p w14:paraId="0ED873A9"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lastRenderedPageBreak/>
        <w:t>3.4.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0D9DA29"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sz w:val="18"/>
          <w:szCs w:val="18"/>
        </w:rPr>
        <w:t>3.5. O intervalo mínimo de diferença de valores ou percentuais entre os lances, que incidirá tanto em relação aos lances intermediários quanto em relação ao que cobrir a melhor oferta é de</w:t>
      </w:r>
      <w:r>
        <w:rPr>
          <w:rFonts w:ascii="Bookman Old Style" w:hAnsi="Bookman Old Style" w:cs="Arial"/>
          <w:i/>
          <w:iCs/>
          <w:sz w:val="18"/>
          <w:szCs w:val="18"/>
        </w:rPr>
        <w:t xml:space="preserve"> </w:t>
      </w:r>
      <w:r>
        <w:rPr>
          <w:rFonts w:ascii="Bookman Old Style" w:hAnsi="Bookman Old Style" w:cs="Arial"/>
          <w:b/>
          <w:bCs/>
          <w:sz w:val="18"/>
          <w:szCs w:val="18"/>
        </w:rPr>
        <w:t>R$ 1,00 (um real)</w:t>
      </w:r>
    </w:p>
    <w:p w14:paraId="60932079"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3.6. Havendo lances iguais ao menor já ofertado, prevalecerá aquele que for recebido e registrado primeiro no sistema.</w:t>
      </w:r>
    </w:p>
    <w:p w14:paraId="0751AA09"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3.7. Caso o fornecedor não apresente lances, concorrerá com o valor de sua proposta.</w:t>
      </w:r>
    </w:p>
    <w:p w14:paraId="62F4DA35"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3.8. Durante o procedimento, os fornecedores serão informados, em tempo real, do valor do menor lance registrado, vedada a identificação do fornecedor.</w:t>
      </w:r>
    </w:p>
    <w:p w14:paraId="66641345"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3.9. Imediatamente após o término do prazo estabelecido para a fase de lances, haverá o seu encerramento, com o ordenamento e divulgação dos lances, pelo sistema, em ordem crescente de classificação.</w:t>
      </w:r>
    </w:p>
    <w:p w14:paraId="28442D1D"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3.10. O encerramento da fase de lances ocorrerá de forma automática pontualmente no horário indicado, sem qualquer possibilidade de prorrogação e não havendo tempo aleatório ou mecanismo similar.</w:t>
      </w:r>
    </w:p>
    <w:p w14:paraId="5A836C5A" w14:textId="77777777" w:rsidR="00397A8F" w:rsidRDefault="00397A8F">
      <w:pPr>
        <w:spacing w:before="120" w:after="120" w:line="276" w:lineRule="auto"/>
        <w:jc w:val="both"/>
        <w:rPr>
          <w:rFonts w:ascii="Bookman Old Style" w:hAnsi="Bookman Old Style" w:cs="Arial"/>
          <w:sz w:val="18"/>
          <w:szCs w:val="18"/>
        </w:rPr>
      </w:pPr>
    </w:p>
    <w:p w14:paraId="7EE0A916" w14:textId="77777777" w:rsidR="00397A8F" w:rsidRDefault="00625E41">
      <w:pPr>
        <w:pStyle w:val="PADRO"/>
        <w:keepNext w:val="0"/>
        <w:widowControl/>
        <w:numPr>
          <w:ilvl w:val="0"/>
          <w:numId w:val="1"/>
        </w:numPr>
        <w:shd w:val="clear" w:color="auto" w:fill="auto"/>
        <w:spacing w:before="120" w:after="120"/>
        <w:rPr>
          <w:rFonts w:ascii="Bookman Old Style" w:hAnsi="Bookman Old Style" w:cs="Arial"/>
          <w:b/>
          <w:sz w:val="18"/>
          <w:szCs w:val="18"/>
        </w:rPr>
      </w:pPr>
      <w:r>
        <w:rPr>
          <w:rFonts w:ascii="Bookman Old Style" w:hAnsi="Bookman Old Style" w:cs="Arial"/>
          <w:b/>
          <w:sz w:val="18"/>
          <w:szCs w:val="18"/>
        </w:rPr>
        <w:t>JULGAMENTO DAS PROPOSTAS DE PREÇO</w:t>
      </w:r>
    </w:p>
    <w:p w14:paraId="0BC39C85"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4.1. Encerrada a fase de lances, será verificada a conformidade da proposta classificada em primeiro lugar quanto à adequação do objeto e à compatibilidade do preço em relação ao estipulado para a contratação.</w:t>
      </w:r>
    </w:p>
    <w:p w14:paraId="6A58409A"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4.2. No caso de o preço da proposta vencedora estar acima do estimado pela Administração, poderá haver a negociação de condições mais vantajosas.</w:t>
      </w:r>
    </w:p>
    <w:p w14:paraId="56B34D2E"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4.2.1. Neste caso, será encaminhada contraproposta ao fornecedor que tenha apresentado o melhor preço, para que seja obtida melhor proposta com preço compatível ao estimado pela Administração.</w:t>
      </w:r>
    </w:p>
    <w:p w14:paraId="37A4B381"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4.2.2.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48734E1"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4.2.3. Em qualquer caso, concluída a negociação, o resultado será registrado na ata do procedimento da dispensa eletrônica.</w:t>
      </w:r>
    </w:p>
    <w:p w14:paraId="12046D7D"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4.3. Estando o preço compatível, será solicitado o envio da proposta e, se necessário, de documentos complementares, adequada ao último lance.</w:t>
      </w:r>
    </w:p>
    <w:p w14:paraId="4EE90E67"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 xml:space="preserve"> 4.4. O prazo de validade </w:t>
      </w:r>
      <w:r>
        <w:rPr>
          <w:rFonts w:ascii="Bookman Old Style" w:hAnsi="Bookman Old Style" w:cs="Arial"/>
          <w:sz w:val="18"/>
          <w:szCs w:val="18"/>
        </w:rPr>
        <w:t>da</w:t>
      </w:r>
      <w:r>
        <w:rPr>
          <w:rFonts w:ascii="Bookman Old Style" w:hAnsi="Bookman Old Style" w:cs="Arial"/>
          <w:color w:val="000000" w:themeColor="text1"/>
          <w:sz w:val="18"/>
          <w:szCs w:val="18"/>
        </w:rPr>
        <w:t xml:space="preserve"> proposta não será inferior a </w:t>
      </w:r>
      <w:r>
        <w:rPr>
          <w:rFonts w:ascii="Bookman Old Style" w:hAnsi="Bookman Old Style" w:cs="Arial"/>
          <w:sz w:val="18"/>
          <w:szCs w:val="18"/>
        </w:rPr>
        <w:t xml:space="preserve">60 (sessenta) </w:t>
      </w:r>
      <w:r>
        <w:rPr>
          <w:rFonts w:ascii="Bookman Old Style" w:hAnsi="Bookman Old Style" w:cs="Arial"/>
          <w:color w:val="000000" w:themeColor="text1"/>
          <w:sz w:val="18"/>
          <w:szCs w:val="18"/>
        </w:rPr>
        <w:t>dias</w:t>
      </w:r>
      <w:r>
        <w:rPr>
          <w:rFonts w:ascii="Bookman Old Style" w:hAnsi="Bookman Old Style" w:cs="Arial"/>
          <w:b/>
          <w:bCs/>
          <w:color w:val="000000" w:themeColor="text1"/>
          <w:sz w:val="18"/>
          <w:szCs w:val="18"/>
        </w:rPr>
        <w:t>,</w:t>
      </w:r>
      <w:r>
        <w:rPr>
          <w:rFonts w:ascii="Bookman Old Style" w:hAnsi="Bookman Old Style" w:cs="Arial"/>
          <w:color w:val="000000" w:themeColor="text1"/>
          <w:sz w:val="18"/>
          <w:szCs w:val="18"/>
        </w:rPr>
        <w:t xml:space="preserve"> a contar da data de sua apresentação.</w:t>
      </w:r>
    </w:p>
    <w:p w14:paraId="5DDA75E2" w14:textId="77777777" w:rsidR="00397A8F" w:rsidRDefault="00625E41">
      <w:p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themeColor="text1"/>
          <w:sz w:val="18"/>
          <w:szCs w:val="18"/>
          <w:lang w:eastAsia="en-US"/>
        </w:rPr>
        <w:t xml:space="preserve">4.5. Será desclassificada a proposta vencedora que: </w:t>
      </w:r>
    </w:p>
    <w:p w14:paraId="20E95198" w14:textId="77777777" w:rsidR="00397A8F" w:rsidRDefault="00625E41">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contiver vícios insanáveis</w:t>
      </w:r>
      <w:r>
        <w:rPr>
          <w:rFonts w:ascii="Bookman Old Style" w:hAnsi="Bookman Old Style" w:cs="Arial"/>
          <w:iCs/>
          <w:color w:val="000000" w:themeColor="text1"/>
          <w:sz w:val="18"/>
          <w:szCs w:val="18"/>
        </w:rPr>
        <w:t>;</w:t>
      </w:r>
    </w:p>
    <w:p w14:paraId="31EBFCAD" w14:textId="77777777" w:rsidR="00397A8F" w:rsidRDefault="00625E41">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não obedecer às especificações técnicas pormenorizadas neste aviso ou em seus anexos</w:t>
      </w:r>
      <w:r>
        <w:rPr>
          <w:rFonts w:ascii="Bookman Old Style" w:hAnsi="Bookman Old Style" w:cs="Arial"/>
          <w:iCs/>
          <w:color w:val="000000" w:themeColor="text1"/>
          <w:sz w:val="18"/>
          <w:szCs w:val="18"/>
        </w:rPr>
        <w:t>;</w:t>
      </w:r>
    </w:p>
    <w:p w14:paraId="45494520" w14:textId="77777777" w:rsidR="00397A8F" w:rsidRDefault="00625E41">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apresentar preços inexequíveis ou permanecerem acima do preço máximo definido para a contratação;</w:t>
      </w:r>
    </w:p>
    <w:p w14:paraId="26EDB305" w14:textId="77777777" w:rsidR="00397A8F" w:rsidRDefault="00625E41">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não tiverem sua exequibilidade demonstrada, quando exigido pela Administração</w:t>
      </w:r>
      <w:r>
        <w:rPr>
          <w:rFonts w:ascii="Bookman Old Style" w:hAnsi="Bookman Old Style" w:cs="Arial"/>
          <w:iCs/>
          <w:color w:val="000000" w:themeColor="text1"/>
          <w:sz w:val="18"/>
          <w:szCs w:val="18"/>
        </w:rPr>
        <w:t>;</w:t>
      </w:r>
    </w:p>
    <w:p w14:paraId="07F98ADB" w14:textId="77777777" w:rsidR="00397A8F" w:rsidRDefault="00625E41">
      <w:pPr>
        <w:pStyle w:val="PargrafodaLista"/>
        <w:numPr>
          <w:ilvl w:val="2"/>
          <w:numId w:val="26"/>
        </w:numPr>
        <w:spacing w:before="120" w:after="120" w:line="276" w:lineRule="auto"/>
        <w:ind w:left="284" w:firstLine="283"/>
        <w:jc w:val="both"/>
        <w:rPr>
          <w:rFonts w:ascii="Bookman Old Style" w:hAnsi="Bookman Old Style" w:cs="Arial"/>
          <w:i/>
          <w:color w:val="000000" w:themeColor="text1"/>
          <w:sz w:val="18"/>
          <w:szCs w:val="18"/>
        </w:rPr>
      </w:pPr>
      <w:r>
        <w:rPr>
          <w:rFonts w:ascii="Bookman Old Style" w:hAnsi="Bookman Old Style" w:cs="Arial"/>
          <w:color w:val="000000"/>
          <w:sz w:val="18"/>
          <w:szCs w:val="18"/>
        </w:rPr>
        <w:t>apresentar desconformidade com quaisquer outras exigências deste aviso ou seus anexos, desde que insanável.</w:t>
      </w:r>
    </w:p>
    <w:p w14:paraId="0B50A457" w14:textId="77777777" w:rsidR="00397A8F" w:rsidRDefault="00397A8F">
      <w:pPr>
        <w:pStyle w:val="PargrafodaLista"/>
        <w:spacing w:before="120" w:after="120" w:line="276" w:lineRule="auto"/>
        <w:ind w:left="567"/>
        <w:jc w:val="both"/>
        <w:rPr>
          <w:rFonts w:ascii="Bookman Old Style" w:hAnsi="Bookman Old Style" w:cs="Arial"/>
          <w:i/>
          <w:color w:val="000000" w:themeColor="text1"/>
          <w:sz w:val="18"/>
          <w:szCs w:val="18"/>
        </w:rPr>
      </w:pPr>
    </w:p>
    <w:p w14:paraId="2FBD5A99" w14:textId="77777777" w:rsidR="00397A8F" w:rsidRDefault="00625E41">
      <w:pPr>
        <w:spacing w:before="120" w:after="120" w:line="276" w:lineRule="auto"/>
        <w:jc w:val="both"/>
        <w:rPr>
          <w:rFonts w:ascii="Bookman Old Style" w:hAnsi="Bookman Old Style" w:cs="Arial"/>
          <w:i/>
          <w:color w:val="000000" w:themeColor="text1"/>
          <w:sz w:val="18"/>
          <w:szCs w:val="18"/>
        </w:rPr>
      </w:pPr>
      <w:r>
        <w:rPr>
          <w:rFonts w:ascii="Bookman Old Style" w:hAnsi="Bookman Old Style" w:cs="Arial"/>
          <w:color w:val="000000" w:themeColor="text1"/>
          <w:sz w:val="18"/>
          <w:szCs w:val="18"/>
          <w:lang w:eastAsia="en-US"/>
        </w:rPr>
        <w:lastRenderedPageBreak/>
        <w:t>4.5. Quando</w:t>
      </w:r>
      <w:r>
        <w:rPr>
          <w:rFonts w:ascii="Bookman Old Style" w:hAnsi="Bookman Old Style" w:cs="Arial"/>
          <w:sz w:val="18"/>
          <w:szCs w:val="18"/>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0E4973E1" w14:textId="77777777" w:rsidR="00397A8F" w:rsidRDefault="00625E41">
      <w:pPr>
        <w:spacing w:before="120" w:after="120" w:line="276" w:lineRule="auto"/>
        <w:ind w:left="567"/>
        <w:jc w:val="both"/>
        <w:rPr>
          <w:rFonts w:ascii="Bookman Old Style" w:hAnsi="Bookman Old Style" w:cs="Arial"/>
          <w:i/>
          <w:color w:val="000000" w:themeColor="text1"/>
          <w:sz w:val="18"/>
          <w:szCs w:val="18"/>
        </w:rPr>
      </w:pPr>
      <w:r>
        <w:rPr>
          <w:rFonts w:ascii="Bookman Old Style" w:hAnsi="Bookman Old Style" w:cs="Arial"/>
          <w:sz w:val="18"/>
          <w:szCs w:val="18"/>
          <w:bdr w:val="none" w:sz="0" w:space="0" w:color="auto" w:frame="1"/>
        </w:rPr>
        <w:t>4.5.1.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2EF3F7A" w14:textId="77777777" w:rsidR="00397A8F" w:rsidRDefault="00625E41">
      <w:pPr>
        <w:spacing w:before="120" w:after="120" w:line="276" w:lineRule="auto"/>
        <w:ind w:left="567"/>
        <w:jc w:val="both"/>
        <w:rPr>
          <w:rFonts w:ascii="Bookman Old Style" w:hAnsi="Bookman Old Style" w:cs="Arial"/>
          <w:color w:val="000000" w:themeColor="text1"/>
          <w:sz w:val="18"/>
          <w:szCs w:val="18"/>
        </w:rPr>
      </w:pPr>
      <w:r>
        <w:rPr>
          <w:rFonts w:ascii="Bookman Old Style" w:hAnsi="Bookman Old Style" w:cs="Arial"/>
          <w:sz w:val="18"/>
          <w:szCs w:val="18"/>
          <w:bdr w:val="none" w:sz="0" w:space="0" w:color="auto" w:frame="1"/>
        </w:rPr>
        <w:t>4.5.2. apresentar um ou mais valores da planilha de custo que sejam inferiores àqueles fixados em instrumentos de caráter normativo obrigatório, tais como leis, medidas provisórias e convenções coletivas de trabalho vigentes.</w:t>
      </w:r>
    </w:p>
    <w:p w14:paraId="1F6302C4" w14:textId="77777777" w:rsidR="00397A8F" w:rsidRDefault="00625E41">
      <w:pPr>
        <w:spacing w:before="120" w:after="120" w:line="276" w:lineRule="auto"/>
        <w:ind w:right="-15"/>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4.6. Se houver indícios de inexequibilidade da proposta de preço, ou em caso da necessidade de esclarecimentos </w:t>
      </w:r>
      <w:r>
        <w:rPr>
          <w:rFonts w:ascii="Bookman Old Style" w:hAnsi="Bookman Old Style" w:cs="Arial"/>
          <w:sz w:val="18"/>
          <w:szCs w:val="18"/>
          <w:bdr w:val="none" w:sz="0" w:space="0" w:color="auto" w:frame="1"/>
        </w:rPr>
        <w:t>complementares</w:t>
      </w:r>
      <w:r>
        <w:rPr>
          <w:rFonts w:ascii="Bookman Old Style" w:hAnsi="Bookman Old Style" w:cs="Arial"/>
          <w:color w:val="000000" w:themeColor="text1"/>
          <w:sz w:val="18"/>
          <w:szCs w:val="18"/>
          <w:lang w:eastAsia="en-US"/>
        </w:rPr>
        <w:t xml:space="preserve">, poderão ser efetuadas diligências, para que a empresa comprove a exequibilidade da proposta.  </w:t>
      </w:r>
    </w:p>
    <w:p w14:paraId="346DCBB5"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 xml:space="preserve">4.7. Erros no preenchimento da planilha não constituem motivo para a desclassificação da proposta. A planilha </w:t>
      </w:r>
      <w:r>
        <w:rPr>
          <w:rFonts w:ascii="Bookman Old Style" w:hAnsi="Bookman Old Style" w:cs="Arial"/>
          <w:sz w:val="18"/>
          <w:szCs w:val="18"/>
          <w:bdr w:val="none" w:sz="0" w:space="0" w:color="auto" w:frame="1"/>
        </w:rPr>
        <w:t>poderá</w:t>
      </w:r>
      <w:r>
        <w:rPr>
          <w:rFonts w:ascii="Bookman Old Style" w:hAnsi="Bookman Old Style" w:cs="Arial"/>
          <w:color w:val="000000" w:themeColor="text1"/>
          <w:sz w:val="18"/>
          <w:szCs w:val="18"/>
          <w:lang w:eastAsia="en-US"/>
        </w:rPr>
        <w:t xml:space="preserve"> ser ajustada pelo fornecedor, no prazo indicado pelo sistema, desde que não haja majoração do preço.</w:t>
      </w:r>
    </w:p>
    <w:p w14:paraId="732CA290" w14:textId="77777777" w:rsidR="00397A8F" w:rsidRDefault="00625E41">
      <w:pPr>
        <w:spacing w:before="120" w:after="120" w:line="276" w:lineRule="auto"/>
        <w:ind w:left="567"/>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4.7.1. O ajuste de que trata este dispositivo se limita a sanar erros ou falhas que não alterem a substância das propostas;</w:t>
      </w:r>
    </w:p>
    <w:p w14:paraId="126556EA" w14:textId="77777777" w:rsidR="00397A8F" w:rsidRDefault="00625E41">
      <w:pPr>
        <w:spacing w:before="120" w:after="120" w:line="276" w:lineRule="auto"/>
        <w:ind w:left="567"/>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4.7.2. Considera-se erro no preenchimento da planilha passível de correção a indicação de recolhimento de impostos e contribuições na forma do Simples Nacional, quando n</w:t>
      </w:r>
      <w:r>
        <w:rPr>
          <w:rFonts w:ascii="Bookman Old Style" w:hAnsi="Bookman Old Style" w:cs="Bookman Old Style"/>
          <w:color w:val="000000" w:themeColor="text1"/>
          <w:sz w:val="18"/>
          <w:szCs w:val="18"/>
          <w:lang w:eastAsia="en-US"/>
        </w:rPr>
        <w:t>ã</w:t>
      </w:r>
      <w:r>
        <w:rPr>
          <w:rFonts w:ascii="Bookman Old Style" w:hAnsi="Bookman Old Style" w:cs="Arial"/>
          <w:color w:val="000000" w:themeColor="text1"/>
          <w:sz w:val="18"/>
          <w:szCs w:val="18"/>
          <w:lang w:eastAsia="en-US"/>
        </w:rPr>
        <w:t>o cab</w:t>
      </w:r>
      <w:r>
        <w:rPr>
          <w:rFonts w:ascii="Bookman Old Style" w:hAnsi="Bookman Old Style" w:cs="Bookman Old Style"/>
          <w:color w:val="000000" w:themeColor="text1"/>
          <w:sz w:val="18"/>
          <w:szCs w:val="18"/>
          <w:lang w:eastAsia="en-US"/>
        </w:rPr>
        <w:t>í</w:t>
      </w:r>
      <w:r>
        <w:rPr>
          <w:rFonts w:ascii="Bookman Old Style" w:hAnsi="Bookman Old Style" w:cs="Arial"/>
          <w:color w:val="000000" w:themeColor="text1"/>
          <w:sz w:val="18"/>
          <w:szCs w:val="18"/>
          <w:lang w:eastAsia="en-US"/>
        </w:rPr>
        <w:t>vel esse regime.</w:t>
      </w:r>
    </w:p>
    <w:p w14:paraId="54C4185D"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4.8. Para fins de análise da proposta quanto ao cumprimento das especificações do objeto, poderá ser colhida a manifestação escrita do setor requisitante do serviço ou da área especializada no objeto.</w:t>
      </w:r>
    </w:p>
    <w:p w14:paraId="01E77AF6"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4.9. Se a proposta ou lance vencedor for desclassificado, será examinada a proposta ou lance subsequente, e, assim sucessivamente, na ordem de classificação.</w:t>
      </w:r>
    </w:p>
    <w:p w14:paraId="2864D44F"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4.10. Havendo necessidade, a sessão será suspensa, informando-se no “chat” a nova data e horário para a sua continuidade.</w:t>
      </w:r>
    </w:p>
    <w:p w14:paraId="3F31A33C" w14:textId="77777777" w:rsidR="00397A8F" w:rsidRDefault="00625E41">
      <w:pPr>
        <w:spacing w:before="120" w:after="120" w:line="276" w:lineRule="auto"/>
        <w:jc w:val="both"/>
        <w:rPr>
          <w:rFonts w:ascii="Bookman Old Style" w:hAnsi="Bookman Old Style" w:cs="Arial"/>
          <w:color w:val="000000" w:themeColor="text1"/>
          <w:sz w:val="18"/>
          <w:szCs w:val="18"/>
          <w:lang w:eastAsia="en-US"/>
        </w:rPr>
      </w:pPr>
      <w:r>
        <w:rPr>
          <w:rFonts w:ascii="Bookman Old Style" w:hAnsi="Bookman Old Style" w:cs="Arial"/>
          <w:color w:val="000000" w:themeColor="text1"/>
          <w:sz w:val="18"/>
          <w:szCs w:val="18"/>
          <w:lang w:eastAsia="en-US"/>
        </w:rPr>
        <w:t>4.11. Encerrada a análise quanto à aceitação da proposta, se iniciará a fase de habilitação, observado o disposto neste Aviso de Contratação Direta. </w:t>
      </w:r>
    </w:p>
    <w:p w14:paraId="6E4FF8AE" w14:textId="77777777" w:rsidR="00397A8F" w:rsidRDefault="00625E41">
      <w:pPr>
        <w:spacing w:before="120" w:after="120" w:line="276" w:lineRule="auto"/>
        <w:jc w:val="both"/>
        <w:rPr>
          <w:rFonts w:ascii="Bookman Old Style" w:hAnsi="Bookman Old Style" w:cs="Arial"/>
          <w:b/>
          <w:sz w:val="18"/>
          <w:szCs w:val="18"/>
        </w:rPr>
      </w:pPr>
      <w:r>
        <w:rPr>
          <w:rFonts w:ascii="Bookman Old Style" w:hAnsi="Bookman Old Style" w:cs="Arial"/>
          <w:b/>
          <w:bCs/>
          <w:color w:val="000000" w:themeColor="text1"/>
          <w:sz w:val="18"/>
          <w:szCs w:val="18"/>
          <w:lang w:eastAsia="en-US"/>
        </w:rPr>
        <w:t>5.</w:t>
      </w:r>
      <w:r>
        <w:rPr>
          <w:rFonts w:ascii="Bookman Old Style" w:hAnsi="Bookman Old Style" w:cs="Arial"/>
          <w:color w:val="000000" w:themeColor="text1"/>
          <w:sz w:val="18"/>
          <w:szCs w:val="18"/>
          <w:lang w:eastAsia="en-US"/>
        </w:rPr>
        <w:t xml:space="preserve"> </w:t>
      </w:r>
      <w:r>
        <w:rPr>
          <w:rFonts w:ascii="Bookman Old Style" w:hAnsi="Bookman Old Style" w:cs="Arial"/>
          <w:b/>
          <w:sz w:val="18"/>
          <w:szCs w:val="18"/>
        </w:rPr>
        <w:t>HABILITAÇÃO</w:t>
      </w:r>
    </w:p>
    <w:p w14:paraId="0D041AC8" w14:textId="77777777" w:rsidR="00397A8F" w:rsidRDefault="00625E41">
      <w:pPr>
        <w:spacing w:before="120" w:after="120" w:line="276" w:lineRule="auto"/>
        <w:jc w:val="both"/>
        <w:rPr>
          <w:rFonts w:ascii="Bookman Old Style" w:hAnsi="Bookman Old Style" w:cs="Arial"/>
          <w:b/>
          <w:sz w:val="18"/>
          <w:szCs w:val="18"/>
          <w:lang w:eastAsia="ar-SA"/>
        </w:rPr>
      </w:pPr>
      <w:r>
        <w:rPr>
          <w:rFonts w:ascii="Bookman Old Style" w:hAnsi="Bookman Old Style" w:cs="Arial"/>
          <w:sz w:val="18"/>
          <w:szCs w:val="18"/>
          <w:lang w:eastAsia="ar-SA"/>
        </w:rPr>
        <w:t xml:space="preserve">5.1. Os </w:t>
      </w:r>
      <w:r>
        <w:rPr>
          <w:rFonts w:ascii="Bookman Old Style" w:hAnsi="Bookman Old Style" w:cs="Arial"/>
          <w:color w:val="000000"/>
          <w:sz w:val="18"/>
          <w:szCs w:val="18"/>
        </w:rPr>
        <w:t>documentos</w:t>
      </w:r>
      <w:r>
        <w:rPr>
          <w:rFonts w:ascii="Bookman Old Style" w:hAnsi="Bookman Old Style" w:cs="Arial"/>
          <w:sz w:val="18"/>
          <w:szCs w:val="18"/>
          <w:lang w:eastAsia="ar-SA"/>
        </w:rPr>
        <w:t xml:space="preserve"> a serem exigidos para fins de habilitação constam do </w:t>
      </w:r>
      <w:r>
        <w:rPr>
          <w:rFonts w:ascii="Bookman Old Style" w:hAnsi="Bookman Old Style" w:cs="Arial"/>
          <w:b/>
          <w:sz w:val="18"/>
          <w:szCs w:val="18"/>
          <w:lang w:eastAsia="ar-SA"/>
        </w:rPr>
        <w:t xml:space="preserve">ANEXO I – DOCUMENTAÇÃO EXIGIDA PARA HABILITAÇÃO </w:t>
      </w:r>
      <w:r>
        <w:rPr>
          <w:rFonts w:ascii="Bookman Old Style" w:hAnsi="Bookman Old Style" w:cs="Arial"/>
          <w:sz w:val="18"/>
          <w:szCs w:val="18"/>
          <w:lang w:eastAsia="ar-SA"/>
        </w:rPr>
        <w:t>deste aviso e serão solicitados do fornecedor mais bem classificado da fase de lances.</w:t>
      </w:r>
    </w:p>
    <w:p w14:paraId="71842FF6"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5.2.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7730F13E"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5.3. Somente haverá a necessidade de comprovação do preenchimento de requisitos mediante apresentação dos documentos originais não-digitais quando houver dúvida em relação à integridade do documento digital.</w:t>
      </w:r>
    </w:p>
    <w:p w14:paraId="2BA3C18C"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 xml:space="preserve">5.4. Havendo </w:t>
      </w:r>
      <w:r>
        <w:rPr>
          <w:rFonts w:ascii="Bookman Old Style" w:hAnsi="Bookman Old Style" w:cs="Arial"/>
          <w:iCs/>
          <w:sz w:val="18"/>
          <w:szCs w:val="18"/>
          <w:lang w:eastAsia="en-US"/>
        </w:rPr>
        <w:t>necessidade</w:t>
      </w:r>
      <w:r>
        <w:rPr>
          <w:rFonts w:ascii="Bookman Old Style" w:hAnsi="Bookman Old Style" w:cs="Arial"/>
          <w:bCs/>
          <w:sz w:val="18"/>
          <w:szCs w:val="18"/>
        </w:rPr>
        <w:t xml:space="preserve"> de analisar minuciosamente os documentos exigidos, a sessão será suspensa, sendo informada a nova data e horário para a sua continuidade.</w:t>
      </w:r>
    </w:p>
    <w:p w14:paraId="4444F299"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5.5. Será inabilitado o fornecedor que não comprovar sua habilitação, seja por não apresentar </w:t>
      </w:r>
      <w:r>
        <w:rPr>
          <w:rFonts w:ascii="Bookman Old Style" w:hAnsi="Bookman Old Style" w:cs="Arial"/>
          <w:iCs/>
          <w:sz w:val="18"/>
          <w:szCs w:val="18"/>
          <w:lang w:eastAsia="en-US"/>
        </w:rPr>
        <w:t>quaisquer</w:t>
      </w:r>
      <w:r>
        <w:rPr>
          <w:rFonts w:ascii="Bookman Old Style" w:hAnsi="Bookman Old Style" w:cs="Arial"/>
          <w:color w:val="000000"/>
          <w:sz w:val="18"/>
          <w:szCs w:val="18"/>
        </w:rPr>
        <w:t xml:space="preserve"> dos </w:t>
      </w:r>
      <w:r>
        <w:rPr>
          <w:rFonts w:ascii="Bookman Old Style" w:hAnsi="Bookman Old Style" w:cs="Arial"/>
          <w:bCs/>
          <w:sz w:val="18"/>
          <w:szCs w:val="18"/>
        </w:rPr>
        <w:t>documentos</w:t>
      </w:r>
      <w:r>
        <w:rPr>
          <w:rFonts w:ascii="Bookman Old Style" w:hAnsi="Bookman Old Style" w:cs="Arial"/>
          <w:color w:val="000000"/>
          <w:sz w:val="18"/>
          <w:szCs w:val="18"/>
        </w:rPr>
        <w:t xml:space="preserve"> exigidos, ou apresentá-los em desacordo com o estabelecido neste Aviso de Contratação Direta.</w:t>
      </w:r>
    </w:p>
    <w:p w14:paraId="241BB026"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lastRenderedPageBreak/>
        <w:t>5.6.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541701B" w14:textId="77777777" w:rsidR="00397A8F" w:rsidRDefault="00625E41">
      <w:pPr>
        <w:spacing w:before="120" w:after="120" w:line="276" w:lineRule="auto"/>
        <w:jc w:val="both"/>
        <w:rPr>
          <w:rFonts w:ascii="Bookman Old Style" w:hAnsi="Bookman Old Style" w:cs="Arial"/>
          <w:iCs/>
          <w:sz w:val="18"/>
          <w:szCs w:val="18"/>
          <w:lang w:eastAsia="en-US"/>
        </w:rPr>
      </w:pPr>
      <w:r>
        <w:rPr>
          <w:rFonts w:ascii="Bookman Old Style" w:hAnsi="Bookman Old Style" w:cs="Arial"/>
          <w:iCs/>
          <w:sz w:val="18"/>
          <w:szCs w:val="18"/>
          <w:lang w:eastAsia="en-US"/>
        </w:rPr>
        <w:t>5.7. Constatado o atendimento às exigências de habilitação, o fornecedor será habilitado</w:t>
      </w:r>
    </w:p>
    <w:p w14:paraId="4A768E87" w14:textId="77777777" w:rsidR="00397A8F" w:rsidRDefault="00625E41">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6. CONTRATAÇÃO</w:t>
      </w:r>
    </w:p>
    <w:p w14:paraId="4146BF43" w14:textId="77777777" w:rsidR="00397A8F" w:rsidRDefault="00625E41">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6.1. Após a homologação e adjudicação, caso se conclua pela contratação, será emitida Nota de Empenho. </w:t>
      </w:r>
    </w:p>
    <w:p w14:paraId="52244E99" w14:textId="77777777" w:rsidR="00397A8F" w:rsidRDefault="00625E41">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6.2. O adjudicatário </w:t>
      </w:r>
      <w:r>
        <w:rPr>
          <w:rFonts w:ascii="Bookman Old Style" w:eastAsia="Arial" w:hAnsi="Bookman Old Style" w:cs="Arial"/>
          <w:sz w:val="18"/>
          <w:szCs w:val="18"/>
        </w:rPr>
        <w:t>terá o prazo de três dias úteis, contados a partir da data de sua convocação, para aceitar instrumento equivalente, conforme o caso (Nota de Empenho/Carta Contrato/Autorização), sob pena de decair do direito à contratação, sem prejuízo das sanções previstas neste Aviso de Contratação Direta.</w:t>
      </w:r>
    </w:p>
    <w:p w14:paraId="55E81494" w14:textId="77777777" w:rsidR="00397A8F" w:rsidRDefault="00625E41">
      <w:pPr>
        <w:spacing w:before="120" w:after="120" w:line="276" w:lineRule="auto"/>
        <w:ind w:left="284"/>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6.2.1. O prazo previsto para assinatura do contrato ou aceitação da nota de empenho ou instrumento equivalente poderá ser prorrogado </w:t>
      </w:r>
      <w:r>
        <w:rPr>
          <w:rFonts w:ascii="Bookman Old Style" w:hAnsi="Bookman Old Style" w:cs="Times New Roman"/>
          <w:bCs/>
          <w:sz w:val="18"/>
          <w:szCs w:val="18"/>
        </w:rPr>
        <w:t>1 (uma) vez</w:t>
      </w:r>
      <w:r>
        <w:rPr>
          <w:rFonts w:ascii="Bookman Old Style" w:eastAsia="Arial" w:hAnsi="Bookman Old Style" w:cs="Arial"/>
          <w:sz w:val="18"/>
          <w:szCs w:val="18"/>
        </w:rPr>
        <w:t xml:space="preserve">, </w:t>
      </w:r>
      <w:r>
        <w:rPr>
          <w:rFonts w:ascii="Bookman Old Style" w:eastAsia="Arial" w:hAnsi="Bookman Old Style" w:cs="Arial"/>
          <w:color w:val="000000"/>
          <w:sz w:val="18"/>
          <w:szCs w:val="18"/>
        </w:rPr>
        <w:t>por igual período, por solicitação justificada do adjudicatário e aceita pela Administração.</w:t>
      </w:r>
    </w:p>
    <w:p w14:paraId="436A592B" w14:textId="77777777" w:rsidR="00397A8F" w:rsidRDefault="00625E41">
      <w:pPr>
        <w:spacing w:before="120" w:after="120" w:line="276" w:lineRule="auto"/>
        <w:jc w:val="both"/>
        <w:rPr>
          <w:rFonts w:ascii="Bookman Old Style" w:eastAsia="Arial" w:hAnsi="Bookman Old Style" w:cs="Arial"/>
          <w:iCs/>
          <w:sz w:val="18"/>
          <w:szCs w:val="18"/>
        </w:rPr>
      </w:pPr>
      <w:r>
        <w:rPr>
          <w:rFonts w:ascii="Bookman Old Style" w:eastAsia="Arial" w:hAnsi="Bookman Old Style" w:cs="Arial"/>
          <w:iCs/>
          <w:sz w:val="18"/>
          <w:szCs w:val="18"/>
        </w:rPr>
        <w:t>6.3. O Aceite da Nota de Empenho ou do instrumento equivalente, emitida à empresa adjudicada, implica no reconhecimento de que:</w:t>
      </w:r>
    </w:p>
    <w:p w14:paraId="61EB9392" w14:textId="77777777" w:rsidR="00397A8F" w:rsidRDefault="00625E41">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6.3.1. referida Nota está substituindo o contrato, aplicando-se à relação de negócios ali estabelecida as disposições da Lei nº 14.133, de 2021;</w:t>
      </w:r>
    </w:p>
    <w:p w14:paraId="258936C9" w14:textId="77777777" w:rsidR="00397A8F" w:rsidRDefault="00625E41">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6.3.2. a contratada se vincula à sua proposta e às previsões contidas no Aviso de Contratação Direta e seus anexos;</w:t>
      </w:r>
    </w:p>
    <w:p w14:paraId="1C078255" w14:textId="77777777" w:rsidR="00397A8F" w:rsidRDefault="00625E41">
      <w:pPr>
        <w:spacing w:before="120" w:after="120" w:line="276" w:lineRule="auto"/>
        <w:ind w:left="284"/>
        <w:jc w:val="both"/>
        <w:rPr>
          <w:rFonts w:ascii="Bookman Old Style" w:eastAsia="Arial" w:hAnsi="Bookman Old Style" w:cs="Arial"/>
          <w:iCs/>
          <w:sz w:val="18"/>
          <w:szCs w:val="18"/>
        </w:rPr>
      </w:pPr>
      <w:r>
        <w:rPr>
          <w:rFonts w:ascii="Bookman Old Style" w:eastAsia="Arial" w:hAnsi="Bookman Old Style" w:cs="Arial"/>
          <w:iCs/>
          <w:sz w:val="18"/>
          <w:szCs w:val="18"/>
        </w:rPr>
        <w:t>6.3.3. a contratada reconhece que as hipóteses de rescisão são aquelas previstas nos artigos 137 e 138 da Lei nº 14.133/21 e reconhece os direitos da Administração previstos nos artigos 137 a 139 da mesma Lei.</w:t>
      </w:r>
    </w:p>
    <w:p w14:paraId="671FAB07" w14:textId="77777777" w:rsidR="00397A8F" w:rsidRDefault="00625E41">
      <w:pPr>
        <w:spacing w:before="120" w:after="120" w:line="276" w:lineRule="auto"/>
        <w:jc w:val="both"/>
        <w:rPr>
          <w:rFonts w:ascii="Bookman Old Style" w:eastAsia="Arial" w:hAnsi="Bookman Old Style" w:cs="Arial"/>
          <w:color w:val="000000"/>
          <w:sz w:val="18"/>
          <w:szCs w:val="18"/>
        </w:rPr>
      </w:pPr>
      <w:r>
        <w:rPr>
          <w:rFonts w:ascii="Bookman Old Style" w:eastAsia="Arial" w:hAnsi="Bookman Old Style" w:cs="Arial"/>
          <w:color w:val="000000"/>
          <w:sz w:val="18"/>
          <w:szCs w:val="18"/>
        </w:rPr>
        <w:t xml:space="preserve">6.4. O prazo de vigência da contratação é </w:t>
      </w:r>
      <w:r>
        <w:rPr>
          <w:rFonts w:ascii="Bookman Old Style" w:eastAsia="Arial" w:hAnsi="Bookman Old Style" w:cs="Arial"/>
          <w:sz w:val="18"/>
          <w:szCs w:val="18"/>
        </w:rPr>
        <w:t xml:space="preserve">de 12 (doze) meses prorrogável conforme previsão nos anexos a este Aviso de Contratação Direta. </w:t>
      </w:r>
    </w:p>
    <w:p w14:paraId="44F11591" w14:textId="77777777" w:rsidR="00397A8F" w:rsidRDefault="00625E41">
      <w:pPr>
        <w:spacing w:before="120" w:after="120" w:line="276" w:lineRule="auto"/>
        <w:jc w:val="both"/>
        <w:rPr>
          <w:rFonts w:ascii="Bookman Old Style" w:eastAsia="Arial" w:hAnsi="Bookman Old Style" w:cs="Arial"/>
          <w:color w:val="000000"/>
          <w:sz w:val="18"/>
          <w:szCs w:val="18"/>
        </w:rPr>
      </w:pPr>
      <w:r>
        <w:rPr>
          <w:rFonts w:ascii="Bookman Old Style" w:hAnsi="Bookman Old Style" w:cs="Arial"/>
          <w:color w:val="000000"/>
          <w:sz w:val="18"/>
          <w:szCs w:val="18"/>
        </w:rPr>
        <w:t>6.5. Na assinatura do contrato ou do instrumento equivalente será exigida a comprovação das condições de habilitação e contratação consignadas neste aviso, que deverão ser mantidas pelo fornecedor durante a vigência do contrato.</w:t>
      </w:r>
    </w:p>
    <w:p w14:paraId="6FD53656" w14:textId="77777777" w:rsidR="00397A8F" w:rsidRDefault="00397A8F">
      <w:pPr>
        <w:pStyle w:val="PADRO"/>
        <w:keepNext w:val="0"/>
        <w:widowControl/>
        <w:shd w:val="clear" w:color="auto" w:fill="auto"/>
        <w:spacing w:before="120" w:after="120"/>
        <w:ind w:firstLine="0"/>
        <w:rPr>
          <w:rFonts w:ascii="Bookman Old Style" w:hAnsi="Bookman Old Style" w:cs="Arial"/>
          <w:b/>
          <w:sz w:val="18"/>
          <w:szCs w:val="18"/>
        </w:rPr>
      </w:pPr>
    </w:p>
    <w:p w14:paraId="61927933" w14:textId="77777777" w:rsidR="00397A8F" w:rsidRDefault="00625E41">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7. SANÇÕES</w:t>
      </w:r>
    </w:p>
    <w:p w14:paraId="4B409263" w14:textId="77777777" w:rsidR="00397A8F" w:rsidRDefault="00625E41">
      <w:pPr>
        <w:spacing w:before="120" w:after="120" w:line="276" w:lineRule="auto"/>
        <w:jc w:val="both"/>
        <w:rPr>
          <w:rFonts w:ascii="Bookman Old Style" w:hAnsi="Bookman Old Style" w:cs="Arial"/>
          <w:b/>
          <w:sz w:val="18"/>
          <w:szCs w:val="18"/>
        </w:rPr>
      </w:pPr>
      <w:r>
        <w:rPr>
          <w:rFonts w:ascii="Bookman Old Style" w:hAnsi="Bookman Old Style" w:cs="Arial"/>
          <w:sz w:val="18"/>
          <w:szCs w:val="18"/>
        </w:rPr>
        <w:t xml:space="preserve">7.1. Comete infração administrativa o fornecedor que cometer quaisquer das infrações previstas no art. 155 da Lei nº 14.133, de 2021, quais sejam: </w:t>
      </w:r>
    </w:p>
    <w:p w14:paraId="073CB948"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 dar causa à inexecução parcial do contrato</w:t>
      </w:r>
      <w:r>
        <w:rPr>
          <w:rFonts w:ascii="Bookman Old Style" w:hAnsi="Bookman Old Style" w:cs="Arial"/>
          <w:sz w:val="18"/>
          <w:szCs w:val="18"/>
        </w:rPr>
        <w:t>;</w:t>
      </w:r>
    </w:p>
    <w:p w14:paraId="3F9CC66A"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7.1.2. dar causa à inexecução parcial do contrato que cause grave dano à Administração, ao funcionamento dos serviços públicos ou ao interesse coletivo;</w:t>
      </w:r>
    </w:p>
    <w:p w14:paraId="7C74A061"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7.1.3. dar causa à inexecução total do contrato;</w:t>
      </w:r>
    </w:p>
    <w:p w14:paraId="21399B35" w14:textId="77777777" w:rsidR="00397A8F" w:rsidRDefault="00625E41">
      <w:pPr>
        <w:spacing w:before="120" w:after="120" w:line="276" w:lineRule="auto"/>
        <w:ind w:left="284"/>
        <w:jc w:val="both"/>
        <w:rPr>
          <w:rFonts w:ascii="Bookman Old Style" w:hAnsi="Bookman Old Style" w:cs="Arial"/>
          <w:color w:val="000000"/>
          <w:sz w:val="18"/>
          <w:szCs w:val="18"/>
        </w:rPr>
      </w:pPr>
      <w:r>
        <w:rPr>
          <w:rFonts w:ascii="Bookman Old Style" w:hAnsi="Bookman Old Style" w:cs="Arial"/>
          <w:color w:val="000000"/>
          <w:sz w:val="18"/>
          <w:szCs w:val="18"/>
        </w:rPr>
        <w:t>7.1.4. deixar de entregar a documentação exigida para o certame;</w:t>
      </w:r>
    </w:p>
    <w:p w14:paraId="3A03FE5F"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7.1.5. não manter a proposta, salvo em decorrência de fato superveniente devidamente justificado;</w:t>
      </w:r>
    </w:p>
    <w:p w14:paraId="46424C3E"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7.1.6. não celebrar o contrato ou não entregar a documentação exigida para a contratação, quando convocado dentro do prazo de validade de sua proposta;</w:t>
      </w:r>
    </w:p>
    <w:p w14:paraId="7873B62B"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7.1.7. ensejar o retardamento da execução ou da entrega do objeto da licitação sem motivo justificado;</w:t>
      </w:r>
    </w:p>
    <w:p w14:paraId="0A20930D"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lastRenderedPageBreak/>
        <w:t>7.1.8. apresentar declaração ou documentação falsa exigida para o certame ou prestar declaração falsa durante a dispensa eletrônica ou a execução do contrato;</w:t>
      </w:r>
    </w:p>
    <w:p w14:paraId="1EB5FDEA"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7.1.9. fraudar a dispensa eletrônica ou praticar ato fraudulento na execução do contrato;</w:t>
      </w:r>
    </w:p>
    <w:p w14:paraId="46DAC995"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7.1.10. comportar-se de modo inidôneo ou cometer fraude de qualquer natureza;</w:t>
      </w:r>
    </w:p>
    <w:p w14:paraId="52742F39"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sz w:val="18"/>
          <w:szCs w:val="18"/>
        </w:rPr>
        <w:t>7.1.11.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4E446C3B" w14:textId="77777777" w:rsidR="00397A8F" w:rsidRDefault="00625E41">
      <w:pPr>
        <w:spacing w:before="120" w:after="120" w:line="276" w:lineRule="auto"/>
        <w:ind w:left="284"/>
        <w:jc w:val="both"/>
        <w:rPr>
          <w:rFonts w:ascii="Bookman Old Style" w:hAnsi="Bookman Old Style" w:cs="Arial"/>
          <w:sz w:val="18"/>
          <w:szCs w:val="18"/>
        </w:rPr>
      </w:pPr>
      <w:r>
        <w:rPr>
          <w:rFonts w:ascii="Bookman Old Style" w:hAnsi="Bookman Old Style" w:cs="Arial"/>
          <w:color w:val="000000"/>
          <w:sz w:val="18"/>
          <w:szCs w:val="18"/>
        </w:rPr>
        <w:t>7.1.12. praticar atos ilícitos com vistas a frustrar os objetivos deste certame.</w:t>
      </w:r>
    </w:p>
    <w:p w14:paraId="31F8FB10" w14:textId="77777777" w:rsidR="00397A8F" w:rsidRDefault="00625E41">
      <w:pPr>
        <w:spacing w:before="120" w:after="120" w:line="276" w:lineRule="auto"/>
        <w:ind w:left="284"/>
        <w:jc w:val="both"/>
        <w:rPr>
          <w:rFonts w:ascii="Bookman Old Style" w:hAnsi="Bookman Old Style" w:cs="Arial"/>
          <w:color w:val="000000"/>
          <w:sz w:val="18"/>
          <w:szCs w:val="18"/>
        </w:rPr>
      </w:pPr>
      <w:r>
        <w:rPr>
          <w:rFonts w:ascii="Bookman Old Style" w:hAnsi="Bookman Old Style" w:cs="Arial"/>
          <w:color w:val="000000"/>
          <w:sz w:val="18"/>
          <w:szCs w:val="18"/>
        </w:rPr>
        <w:t>7.1.13. praticar ato lesivo previsto no </w:t>
      </w:r>
      <w:hyperlink r:id="rId10" w:anchor="art5" w:history="1">
        <w:r>
          <w:rPr>
            <w:rFonts w:ascii="Bookman Old Style" w:hAnsi="Bookman Old Style"/>
            <w:color w:val="000000"/>
            <w:sz w:val="18"/>
            <w:szCs w:val="18"/>
          </w:rPr>
          <w:t>art. 5º da Lei nº 12.846, de 1º de agosto de 2013.</w:t>
        </w:r>
      </w:hyperlink>
    </w:p>
    <w:p w14:paraId="37C4504E" w14:textId="77777777" w:rsidR="00397A8F" w:rsidRDefault="00625E41">
      <w:pPr>
        <w:spacing w:before="120" w:after="120" w:line="276" w:lineRule="auto"/>
        <w:jc w:val="both"/>
        <w:rPr>
          <w:rFonts w:ascii="Bookman Old Style" w:hAnsi="Bookman Old Style" w:cs="Arial"/>
          <w:b/>
          <w:sz w:val="18"/>
          <w:szCs w:val="18"/>
        </w:rPr>
      </w:pPr>
      <w:r>
        <w:rPr>
          <w:rFonts w:ascii="Bookman Old Style" w:hAnsi="Bookman Old Style" w:cs="Arial"/>
          <w:sz w:val="18"/>
          <w:szCs w:val="18"/>
        </w:rPr>
        <w:t>7.2. O fornecedor que cometer qualquer das infrações discriminadas nos subitens anteriores ficará sujeito, sem prejuízo da responsabilidade civil e criminal, às seguintes sanções:</w:t>
      </w:r>
    </w:p>
    <w:p w14:paraId="0149A2B9" w14:textId="77777777" w:rsidR="00397A8F" w:rsidRDefault="00625E41">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sz w:val="18"/>
          <w:szCs w:val="18"/>
        </w:rPr>
        <w:t>Advertência pela falta do subitem 7.1.1 deste Aviso de Contratação Direta,</w:t>
      </w:r>
      <w:r>
        <w:rPr>
          <w:rFonts w:ascii="Bookman Old Style" w:hAnsi="Bookman Old Style"/>
          <w:sz w:val="18"/>
          <w:szCs w:val="18"/>
        </w:rPr>
        <w:t xml:space="preserve"> </w:t>
      </w:r>
      <w:r>
        <w:rPr>
          <w:rFonts w:ascii="Bookman Old Style" w:hAnsi="Bookman Old Style" w:cs="Arial"/>
          <w:sz w:val="18"/>
          <w:szCs w:val="18"/>
        </w:rPr>
        <w:t>quando não se justificar a imposição de penalidade mais grave;</w:t>
      </w:r>
    </w:p>
    <w:p w14:paraId="00F43348" w14:textId="77777777" w:rsidR="00397A8F" w:rsidRDefault="00625E41">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sz w:val="18"/>
          <w:szCs w:val="18"/>
        </w:rPr>
        <w:t>Multa de 20% (vinte por cento) sobre o valor estimado do(s) item(s) prejudicado(s) pela conduta do fornecedor, por qualquer das infrações dos subitens 7.1.1 a 7.1.12;</w:t>
      </w:r>
    </w:p>
    <w:p w14:paraId="335FFABE" w14:textId="77777777" w:rsidR="00397A8F" w:rsidRDefault="00625E41">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Impedimento de licitar e contratar</w:t>
      </w:r>
      <w:r>
        <w:rPr>
          <w:rFonts w:ascii="Bookman Old Style" w:hAnsi="Bookman Old Style" w:cs="Arial"/>
          <w:sz w:val="18"/>
          <w:szCs w:val="18"/>
        </w:rPr>
        <w:t xml:space="preserve"> </w:t>
      </w:r>
      <w:r>
        <w:rPr>
          <w:rFonts w:ascii="Bookman Old Style" w:hAnsi="Bookman Old Style" w:cs="Arial"/>
          <w:color w:val="000000"/>
          <w:sz w:val="18"/>
          <w:szCs w:val="18"/>
        </w:rPr>
        <w:t>no âmbito da Administração Pública direta e indireta do ente federativo que tiver aplicado a sanção, pelo prazo máximo de 3 (três) anos, nos casos dos subitens 7.1.2 a 7.1.7 deste Aviso de Contratação Direta, quando não se justificar a imposição de penalidade mais grave</w:t>
      </w:r>
      <w:r>
        <w:rPr>
          <w:rFonts w:ascii="Bookman Old Style" w:hAnsi="Bookman Old Style" w:cs="Arial"/>
          <w:sz w:val="18"/>
          <w:szCs w:val="18"/>
        </w:rPr>
        <w:t>;</w:t>
      </w:r>
    </w:p>
    <w:p w14:paraId="04232919" w14:textId="77777777" w:rsidR="00397A8F" w:rsidRDefault="00625E41">
      <w:pPr>
        <w:numPr>
          <w:ilvl w:val="2"/>
          <w:numId w:val="24"/>
        </w:numPr>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7.1.12, bem como nos demais casos que justifiquem a imposição da penalidade mais grave</w:t>
      </w:r>
      <w:r>
        <w:rPr>
          <w:rFonts w:ascii="Bookman Old Style" w:hAnsi="Bookman Old Style" w:cs="Arial"/>
          <w:sz w:val="18"/>
          <w:szCs w:val="18"/>
        </w:rPr>
        <w:t>;</w:t>
      </w:r>
    </w:p>
    <w:p w14:paraId="53EC55A5"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 Na aplicação das sanções serão considerados:</w:t>
      </w:r>
    </w:p>
    <w:p w14:paraId="2C9E8DEC"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7.3.1. a natureza e a gravidade da infração cometida;</w:t>
      </w:r>
    </w:p>
    <w:p w14:paraId="59B752FA"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7.3.2. as peculiaridades do caso concreto;</w:t>
      </w:r>
    </w:p>
    <w:p w14:paraId="68F71C28"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7.3.3. as circunstâncias agravantes ou atenuantes;</w:t>
      </w:r>
    </w:p>
    <w:p w14:paraId="6B00147A"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7.3.4. os danos que dela provierem para a Administração Pública;</w:t>
      </w:r>
    </w:p>
    <w:p w14:paraId="7D1E8660" w14:textId="77777777" w:rsidR="00397A8F" w:rsidRDefault="00625E41">
      <w:pPr>
        <w:spacing w:before="120" w:after="120" w:line="276" w:lineRule="auto"/>
        <w:jc w:val="both"/>
        <w:rPr>
          <w:rFonts w:ascii="Bookman Old Style" w:hAnsi="Bookman Old Style" w:cs="Arial"/>
          <w:bCs/>
          <w:sz w:val="18"/>
          <w:szCs w:val="18"/>
        </w:rPr>
      </w:pPr>
      <w:r>
        <w:rPr>
          <w:rFonts w:ascii="Bookman Old Style" w:hAnsi="Bookman Old Style" w:cs="Arial"/>
          <w:bCs/>
          <w:sz w:val="18"/>
          <w:szCs w:val="18"/>
        </w:rPr>
        <w:t>7.3.5. a implantação ou o aperfeiçoamento de programa de integridade, conforme normas e orientações dos órgãos de controle.</w:t>
      </w:r>
    </w:p>
    <w:p w14:paraId="17160D09" w14:textId="77777777" w:rsidR="00397A8F" w:rsidRDefault="00625E41">
      <w:pPr>
        <w:spacing w:before="120" w:after="120" w:line="276" w:lineRule="auto"/>
        <w:jc w:val="both"/>
        <w:rPr>
          <w:rFonts w:ascii="Bookman Old Style" w:hAnsi="Bookman Old Style" w:cs="Arial"/>
          <w:sz w:val="18"/>
          <w:szCs w:val="18"/>
        </w:rPr>
      </w:pPr>
      <w:bookmarkStart w:id="1" w:name="art156§6"/>
      <w:bookmarkStart w:id="2" w:name="art156§7"/>
      <w:bookmarkStart w:id="3" w:name="art156§8"/>
      <w:bookmarkEnd w:id="1"/>
      <w:bookmarkEnd w:id="2"/>
      <w:bookmarkEnd w:id="3"/>
      <w:r>
        <w:rPr>
          <w:rFonts w:ascii="Bookman Old Style" w:hAnsi="Bookman Old Style" w:cs="Arial"/>
          <w:sz w:val="18"/>
          <w:szCs w:val="18"/>
        </w:rPr>
        <w:t>7.4. Se a multa aplicada e as indenizações cabíveis forem superiores ao valor de pagamento eventualmente devido pela Administração ao contratado, além da perda desse valor, a diferença será descontada da garantia prestada ou será cobrada judicialmente.</w:t>
      </w:r>
    </w:p>
    <w:p w14:paraId="43FEC4FF" w14:textId="77777777" w:rsidR="00397A8F" w:rsidRDefault="00625E41">
      <w:pPr>
        <w:spacing w:before="120" w:after="120" w:line="276" w:lineRule="auto"/>
        <w:jc w:val="both"/>
        <w:rPr>
          <w:rFonts w:ascii="Bookman Old Style" w:hAnsi="Bookman Old Style" w:cs="Arial"/>
          <w:sz w:val="18"/>
          <w:szCs w:val="18"/>
        </w:rPr>
      </w:pPr>
      <w:bookmarkStart w:id="4" w:name="art156§9"/>
      <w:bookmarkEnd w:id="4"/>
      <w:r>
        <w:rPr>
          <w:rFonts w:ascii="Bookman Old Style" w:hAnsi="Bookman Old Style" w:cs="Arial"/>
          <w:sz w:val="18"/>
          <w:szCs w:val="18"/>
        </w:rPr>
        <w:t>7.5. A aplicação das sanções previstas neste Aviso de Contratação Direta, em hipótese alguma, a obrigação de reparação integral do dano causado à Administração Pública.</w:t>
      </w:r>
    </w:p>
    <w:p w14:paraId="1FD8435B"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7.6. A penalidade de multa pode ser aplicada cumulativamente com as demais sanções.</w:t>
      </w:r>
    </w:p>
    <w:p w14:paraId="469CAFEF"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4162E4F"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lastRenderedPageBreak/>
        <w:t>7.8.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61FB2EF1"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7.9. 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7C44ADC3"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1CB065A" w14:textId="77777777" w:rsidR="00397A8F" w:rsidRDefault="00625E41">
      <w:pPr>
        <w:spacing w:before="120" w:after="120" w:line="276" w:lineRule="auto"/>
        <w:jc w:val="both"/>
        <w:rPr>
          <w:rFonts w:ascii="Bookman Old Style" w:hAnsi="Bookman Old Style" w:cs="Arial"/>
          <w:sz w:val="18"/>
          <w:szCs w:val="18"/>
        </w:rPr>
      </w:pPr>
      <w:r>
        <w:rPr>
          <w:rFonts w:ascii="Bookman Old Style" w:hAnsi="Bookman Old Style" w:cs="Arial"/>
          <w:sz w:val="18"/>
          <w:szCs w:val="18"/>
        </w:rPr>
        <w:t>7.11. As sanções por atos praticados no decorrer da contratação estão previstas nos anexos a este Aviso.</w:t>
      </w:r>
    </w:p>
    <w:p w14:paraId="14BF95EC" w14:textId="77777777" w:rsidR="00397A8F" w:rsidRDefault="00625E41">
      <w:pPr>
        <w:pStyle w:val="PADRO"/>
        <w:keepNext w:val="0"/>
        <w:widowControl/>
        <w:shd w:val="clear" w:color="auto" w:fill="auto"/>
        <w:spacing w:before="120" w:after="120"/>
        <w:ind w:firstLine="0"/>
        <w:rPr>
          <w:rFonts w:ascii="Bookman Old Style" w:hAnsi="Bookman Old Style" w:cs="Arial"/>
          <w:b/>
          <w:sz w:val="18"/>
          <w:szCs w:val="18"/>
        </w:rPr>
      </w:pPr>
      <w:r>
        <w:rPr>
          <w:rFonts w:ascii="Bookman Old Style" w:hAnsi="Bookman Old Style" w:cs="Arial"/>
          <w:b/>
          <w:sz w:val="18"/>
          <w:szCs w:val="18"/>
        </w:rPr>
        <w:t>8. DAS DISPOSIÇÕES GERAIS</w:t>
      </w:r>
    </w:p>
    <w:p w14:paraId="14E72F84" w14:textId="77777777" w:rsidR="00397A8F" w:rsidRDefault="00625E41">
      <w:pPr>
        <w:rPr>
          <w:rFonts w:ascii="Bookman Old Style" w:hAnsi="Bookman Old Style" w:cs="Arial"/>
          <w:color w:val="000000" w:themeColor="text1"/>
          <w:sz w:val="18"/>
          <w:szCs w:val="18"/>
        </w:rPr>
      </w:pPr>
      <w:r>
        <w:rPr>
          <w:rFonts w:ascii="Bookman Old Style" w:hAnsi="Bookman Old Style"/>
          <w:sz w:val="18"/>
          <w:szCs w:val="18"/>
        </w:rPr>
        <w:t xml:space="preserve">8.1. O procedimento será divulgado </w:t>
      </w:r>
      <w:r w:rsidRPr="00AF4124">
        <w:rPr>
          <w:rFonts w:ascii="Bookman Old Style" w:hAnsi="Bookman Old Style"/>
          <w:color w:val="FF0000"/>
          <w:sz w:val="18"/>
          <w:szCs w:val="18"/>
          <w:highlight w:val="yellow"/>
        </w:rPr>
        <w:t xml:space="preserve">no </w:t>
      </w:r>
      <w:hyperlink r:id="rId11" w:history="1">
        <w:r w:rsidRPr="00AF4124">
          <w:rPr>
            <w:rStyle w:val="Hyperlink"/>
            <w:rFonts w:ascii="Bookman Old Style" w:hAnsi="Bookman Old Style" w:cs="Arial"/>
            <w:color w:val="FF0000"/>
            <w:sz w:val="18"/>
            <w:szCs w:val="18"/>
            <w:highlight w:val="yellow"/>
          </w:rPr>
          <w:t>www.licitardigital.com.br</w:t>
        </w:r>
      </w:hyperlink>
      <w:r w:rsidRPr="00AF4124">
        <w:rPr>
          <w:rFonts w:ascii="Bookman Old Style" w:hAnsi="Bookman Old Style" w:cs="Arial"/>
          <w:color w:val="FF0000"/>
          <w:sz w:val="18"/>
          <w:szCs w:val="18"/>
          <w:highlight w:val="yellow"/>
        </w:rPr>
        <w:t xml:space="preserve"> e no</w:t>
      </w:r>
      <w:r w:rsidRPr="00AF4124">
        <w:rPr>
          <w:rFonts w:ascii="Bookman Old Style" w:hAnsi="Bookman Old Style" w:cs="Arial"/>
          <w:color w:val="FF0000"/>
          <w:sz w:val="18"/>
          <w:szCs w:val="18"/>
        </w:rPr>
        <w:t xml:space="preserve"> </w:t>
      </w:r>
      <w:r>
        <w:rPr>
          <w:rFonts w:ascii="Bookman Old Style" w:hAnsi="Bookman Old Style" w:cs="Arial"/>
          <w:color w:val="000000" w:themeColor="text1"/>
          <w:sz w:val="18"/>
          <w:szCs w:val="18"/>
        </w:rPr>
        <w:t xml:space="preserve">Portal Nacional de Contratações Públicas (PNCP). </w:t>
      </w:r>
    </w:p>
    <w:p w14:paraId="041697F3"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8.2. No caso de todos os fornecedores restarem desclassificados ou inabilitados (procedimento fracassado), ou, ainda, o procedimento restar deserto, a Administração poderá:</w:t>
      </w:r>
    </w:p>
    <w:p w14:paraId="71CFF335"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 - republicar o procedimento;</w:t>
      </w:r>
    </w:p>
    <w:p w14:paraId="51B21F5B"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II - fixar prazo para que os fornecedores interessados possam adequar as suas propostas ou sua situação no que se refere à habilitação; ou</w:t>
      </w:r>
    </w:p>
    <w:p w14:paraId="3969BD80"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III - valer-se, para a contratação, de proposta obtida na pesquisa de preços que serviu de base ao procedimento, se houver, privilegiando-se os menores preços, sempre que possível, e desde que atendidas às condições de habilitação exigidas.</w:t>
      </w:r>
    </w:p>
    <w:p w14:paraId="2897B05E"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8.3. Havendo a necessidade de realização de ato de qualquer natureza pelos fornecedores, cujo prazo não conste deste Aviso de Contratação Direta, deverá ser atendido o prazo indicado pelo agente competente da Administração na respectiva notificação.</w:t>
      </w:r>
    </w:p>
    <w:p w14:paraId="5E55C9F5"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8.4. Caberá ao fornecedor acompanhar as operações, ficando responsável pelo ônus decorrente da perda do negócio diante da inobservância de quaisquer mensagens emitidas pela Administração ou de sua desconexão.</w:t>
      </w:r>
    </w:p>
    <w:p w14:paraId="1C31A49B"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78497AA"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8.6. Os horários estabelecidos na divulgação deste procedimento e durante o envio de lances observarão o horário de Brasília-DF, inclusive para contagem de tempo e registro no Sistema e na documentação relativa ao procedimento.</w:t>
      </w:r>
    </w:p>
    <w:p w14:paraId="74BB27ED" w14:textId="77777777" w:rsidR="00397A8F" w:rsidRDefault="00625E41">
      <w:pPr>
        <w:spacing w:before="120" w:after="120" w:line="276" w:lineRule="auto"/>
        <w:jc w:val="both"/>
        <w:rPr>
          <w:rFonts w:ascii="Bookman Old Style" w:hAnsi="Bookman Old Style" w:cs="Arial"/>
          <w:color w:val="000000" w:themeColor="text1"/>
          <w:sz w:val="18"/>
          <w:szCs w:val="18"/>
        </w:rPr>
      </w:pPr>
      <w:r>
        <w:rPr>
          <w:rFonts w:ascii="Bookman Old Style" w:hAnsi="Bookman Old Style" w:cs="Arial"/>
          <w:color w:val="000000" w:themeColor="text1"/>
          <w:sz w:val="18"/>
          <w:szCs w:val="18"/>
        </w:rPr>
        <w:t>8.7.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AF7A0C3"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 xml:space="preserve">8.8. 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8DF47D0"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8.9. Os fornecedores assumem todos os custos de preparação e apresentação de suas propostas e a Administração não será, em nenhum caso, responsável por esses custos, independentemente da condução ou do resultado do processo de contratação.</w:t>
      </w:r>
    </w:p>
    <w:p w14:paraId="48D2AA6A"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lastRenderedPageBreak/>
        <w:t>8.10. Em caso de divergência entre disposições deste Aviso de Contratação Direta e de seus anexos ou demais peças que compõem o processo, prevalecerá as deste Aviso.</w:t>
      </w:r>
    </w:p>
    <w:p w14:paraId="54E072A8"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8.11. Da sessão pública será divulgada Ata no sistema eletrônico.</w:t>
      </w:r>
    </w:p>
    <w:p w14:paraId="419B822E" w14:textId="77777777" w:rsidR="00397A8F" w:rsidRDefault="00625E41">
      <w:p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8.12. Integram este Aviso de Contratação Direta, para todos os fins e efeitos, os seguintes anexos:</w:t>
      </w:r>
    </w:p>
    <w:p w14:paraId="05DDEED0" w14:textId="77777777" w:rsidR="00397A8F" w:rsidRDefault="00625E41">
      <w:pPr>
        <w:numPr>
          <w:ilvl w:val="2"/>
          <w:numId w:val="26"/>
        </w:num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ANEXO I – Documentação exigida para Habilitação</w:t>
      </w:r>
    </w:p>
    <w:p w14:paraId="2E1F5BB5" w14:textId="77777777" w:rsidR="00397A8F" w:rsidRDefault="00625E41">
      <w:pPr>
        <w:numPr>
          <w:ilvl w:val="2"/>
          <w:numId w:val="26"/>
        </w:numPr>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ANEXO II - Termo de Referência.</w:t>
      </w:r>
    </w:p>
    <w:p w14:paraId="040E06CC" w14:textId="77777777" w:rsidR="00397A8F" w:rsidRDefault="00397A8F">
      <w:pPr>
        <w:spacing w:before="120" w:after="120" w:line="276" w:lineRule="auto"/>
        <w:jc w:val="both"/>
        <w:rPr>
          <w:rFonts w:ascii="Bookman Old Style" w:hAnsi="Bookman Old Style" w:cs="Arial"/>
          <w:color w:val="000000"/>
          <w:sz w:val="18"/>
          <w:szCs w:val="18"/>
        </w:rPr>
      </w:pPr>
    </w:p>
    <w:p w14:paraId="292783FF" w14:textId="1C2BFC33" w:rsidR="00397A8F" w:rsidRDefault="00AF4124">
      <w:pPr>
        <w:spacing w:before="120" w:after="120" w:line="276" w:lineRule="auto"/>
        <w:jc w:val="both"/>
        <w:rPr>
          <w:rFonts w:ascii="Bookman Old Style" w:hAnsi="Bookman Old Style" w:cs="Arial"/>
          <w:color w:val="000000"/>
          <w:sz w:val="18"/>
          <w:szCs w:val="18"/>
          <w:lang w:val="fr-FR"/>
        </w:rPr>
      </w:pPr>
      <w:r w:rsidRPr="00B6552D">
        <w:rPr>
          <w:rFonts w:ascii="Bookman Old Style" w:hAnsi="Bookman Old Style" w:cs="Arial"/>
          <w:color w:val="000000"/>
          <w:sz w:val="18"/>
          <w:szCs w:val="18"/>
          <w:lang w:val="fr-FR"/>
        </w:rPr>
        <w:t>Pitangui</w:t>
      </w:r>
      <w:r w:rsidR="00625E41" w:rsidRPr="00B6552D">
        <w:rPr>
          <w:rFonts w:ascii="Bookman Old Style" w:hAnsi="Bookman Old Style" w:cs="Arial"/>
          <w:color w:val="000000"/>
          <w:sz w:val="18"/>
          <w:szCs w:val="18"/>
          <w:lang w:val="fr-FR"/>
        </w:rPr>
        <w:t xml:space="preserve">/MG, </w:t>
      </w:r>
      <w:r w:rsidR="00B6552D" w:rsidRPr="00B6552D">
        <w:rPr>
          <w:rFonts w:ascii="Bookman Old Style" w:hAnsi="Bookman Old Style" w:cs="Arial"/>
          <w:color w:val="000000"/>
          <w:sz w:val="18"/>
          <w:szCs w:val="18"/>
          <w:lang w:val="fr-FR"/>
        </w:rPr>
        <w:t>26</w:t>
      </w:r>
      <w:r w:rsidR="00625E41" w:rsidRPr="00B6552D">
        <w:rPr>
          <w:rFonts w:ascii="Bookman Old Style" w:hAnsi="Bookman Old Style" w:cs="Arial"/>
          <w:color w:val="000000"/>
          <w:sz w:val="18"/>
          <w:szCs w:val="18"/>
          <w:lang w:val="fr-FR"/>
        </w:rPr>
        <w:t xml:space="preserve"> de </w:t>
      </w:r>
      <w:r w:rsidR="00B6552D" w:rsidRPr="00B6552D">
        <w:rPr>
          <w:rFonts w:ascii="Bookman Old Style" w:hAnsi="Bookman Old Style" w:cs="Arial"/>
          <w:color w:val="000000"/>
          <w:sz w:val="18"/>
          <w:szCs w:val="18"/>
          <w:lang w:val="fr-FR"/>
        </w:rPr>
        <w:t>fevereiro</w:t>
      </w:r>
      <w:r w:rsidR="00625E41" w:rsidRPr="00B6552D">
        <w:rPr>
          <w:rFonts w:ascii="Bookman Old Style" w:hAnsi="Bookman Old Style" w:cs="Arial"/>
          <w:color w:val="000000"/>
          <w:sz w:val="18"/>
          <w:szCs w:val="18"/>
          <w:lang w:val="fr-FR"/>
        </w:rPr>
        <w:t xml:space="preserve"> de 2025.</w:t>
      </w:r>
    </w:p>
    <w:p w14:paraId="5E05AB7A" w14:textId="77777777" w:rsidR="0003038C" w:rsidRPr="00AF4124" w:rsidRDefault="0003038C" w:rsidP="0003038C">
      <w:pPr>
        <w:pStyle w:val="Default"/>
        <w:spacing w:after="200" w:line="276" w:lineRule="auto"/>
        <w:contextualSpacing/>
        <w:jc w:val="center"/>
        <w:rPr>
          <w:rFonts w:ascii="Bookman Old Style" w:hAnsi="Bookman Old Style"/>
          <w:sz w:val="18"/>
          <w:szCs w:val="18"/>
        </w:rPr>
      </w:pPr>
    </w:p>
    <w:p w14:paraId="1A904CDA" w14:textId="77777777" w:rsidR="0003038C" w:rsidRPr="00AF4124" w:rsidRDefault="0003038C" w:rsidP="0003038C">
      <w:pPr>
        <w:pStyle w:val="Default"/>
        <w:spacing w:after="200" w:line="276" w:lineRule="auto"/>
        <w:contextualSpacing/>
        <w:jc w:val="center"/>
        <w:rPr>
          <w:rFonts w:ascii="Bookman Old Style" w:hAnsi="Bookman Old Style"/>
          <w:sz w:val="18"/>
          <w:szCs w:val="18"/>
        </w:rPr>
      </w:pPr>
    </w:p>
    <w:p w14:paraId="2CE0FF65" w14:textId="77777777" w:rsidR="0003038C" w:rsidRPr="007730AF" w:rsidRDefault="0003038C" w:rsidP="0003038C">
      <w:pPr>
        <w:pStyle w:val="Default"/>
        <w:spacing w:after="200" w:line="276" w:lineRule="auto"/>
        <w:contextualSpacing/>
        <w:jc w:val="center"/>
        <w:rPr>
          <w:rFonts w:ascii="Bookman Old Style" w:hAnsi="Bookman Old Style"/>
          <w:b/>
          <w:sz w:val="18"/>
          <w:szCs w:val="18"/>
        </w:rPr>
      </w:pPr>
      <w:r w:rsidRPr="007730AF">
        <w:rPr>
          <w:rFonts w:ascii="Bookman Old Style" w:hAnsi="Bookman Old Style"/>
          <w:b/>
          <w:sz w:val="18"/>
          <w:szCs w:val="18"/>
        </w:rPr>
        <w:t>Clemente Victor Azevedo Silva</w:t>
      </w:r>
    </w:p>
    <w:p w14:paraId="1A02496E" w14:textId="4EB28202" w:rsidR="0003038C" w:rsidRPr="00AF4124" w:rsidRDefault="0003038C" w:rsidP="0003038C">
      <w:pPr>
        <w:spacing w:before="120" w:after="120" w:line="276" w:lineRule="auto"/>
        <w:jc w:val="center"/>
        <w:rPr>
          <w:rFonts w:ascii="Bookman Old Style" w:hAnsi="Bookman Old Style" w:cs="Arial"/>
          <w:color w:val="000000"/>
          <w:sz w:val="18"/>
          <w:szCs w:val="18"/>
          <w:lang w:val="fr-FR"/>
        </w:rPr>
      </w:pPr>
      <w:r w:rsidRPr="00AF4124">
        <w:rPr>
          <w:rFonts w:ascii="Bookman Old Style" w:hAnsi="Bookman Old Style"/>
          <w:sz w:val="18"/>
          <w:szCs w:val="18"/>
        </w:rPr>
        <w:t>Presidente</w:t>
      </w:r>
    </w:p>
    <w:p w14:paraId="6BFF96D7" w14:textId="77777777" w:rsidR="00AF4124" w:rsidRDefault="00AF4124">
      <w:pPr>
        <w:spacing w:after="160" w:line="259" w:lineRule="auto"/>
        <w:rPr>
          <w:rFonts w:ascii="Bookman Old Style" w:hAnsi="Bookman Old Style" w:cs="Arial"/>
          <w:color w:val="000000"/>
          <w:sz w:val="18"/>
          <w:szCs w:val="18"/>
          <w:lang w:val="fr-FR"/>
        </w:rPr>
      </w:pPr>
      <w:r>
        <w:rPr>
          <w:rFonts w:ascii="Bookman Old Style" w:hAnsi="Bookman Old Style" w:cs="Arial"/>
          <w:color w:val="000000"/>
          <w:sz w:val="18"/>
          <w:szCs w:val="18"/>
          <w:lang w:val="fr-FR"/>
        </w:rPr>
        <w:br w:type="page"/>
      </w:r>
    </w:p>
    <w:p w14:paraId="474AA1B4" w14:textId="77777777" w:rsidR="00397A8F" w:rsidRDefault="00625E41">
      <w:pPr>
        <w:shd w:val="clear" w:color="auto" w:fill="D9D9D9" w:themeFill="background1" w:themeFillShade="D9"/>
        <w:jc w:val="center"/>
        <w:rPr>
          <w:rFonts w:ascii="Bookman Old Style" w:hAnsi="Bookman Old Style" w:cs="Arial"/>
          <w:b/>
          <w:bCs/>
          <w:sz w:val="18"/>
          <w:szCs w:val="18"/>
          <w:lang w:eastAsia="en-US"/>
        </w:rPr>
      </w:pPr>
      <w:r>
        <w:rPr>
          <w:rFonts w:ascii="Bookman Old Style" w:hAnsi="Bookman Old Style" w:cs="Arial"/>
          <w:b/>
          <w:bCs/>
          <w:sz w:val="18"/>
          <w:szCs w:val="18"/>
          <w:lang w:eastAsia="en-US"/>
        </w:rPr>
        <w:lastRenderedPageBreak/>
        <w:t>ANEXO I – DOCUMENTAÇÃO EXIGIDA PARA HABILITAÇÃO</w:t>
      </w:r>
    </w:p>
    <w:p w14:paraId="152A49F0" w14:textId="77777777" w:rsidR="00397A8F" w:rsidRDefault="00397A8F">
      <w:pPr>
        <w:rPr>
          <w:rFonts w:ascii="Bookman Old Style" w:hAnsi="Bookman Old Style" w:cs="Arial"/>
          <w:sz w:val="18"/>
          <w:szCs w:val="18"/>
          <w:lang w:eastAsia="en-US"/>
        </w:rPr>
      </w:pPr>
    </w:p>
    <w:p w14:paraId="126343F9" w14:textId="77777777" w:rsidR="00397A8F" w:rsidRDefault="00625E41">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bCs/>
          <w:color w:val="000000"/>
          <w:sz w:val="18"/>
          <w:szCs w:val="18"/>
        </w:rPr>
        <w:t xml:space="preserve">Habilitação jurídica: </w:t>
      </w:r>
    </w:p>
    <w:p w14:paraId="05335B63"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no caso de empresário individual, inscrição no Registro Público de Empresas Mercantis, a cargo da Junta Comercial da respectiva sede;</w:t>
      </w:r>
    </w:p>
    <w:p w14:paraId="1E4593B9" w14:textId="77777777" w:rsidR="00397A8F" w:rsidRDefault="00625E41">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Em se tratando de Microempreendedor Individual – MEI: Certificado da Condição de Microempreendedor Individual - CCMEI, cuja aceitação ficará condicionada à verificação da autenticidade no sítio www.portaldoempreendedor.gov.br;</w:t>
      </w:r>
    </w:p>
    <w:p w14:paraId="6E40E0DE"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9FF9B7C"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inscrição no Registro Público de Empresas Mercantis onde opera, com averbação no Registro onde tem sede a matriz, no caso de ser o participante sucursal, filial ou agência;</w:t>
      </w:r>
    </w:p>
    <w:p w14:paraId="6DFCC12E"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color w:val="000000"/>
          <w:sz w:val="18"/>
          <w:szCs w:val="18"/>
        </w:rPr>
        <w:t>No caso de sociedade simples: inscrição do ato constitutivo no Registro Civil das Pessoas Jurídicas do local de sua sede, acompanhada de prova da indicação dos seus administradores;</w:t>
      </w:r>
    </w:p>
    <w:p w14:paraId="148BF973"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decreto de autorização, em se tratando de sociedade empresária estrangeira em funcionamento no País;</w:t>
      </w:r>
    </w:p>
    <w:p w14:paraId="58ED6E71"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7B2D1B3" w14:textId="77777777" w:rsidR="00397A8F" w:rsidRDefault="00625E41">
      <w:pPr>
        <w:pStyle w:val="PargrafodaLista"/>
        <w:numPr>
          <w:ilvl w:val="1"/>
          <w:numId w:val="16"/>
        </w:numPr>
        <w:spacing w:before="120" w:after="120" w:line="276" w:lineRule="auto"/>
        <w:jc w:val="both"/>
        <w:rPr>
          <w:rFonts w:ascii="Bookman Old Style" w:hAnsi="Bookman Old Style" w:cs="Arial"/>
          <w:bCs/>
          <w:color w:val="000000"/>
          <w:sz w:val="18"/>
          <w:szCs w:val="18"/>
        </w:rPr>
      </w:pPr>
      <w:r>
        <w:rPr>
          <w:rFonts w:ascii="Bookman Old Style" w:hAnsi="Bookman Old Style" w:cs="Arial"/>
          <w:bCs/>
          <w:color w:val="000000"/>
          <w:sz w:val="18"/>
          <w:szCs w:val="18"/>
        </w:rPr>
        <w:t>Os documentos acima deverão estar acompanhados de todas as alterações ou da consolidação respectiva.</w:t>
      </w:r>
    </w:p>
    <w:p w14:paraId="1223820B" w14:textId="77777777" w:rsidR="00397A8F" w:rsidRDefault="00397A8F">
      <w:pPr>
        <w:pStyle w:val="PargrafodaLista"/>
        <w:spacing w:before="120" w:after="120" w:line="276" w:lineRule="auto"/>
        <w:ind w:left="1134"/>
        <w:jc w:val="both"/>
        <w:rPr>
          <w:rFonts w:ascii="Bookman Old Style" w:hAnsi="Bookman Old Style" w:cs="Arial"/>
          <w:bCs/>
          <w:color w:val="000000"/>
          <w:sz w:val="18"/>
          <w:szCs w:val="18"/>
        </w:rPr>
      </w:pPr>
    </w:p>
    <w:p w14:paraId="77409471" w14:textId="77777777" w:rsidR="00397A8F" w:rsidRDefault="00625E41">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bCs/>
          <w:color w:val="000000"/>
          <w:sz w:val="18"/>
          <w:szCs w:val="18"/>
        </w:rPr>
        <w:t xml:space="preserve"> Regularidade fiscal, social e trabalhista:</w:t>
      </w:r>
    </w:p>
    <w:p w14:paraId="038BB8F4"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lang w:eastAsia="en-US"/>
        </w:rPr>
        <w:t>prova de inscrição no Cadastro Nacional de Pessoas Jurídicas ou no Cadastro de Pessoas Físicas, conforme o caso;</w:t>
      </w:r>
    </w:p>
    <w:p w14:paraId="22430C89"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1449779"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lang w:eastAsia="en-US"/>
        </w:rPr>
        <w:t>prova de regularidade com o Fundo de Garantia do Tempo de Serviço (FGTS);</w:t>
      </w:r>
    </w:p>
    <w:p w14:paraId="3F73BD2C"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sz w:val="18"/>
          <w:szCs w:val="18"/>
        </w:rPr>
      </w:pPr>
      <w:r>
        <w:rPr>
          <w:rFonts w:ascii="Bookman Old Style" w:hAnsi="Bookman Old Style" w:cs="Arial"/>
          <w:sz w:val="18"/>
          <w:szCs w:val="18"/>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62D0E03" w14:textId="77777777" w:rsidR="00397A8F" w:rsidRDefault="00625E41">
      <w:pPr>
        <w:numPr>
          <w:ilvl w:val="1"/>
          <w:numId w:val="16"/>
        </w:numPr>
        <w:tabs>
          <w:tab w:val="left" w:pos="1440"/>
        </w:tabs>
        <w:autoSpaceDE w:val="0"/>
        <w:snapToGrid w:val="0"/>
        <w:spacing w:before="120" w:after="120" w:line="276" w:lineRule="auto"/>
        <w:jc w:val="both"/>
        <w:rPr>
          <w:rFonts w:ascii="Bookman Old Style" w:hAnsi="Bookman Old Style" w:cs="Arial"/>
          <w:b/>
          <w:sz w:val="18"/>
          <w:szCs w:val="18"/>
        </w:rPr>
      </w:pPr>
      <w:r>
        <w:rPr>
          <w:rFonts w:ascii="Bookman Old Style" w:hAnsi="Bookman Old Style" w:cs="Arial"/>
          <w:sz w:val="18"/>
          <w:szCs w:val="18"/>
        </w:rPr>
        <w:t xml:space="preserve">prova de regularidade com a Fazenda Estadual e Municipal do domicílio ou sede do fornecedor, relativa à atividade em cujo exercício contrata ou concorre; </w:t>
      </w:r>
    </w:p>
    <w:p w14:paraId="197F63E8" w14:textId="77777777" w:rsidR="00397A8F" w:rsidRDefault="00397A8F">
      <w:pPr>
        <w:tabs>
          <w:tab w:val="left" w:pos="1440"/>
        </w:tabs>
        <w:autoSpaceDE w:val="0"/>
        <w:snapToGrid w:val="0"/>
        <w:spacing w:before="120" w:after="120" w:line="276" w:lineRule="auto"/>
        <w:jc w:val="both"/>
        <w:rPr>
          <w:rFonts w:ascii="Bookman Old Style" w:hAnsi="Bookman Old Style" w:cs="Arial"/>
          <w:b/>
          <w:sz w:val="18"/>
          <w:szCs w:val="18"/>
        </w:rPr>
      </w:pPr>
    </w:p>
    <w:p w14:paraId="47287474" w14:textId="77777777" w:rsidR="00397A8F" w:rsidRDefault="00625E41">
      <w:pPr>
        <w:pStyle w:val="PADRO"/>
        <w:keepNext w:val="0"/>
        <w:widowControl/>
        <w:numPr>
          <w:ilvl w:val="0"/>
          <w:numId w:val="16"/>
        </w:numPr>
        <w:spacing w:before="120" w:after="120"/>
        <w:rPr>
          <w:rFonts w:ascii="Bookman Old Style" w:hAnsi="Bookman Old Style" w:cs="Arial"/>
          <w:sz w:val="18"/>
          <w:szCs w:val="18"/>
        </w:rPr>
      </w:pPr>
      <w:r>
        <w:rPr>
          <w:rFonts w:ascii="Bookman Old Style" w:hAnsi="Bookman Old Style" w:cs="Arial"/>
          <w:b/>
          <w:color w:val="000000"/>
          <w:sz w:val="18"/>
          <w:szCs w:val="18"/>
        </w:rPr>
        <w:t>Qualificação Econômico-Financeira:</w:t>
      </w:r>
      <w:r>
        <w:rPr>
          <w:rFonts w:ascii="Bookman Old Style" w:hAnsi="Bookman Old Style" w:cs="Arial"/>
          <w:b/>
          <w:bCs/>
          <w:iCs/>
          <w:color w:val="000000"/>
          <w:sz w:val="18"/>
          <w:szCs w:val="18"/>
        </w:rPr>
        <w:t xml:space="preserve"> </w:t>
      </w:r>
    </w:p>
    <w:p w14:paraId="76085051" w14:textId="77777777" w:rsidR="00397A8F" w:rsidRDefault="00625E41">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18"/>
          <w:szCs w:val="18"/>
        </w:rPr>
      </w:pPr>
      <w:r>
        <w:rPr>
          <w:rFonts w:ascii="Bookman Old Style" w:hAnsi="Bookman Old Style" w:cs="Arial"/>
          <w:color w:val="000000"/>
          <w:sz w:val="18"/>
          <w:szCs w:val="18"/>
        </w:rPr>
        <w:t>Certidão negativa de falência expedida pelo distribuidor da sede do fornecedor;</w:t>
      </w:r>
    </w:p>
    <w:p w14:paraId="37FE2CE3" w14:textId="77777777" w:rsidR="00397A8F" w:rsidRDefault="00397A8F">
      <w:pPr>
        <w:pStyle w:val="PargrafodaLista"/>
        <w:tabs>
          <w:tab w:val="left" w:pos="1440"/>
        </w:tabs>
        <w:autoSpaceDE w:val="0"/>
        <w:snapToGrid w:val="0"/>
        <w:spacing w:before="120" w:after="120" w:line="276" w:lineRule="auto"/>
        <w:ind w:left="927"/>
        <w:jc w:val="both"/>
        <w:rPr>
          <w:rFonts w:ascii="Bookman Old Style" w:hAnsi="Bookman Old Style" w:cs="Arial"/>
          <w:color w:val="000000"/>
          <w:sz w:val="18"/>
          <w:szCs w:val="18"/>
        </w:rPr>
      </w:pPr>
    </w:p>
    <w:p w14:paraId="2D0CC4E0" w14:textId="77777777" w:rsidR="00397A8F" w:rsidRDefault="00625E41">
      <w:pPr>
        <w:pStyle w:val="PADRO"/>
        <w:keepNext w:val="0"/>
        <w:widowControl/>
        <w:numPr>
          <w:ilvl w:val="0"/>
          <w:numId w:val="16"/>
        </w:numPr>
        <w:spacing w:before="120" w:after="120"/>
        <w:rPr>
          <w:rFonts w:ascii="Bookman Old Style" w:hAnsi="Bookman Old Style" w:cs="Arial"/>
          <w:b/>
          <w:sz w:val="18"/>
          <w:szCs w:val="18"/>
        </w:rPr>
      </w:pPr>
      <w:r>
        <w:rPr>
          <w:rFonts w:ascii="Bookman Old Style" w:hAnsi="Bookman Old Style" w:cs="Arial"/>
          <w:b/>
          <w:color w:val="000000"/>
          <w:sz w:val="18"/>
          <w:szCs w:val="18"/>
        </w:rPr>
        <w:t>Qualificação</w:t>
      </w:r>
      <w:r>
        <w:rPr>
          <w:rFonts w:ascii="Bookman Old Style" w:hAnsi="Bookman Old Style" w:cs="Arial"/>
          <w:b/>
          <w:sz w:val="18"/>
          <w:szCs w:val="18"/>
        </w:rPr>
        <w:t xml:space="preserve"> Técnica</w:t>
      </w:r>
    </w:p>
    <w:p w14:paraId="5DE998FE" w14:textId="77777777" w:rsidR="00397A8F" w:rsidRDefault="00625E41">
      <w:pPr>
        <w:pStyle w:val="PADRO"/>
        <w:keepNext w:val="0"/>
        <w:widowControl/>
        <w:numPr>
          <w:ilvl w:val="1"/>
          <w:numId w:val="1"/>
        </w:numPr>
        <w:spacing w:before="120" w:after="120"/>
        <w:rPr>
          <w:rFonts w:ascii="Bookman Old Style" w:hAnsi="Bookman Old Style" w:cs="Arial"/>
          <w:color w:val="000000"/>
          <w:sz w:val="18"/>
          <w:szCs w:val="18"/>
        </w:rPr>
      </w:pPr>
      <w:bookmarkStart w:id="5" w:name="_Hlk519176340"/>
      <w:r>
        <w:rPr>
          <w:rFonts w:ascii="Bookman Old Style" w:hAnsi="Bookman Old Style" w:cs="Arial"/>
          <w:color w:val="000000"/>
          <w:sz w:val="18"/>
          <w:szCs w:val="18"/>
        </w:rPr>
        <w:t xml:space="preserve">Certidões ou atestados que demonstrem capacidade operacional na execução de serviços similares de complexidade tecnológica e operacional equivalente ou superior ao objeto desta dispensa. </w:t>
      </w:r>
    </w:p>
    <w:p w14:paraId="659F3D62" w14:textId="77777777" w:rsidR="00AF4124" w:rsidRDefault="00AF4124">
      <w:pPr>
        <w:spacing w:after="160" w:line="259" w:lineRule="auto"/>
        <w:rPr>
          <w:rFonts w:ascii="Bookman Old Style" w:eastAsia="WenQuanYi Micro Hei" w:hAnsi="Bookman Old Style" w:cs="Arial"/>
          <w:color w:val="000000"/>
          <w:sz w:val="18"/>
          <w:szCs w:val="18"/>
          <w:lang w:eastAsia="zh-CN" w:bidi="hi-IN"/>
        </w:rPr>
      </w:pPr>
      <w:r>
        <w:rPr>
          <w:rFonts w:ascii="Bookman Old Style" w:hAnsi="Bookman Old Style" w:cs="Arial"/>
          <w:color w:val="000000"/>
          <w:sz w:val="18"/>
          <w:szCs w:val="18"/>
        </w:rPr>
        <w:br w:type="page"/>
      </w:r>
    </w:p>
    <w:p w14:paraId="2902D522" w14:textId="77777777" w:rsidR="00397A8F" w:rsidRDefault="00397A8F">
      <w:pPr>
        <w:spacing w:line="360" w:lineRule="auto"/>
        <w:contextualSpacing/>
        <w:rPr>
          <w:rFonts w:ascii="Bookman Old Style" w:hAnsi="Bookman Old Style" w:cs="Times New Roman"/>
          <w:b/>
          <w:color w:val="000000"/>
          <w:sz w:val="18"/>
          <w:szCs w:val="18"/>
          <w:u w:val="single"/>
        </w:rPr>
      </w:pPr>
    </w:p>
    <w:p w14:paraId="6CB74ED8" w14:textId="77777777" w:rsidR="00397A8F" w:rsidRDefault="00625E41">
      <w:pPr>
        <w:shd w:val="clear" w:color="auto" w:fill="D9D9D9" w:themeFill="background1" w:themeFillShade="D9"/>
        <w:contextualSpacing/>
        <w:jc w:val="center"/>
        <w:rPr>
          <w:rFonts w:ascii="Bookman Old Style" w:hAnsi="Bookman Old Style" w:cs="Times New Roman"/>
          <w:b/>
          <w:color w:val="000000"/>
          <w:sz w:val="18"/>
          <w:szCs w:val="18"/>
        </w:rPr>
      </w:pPr>
      <w:r>
        <w:rPr>
          <w:rFonts w:ascii="Bookman Old Style" w:hAnsi="Bookman Old Style" w:cs="Times New Roman"/>
          <w:b/>
          <w:color w:val="000000"/>
          <w:sz w:val="18"/>
          <w:szCs w:val="18"/>
        </w:rPr>
        <w:t>ANEXO II – TERMO DE REFERÊNCIA</w:t>
      </w:r>
    </w:p>
    <w:p w14:paraId="4F5897F9" w14:textId="77777777" w:rsidR="00397A8F" w:rsidRPr="006D145F" w:rsidRDefault="00397A8F">
      <w:pPr>
        <w:contextualSpacing/>
        <w:jc w:val="center"/>
        <w:rPr>
          <w:rFonts w:ascii="Bookman Old Style" w:hAnsi="Bookman Old Style"/>
          <w:sz w:val="18"/>
          <w:szCs w:val="18"/>
        </w:rPr>
      </w:pPr>
    </w:p>
    <w:p w14:paraId="14CB0DB1" w14:textId="77777777" w:rsidR="00397A8F" w:rsidRPr="006D145F" w:rsidRDefault="00625E41">
      <w:pPr>
        <w:pStyle w:val="Default"/>
        <w:spacing w:after="200"/>
        <w:contextualSpacing/>
        <w:jc w:val="center"/>
        <w:rPr>
          <w:rFonts w:ascii="Bookman Old Style" w:hAnsi="Bookman Old Style" w:cs="Bookman Old Style"/>
          <w:b/>
          <w:bCs/>
          <w:color w:val="auto"/>
          <w:sz w:val="18"/>
          <w:szCs w:val="18"/>
        </w:rPr>
      </w:pPr>
      <w:r w:rsidRPr="006D145F">
        <w:rPr>
          <w:rFonts w:ascii="Bookman Old Style" w:hAnsi="Bookman Old Style" w:cs="Bookman Old Style"/>
          <w:b/>
          <w:bCs/>
          <w:color w:val="auto"/>
          <w:sz w:val="18"/>
          <w:szCs w:val="18"/>
        </w:rPr>
        <w:t>DISPENSA ELETRÔNICA Nº 01/2025</w:t>
      </w:r>
    </w:p>
    <w:p w14:paraId="4CD8F7CC" w14:textId="50081EA0" w:rsidR="00397A8F" w:rsidRPr="006D145F" w:rsidRDefault="00625E41">
      <w:pPr>
        <w:pStyle w:val="Default"/>
        <w:spacing w:after="200"/>
        <w:contextualSpacing/>
        <w:jc w:val="center"/>
        <w:rPr>
          <w:rFonts w:ascii="Bookman Old Style" w:hAnsi="Bookman Old Style" w:cs="Bookman Old Style"/>
          <w:b/>
          <w:bCs/>
          <w:color w:val="auto"/>
          <w:sz w:val="18"/>
          <w:szCs w:val="18"/>
        </w:rPr>
      </w:pPr>
      <w:r w:rsidRPr="006D145F">
        <w:rPr>
          <w:rFonts w:ascii="Bookman Old Style" w:hAnsi="Bookman Old Style" w:cs="Bookman Old Style"/>
          <w:b/>
          <w:bCs/>
          <w:color w:val="auto"/>
          <w:sz w:val="18"/>
          <w:szCs w:val="18"/>
        </w:rPr>
        <w:t>PROCESSO ADMINISTRATIVO N° 0</w:t>
      </w:r>
      <w:r w:rsidR="006D145F">
        <w:rPr>
          <w:rFonts w:ascii="Bookman Old Style" w:hAnsi="Bookman Old Style" w:cs="Bookman Old Style"/>
          <w:b/>
          <w:bCs/>
          <w:color w:val="auto"/>
          <w:sz w:val="18"/>
          <w:szCs w:val="18"/>
        </w:rPr>
        <w:t>2</w:t>
      </w:r>
      <w:r w:rsidRPr="006D145F">
        <w:rPr>
          <w:rFonts w:ascii="Bookman Old Style" w:hAnsi="Bookman Old Style" w:cs="Bookman Old Style"/>
          <w:b/>
          <w:bCs/>
          <w:color w:val="auto"/>
          <w:sz w:val="18"/>
          <w:szCs w:val="18"/>
        </w:rPr>
        <w:t>/2025</w:t>
      </w:r>
    </w:p>
    <w:p w14:paraId="3AA7254D" w14:textId="77777777" w:rsidR="00397A8F" w:rsidRPr="006D145F" w:rsidRDefault="00397A8F">
      <w:pPr>
        <w:pStyle w:val="Default"/>
        <w:spacing w:after="200"/>
        <w:contextualSpacing/>
        <w:jc w:val="center"/>
        <w:rPr>
          <w:rFonts w:ascii="Bookman Old Style" w:hAnsi="Bookman Old Style"/>
          <w:color w:val="auto"/>
          <w:sz w:val="18"/>
          <w:szCs w:val="18"/>
        </w:rPr>
      </w:pPr>
    </w:p>
    <w:bookmarkEnd w:id="5"/>
    <w:p w14:paraId="394ECCCC" w14:textId="77777777" w:rsidR="00AF4124" w:rsidRPr="00AF4124" w:rsidRDefault="00AF4124" w:rsidP="007730AF">
      <w:pPr>
        <w:pStyle w:val="Default"/>
        <w:spacing w:after="200" w:line="276" w:lineRule="auto"/>
        <w:contextualSpacing/>
        <w:rPr>
          <w:rFonts w:ascii="Bookman Old Style" w:hAnsi="Bookman Old Style"/>
          <w:sz w:val="18"/>
          <w:szCs w:val="18"/>
        </w:rPr>
      </w:pPr>
    </w:p>
    <w:p w14:paraId="1F136F13" w14:textId="77777777" w:rsidR="00AF4124" w:rsidRPr="00AF4124" w:rsidRDefault="00AF4124" w:rsidP="007730AF">
      <w:pPr>
        <w:pStyle w:val="Default"/>
        <w:spacing w:after="200" w:line="276" w:lineRule="auto"/>
        <w:contextualSpacing/>
        <w:jc w:val="both"/>
        <w:rPr>
          <w:rFonts w:ascii="Bookman Old Style" w:hAnsi="Bookman Old Style"/>
          <w:b/>
          <w:sz w:val="18"/>
          <w:szCs w:val="18"/>
        </w:rPr>
      </w:pPr>
      <w:r w:rsidRPr="00AF4124">
        <w:rPr>
          <w:rFonts w:ascii="Bookman Old Style" w:hAnsi="Bookman Old Style"/>
          <w:b/>
          <w:sz w:val="18"/>
          <w:szCs w:val="18"/>
        </w:rPr>
        <w:t>I. DO OBJETO E DA CLASSIFICAÇÃO COMO OBJETO DE NATUREZA COMUM</w:t>
      </w:r>
    </w:p>
    <w:p w14:paraId="4798F1E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1.1. Contratação de pessoa jurídica para prestação de serviços de radiodifusão para transmissão das reuniões ordinárias da Câmara Municipal de Pitangui/MG.</w:t>
      </w:r>
    </w:p>
    <w:p w14:paraId="51845DF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1.2. O objeto da contratação tem natureza comum e contínua, uma vez que seus padrões de desempenho e qualidade puderam ser objetivamente definidos, por meio de especificações usais do mercado. </w:t>
      </w:r>
    </w:p>
    <w:p w14:paraId="5E15B80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0241C29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2FD28008"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II –DA JUSTIFICATIVA DA NECESSIDADE:</w:t>
      </w:r>
    </w:p>
    <w:p w14:paraId="39868BB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A contratação de uma empresa especializada em serviços de radiodifusão para a transmissão das reuniões ordinárias da Câmara Municipal de Pitangui/MG é essencial para garantir a transparência, a acessibilidade e a participação cidadã no processo legislativo.</w:t>
      </w:r>
    </w:p>
    <w:p w14:paraId="79AA25D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0F7BBFA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A transmissão ao vivo das sessões possibilita que a população acompanhe, em tempo real, as discussões e decisões tomadas pelos vereadores, assegurando o direito constitucional de acesso à informação e ampliando a visibilidade das ações do Poder Legislativo. Essa medida atende aos princípios da publicidade e da transparência, conforme preconizado pela legislação vigente, incluindo a Lei de Acesso à Informação (Lei nº 12.527/2011).</w:t>
      </w:r>
    </w:p>
    <w:p w14:paraId="1974CD1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30EC367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Além disso, a contratação de uma empresa especializada garante a qualidade técnica necessária para uma transmissão eficiente e de amplo alcance, permitindo que a população, inclusive aqueles que possuem dificuldades de locomoção ou residem em áreas mais afastadas, possa acompanhar os debates e deliberações.</w:t>
      </w:r>
    </w:p>
    <w:p w14:paraId="70F1F73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0DA5516C"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Portanto, a realização da licitação para a contratação desse serviço é fundamental para fortalecer a comunicação institucional da Câmara Municipal, promover o engajamento cívico e assegurar que as atividades legislativas sejam amplamente divulgadas, cumprindo assim o seu papel democrático e social.</w:t>
      </w:r>
    </w:p>
    <w:p w14:paraId="1A31534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7155C494"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 xml:space="preserve">III – JUSTIFICATIVA PARA O PARCELAMENTO OU NÃO DA SOLUÇÃO: </w:t>
      </w:r>
    </w:p>
    <w:p w14:paraId="02635B8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3.1. Será adotado o parcelamento da solução, tendo em vista não haver prejuízo para o conjunto da solução ou perda de economia de escala. </w:t>
      </w:r>
    </w:p>
    <w:p w14:paraId="38BB03F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7993DDDE"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IV. DESCRIÇÃO DA SOLUÇÃO COMO UM TODO</w:t>
      </w:r>
    </w:p>
    <w:p w14:paraId="38B374E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4.1. Descrição e valor estimado:</w:t>
      </w:r>
    </w:p>
    <w:tbl>
      <w:tblPr>
        <w:tblW w:w="8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4073"/>
        <w:gridCol w:w="1366"/>
        <w:gridCol w:w="1168"/>
        <w:gridCol w:w="1158"/>
      </w:tblGrid>
      <w:tr w:rsidR="007730AF" w:rsidRPr="007730AF" w14:paraId="0BB5B947" w14:textId="77777777" w:rsidTr="007730AF">
        <w:trPr>
          <w:trHeight w:val="722"/>
          <w:jc w:val="center"/>
        </w:trPr>
        <w:tc>
          <w:tcPr>
            <w:tcW w:w="759" w:type="dxa"/>
            <w:shd w:val="clear" w:color="auto" w:fill="D9D9D9" w:themeFill="background1" w:themeFillShade="D9"/>
          </w:tcPr>
          <w:p w14:paraId="57988115" w14:textId="77777777" w:rsidR="007730AF" w:rsidRPr="007730AF" w:rsidRDefault="007730AF" w:rsidP="003E1961">
            <w:pPr>
              <w:jc w:val="both"/>
              <w:rPr>
                <w:rFonts w:ascii="Bookman Old Style" w:hAnsi="Bookman Old Style" w:cs="Arial"/>
                <w:b/>
                <w:sz w:val="18"/>
              </w:rPr>
            </w:pPr>
          </w:p>
          <w:p w14:paraId="109CE131" w14:textId="77777777" w:rsidR="007730AF" w:rsidRPr="007730AF" w:rsidRDefault="007730AF" w:rsidP="007730AF">
            <w:pPr>
              <w:jc w:val="center"/>
              <w:rPr>
                <w:rFonts w:ascii="Bookman Old Style" w:hAnsi="Bookman Old Style" w:cs="Arial"/>
                <w:b/>
                <w:sz w:val="18"/>
              </w:rPr>
            </w:pPr>
            <w:r w:rsidRPr="007730AF">
              <w:rPr>
                <w:rFonts w:ascii="Bookman Old Style" w:hAnsi="Bookman Old Style" w:cs="Arial"/>
                <w:b/>
                <w:sz w:val="18"/>
              </w:rPr>
              <w:t>ITEM</w:t>
            </w:r>
          </w:p>
        </w:tc>
        <w:tc>
          <w:tcPr>
            <w:tcW w:w="4073" w:type="dxa"/>
            <w:shd w:val="clear" w:color="auto" w:fill="D9D9D9" w:themeFill="background1" w:themeFillShade="D9"/>
          </w:tcPr>
          <w:p w14:paraId="6D77D11E" w14:textId="77777777" w:rsidR="007730AF" w:rsidRPr="007730AF" w:rsidRDefault="007730AF" w:rsidP="003E1961">
            <w:pPr>
              <w:jc w:val="center"/>
              <w:rPr>
                <w:rFonts w:ascii="Bookman Old Style" w:hAnsi="Bookman Old Style" w:cs="Arial"/>
                <w:b/>
                <w:sz w:val="18"/>
              </w:rPr>
            </w:pPr>
          </w:p>
          <w:p w14:paraId="289E4E35" w14:textId="77777777" w:rsidR="007730AF" w:rsidRPr="007730AF" w:rsidRDefault="007730AF" w:rsidP="003E1961">
            <w:pPr>
              <w:jc w:val="center"/>
              <w:rPr>
                <w:rFonts w:ascii="Bookman Old Style" w:hAnsi="Bookman Old Style" w:cs="Arial"/>
                <w:b/>
                <w:sz w:val="18"/>
              </w:rPr>
            </w:pPr>
            <w:r w:rsidRPr="007730AF">
              <w:rPr>
                <w:rFonts w:ascii="Bookman Old Style" w:hAnsi="Bookman Old Style" w:cs="Arial"/>
                <w:b/>
                <w:sz w:val="18"/>
              </w:rPr>
              <w:t>SERVIÇO DE RADIODIFUSÃO</w:t>
            </w:r>
          </w:p>
        </w:tc>
        <w:tc>
          <w:tcPr>
            <w:tcW w:w="1366" w:type="dxa"/>
            <w:shd w:val="clear" w:color="auto" w:fill="D9D9D9" w:themeFill="background1" w:themeFillShade="D9"/>
          </w:tcPr>
          <w:p w14:paraId="5C2B06B7" w14:textId="77777777" w:rsidR="007730AF" w:rsidRPr="007730AF" w:rsidRDefault="007730AF" w:rsidP="003E1961">
            <w:pPr>
              <w:jc w:val="center"/>
              <w:rPr>
                <w:rFonts w:ascii="Bookman Old Style" w:hAnsi="Bookman Old Style" w:cs="Arial"/>
                <w:b/>
                <w:sz w:val="18"/>
              </w:rPr>
            </w:pPr>
            <w:r w:rsidRPr="007730AF">
              <w:rPr>
                <w:rFonts w:ascii="Bookman Old Style" w:hAnsi="Bookman Old Style" w:cs="Arial"/>
                <w:b/>
                <w:sz w:val="18"/>
              </w:rPr>
              <w:t>QUANT. ESTIMADA</w:t>
            </w:r>
          </w:p>
        </w:tc>
        <w:tc>
          <w:tcPr>
            <w:tcW w:w="1168" w:type="dxa"/>
            <w:shd w:val="clear" w:color="auto" w:fill="D9D9D9" w:themeFill="background1" w:themeFillShade="D9"/>
          </w:tcPr>
          <w:p w14:paraId="79AD94E9" w14:textId="77777777" w:rsidR="007730AF" w:rsidRPr="007730AF" w:rsidRDefault="007730AF" w:rsidP="003E1961">
            <w:pPr>
              <w:jc w:val="center"/>
              <w:rPr>
                <w:rFonts w:ascii="Bookman Old Style" w:hAnsi="Bookman Old Style" w:cs="Arial"/>
                <w:b/>
                <w:sz w:val="18"/>
              </w:rPr>
            </w:pPr>
            <w:r w:rsidRPr="007730AF">
              <w:rPr>
                <w:rFonts w:ascii="Bookman Old Style" w:hAnsi="Bookman Old Style" w:cs="Arial"/>
                <w:b/>
                <w:sz w:val="18"/>
              </w:rPr>
              <w:t>VALOR UNITÁRIO R$</w:t>
            </w:r>
          </w:p>
        </w:tc>
        <w:tc>
          <w:tcPr>
            <w:tcW w:w="1158" w:type="dxa"/>
            <w:shd w:val="clear" w:color="auto" w:fill="D9D9D9" w:themeFill="background1" w:themeFillShade="D9"/>
          </w:tcPr>
          <w:p w14:paraId="1336A735" w14:textId="77777777" w:rsidR="007730AF" w:rsidRPr="007730AF" w:rsidRDefault="007730AF" w:rsidP="003E1961">
            <w:pPr>
              <w:jc w:val="center"/>
              <w:rPr>
                <w:rFonts w:ascii="Bookman Old Style" w:hAnsi="Bookman Old Style" w:cs="Arial"/>
                <w:b/>
                <w:sz w:val="18"/>
              </w:rPr>
            </w:pPr>
            <w:r w:rsidRPr="007730AF">
              <w:rPr>
                <w:rFonts w:ascii="Bookman Old Style" w:hAnsi="Bookman Old Style" w:cs="Arial"/>
                <w:b/>
                <w:sz w:val="18"/>
              </w:rPr>
              <w:t xml:space="preserve">VALOR TOTAL </w:t>
            </w:r>
          </w:p>
          <w:p w14:paraId="32B959C5" w14:textId="77777777" w:rsidR="007730AF" w:rsidRPr="007730AF" w:rsidRDefault="007730AF" w:rsidP="003E1961">
            <w:pPr>
              <w:jc w:val="center"/>
              <w:rPr>
                <w:rFonts w:ascii="Bookman Old Style" w:hAnsi="Bookman Old Style" w:cs="Arial"/>
                <w:b/>
                <w:sz w:val="18"/>
              </w:rPr>
            </w:pPr>
            <w:r w:rsidRPr="007730AF">
              <w:rPr>
                <w:rFonts w:ascii="Bookman Old Style" w:hAnsi="Bookman Old Style" w:cs="Arial"/>
                <w:b/>
                <w:sz w:val="18"/>
              </w:rPr>
              <w:t>R$</w:t>
            </w:r>
          </w:p>
        </w:tc>
      </w:tr>
      <w:tr w:rsidR="006D145F" w:rsidRPr="007730AF" w14:paraId="098DBC95" w14:textId="77777777" w:rsidTr="007730AF">
        <w:trPr>
          <w:trHeight w:val="1234"/>
          <w:jc w:val="center"/>
        </w:trPr>
        <w:tc>
          <w:tcPr>
            <w:tcW w:w="759" w:type="dxa"/>
            <w:shd w:val="clear" w:color="auto" w:fill="auto"/>
          </w:tcPr>
          <w:p w14:paraId="5591A30C" w14:textId="016A79F0" w:rsidR="006D145F" w:rsidRPr="007730AF" w:rsidRDefault="006D145F" w:rsidP="006D145F">
            <w:pPr>
              <w:jc w:val="both"/>
              <w:rPr>
                <w:rFonts w:ascii="Bookman Old Style" w:hAnsi="Bookman Old Style" w:cs="Arial"/>
                <w:sz w:val="18"/>
              </w:rPr>
            </w:pPr>
            <w:r w:rsidRPr="00AF4124">
              <w:rPr>
                <w:rFonts w:ascii="Bookman Old Style" w:hAnsi="Bookman Old Style" w:cs="Arial"/>
                <w:sz w:val="18"/>
              </w:rPr>
              <w:t>01</w:t>
            </w:r>
          </w:p>
        </w:tc>
        <w:tc>
          <w:tcPr>
            <w:tcW w:w="4073" w:type="dxa"/>
            <w:shd w:val="clear" w:color="auto" w:fill="auto"/>
          </w:tcPr>
          <w:p w14:paraId="4F28DD6C" w14:textId="316EABEB" w:rsidR="006D145F" w:rsidRPr="007730AF" w:rsidRDefault="006D145F" w:rsidP="006D145F">
            <w:pPr>
              <w:jc w:val="both"/>
              <w:rPr>
                <w:rFonts w:ascii="Bookman Old Style" w:hAnsi="Bookman Old Style" w:cs="Arial"/>
                <w:sz w:val="18"/>
              </w:rPr>
            </w:pPr>
            <w:r w:rsidRPr="00AF4124">
              <w:rPr>
                <w:rFonts w:ascii="Bookman Old Style" w:hAnsi="Bookman Old Style" w:cs="Arial"/>
                <w:sz w:val="18"/>
              </w:rPr>
              <w:t xml:space="preserve">Transmissão de Reunião Ordinária com estimativa </w:t>
            </w:r>
            <w:r w:rsidRPr="00B6552D">
              <w:rPr>
                <w:rFonts w:ascii="Bookman Old Style" w:hAnsi="Bookman Old Style" w:cs="Arial"/>
                <w:sz w:val="18"/>
              </w:rPr>
              <w:t>regimental de 3 horas de duração, às terças-feiras, de 20h às 23h, nos períodos de 04/03 a 15/12, podendo ser ampliados por imposição legal.</w:t>
            </w:r>
          </w:p>
        </w:tc>
        <w:tc>
          <w:tcPr>
            <w:tcW w:w="1366" w:type="dxa"/>
            <w:shd w:val="clear" w:color="auto" w:fill="auto"/>
          </w:tcPr>
          <w:p w14:paraId="35F267C6" w14:textId="77777777" w:rsidR="006D145F" w:rsidRPr="007478DD" w:rsidRDefault="006D145F" w:rsidP="006D145F">
            <w:pPr>
              <w:jc w:val="both"/>
              <w:rPr>
                <w:rFonts w:ascii="Bookman Old Style" w:hAnsi="Bookman Old Style" w:cs="Arial"/>
                <w:sz w:val="18"/>
              </w:rPr>
            </w:pPr>
          </w:p>
          <w:p w14:paraId="2F83F1AB" w14:textId="77777777" w:rsidR="006D145F" w:rsidRPr="007478DD" w:rsidRDefault="006D145F" w:rsidP="006D145F">
            <w:pPr>
              <w:jc w:val="both"/>
              <w:rPr>
                <w:rFonts w:ascii="Bookman Old Style" w:hAnsi="Bookman Old Style" w:cs="Arial"/>
                <w:sz w:val="18"/>
              </w:rPr>
            </w:pPr>
          </w:p>
          <w:p w14:paraId="0DB75635" w14:textId="73DB05AF" w:rsidR="006D145F" w:rsidRPr="007730AF" w:rsidRDefault="006D145F" w:rsidP="006D145F">
            <w:pPr>
              <w:jc w:val="center"/>
              <w:rPr>
                <w:rFonts w:ascii="Bookman Old Style" w:hAnsi="Bookman Old Style" w:cs="Arial"/>
                <w:color w:val="FF0000"/>
                <w:sz w:val="18"/>
              </w:rPr>
            </w:pPr>
            <w:r w:rsidRPr="007478DD">
              <w:rPr>
                <w:rFonts w:ascii="Bookman Old Style" w:hAnsi="Bookman Old Style" w:cs="Arial"/>
                <w:sz w:val="18"/>
              </w:rPr>
              <w:t>41</w:t>
            </w:r>
          </w:p>
        </w:tc>
        <w:tc>
          <w:tcPr>
            <w:tcW w:w="1168" w:type="dxa"/>
            <w:shd w:val="clear" w:color="auto" w:fill="auto"/>
            <w:vAlign w:val="center"/>
          </w:tcPr>
          <w:p w14:paraId="4D72F084" w14:textId="2DCD99F5" w:rsidR="006D145F" w:rsidRPr="007730AF" w:rsidRDefault="006D145F" w:rsidP="006D145F">
            <w:pPr>
              <w:jc w:val="center"/>
              <w:rPr>
                <w:rFonts w:ascii="Bookman Old Style" w:hAnsi="Bookman Old Style" w:cs="Arial"/>
                <w:color w:val="FF0000"/>
                <w:sz w:val="18"/>
              </w:rPr>
            </w:pPr>
            <w:r w:rsidRPr="007478DD">
              <w:rPr>
                <w:rFonts w:ascii="Bookman Old Style" w:hAnsi="Bookman Old Style" w:cs="Arial"/>
                <w:sz w:val="18"/>
              </w:rPr>
              <w:t>R$ 1.433,33</w:t>
            </w:r>
          </w:p>
        </w:tc>
        <w:tc>
          <w:tcPr>
            <w:tcW w:w="1158" w:type="dxa"/>
            <w:shd w:val="clear" w:color="auto" w:fill="auto"/>
            <w:vAlign w:val="center"/>
          </w:tcPr>
          <w:p w14:paraId="4D81D9CF" w14:textId="3D4A1427" w:rsidR="006D145F" w:rsidRPr="007730AF" w:rsidRDefault="006D145F" w:rsidP="006D145F">
            <w:pPr>
              <w:jc w:val="center"/>
              <w:rPr>
                <w:rFonts w:ascii="Bookman Old Style" w:hAnsi="Bookman Old Style" w:cs="Arial"/>
                <w:color w:val="FF0000"/>
                <w:sz w:val="18"/>
              </w:rPr>
            </w:pPr>
            <w:r w:rsidRPr="007478DD">
              <w:rPr>
                <w:rFonts w:ascii="Bookman Old Style" w:hAnsi="Bookman Old Style" w:cs="Arial"/>
                <w:sz w:val="18"/>
              </w:rPr>
              <w:t>R$ 58.766,53</w:t>
            </w:r>
          </w:p>
        </w:tc>
      </w:tr>
    </w:tbl>
    <w:p w14:paraId="1D886690" w14:textId="77777777" w:rsidR="00AF4124" w:rsidRDefault="00AF4124" w:rsidP="007730AF">
      <w:pPr>
        <w:pStyle w:val="Default"/>
        <w:spacing w:after="200" w:line="276" w:lineRule="auto"/>
        <w:contextualSpacing/>
        <w:jc w:val="both"/>
        <w:rPr>
          <w:rFonts w:ascii="Bookman Old Style" w:hAnsi="Bookman Old Style"/>
          <w:sz w:val="18"/>
          <w:szCs w:val="18"/>
        </w:rPr>
      </w:pPr>
    </w:p>
    <w:p w14:paraId="14D3724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 Dos prazos e da forma de execução:</w:t>
      </w:r>
    </w:p>
    <w:p w14:paraId="0ED346E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5A5438E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4.2.1. Os serviços serão executados na sede da Câmara Municipal de Pitangui/MG, localizada na Praça Dr. Antônio Fiúza, n.º 164, São Francisco, Pitangui/MG, CEP 35.650-000, Estado de Minas Gerais.</w:t>
      </w:r>
    </w:p>
    <w:p w14:paraId="6C18C59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4.2.2. Os serviços deverá garantir a transmissão ao vivo das reuniões ordinárias da Câmara Municipal de Pitangui/MG, nos serviços de radiodifusão da CONTRADA bem como nos canais oficiais de transmissão da Câmara Municipal.</w:t>
      </w:r>
    </w:p>
    <w:p w14:paraId="0D614ED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4.2.3. Será de inteira responsabilidade da CONTRATADA, garantir a boa qualidade de áudio e vídeo das transmissões e gravações.</w:t>
      </w:r>
    </w:p>
    <w:p w14:paraId="691A098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4.2.4. As transmissões deverão obedecer o calendário da Câmara Municipal, devendo a Contratada ser comunicada com antecedência, sendo de responsabilidade da CONTRATADA a ciência quanto as datas designadas para as reuniões ordinárias uma vez que ocorrem periodicamente.</w:t>
      </w:r>
    </w:p>
    <w:p w14:paraId="26ECA38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4.2.5. Estima-se, ainda para fins de composição de custos, um total de 45 (quarenta e cinco) períodos de prestação de serviços, com a duração média de 3 (três) horas por período. A duração média menciona reflete apenas uma estimativa, pois as sessões possuem duração indeterminada.</w:t>
      </w:r>
    </w:p>
    <w:p w14:paraId="5F4AA5A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4.2.6. O responsável pela prestação de serviços deverá sempre comparecer ao Plenário da Câmara Municipal de Pitangui, com antecedência mínima de 2 (duas) horas da realização das sessões, para fins de montagem e teste dos equipamentos.</w:t>
      </w:r>
    </w:p>
    <w:p w14:paraId="4DC193D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4.2.7. A transmissão deverá ocorrer de forma simultânea ao início da sessão (ao vivo), não sendo admissível que haja, por parte do prestador dos serviços, qualquer tipo de atraso. Contudo, na impossibilidade técnica de ser realizada a transmissão ao vivo, a CONTRADA deverá assegurar a integral gravação do evento.</w:t>
      </w:r>
    </w:p>
    <w:p w14:paraId="1651845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4.2.8. Por ocasião da realização de qualquer sessão extraordinária, o prestador dos serviços será comunicado, no mínimo, com 06 (seis) horas de antecedência, independemente de se tratar de dia não-útil, domingo ou mesmo feriado.</w:t>
      </w:r>
    </w:p>
    <w:p w14:paraId="504E99E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4.2.9. O pagamento será realizado por período de trabalho, independentemente da complexidade do serviço realizado, do tempo de duração da sessão e de eventual sessão extraordinária subsequente.</w:t>
      </w:r>
    </w:p>
    <w:p w14:paraId="72740C4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4.2.10. Somente será realizado o pagamento dos serviços efetivamente prestados, sendo a quantia mencionada no item 4.2.5 apenas uma estimativa, não gerando, assim, obrigatoriedade de contratação na sua totalidade.</w:t>
      </w:r>
    </w:p>
    <w:p w14:paraId="6907472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4.2.11. Os pagamentos serão mensais, mediante ordem de serviço e entrega da documentação comprobatória e nota fiscal correspondente.</w:t>
      </w:r>
    </w:p>
    <w:p w14:paraId="57414A5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7ECE5ED2"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V. DO CRITÉRIO DE JULGAMENTO E REGIME DE EXECUÇÃO</w:t>
      </w:r>
    </w:p>
    <w:p w14:paraId="4E188F5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5.1. O critério de julgamento será o de menor preço, representado pelo menor preços por item, observadas as especificações e demais condições estabelecidas no edital e seus anexos.</w:t>
      </w:r>
    </w:p>
    <w:p w14:paraId="1F4073A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5.2. O regime de execução será por preço unitário, de acordo com as necessidades da Administração.  </w:t>
      </w:r>
    </w:p>
    <w:p w14:paraId="06A155C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7663E4FD"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VI. DA DISPONIBILIDADE ORÇAMENTÁRIA E FINANCEIRA PARA A DESPESA</w:t>
      </w:r>
    </w:p>
    <w:p w14:paraId="7154C53A" w14:textId="1B056CD3" w:rsidR="00AF4124" w:rsidRPr="006D145F" w:rsidRDefault="00AF4124" w:rsidP="007730AF">
      <w:pPr>
        <w:pStyle w:val="Default"/>
        <w:spacing w:after="200" w:line="276" w:lineRule="auto"/>
        <w:contextualSpacing/>
        <w:jc w:val="both"/>
        <w:rPr>
          <w:rFonts w:ascii="Bookman Old Style" w:hAnsi="Bookman Old Style"/>
          <w:color w:val="auto"/>
          <w:sz w:val="18"/>
          <w:szCs w:val="18"/>
        </w:rPr>
      </w:pPr>
      <w:r w:rsidRPr="00AF4124">
        <w:rPr>
          <w:rFonts w:ascii="Bookman Old Style" w:hAnsi="Bookman Old Style"/>
          <w:sz w:val="18"/>
          <w:szCs w:val="18"/>
        </w:rPr>
        <w:t xml:space="preserve">6.1. As despesas </w:t>
      </w:r>
      <w:r w:rsidRPr="006D145F">
        <w:rPr>
          <w:rFonts w:ascii="Bookman Old Style" w:hAnsi="Bookman Old Style"/>
          <w:color w:val="auto"/>
          <w:sz w:val="18"/>
          <w:szCs w:val="18"/>
        </w:rPr>
        <w:t xml:space="preserve">decorrentes da contratação correrão por conta das seguintes Dotações Orçamentárias, conforme o caso: </w:t>
      </w:r>
      <w:r w:rsidR="006D145F" w:rsidRPr="006D145F">
        <w:rPr>
          <w:rFonts w:ascii="Bookman Old Style" w:hAnsi="Bookman Old Style"/>
          <w:color w:val="auto"/>
          <w:sz w:val="18"/>
          <w:szCs w:val="18"/>
        </w:rPr>
        <w:t>01.02.01.01.122.0013.2012.3.3.90.39.00 – Outros Serviços de Terceiros Pessoa Jurídica - Ficha 0028</w:t>
      </w:r>
    </w:p>
    <w:p w14:paraId="5C1F441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3683461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65241114"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VII - DA FORMA DE PAGAMENTO:</w:t>
      </w:r>
    </w:p>
    <w:p w14:paraId="33B025B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7.1. O pagamento será efetuado até o décimo dia útil do mês seguinte ao da prestação dos serviços, mediante apresentação da Nota Fiscal/Fatura correspondente, desde que o documento de cobrança esteja em condições de liquidação de pagamento e após o atesto dos serviços, de acordo com o prazo legal estabelecido no edital correspondente. </w:t>
      </w:r>
    </w:p>
    <w:p w14:paraId="07A414E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7.2. A Nota Fiscal/Fatura deverá conter o nome da empresa/pessoa física, CNPJ/CPF, número da Nota de Empenho, números do Banco, Agência e Conta Corrente do fornecedor, descrição dos serviços prestados;</w:t>
      </w:r>
    </w:p>
    <w:p w14:paraId="3CC2D4E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7.3. A nota fiscal/fatura deverá ser emitida pela Contratada em inteira conformidade com as exigências legais contratuais.</w:t>
      </w:r>
    </w:p>
    <w:p w14:paraId="196FA7B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 xml:space="preserve">7.3.1. Deverão constar na nota fiscal os seguintes dizeres: Referente ao Processo Administrativo n° </w:t>
      </w:r>
      <w:proofErr w:type="spellStart"/>
      <w:r w:rsidRPr="00AF4124">
        <w:rPr>
          <w:rFonts w:ascii="Bookman Old Style" w:hAnsi="Bookman Old Style"/>
          <w:sz w:val="18"/>
          <w:szCs w:val="18"/>
        </w:rPr>
        <w:t>xx</w:t>
      </w:r>
      <w:proofErr w:type="spellEnd"/>
      <w:r w:rsidRPr="00AF4124">
        <w:rPr>
          <w:rFonts w:ascii="Bookman Old Style" w:hAnsi="Bookman Old Style"/>
          <w:sz w:val="18"/>
          <w:szCs w:val="18"/>
        </w:rPr>
        <w:t xml:space="preserve">/2025, Dispensa de Licitação n° </w:t>
      </w:r>
      <w:proofErr w:type="spellStart"/>
      <w:r w:rsidRPr="00AF4124">
        <w:rPr>
          <w:rFonts w:ascii="Bookman Old Style" w:hAnsi="Bookman Old Style"/>
          <w:sz w:val="18"/>
          <w:szCs w:val="18"/>
        </w:rPr>
        <w:t>xx</w:t>
      </w:r>
      <w:proofErr w:type="spellEnd"/>
      <w:r w:rsidRPr="00AF4124">
        <w:rPr>
          <w:rFonts w:ascii="Bookman Old Style" w:hAnsi="Bookman Old Style"/>
          <w:sz w:val="18"/>
          <w:szCs w:val="18"/>
        </w:rPr>
        <w:t>/2025.</w:t>
      </w:r>
    </w:p>
    <w:p w14:paraId="6B812D7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7.4. A Nota Fiscal/Fatura ou Documento Fiscal competente e legal apresentado pela CONTRATADA e sob sua responsabilidade deverá ter o seu valor correspondente ao somatório dos valores dos serviços efetivamente realizados no mês anterior, deduzidas as eventuais glosas e/ou multas estabelecidas, sendo que os valores de impostos e contribuições serão retidos pela CONTRATANTE na condição de substituto tributário, conforme estabelecido na legislação tributária vigente;</w:t>
      </w:r>
    </w:p>
    <w:p w14:paraId="55B9BA8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7.5. Havendo erro ou inconsistência na Nota Fiscal/Fatura ou Documento Fiscal competente e legal apresentado, a CONTRATADA será notificada para realizar as devidas correções, sendo o pagamento efetuado somente após o recebimento dos documentos corrigidos; </w:t>
      </w:r>
    </w:p>
    <w:p w14:paraId="5135521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7.6. Quando do pagamento, será efetuada a retenção tributária prevista na legislação aplicável, nos termos da Instrução Normativa n° 1.234, de 11 de janeiro de 2012, da Secretaria da Receita Federal do Brasil, inclusive quanto ao artigo 31 da Lei n° 8.212, de 1991.</w:t>
      </w:r>
    </w:p>
    <w:p w14:paraId="059A102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026B3218"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 xml:space="preserve">VIII. OBRIGAÇÕES DO CONTRATANTE </w:t>
      </w:r>
    </w:p>
    <w:p w14:paraId="656D687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314E258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 Avaliar a qualidade do serviço prestado pela CONTRATADA, podendo rejeitá-lo no todo ou em parte, caso estejam em desacordo com as disposições do Termo de Referência.</w:t>
      </w:r>
    </w:p>
    <w:p w14:paraId="1E01A92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8.2. Exigir o cumprimento de todas as obrigações assumidas pelo Contratado, de acordo com o contrato e seus anexos;</w:t>
      </w:r>
    </w:p>
    <w:p w14:paraId="40C2BDC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8.3. Receber o objeto no prazo e condições estabelecidas no Termo de Referência;</w:t>
      </w:r>
    </w:p>
    <w:p w14:paraId="09F6F36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8.4. Notificar o Contratado, por escrito, sobre vícios, defeitos ou incorreções verificadas no objeto executado, para que seja por ele substituído, reparado ou corrigido, no total ou em parte, às suas expensas;</w:t>
      </w:r>
    </w:p>
    <w:p w14:paraId="61E573A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8.5. Acompanhar e fiscalizar a execução do contrato e o cumprimento das obrigações pelo Contratado;</w:t>
      </w:r>
    </w:p>
    <w:p w14:paraId="3A931D2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8.6. Comunicar a Contratada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8D1ECDC"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8.7. Efetuar o pagamento ao Contratado do valor correspondente à execução do objeto, no prazo, forma e condições estabelecidos no presente Contrato e no Termo de Referência;</w:t>
      </w:r>
    </w:p>
    <w:p w14:paraId="6878744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8.8. Aplicar ao Contratado as sanções previstas na lei e no Contrato; </w:t>
      </w:r>
    </w:p>
    <w:p w14:paraId="7011EF7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8.9. Explicitamente emitir decisão sobre todas as solicitações e reclamações relacionadas à execução do Contrato, ressalvados os requerimentos manifestamente impertinentes, meramente protelatórios ou de nenhum interesse para a boa execução do ajuste.</w:t>
      </w:r>
    </w:p>
    <w:p w14:paraId="7B1D2F2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8.9.1. A Administração terá o prazo de cinco dias úteis, a contar da data do protocolo do requerimento para decidir, admitida a prorrogação motivada, por igual período. </w:t>
      </w:r>
    </w:p>
    <w:p w14:paraId="29A6D38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8.10. Responder eventuais pedidos de reestabelecimento do equilíbrio econômico-financeiro feitos pelo contratado no prazo máximo de 20 (vinte) dias. </w:t>
      </w:r>
    </w:p>
    <w:p w14:paraId="000E566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8.11. Notificar os emitentes das garantias quanto ao início de processo administrativo para apuração de descumprimento de cláusulas contratuais.</w:t>
      </w:r>
    </w:p>
    <w:p w14:paraId="4114D41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719D5D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8.13. Propor melhorias contínuas nos serviços que suportam os processos de negócio desta contratante. </w:t>
      </w:r>
    </w:p>
    <w:p w14:paraId="152E86C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8.14. Fornecer e colocar à disposição da CONTRATADA todos os elementos e informações que se fizerem necessários à execução do serviço.</w:t>
      </w:r>
    </w:p>
    <w:p w14:paraId="34F4838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8.15. Proporcionar as facilidades necessárias para que a CONTRATADA possa prestar o serviço dentro das normas estabelecidas.</w:t>
      </w:r>
    </w:p>
    <w:p w14:paraId="23670E6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8.16. Controlar e fiscalizar a execução do serviço prestado pela CONTRATADA, nos aspectos técnicos, de segurança, de confiabilidade e quaisquer outros de seu interesse, por intermédio de pessoal próprio ou de terceiros designados para este fim.</w:t>
      </w:r>
    </w:p>
    <w:p w14:paraId="43A0C4B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09A7498B"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lastRenderedPageBreak/>
        <w:t>IX</w:t>
      </w:r>
      <w:r w:rsidR="007730AF">
        <w:rPr>
          <w:rFonts w:ascii="Bookman Old Style" w:hAnsi="Bookman Old Style"/>
          <w:b/>
          <w:sz w:val="18"/>
          <w:szCs w:val="18"/>
        </w:rPr>
        <w:t>.</w:t>
      </w:r>
      <w:r w:rsidRPr="007730AF">
        <w:rPr>
          <w:rFonts w:ascii="Bookman Old Style" w:hAnsi="Bookman Old Style"/>
          <w:b/>
          <w:sz w:val="18"/>
          <w:szCs w:val="18"/>
        </w:rPr>
        <w:t xml:space="preserve"> OBRIGAÇÕES DO CONTRATADO </w:t>
      </w:r>
    </w:p>
    <w:p w14:paraId="71BD21A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 O Contratado deve cumprir todas as obrigações constantes do Contrato e de seus anexos, assumindo como exclusivamente seus os riscos e as despesas decorrentes da boa e perfeita execução do objeto, observando, ainda, as obrigações a seguir dispostas:</w:t>
      </w:r>
    </w:p>
    <w:p w14:paraId="7FC0DA6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 Manter preposto aceito pela Administração para representá-lo na execução do contrato.</w:t>
      </w:r>
    </w:p>
    <w:p w14:paraId="2488BB5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9.3. A indicação ou a manutenção do preposto da empresa poderá ser recusada pelo órgão ou entidade, desde que devidamente justificada, devendo a empresa designar outro para o exercício da atividade.</w:t>
      </w:r>
    </w:p>
    <w:p w14:paraId="2C883C3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9.4. Atender às determinações regulares emitidas pelo fiscal do contrato ou autoridade superior (art. 137, II) e prestar todo esclarecimento ou informação por eles solicitados;</w:t>
      </w:r>
    </w:p>
    <w:p w14:paraId="017BFA7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9.5. Alocar os empregados necessários ao perfeito cumprimento das cláusulas do contrato, com habilitação e conhecimento adequados, fornecendo os materiais, equipamentos, ferramentas e utensílios demandados, cuja quantidade, qualidade e tecnologia deverão atender às recomendações de boa técnica e a legislação de regência;</w:t>
      </w:r>
    </w:p>
    <w:p w14:paraId="0C45000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4E1DC62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746EC4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9.8.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26E3C4A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9.9.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0AFAFDA1"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9.10.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59E0B23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9.11. Comunicar ao Fiscal do contrato, no prazo de 24 (vinte e quatro) horas, qualquer ocorrência anormal que impossibilite a execução normal dos serviços;</w:t>
      </w:r>
    </w:p>
    <w:p w14:paraId="1C2313E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9.12. Paralisar, por determinação do Contratante, qualquer atividade que não esteja sendo executada de acordo com a boa técnica ou que ponha em risco a segurança de pessoas ou bens de terceiros.</w:t>
      </w:r>
    </w:p>
    <w:p w14:paraId="08BF1F7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9.13. Conduzir os trabalhos com estrita observância às normas da legislação pertinente, cumprindo as determinações dos Poderes Públicos;</w:t>
      </w:r>
    </w:p>
    <w:p w14:paraId="2726176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9.14. Submeter previamente, por escrito, ao Contratante, para análise e aprovação, quaisquer mudanças nos métodos executivos que fujam às especificações do termo de referência ou instrumento congênere.</w:t>
      </w:r>
    </w:p>
    <w:p w14:paraId="7B5DA79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52F2EA0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9.16. Manter durante toda a vigência do contrato, em compatibilidade com as obrigações assumidas, todas as condições exigidas para habilitação na licitação; </w:t>
      </w:r>
    </w:p>
    <w:p w14:paraId="4C09D65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9.17. Cumprir, durante todo o período de execução do contrato, a reserva de cargos prevista em lei para pessoa com deficiência, para reabilitado da Previdência Social ou para aprendiz, bem como as reservas de cargos previstas na legislação (art. 116);</w:t>
      </w:r>
    </w:p>
    <w:p w14:paraId="30712E8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9.18. Comprovar a reserva de cargos a que se refere a cláusula acima, no prazo fixado pelo fiscal do contrato, com a indicação dos empregados que preencheram as referidas vagas (art. 116, parágrafo único);</w:t>
      </w:r>
    </w:p>
    <w:p w14:paraId="0113109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9.19. Guardar sigilo sobre todas as informações obtidas em decorrência do cumprimento do contrato;</w:t>
      </w:r>
    </w:p>
    <w:p w14:paraId="536F598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1C960A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9.21. Cumprir, além dos postulados legais vigentes de âmbito federal, estadual ou municipal, as normas de segurança do Contratante;</w:t>
      </w:r>
    </w:p>
    <w:p w14:paraId="558D2A0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9.22. Fornecer e executar o escopo do Termo de Referência em acordo com os preços, prazos e condições estipuladas na proposta.</w:t>
      </w:r>
    </w:p>
    <w:p w14:paraId="239310A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9.23. Arcar com todas as despesas, diretas e indiretas, decorrentes do cumprimento das obrigações assumidas, sem qualquer ônus à CONTRATANTE.</w:t>
      </w:r>
    </w:p>
    <w:p w14:paraId="5BF2F85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9.24. A contratada se compromete a manter a confidencialidade das informações específicas da estrutura da CONTRATANTE que venha a obter em decorrência da execução dos serviços.</w:t>
      </w:r>
    </w:p>
    <w:p w14:paraId="132EE0E1"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9.25. A contratada deverá manter, sem custo para o contratante, em caráter permanente à frente dos serviços, um preposto sendo esse o ponto focal.</w:t>
      </w:r>
    </w:p>
    <w:p w14:paraId="0875CA1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9.26. O preposto, além de possuir os conhecimentos e a capacidade profissional necessários, deverá ter competência para resolver imediatamente todo e qualquer assunto relacionado com os serviços contratados.</w:t>
      </w:r>
    </w:p>
    <w:p w14:paraId="29D6B09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9.27. A Contratada deve cumprir todas as obrigações constantes do Termo de Referência e sua proposta, assumindo como exclusivamente seus os riscos e as despesas decorrentes da boa e perfeita execução do objeto.</w:t>
      </w:r>
    </w:p>
    <w:p w14:paraId="2C4181B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681978A1"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 xml:space="preserve">X- MODELO DE GESTÃO DO CONTRATO </w:t>
      </w:r>
    </w:p>
    <w:p w14:paraId="3435B911"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10.1.</w:t>
      </w:r>
      <w:r w:rsidRPr="007730AF">
        <w:rPr>
          <w:rFonts w:ascii="Bookman Old Style" w:hAnsi="Bookman Old Style"/>
          <w:b/>
          <w:sz w:val="18"/>
          <w:szCs w:val="18"/>
        </w:rPr>
        <w:tab/>
        <w:t>ROTINAS DE FISCALIZAÇÃO CONTRATUAL</w:t>
      </w:r>
    </w:p>
    <w:p w14:paraId="0C098F5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 O contrato deverá ser executado fielmente pelas partes, de acordo com as cláusulas avençadas e as normas da Lei nº 14.133, de 2021, e cada parte responderá pelas consequências de sua inexecução total ou parcial (Lei nº 14.133/2021, art. 115, caput).</w:t>
      </w:r>
    </w:p>
    <w:p w14:paraId="65CC4E4C"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10.1.2. Em caso de impedimento, ordem de paralisação ou suspensão do contrato, o cronograma de execução será prorrogado automaticamente pelo tempo correspondente, anotadas tais circunstâncias mediante simples apostila (Lei nº 14.133/2021, art. 115, §5º).</w:t>
      </w:r>
    </w:p>
    <w:p w14:paraId="69E4B012"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10.1.3. A execução do contrato deverá ser acompanhada e fiscalizada pelo(s) fiscal(</w:t>
      </w:r>
      <w:proofErr w:type="spellStart"/>
      <w:r w:rsidRPr="00AF4124">
        <w:rPr>
          <w:rFonts w:ascii="Bookman Old Style" w:hAnsi="Bookman Old Style"/>
          <w:sz w:val="18"/>
          <w:szCs w:val="18"/>
        </w:rPr>
        <w:t>is</w:t>
      </w:r>
      <w:proofErr w:type="spellEnd"/>
      <w:r w:rsidRPr="00AF4124">
        <w:rPr>
          <w:rFonts w:ascii="Bookman Old Style" w:hAnsi="Bookman Old Style"/>
          <w:sz w:val="18"/>
          <w:szCs w:val="18"/>
        </w:rPr>
        <w:t>) do contrato, ou pelos respectivos substitutos (Lei nº 14.133/2021, art. 117, caput).</w:t>
      </w:r>
    </w:p>
    <w:p w14:paraId="0543830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10.1.4. Os fiscais do contrato serão designados autoridade máxima do órgão ou da entidade Contratante, ou a quem as normas de organização administrativa indicarem, na forma do art. 7º da Lei nº 14.133, de 2021, devendo a Administração instruir os autos com as publicações dos atos de designação dos agentes públicos para o exercício dessas funções.</w:t>
      </w:r>
    </w:p>
    <w:p w14:paraId="0A073B6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10.1.5. O fiscal do contrato informará a seus superiores, em tempo hábil para a adoção das medidas convenientes, a situação que demandar decisão ou providência que ultrapasse sua competência (Lei nº 14.133/2021, art. 117, §2º).</w:t>
      </w:r>
    </w:p>
    <w:p w14:paraId="527EA24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10.1.6. O contratado deverá manter preposto aceito pela Administração no local da obra ou do serviço para representá-lo na execução do contrato. (Lei nº 14.133/2021, art. 118).</w:t>
      </w:r>
    </w:p>
    <w:p w14:paraId="5F25538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10.1.7. A indicação ou a manutenção do preposto da empresa poderá ser recusada pelo órgão ou entidade, desde que devidamente justificada, devendo a empresa designar outro para o exercício da atividade.</w:t>
      </w:r>
    </w:p>
    <w:p w14:paraId="3602C0B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10.1.8.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22A8997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10.1.9.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3914CB77"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10.1.10. Somente o contratado será responsável pelos encargos trabalhistas, previdenciários, fiscais e comerciais resultantes da execução do contrato (Lei nº 14.133/2021, art. 121, caput).</w:t>
      </w:r>
    </w:p>
    <w:p w14:paraId="6DCE6E8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10.1.11. A inadimplência do contratado em relação aos encargos trabalhistas, fiscais e comerciais não transferirá à Administração a responsabilidade pelo seu pagamento e não poderá onerar o objeto do contrato (Lei nº 14.133/2021, art. 121, §1º).</w:t>
      </w:r>
    </w:p>
    <w:p w14:paraId="2372B97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10.1.12. As comunicações entre o órgão ou entidade e a contratada devem ser realizadas por escrito sempre que o ato exigir tal formalidade, admitindo-se, excepcionalmente, o uso de mensagem eletrônica para esse fim.</w:t>
      </w:r>
    </w:p>
    <w:p w14:paraId="0340BE5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10.1.13. O órgão ou entidade poderá convocar representante da empresa para adoção de providências que devam ser cumpridas de imediato.</w:t>
      </w:r>
    </w:p>
    <w:p w14:paraId="65D3532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10.1.14.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72A759B"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10.1.15. Antes do pagamento da nota fiscal ou da fatura, deverá ser consultada a situação da empresa junto ao SICAF.</w:t>
      </w:r>
    </w:p>
    <w:p w14:paraId="32EEBC1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10.1.15.1. 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0BB3614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7BA8ACB9"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XI- DOS CRITÉRIOS DE AFERIÇÃO E MEDIÇÃO PARA FATURAMENTO</w:t>
      </w:r>
    </w:p>
    <w:p w14:paraId="10F728A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11.1. A avaliação da execução do objeto utilizará o disposto neste item, devendo haver o redimensionamento no pagamento com base nos indicadores estabelecidos, sempre que a CONTRATADA:</w:t>
      </w:r>
    </w:p>
    <w:p w14:paraId="74E024E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a) não produzir os resultados, deixar de executar, ou não executar com a qualidade mínima exigida as atividades contratadas; ou</w:t>
      </w:r>
    </w:p>
    <w:p w14:paraId="55F38FC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b) deixar de utilizar materiais e recursos humanos exigidos para a execução do serviço, ou utilizá-los com qualidade ou quantidade inferior à demandada.</w:t>
      </w:r>
    </w:p>
    <w:p w14:paraId="7BDF7611"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11.2. A execução dos contratos será acompanhada por meio de instrumentos de controle que permitam a mensuração de resultados e adequação do objeto prestado. </w:t>
      </w:r>
    </w:p>
    <w:p w14:paraId="46C173E5"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p>
    <w:p w14:paraId="0687ECA4"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XII- DO RECEBIMENTO</w:t>
      </w:r>
    </w:p>
    <w:p w14:paraId="278DF7E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12.1. Os serviços serão recebidos provisoriamente, assim que concluído, pelo(a) responsável pelo acompanhamento e fiscalização do contrato, quando verificado o cumprimento das exigências de caráter técnico.</w:t>
      </w:r>
    </w:p>
    <w:p w14:paraId="0C6BB50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12.1.1. O contratante realizará inspeção minuciosa de todos os serviços executados, com a finalidade de verificar a adequação dos serviços e constatar e relacionar os arremates, retoques e revisões finais que se fizerem necessários.</w:t>
      </w:r>
    </w:p>
    <w:p w14:paraId="1B0CA72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12.1.2. Para efeito de recebimento provisório, o fiscal do contrato verificará os serviços foram realizados nos prazos corretos.</w:t>
      </w:r>
    </w:p>
    <w:p w14:paraId="4F758CA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12.1.3. O Contratado fica obrigada a reparar, corrigir, remover, reconstruir ou substituir, às suas expensas, no todo ou em parte, o objeto em que se verificarem vícios, defeitos ou incorreções resultantes da execução, cabendo à fiscalização não atestar a última e/ou única medição de serviços até que sejam sanadas todas as eventuais pendências que possam vir a ser apontadas no Recebimento Provisório.</w:t>
      </w:r>
    </w:p>
    <w:p w14:paraId="6BA2152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12.1.44. Os serviços poderão ser rejeitados, no todo ou em parte, quando em desacordo com as especificações constantes neste Termo de Referência e na proposta, devendo ser corrigidos/refeitos/substituídos no prazo de 24 (vinte e quatro) horas, a contar da notificação da contratada, às suas custas, sem prejuízo da aplicação das penalidades.</w:t>
      </w:r>
    </w:p>
    <w:p w14:paraId="44121FE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12.2. Os serviços serão recebidos definitivamente no prazo de 06 (seis) horas, contados do recebimento provisório, por servidor ou comissão designada pela autoridade competente, após a verificação da qualidade e quantidade do serviço e consequente aceitação mediante termo detalhado, obedecendo as seguintes diretrizes:</w:t>
      </w:r>
    </w:p>
    <w:p w14:paraId="065EDDA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12.2.1. Realizar a análise de toda a documentação apresentada pela fiscalização e, caso haja irregularidades que impeçam a liquidação e o pagamento da despesa, indicar as cláusulas contratuais pertinentes, solicitando à CONTRATADA, por escrito, as respectivas correções;</w:t>
      </w:r>
    </w:p>
    <w:p w14:paraId="006AF9E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12.2.2. Comunicar a empresa para que emita a Nota Fiscal ou Fatura, com o valor exato dimensionado pela fiscalização.</w:t>
      </w:r>
    </w:p>
    <w:p w14:paraId="23012A3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12.3. O recebimento provisório ou definitivo não excluirá a responsabilidade civil pela solidez e pela segurança do serviço nem a responsabilidade ético-profissional pela perfeita execução do contrato.</w:t>
      </w:r>
    </w:p>
    <w:p w14:paraId="7EBE6FE0"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6AD6EA88" w14:textId="77777777" w:rsidR="00AF4124" w:rsidRPr="007730AF" w:rsidRDefault="007730AF" w:rsidP="007730AF">
      <w:pPr>
        <w:pStyle w:val="Default"/>
        <w:spacing w:after="200" w:line="276" w:lineRule="auto"/>
        <w:contextualSpacing/>
        <w:jc w:val="both"/>
        <w:rPr>
          <w:rFonts w:ascii="Bookman Old Style" w:hAnsi="Bookman Old Style"/>
          <w:b/>
          <w:sz w:val="18"/>
          <w:szCs w:val="18"/>
        </w:rPr>
      </w:pPr>
      <w:r>
        <w:rPr>
          <w:rFonts w:ascii="Bookman Old Style" w:hAnsi="Bookman Old Style"/>
          <w:b/>
          <w:sz w:val="18"/>
          <w:szCs w:val="18"/>
        </w:rPr>
        <w:t>XIII. DA SUBCONTRATAÇÃO</w:t>
      </w:r>
    </w:p>
    <w:p w14:paraId="51F0594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13.1. É vedado à CONTRATADA subcontratar total ou parcialmente o fornecimento ajustado sem prévia autorização do Contratante.</w:t>
      </w:r>
    </w:p>
    <w:p w14:paraId="0C9D7B4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108EB952"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XIV. OBRIGAÇÕES PERTINENTES À LGPD:</w:t>
      </w:r>
    </w:p>
    <w:p w14:paraId="4E683B8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FC19C5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14.2. Os dados obtidos somente poderão ser utilizados para as finalidades que justificaram seu acesso e de acordo com a boa-fé e com os princípios do art. 6º da LGPD. </w:t>
      </w:r>
    </w:p>
    <w:p w14:paraId="119782B6"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14.3. É vedado o compartilhamento com terceiros dos dados obtidos fora das hipóteses permitidas em Lei.</w:t>
      </w:r>
    </w:p>
    <w:p w14:paraId="7C7E3011"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14.4. A Administração deverá ser informada no prazo de 5 (cinco) dias úteis sobre todos os contratos de </w:t>
      </w:r>
      <w:proofErr w:type="spellStart"/>
      <w:r w:rsidRPr="00AF4124">
        <w:rPr>
          <w:rFonts w:ascii="Bookman Old Style" w:hAnsi="Bookman Old Style"/>
          <w:sz w:val="18"/>
          <w:szCs w:val="18"/>
        </w:rPr>
        <w:t>suboperação</w:t>
      </w:r>
      <w:proofErr w:type="spellEnd"/>
      <w:r w:rsidRPr="00AF4124">
        <w:rPr>
          <w:rFonts w:ascii="Bookman Old Style" w:hAnsi="Bookman Old Style"/>
          <w:sz w:val="18"/>
          <w:szCs w:val="18"/>
        </w:rPr>
        <w:t xml:space="preserve"> firmados ou que venham a ser celebrados pelo Contratado. </w:t>
      </w:r>
    </w:p>
    <w:p w14:paraId="100705F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87CD66E"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14.6. É dever do contratado orientar e treinar seus empregados sobre os deveres, requisitos e responsabilidades decorrentes da LGPD. </w:t>
      </w:r>
    </w:p>
    <w:p w14:paraId="683B23E8"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14.7. O Contratado deverá exigir de </w:t>
      </w:r>
      <w:proofErr w:type="spellStart"/>
      <w:r w:rsidRPr="00AF4124">
        <w:rPr>
          <w:rFonts w:ascii="Bookman Old Style" w:hAnsi="Bookman Old Style"/>
          <w:sz w:val="18"/>
          <w:szCs w:val="18"/>
        </w:rPr>
        <w:t>suboperadores</w:t>
      </w:r>
      <w:proofErr w:type="spellEnd"/>
      <w:r w:rsidRPr="00AF4124">
        <w:rPr>
          <w:rFonts w:ascii="Bookman Old Style" w:hAnsi="Bookman Old Style"/>
          <w:sz w:val="18"/>
          <w:szCs w:val="18"/>
        </w:rPr>
        <w:t xml:space="preserve"> e subcontratados o cumprimento dos deveres da presente cláusula, permanecendo integralmente responsável por garantir sua observância.</w:t>
      </w:r>
    </w:p>
    <w:p w14:paraId="3FDD757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14.8. O Contratante poderá realizar diligência para aferir o cumprimento dessa cláusula, devendo o Contratado atender prontamente eventuais pedidos de comprovação formulados. </w:t>
      </w:r>
    </w:p>
    <w:p w14:paraId="2DF12011"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14.9. O Contratado deverá prestar, no prazo fixado pelo Contratante, prorrogável justificadamente, quaisquer informações acerca dos dados pessoais para cumprimento da LGPD, inclusive quanto a eventual descarte realizado. </w:t>
      </w:r>
    </w:p>
    <w:p w14:paraId="1667F5FC"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14.10.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D5474CD"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14.10.1. Os referidos bancos de dados devem ser desenvolvidos em formato interoperável, a fim de garantir a reutilização desses dados pela Administração nas hipóteses previstas na LGPD.</w:t>
      </w:r>
    </w:p>
    <w:p w14:paraId="1C11B56A"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14.11. O contrato está sujeito a ser alterado nos procedimentos pertinentes ao tratamento de dados pessoais, quando indicado pela autoridade competente, em especial a ANPD por meio de opiniões técnicas ou recomendações, editadas na forma da LGPD.</w:t>
      </w:r>
    </w:p>
    <w:p w14:paraId="6E696E4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14.12. Os contratos e convênios de que trata o § 1º do art. 26 da LGPD deverão ser comunicados à autoridade nacional.</w:t>
      </w:r>
    </w:p>
    <w:p w14:paraId="5DB8CAFF"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155088CF" w14:textId="77777777" w:rsidR="00AF4124" w:rsidRPr="007730AF" w:rsidRDefault="00AF4124" w:rsidP="007730AF">
      <w:pPr>
        <w:pStyle w:val="Default"/>
        <w:spacing w:after="200" w:line="276" w:lineRule="auto"/>
        <w:contextualSpacing/>
        <w:jc w:val="both"/>
        <w:rPr>
          <w:rFonts w:ascii="Bookman Old Style" w:hAnsi="Bookman Old Style"/>
          <w:b/>
          <w:sz w:val="18"/>
          <w:szCs w:val="18"/>
        </w:rPr>
      </w:pPr>
      <w:r w:rsidRPr="007730AF">
        <w:rPr>
          <w:rFonts w:ascii="Bookman Old Style" w:hAnsi="Bookman Old Style"/>
          <w:b/>
          <w:sz w:val="18"/>
          <w:szCs w:val="18"/>
        </w:rPr>
        <w:t xml:space="preserve">XV– DAS CONDIÇÕES GERAIS </w:t>
      </w:r>
    </w:p>
    <w:p w14:paraId="4D9D1D74"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lastRenderedPageBreak/>
        <w:t xml:space="preserve">15.1. O Contratante reserva para si o direito de não aceitar ou receber qualquer serviço em desacordo com o previsto neste Termo, ou em desconformidade com as normas legais ou técnicas pertinentes ao seu objeto. </w:t>
      </w:r>
    </w:p>
    <w:p w14:paraId="1F7FC415"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 xml:space="preserve">15.2. Qualquer tolerância por parte do Contratante, no que tange ao cumprimento das obrigações ora assumidas pela CONTRATADA, não importará, em hipótese alguma, em alteração contratual, novação, transação ou perdão, permanecendo em pleno vigor todas as condições do ajuste e podendo o contratante exigir o seu cumprimento a qualquer tempo.  </w:t>
      </w:r>
    </w:p>
    <w:p w14:paraId="03922469"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r w:rsidRPr="00AF4124">
        <w:rPr>
          <w:rFonts w:ascii="Bookman Old Style" w:hAnsi="Bookman Old Style"/>
          <w:sz w:val="18"/>
          <w:szCs w:val="18"/>
        </w:rPr>
        <w:t>15.3. A contratação não estabelece qualquer vínculo de natureza empregatícia ou de responsabilidade entre a Câmara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188B8E43" w14:textId="77777777" w:rsidR="00AF4124" w:rsidRPr="00AF4124" w:rsidRDefault="00AF4124" w:rsidP="007730AF">
      <w:pPr>
        <w:pStyle w:val="Default"/>
        <w:spacing w:after="200" w:line="276" w:lineRule="auto"/>
        <w:contextualSpacing/>
        <w:jc w:val="both"/>
        <w:rPr>
          <w:rFonts w:ascii="Bookman Old Style" w:hAnsi="Bookman Old Style"/>
          <w:sz w:val="18"/>
          <w:szCs w:val="18"/>
        </w:rPr>
      </w:pPr>
    </w:p>
    <w:p w14:paraId="3CDD6A12" w14:textId="4306F20B" w:rsidR="00AF4124" w:rsidRPr="0003038C" w:rsidRDefault="00AF4124" w:rsidP="007730AF">
      <w:pPr>
        <w:pStyle w:val="Default"/>
        <w:spacing w:after="200" w:line="276" w:lineRule="auto"/>
        <w:contextualSpacing/>
        <w:jc w:val="both"/>
        <w:rPr>
          <w:rFonts w:ascii="Bookman Old Style" w:hAnsi="Bookman Old Style"/>
          <w:color w:val="auto"/>
          <w:sz w:val="18"/>
          <w:szCs w:val="18"/>
        </w:rPr>
      </w:pPr>
      <w:r w:rsidRPr="0003038C">
        <w:rPr>
          <w:rFonts w:ascii="Bookman Old Style" w:hAnsi="Bookman Old Style"/>
          <w:color w:val="auto"/>
          <w:sz w:val="18"/>
          <w:szCs w:val="18"/>
        </w:rPr>
        <w:t xml:space="preserve">Pitangui/MG, </w:t>
      </w:r>
      <w:r w:rsidR="0003038C" w:rsidRPr="0003038C">
        <w:rPr>
          <w:rFonts w:ascii="Bookman Old Style" w:hAnsi="Bookman Old Style"/>
          <w:color w:val="auto"/>
          <w:sz w:val="18"/>
          <w:szCs w:val="18"/>
        </w:rPr>
        <w:t>25</w:t>
      </w:r>
      <w:r w:rsidRPr="0003038C">
        <w:rPr>
          <w:rFonts w:ascii="Bookman Old Style" w:hAnsi="Bookman Old Style"/>
          <w:color w:val="auto"/>
          <w:sz w:val="18"/>
          <w:szCs w:val="18"/>
        </w:rPr>
        <w:t xml:space="preserve"> dias de fevereiro de 2025.</w:t>
      </w:r>
    </w:p>
    <w:p w14:paraId="153B0431" w14:textId="77777777" w:rsidR="00AF4124" w:rsidRPr="00AF4124" w:rsidRDefault="00AF4124" w:rsidP="007730AF">
      <w:pPr>
        <w:pStyle w:val="Default"/>
        <w:spacing w:after="200" w:line="276" w:lineRule="auto"/>
        <w:contextualSpacing/>
        <w:jc w:val="center"/>
        <w:rPr>
          <w:rFonts w:ascii="Bookman Old Style" w:hAnsi="Bookman Old Style"/>
          <w:sz w:val="18"/>
          <w:szCs w:val="18"/>
        </w:rPr>
      </w:pPr>
    </w:p>
    <w:p w14:paraId="141C8280" w14:textId="77777777" w:rsidR="00AF4124" w:rsidRPr="00AF4124" w:rsidRDefault="00AF4124" w:rsidP="007730AF">
      <w:pPr>
        <w:pStyle w:val="Default"/>
        <w:spacing w:after="200" w:line="276" w:lineRule="auto"/>
        <w:contextualSpacing/>
        <w:jc w:val="center"/>
        <w:rPr>
          <w:rFonts w:ascii="Bookman Old Style" w:hAnsi="Bookman Old Style"/>
          <w:sz w:val="18"/>
          <w:szCs w:val="18"/>
        </w:rPr>
      </w:pPr>
    </w:p>
    <w:p w14:paraId="24C732E8" w14:textId="77777777" w:rsidR="00AF4124" w:rsidRPr="007730AF" w:rsidRDefault="00AF4124" w:rsidP="007730AF">
      <w:pPr>
        <w:pStyle w:val="Default"/>
        <w:spacing w:after="200" w:line="276" w:lineRule="auto"/>
        <w:contextualSpacing/>
        <w:jc w:val="center"/>
        <w:rPr>
          <w:rFonts w:ascii="Bookman Old Style" w:hAnsi="Bookman Old Style"/>
          <w:b/>
          <w:sz w:val="18"/>
          <w:szCs w:val="18"/>
        </w:rPr>
      </w:pPr>
      <w:r w:rsidRPr="007730AF">
        <w:rPr>
          <w:rFonts w:ascii="Bookman Old Style" w:hAnsi="Bookman Old Style"/>
          <w:b/>
          <w:sz w:val="18"/>
          <w:szCs w:val="18"/>
        </w:rPr>
        <w:t>Clemente Victor Azevedo Silva</w:t>
      </w:r>
    </w:p>
    <w:p w14:paraId="08F8AFEC" w14:textId="77777777" w:rsidR="00397A8F" w:rsidRDefault="00AF4124" w:rsidP="007730AF">
      <w:pPr>
        <w:pStyle w:val="Default"/>
        <w:spacing w:after="200" w:line="276" w:lineRule="auto"/>
        <w:contextualSpacing/>
        <w:jc w:val="center"/>
        <w:rPr>
          <w:rFonts w:ascii="Bookman Old Style" w:hAnsi="Bookman Old Style"/>
          <w:sz w:val="18"/>
          <w:szCs w:val="18"/>
        </w:rPr>
      </w:pPr>
      <w:r w:rsidRPr="00AF4124">
        <w:rPr>
          <w:rFonts w:ascii="Bookman Old Style" w:hAnsi="Bookman Old Style"/>
          <w:sz w:val="18"/>
          <w:szCs w:val="18"/>
        </w:rPr>
        <w:t>Presidente</w:t>
      </w:r>
    </w:p>
    <w:sectPr w:rsidR="00397A8F">
      <w:headerReference w:type="default" r:id="rId12"/>
      <w:pgSz w:w="11906" w:h="16838"/>
      <w:pgMar w:top="1701"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F92EC" w14:textId="77777777" w:rsidR="00625E41" w:rsidRDefault="00625E41">
      <w:r>
        <w:separator/>
      </w:r>
    </w:p>
  </w:endnote>
  <w:endnote w:type="continuationSeparator" w:id="0">
    <w:p w14:paraId="2DD2FACA" w14:textId="77777777" w:rsidR="00625E41" w:rsidRDefault="00625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1A8B5" w14:textId="77777777" w:rsidR="00625E41" w:rsidRDefault="00625E41">
      <w:r>
        <w:separator/>
      </w:r>
    </w:p>
  </w:footnote>
  <w:footnote w:type="continuationSeparator" w:id="0">
    <w:p w14:paraId="1BA52AB7" w14:textId="77777777" w:rsidR="00625E41" w:rsidRDefault="00625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C7642" w14:textId="77777777" w:rsidR="00397A8F" w:rsidRDefault="00AF4124">
    <w:pPr>
      <w:pStyle w:val="Cabealho"/>
      <w:jc w:val="right"/>
    </w:pPr>
    <w:r>
      <w:rPr>
        <w:noProof/>
      </w:rPr>
      <w:drawing>
        <wp:anchor distT="0" distB="0" distL="114300" distR="114300" simplePos="0" relativeHeight="251659264" behindDoc="0" locked="0" layoutInCell="1" allowOverlap="1" wp14:anchorId="4F9E4031" wp14:editId="0511723E">
          <wp:simplePos x="0" y="0"/>
          <wp:positionH relativeFrom="column">
            <wp:posOffset>-719455</wp:posOffset>
          </wp:positionH>
          <wp:positionV relativeFrom="paragraph">
            <wp:posOffset>-210185</wp:posOffset>
          </wp:positionV>
          <wp:extent cx="7152005" cy="1200150"/>
          <wp:effectExtent l="0" t="0" r="0" b="0"/>
          <wp:wrapTopAndBottom/>
          <wp:docPr id="7310999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99935" name="Imagem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52005" cy="12001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1" w15:restartNumberingAfterBreak="0">
    <w:nsid w:val="16B439B7"/>
    <w:multiLevelType w:val="multilevel"/>
    <w:tmpl w:val="D4E6FF84"/>
    <w:lvl w:ilvl="0">
      <w:start w:val="4"/>
      <w:numFmt w:val="decimal"/>
      <w:lvlText w:val="%1."/>
      <w:lvlJc w:val="left"/>
      <w:pPr>
        <w:ind w:left="495" w:hanging="495"/>
      </w:pPr>
      <w:rPr>
        <w:rFonts w:hint="default"/>
        <w:i w:val="0"/>
        <w:color w:val="000000"/>
      </w:rPr>
    </w:lvl>
    <w:lvl w:ilvl="1">
      <w:start w:val="5"/>
      <w:numFmt w:val="decimal"/>
      <w:lvlText w:val="%1.%2."/>
      <w:lvlJc w:val="left"/>
      <w:pPr>
        <w:ind w:left="495" w:hanging="495"/>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720" w:hanging="720"/>
      </w:pPr>
      <w:rPr>
        <w:rFonts w:hint="default"/>
        <w:i w:val="0"/>
        <w:color w:val="000000"/>
      </w:rPr>
    </w:lvl>
    <w:lvl w:ilvl="4">
      <w:start w:val="1"/>
      <w:numFmt w:val="decimal"/>
      <w:lvlText w:val="%1.%2.%3.%4.%5."/>
      <w:lvlJc w:val="left"/>
      <w:pPr>
        <w:ind w:left="108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2" w15:restartNumberingAfterBreak="0">
    <w:nsid w:val="18E71CA2"/>
    <w:multiLevelType w:val="multilevel"/>
    <w:tmpl w:val="5AF27A04"/>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8F074D7"/>
    <w:multiLevelType w:val="multilevel"/>
    <w:tmpl w:val="7CB6D172"/>
    <w:lvl w:ilvl="0">
      <w:start w:val="3"/>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4"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7"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8" w15:restartNumberingAfterBreak="0">
    <w:nsid w:val="30561163"/>
    <w:multiLevelType w:val="hybridMultilevel"/>
    <w:tmpl w:val="929E600A"/>
    <w:lvl w:ilvl="0" w:tplc="FF502E0A">
      <w:start w:val="4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6B631C2"/>
    <w:multiLevelType w:val="multilevel"/>
    <w:tmpl w:val="20E0A1E8"/>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FA85442"/>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75E1F75"/>
    <w:multiLevelType w:val="multilevel"/>
    <w:tmpl w:val="F89E72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B6F2082"/>
    <w:multiLevelType w:val="multilevel"/>
    <w:tmpl w:val="B9A6B87A"/>
    <w:lvl w:ilvl="0">
      <w:start w:val="2"/>
      <w:numFmt w:val="decimal"/>
      <w:lvlText w:val="%1."/>
      <w:lvlJc w:val="left"/>
      <w:pPr>
        <w:ind w:left="495" w:hanging="495"/>
      </w:pPr>
      <w:rPr>
        <w:rFonts w:hint="default"/>
        <w:color w:val="000000"/>
      </w:rPr>
    </w:lvl>
    <w:lvl w:ilvl="1">
      <w:start w:val="2"/>
      <w:numFmt w:val="decimal"/>
      <w:lvlText w:val="%1.%2."/>
      <w:lvlJc w:val="left"/>
      <w:pPr>
        <w:ind w:left="495" w:hanging="495"/>
      </w:pPr>
      <w:rPr>
        <w:rFonts w:hint="default"/>
        <w:color w:val="000000"/>
      </w:rPr>
    </w:lvl>
    <w:lvl w:ilvl="2">
      <w:start w:val="4"/>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51A27108"/>
    <w:multiLevelType w:val="multilevel"/>
    <w:tmpl w:val="2FD0BF6C"/>
    <w:lvl w:ilvl="0">
      <w:start w:val="10"/>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C0046CD"/>
    <w:multiLevelType w:val="multilevel"/>
    <w:tmpl w:val="EDB4D6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5D2E7DF4"/>
    <w:multiLevelType w:val="multilevel"/>
    <w:tmpl w:val="874297FA"/>
    <w:lvl w:ilvl="0">
      <w:start w:val="7"/>
      <w:numFmt w:val="decimal"/>
      <w:lvlText w:val="%1."/>
      <w:lvlJc w:val="left"/>
      <w:pPr>
        <w:ind w:left="360" w:hanging="360"/>
      </w:pPr>
      <w:rPr>
        <w:rFonts w:hint="default"/>
      </w:rPr>
    </w:lvl>
    <w:lvl w:ilvl="1">
      <w:start w:val="3"/>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2"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53F6489"/>
    <w:multiLevelType w:val="multilevel"/>
    <w:tmpl w:val="A6360B3A"/>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65FB0C94"/>
    <w:multiLevelType w:val="multilevel"/>
    <w:tmpl w:val="9894E162"/>
    <w:lvl w:ilvl="0">
      <w:start w:val="1"/>
      <w:numFmt w:val="lowerLetter"/>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25" w15:restartNumberingAfterBreak="0">
    <w:nsid w:val="66897222"/>
    <w:multiLevelType w:val="multilevel"/>
    <w:tmpl w:val="CC0A2A3A"/>
    <w:lvl w:ilvl="0">
      <w:start w:val="11"/>
      <w:numFmt w:val="decimal"/>
      <w:lvlText w:val="%1."/>
      <w:lvlJc w:val="left"/>
      <w:pPr>
        <w:ind w:left="624" w:hanging="511"/>
      </w:pPr>
      <w:rPr>
        <w:rFonts w:ascii="Times New Roman" w:eastAsia="Times New Roman" w:hAnsi="Times New Roman" w:cs="Times New Roman"/>
        <w:b/>
        <w:sz w:val="24"/>
        <w:szCs w:val="24"/>
      </w:rPr>
    </w:lvl>
    <w:lvl w:ilvl="1">
      <w:start w:val="1"/>
      <w:numFmt w:val="lowerLetter"/>
      <w:lvlText w:val="%2)"/>
      <w:lvlJc w:val="left"/>
      <w:pPr>
        <w:ind w:left="524" w:hanging="418"/>
      </w:pPr>
      <w:rPr>
        <w:rFonts w:ascii="Book Antiqua" w:eastAsia="Times New Roman" w:hAnsi="Book Antiqua" w:cs="Times New Roman"/>
        <w:color w:val="1F1F1F"/>
        <w:sz w:val="20"/>
        <w:szCs w:val="20"/>
      </w:rPr>
    </w:lvl>
    <w:lvl w:ilvl="2">
      <w:numFmt w:val="bullet"/>
      <w:lvlText w:val="•"/>
      <w:lvlJc w:val="left"/>
      <w:pPr>
        <w:ind w:left="1848" w:hanging="418"/>
      </w:pPr>
    </w:lvl>
    <w:lvl w:ilvl="3">
      <w:numFmt w:val="bullet"/>
      <w:lvlText w:val="•"/>
      <w:lvlJc w:val="left"/>
      <w:pPr>
        <w:ind w:left="2937" w:hanging="418"/>
      </w:pPr>
    </w:lvl>
    <w:lvl w:ilvl="4">
      <w:numFmt w:val="bullet"/>
      <w:lvlText w:val="•"/>
      <w:lvlJc w:val="left"/>
      <w:pPr>
        <w:ind w:left="4026" w:hanging="418"/>
      </w:pPr>
    </w:lvl>
    <w:lvl w:ilvl="5">
      <w:numFmt w:val="bullet"/>
      <w:lvlText w:val="•"/>
      <w:lvlJc w:val="left"/>
      <w:pPr>
        <w:ind w:left="5115" w:hanging="418"/>
      </w:pPr>
    </w:lvl>
    <w:lvl w:ilvl="6">
      <w:numFmt w:val="bullet"/>
      <w:lvlText w:val="•"/>
      <w:lvlJc w:val="left"/>
      <w:pPr>
        <w:ind w:left="6204" w:hanging="418"/>
      </w:pPr>
    </w:lvl>
    <w:lvl w:ilvl="7">
      <w:numFmt w:val="bullet"/>
      <w:lvlText w:val="•"/>
      <w:lvlJc w:val="left"/>
      <w:pPr>
        <w:ind w:left="7293" w:hanging="418"/>
      </w:pPr>
    </w:lvl>
    <w:lvl w:ilvl="8">
      <w:numFmt w:val="bullet"/>
      <w:lvlText w:val="•"/>
      <w:lvlJc w:val="left"/>
      <w:pPr>
        <w:ind w:left="8382" w:hanging="417"/>
      </w:pPr>
    </w:lvl>
  </w:abstractNum>
  <w:abstractNum w:abstractNumId="26"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28" w15:restartNumberingAfterBreak="0">
    <w:nsid w:val="6E283115"/>
    <w:multiLevelType w:val="multilevel"/>
    <w:tmpl w:val="5C581FF8"/>
    <w:lvl w:ilvl="0">
      <w:start w:val="1"/>
      <w:numFmt w:val="decimal"/>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
  </w:num>
  <w:num w:numId="2">
    <w:abstractNumId w:val="27"/>
  </w:num>
  <w:num w:numId="3">
    <w:abstractNumId w:val="26"/>
  </w:num>
  <w:num w:numId="4">
    <w:abstractNumId w:val="7"/>
  </w:num>
  <w:num w:numId="5">
    <w:abstractNumId w:val="4"/>
  </w:num>
  <w:num w:numId="6">
    <w:abstractNumId w:val="0"/>
  </w:num>
  <w:num w:numId="7">
    <w:abstractNumId w:val="4"/>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4"/>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5"/>
  </w:num>
  <w:num w:numId="14">
    <w:abstractNumId w:val="6"/>
  </w:num>
  <w:num w:numId="15">
    <w:abstractNumId w:val="17"/>
  </w:num>
  <w:num w:numId="16">
    <w:abstractNumId w:val="23"/>
  </w:num>
  <w:num w:numId="17">
    <w:abstractNumId w:val="4"/>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9"/>
  </w:num>
  <w:num w:numId="22">
    <w:abstractNumId w:val="18"/>
  </w:num>
  <w:num w:numId="23">
    <w:abstractNumId w:val="29"/>
  </w:num>
  <w:num w:numId="24">
    <w:abstractNumId w:val="13"/>
  </w:num>
  <w:num w:numId="25">
    <w:abstractNumId w:val="15"/>
  </w:num>
  <w:num w:numId="26">
    <w:abstractNumId w:val="1"/>
  </w:num>
  <w:num w:numId="27">
    <w:abstractNumId w:val="20"/>
  </w:num>
  <w:num w:numId="28">
    <w:abstractNumId w:val="2"/>
  </w:num>
  <w:num w:numId="29">
    <w:abstractNumId w:val="10"/>
  </w:num>
  <w:num w:numId="30">
    <w:abstractNumId w:val="28"/>
  </w:num>
  <w:num w:numId="31">
    <w:abstractNumId w:val="24"/>
  </w:num>
  <w:num w:numId="32">
    <w:abstractNumId w:val="3"/>
  </w:num>
  <w:num w:numId="33">
    <w:abstractNumId w:val="14"/>
  </w:num>
  <w:num w:numId="34">
    <w:abstractNumId w:val="25"/>
  </w:num>
  <w:num w:numId="35">
    <w:abstractNumId w:val="8"/>
  </w:num>
  <w:num w:numId="36">
    <w:abstractNumId w:val="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num>
  <w:num w:numId="38">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A8F"/>
    <w:rsid w:val="0003038C"/>
    <w:rsid w:val="000C1FC5"/>
    <w:rsid w:val="00397A8F"/>
    <w:rsid w:val="00557577"/>
    <w:rsid w:val="005614F8"/>
    <w:rsid w:val="00625E41"/>
    <w:rsid w:val="00654A2B"/>
    <w:rsid w:val="00661932"/>
    <w:rsid w:val="006D145F"/>
    <w:rsid w:val="007478DD"/>
    <w:rsid w:val="007730AF"/>
    <w:rsid w:val="00AD6F02"/>
    <w:rsid w:val="00AF0640"/>
    <w:rsid w:val="00AF4124"/>
    <w:rsid w:val="00B6552D"/>
    <w:rsid w:val="00FF7A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0FC29C4"/>
  <w15:docId w15:val="{C79CDCCC-989E-44D3-A2E2-D7B3773F8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lsdException w:name="Strong" w:qFormat="1"/>
    <w:lsdException w:name="Emphasis" w:uiPriority="0" w:qFormat="1"/>
    <w:lsdException w:name="Document Map"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pPr>
      <w:keepNext/>
      <w:suppressAutoHyphens/>
      <w:jc w:val="center"/>
      <w:outlineLvl w:val="1"/>
    </w:pPr>
    <w:rPr>
      <w:rFonts w:ascii="Times New Roman" w:eastAsia="Calibri" w:hAnsi="Times New Roman" w:cs="Times New Roman"/>
      <w:sz w:val="24"/>
    </w:rPr>
  </w:style>
  <w:style w:type="paragraph" w:styleId="Ttulo3">
    <w:name w:val="heading 3"/>
    <w:basedOn w:val="Normal"/>
    <w:next w:val="Normal"/>
    <w:link w:val="Ttulo3Char"/>
    <w:qFormat/>
    <w:pPr>
      <w:keepNext/>
      <w:suppressAutoHyphens/>
      <w:spacing w:before="240" w:after="60"/>
      <w:outlineLvl w:val="2"/>
    </w:pPr>
    <w:rPr>
      <w:rFonts w:eastAsia="Calibri" w:cs="Times New Roman"/>
      <w:b/>
      <w:bCs/>
      <w:sz w:val="26"/>
      <w:szCs w:val="26"/>
    </w:rPr>
  </w:style>
  <w:style w:type="paragraph" w:styleId="Ttulo4">
    <w:name w:val="heading 4"/>
    <w:basedOn w:val="Normal"/>
    <w:next w:val="Normal"/>
    <w:link w:val="Ttulo4Char"/>
    <w:qFormat/>
    <w:pPr>
      <w:keepNext/>
      <w:suppressAutoHyphens/>
      <w:spacing w:before="240" w:after="60"/>
      <w:outlineLvl w:val="3"/>
    </w:pPr>
    <w:rPr>
      <w:rFonts w:ascii="Times New Roman" w:eastAsia="Calibri" w:hAnsi="Times New Roman" w:cs="Times New Roman"/>
      <w:b/>
      <w:bCs/>
      <w:sz w:val="28"/>
      <w:szCs w:val="28"/>
    </w:rPr>
  </w:style>
  <w:style w:type="paragraph" w:styleId="Ttulo5">
    <w:name w:val="heading 5"/>
    <w:basedOn w:val="Normal"/>
    <w:next w:val="Normal"/>
    <w:link w:val="Ttulo5Char"/>
    <w:qFormat/>
    <w:pPr>
      <w:suppressAutoHyphens/>
      <w:spacing w:before="240" w:after="60"/>
      <w:outlineLvl w:val="4"/>
    </w:pPr>
    <w:rPr>
      <w:rFonts w:ascii="Times New Roman" w:eastAsia="Calibri" w:hAnsi="Times New Roman" w:cs="Times New Roman"/>
      <w:b/>
      <w:bCs/>
      <w:i/>
      <w:iCs/>
      <w:sz w:val="26"/>
      <w:szCs w:val="26"/>
    </w:rPr>
  </w:style>
  <w:style w:type="paragraph" w:styleId="Ttulo6">
    <w:name w:val="heading 6"/>
    <w:basedOn w:val="Normal"/>
    <w:next w:val="Normal"/>
    <w:link w:val="Ttulo6Char"/>
    <w:uiPriority w:val="99"/>
    <w:qFormat/>
    <w:pPr>
      <w:tabs>
        <w:tab w:val="left" w:pos="1152"/>
      </w:tabs>
      <w:suppressAutoHyphens/>
      <w:spacing w:before="240" w:after="60"/>
      <w:ind w:left="1152" w:hanging="1152"/>
      <w:outlineLvl w:val="5"/>
    </w:pPr>
    <w:rPr>
      <w:rFonts w:ascii="Times New Roman" w:eastAsia="Calibri" w:hAnsi="Times New Roman" w:cs="Times New Roman"/>
      <w:b/>
      <w:bCs/>
      <w:szCs w:val="20"/>
      <w:lang w:eastAsia="zh-CN"/>
    </w:rPr>
  </w:style>
  <w:style w:type="paragraph" w:styleId="Ttulo7">
    <w:name w:val="heading 7"/>
    <w:basedOn w:val="Normal"/>
    <w:next w:val="Normal"/>
    <w:link w:val="Ttulo7Char"/>
    <w:uiPriority w:val="99"/>
    <w:qFormat/>
    <w:pPr>
      <w:tabs>
        <w:tab w:val="left" w:pos="1296"/>
      </w:tabs>
      <w:suppressAutoHyphens/>
      <w:spacing w:before="240" w:after="60"/>
      <w:ind w:left="1296" w:hanging="1296"/>
      <w:outlineLvl w:val="6"/>
    </w:pPr>
    <w:rPr>
      <w:rFonts w:ascii="Times New Roman" w:eastAsia="Calibri" w:hAnsi="Times New Roman" w:cs="Times New Roman"/>
      <w:sz w:val="24"/>
      <w:lang w:eastAsia="zh-CN"/>
    </w:rPr>
  </w:style>
  <w:style w:type="paragraph" w:styleId="Ttulo8">
    <w:name w:val="heading 8"/>
    <w:basedOn w:val="Normal"/>
    <w:next w:val="Normal"/>
    <w:link w:val="Ttulo8Char"/>
    <w:qFormat/>
    <w:pPr>
      <w:suppressAutoHyphens/>
      <w:spacing w:before="240" w:after="60"/>
      <w:outlineLvl w:val="7"/>
    </w:pPr>
    <w:rPr>
      <w:rFonts w:ascii="Calibri" w:eastAsia="Calibri" w:hAnsi="Calibri" w:cs="Times New Roman"/>
      <w:i/>
      <w:iCs/>
      <w:sz w:val="24"/>
    </w:rPr>
  </w:style>
  <w:style w:type="paragraph" w:styleId="Ttulo9">
    <w:name w:val="heading 9"/>
    <w:basedOn w:val="Normal"/>
    <w:next w:val="Normal"/>
    <w:link w:val="Ttulo9Char"/>
    <w:uiPriority w:val="9"/>
    <w:qFormat/>
    <w:pPr>
      <w:keepNext/>
      <w:keepLines/>
      <w:suppressAutoHyphens/>
      <w:spacing w:before="200" w:line="276" w:lineRule="auto"/>
      <w:outlineLvl w:val="8"/>
    </w:pPr>
    <w:rPr>
      <w:rFonts w:ascii="Cambria" w:eastAsia="Calibri" w:hAnsi="Cambria" w:cs="Times New Roman"/>
      <w:i/>
      <w:iCs/>
      <w:color w:val="404040"/>
      <w:szCs w:val="20"/>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aliases w:val="TCU,Citação AGU"/>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aliases w:val="TCU Char,Citação AGU Char"/>
    <w:basedOn w:val="Fontepargpadro"/>
    <w:link w:val="Citao"/>
    <w:uiPriority w:val="29"/>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Pr>
      <w:rFonts w:ascii="Arial" w:eastAsiaTheme="majorEastAsia" w:hAnsi="Arial" w:cs="Times New Roman"/>
      <w:b/>
      <w:bCs/>
      <w:color w:val="000000"/>
      <w:sz w:val="20"/>
      <w:szCs w:val="20"/>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qFormat/>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pPr>
      <w:ind w:left="720"/>
      <w:contextualSpacing/>
    </w:p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qFormat/>
    <w:rPr>
      <w:sz w:val="16"/>
      <w:szCs w:val="16"/>
    </w:rPr>
  </w:style>
  <w:style w:type="paragraph" w:styleId="Textodecomentrio">
    <w:name w:val="annotation text"/>
    <w:basedOn w:val="Normal"/>
    <w:link w:val="TextodecomentrioChar"/>
    <w:uiPriority w:val="99"/>
    <w:unhideWhenUsed/>
    <w:qFormat/>
    <w:rPr>
      <w:szCs w:val="20"/>
    </w:rPr>
  </w:style>
  <w:style w:type="character" w:customStyle="1" w:styleId="TextodecomentrioChar">
    <w:name w:val="Texto de comentário Char"/>
    <w:basedOn w:val="Fontepargpadro"/>
    <w:link w:val="Textodecomentrio"/>
    <w:uiPriority w:val="99"/>
    <w:qFormat/>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Pr>
      <w:b/>
      <w:bCs/>
    </w:rPr>
  </w:style>
  <w:style w:type="character" w:customStyle="1" w:styleId="AssuntodocomentrioChar">
    <w:name w:val="Assunto do comentário Char"/>
    <w:basedOn w:val="TextodecomentrioChar"/>
    <w:link w:val="Assuntodocomentrio"/>
    <w:uiPriority w:val="99"/>
    <w:qFormat/>
    <w:rPr>
      <w:rFonts w:ascii="Arial" w:eastAsia="Times New Roman" w:hAnsi="Arial" w:cs="Tahoma"/>
      <w:b/>
      <w:bCs/>
      <w:sz w:val="20"/>
      <w:szCs w:val="20"/>
      <w:lang w:eastAsia="pt-BR"/>
    </w:rPr>
  </w:style>
  <w:style w:type="paragraph" w:customStyle="1" w:styleId="Nivel10">
    <w:name w:val="Nivel1"/>
    <w:basedOn w:val="Ttulo1"/>
    <w:link w:val="Nivel1Char"/>
    <w:qFormat/>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Pr>
      <w:color w:val="000080"/>
      <w:u w:val="single"/>
    </w:rPr>
  </w:style>
  <w:style w:type="table" w:styleId="Tabelacomgrade">
    <w:name w:val="Table Grid"/>
    <w:basedOn w:val="Tabelanormal"/>
    <w:uiPriority w:val="59"/>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tabs>
        <w:tab w:val="num" w:pos="360"/>
      </w:tabs>
    </w:pPr>
  </w:style>
  <w:style w:type="character" w:customStyle="1" w:styleId="Nivel4Char">
    <w:name w:val="Nivel 4 Char"/>
    <w:basedOn w:val="Fontepargpadro"/>
    <w:link w:val="Nivel4"/>
    <w:rPr>
      <w:rFonts w:ascii="Ecofont_Spranq_eco_Sans" w:eastAsia="Arial Unicode MS" w:hAnsi="Ecofont_Spranq_eco_Sans" w:cs="Arial"/>
      <w:sz w:val="20"/>
      <w:szCs w:val="20"/>
      <w:lang w:eastAsia="pt-BR"/>
    </w:rPr>
  </w:style>
  <w:style w:type="paragraph" w:styleId="Textodebalo">
    <w:name w:val="Balloon Text"/>
    <w:basedOn w:val="Normal"/>
    <w:link w:val="TextodebaloChar"/>
    <w:unhideWhenUsed/>
    <w:qFormat/>
    <w:rPr>
      <w:rFonts w:ascii="Segoe UI" w:hAnsi="Segoe UI" w:cs="Segoe UI"/>
      <w:sz w:val="18"/>
      <w:szCs w:val="18"/>
    </w:rPr>
  </w:style>
  <w:style w:type="character" w:customStyle="1" w:styleId="TextodebaloChar">
    <w:name w:val="Texto de balão Char"/>
    <w:basedOn w:val="Fontepargpadro"/>
    <w:link w:val="Textodebalo"/>
    <w:qFormat/>
    <w:rPr>
      <w:rFonts w:ascii="Segoe UI" w:eastAsia="Times New Roman" w:hAnsi="Segoe UI" w:cs="Segoe UI"/>
      <w:sz w:val="18"/>
      <w:szCs w:val="18"/>
      <w:lang w:eastAsia="pt-BR"/>
    </w:rPr>
  </w:style>
  <w:style w:type="paragraph" w:styleId="Cabealho">
    <w:name w:val="header"/>
    <w:basedOn w:val="Normal"/>
    <w:link w:val="CabealhoChar"/>
    <w:unhideWhenUsed/>
    <w:pPr>
      <w:tabs>
        <w:tab w:val="center" w:pos="4252"/>
        <w:tab w:val="right" w:pos="8504"/>
      </w:tabs>
    </w:pPr>
  </w:style>
  <w:style w:type="character" w:customStyle="1" w:styleId="CabealhoChar">
    <w:name w:val="Cabeçalho Char"/>
    <w:basedOn w:val="Fontepargpadro"/>
    <w:link w:val="Cabealho"/>
    <w:qFormat/>
    <w:rPr>
      <w:rFonts w:ascii="Arial" w:eastAsia="Times New Roman" w:hAnsi="Arial" w:cs="Tahoma"/>
      <w:sz w:val="20"/>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qFormat/>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Ttulo2Char">
    <w:name w:val="Título 2 Char"/>
    <w:basedOn w:val="Fontepargpadro"/>
    <w:link w:val="Ttulo2"/>
    <w:qFormat/>
    <w:rPr>
      <w:rFonts w:ascii="Times New Roman" w:eastAsia="Calibri" w:hAnsi="Times New Roman" w:cs="Times New Roman"/>
      <w:sz w:val="24"/>
      <w:szCs w:val="24"/>
      <w:lang w:eastAsia="pt-BR"/>
    </w:rPr>
  </w:style>
  <w:style w:type="character" w:customStyle="1" w:styleId="Ttulo3Char">
    <w:name w:val="Título 3 Char"/>
    <w:basedOn w:val="Fontepargpadro"/>
    <w:link w:val="Ttulo3"/>
    <w:qFormat/>
    <w:rPr>
      <w:rFonts w:ascii="Arial" w:eastAsia="Calibri" w:hAnsi="Arial" w:cs="Times New Roman"/>
      <w:b/>
      <w:bCs/>
      <w:sz w:val="26"/>
      <w:szCs w:val="26"/>
      <w:lang w:eastAsia="pt-BR"/>
    </w:rPr>
  </w:style>
  <w:style w:type="character" w:customStyle="1" w:styleId="Ttulo4Char">
    <w:name w:val="Título 4 Char"/>
    <w:basedOn w:val="Fontepargpadro"/>
    <w:link w:val="Ttulo4"/>
    <w:qFormat/>
    <w:rPr>
      <w:rFonts w:ascii="Times New Roman" w:eastAsia="Calibri" w:hAnsi="Times New Roman" w:cs="Times New Roman"/>
      <w:b/>
      <w:bCs/>
      <w:sz w:val="28"/>
      <w:szCs w:val="28"/>
      <w:lang w:eastAsia="pt-BR"/>
    </w:rPr>
  </w:style>
  <w:style w:type="character" w:customStyle="1" w:styleId="Ttulo5Char">
    <w:name w:val="Título 5 Char"/>
    <w:basedOn w:val="Fontepargpadro"/>
    <w:link w:val="Ttulo5"/>
    <w:qFormat/>
    <w:rPr>
      <w:rFonts w:ascii="Times New Roman" w:eastAsia="Calibri" w:hAnsi="Times New Roman" w:cs="Times New Roman"/>
      <w:b/>
      <w:bCs/>
      <w:i/>
      <w:iCs/>
      <w:sz w:val="26"/>
      <w:szCs w:val="26"/>
      <w:lang w:eastAsia="pt-BR"/>
    </w:rPr>
  </w:style>
  <w:style w:type="character" w:customStyle="1" w:styleId="Ttulo6Char">
    <w:name w:val="Título 6 Char"/>
    <w:basedOn w:val="Fontepargpadro"/>
    <w:link w:val="Ttulo6"/>
    <w:uiPriority w:val="99"/>
    <w:qFormat/>
    <w:rPr>
      <w:rFonts w:ascii="Times New Roman" w:eastAsia="Calibri" w:hAnsi="Times New Roman" w:cs="Times New Roman"/>
      <w:b/>
      <w:bCs/>
      <w:sz w:val="20"/>
      <w:szCs w:val="20"/>
      <w:lang w:eastAsia="zh-CN"/>
    </w:rPr>
  </w:style>
  <w:style w:type="character" w:customStyle="1" w:styleId="Ttulo7Char">
    <w:name w:val="Título 7 Char"/>
    <w:basedOn w:val="Fontepargpadro"/>
    <w:link w:val="Ttulo7"/>
    <w:uiPriority w:val="99"/>
    <w:qFormat/>
    <w:rPr>
      <w:rFonts w:ascii="Times New Roman" w:eastAsia="Calibri" w:hAnsi="Times New Roman" w:cs="Times New Roman"/>
      <w:sz w:val="24"/>
      <w:szCs w:val="24"/>
      <w:lang w:eastAsia="zh-CN"/>
    </w:rPr>
  </w:style>
  <w:style w:type="character" w:customStyle="1" w:styleId="Ttulo8Char">
    <w:name w:val="Título 8 Char"/>
    <w:basedOn w:val="Fontepargpadro"/>
    <w:link w:val="Ttulo8"/>
    <w:qFormat/>
    <w:rPr>
      <w:rFonts w:ascii="Calibri" w:eastAsia="Calibri" w:hAnsi="Calibri" w:cs="Times New Roman"/>
      <w:i/>
      <w:iCs/>
      <w:sz w:val="24"/>
      <w:szCs w:val="24"/>
      <w:lang w:eastAsia="pt-BR"/>
    </w:rPr>
  </w:style>
  <w:style w:type="character" w:customStyle="1" w:styleId="Ttulo9Char">
    <w:name w:val="Título 9 Char"/>
    <w:basedOn w:val="Fontepargpadro"/>
    <w:link w:val="Ttulo9"/>
    <w:uiPriority w:val="9"/>
    <w:qFormat/>
    <w:rPr>
      <w:rFonts w:ascii="Cambria" w:eastAsia="Calibri" w:hAnsi="Cambria" w:cs="Times New Roman"/>
      <w:i/>
      <w:iCs/>
      <w:color w:val="404040"/>
      <w:sz w:val="20"/>
      <w:szCs w:val="20"/>
    </w:rPr>
  </w:style>
  <w:style w:type="character" w:customStyle="1" w:styleId="Heading1Char">
    <w:name w:val="Heading 1 Char"/>
    <w:uiPriority w:val="9"/>
    <w:qFormat/>
    <w:rPr>
      <w:rFonts w:ascii="Cambria" w:eastAsia="Times New Roman" w:hAnsi="Cambria" w:cs="Times New Roman"/>
      <w:b/>
      <w:bCs/>
      <w:kern w:val="2"/>
      <w:sz w:val="32"/>
      <w:szCs w:val="32"/>
      <w:lang w:eastAsia="en-US"/>
    </w:rPr>
  </w:style>
  <w:style w:type="character" w:customStyle="1" w:styleId="TtuloChar">
    <w:name w:val="Título Char"/>
    <w:link w:val="Ttulo"/>
    <w:qFormat/>
    <w:locked/>
    <w:rPr>
      <w:rFonts w:ascii="Times New Roman" w:hAnsi="Times New Roman" w:cs="Times New Roman"/>
      <w:b/>
      <w:bCs/>
      <w:sz w:val="24"/>
      <w:szCs w:val="24"/>
      <w:lang w:eastAsia="pt-BR"/>
    </w:rPr>
  </w:style>
  <w:style w:type="character" w:customStyle="1" w:styleId="CorpodetextoChar">
    <w:name w:val="Corpo de texto Char"/>
    <w:link w:val="Corpodetexto"/>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customStyle="1" w:styleId="LinkdaInternet">
    <w:name w:val="Link da Internet"/>
    <w:uiPriority w:val="99"/>
    <w:rPr>
      <w:color w:val="0000FF"/>
      <w:u w:val="single"/>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Linkdainternetvisitado">
    <w:name w:val="Link da internet visitado"/>
    <w:uiPriority w:val="99"/>
    <w:rPr>
      <w:color w:val="800080"/>
      <w:u w:val="single"/>
    </w:rPr>
  </w:style>
  <w:style w:type="character" w:customStyle="1" w:styleId="apple-converted-space">
    <w:name w:val="apple-converted-space"/>
    <w:basedOn w:val="Fontepargpadro"/>
    <w:qFormat/>
  </w:style>
  <w:style w:type="character" w:customStyle="1" w:styleId="WW-PadroChar">
    <w:name w:val="WW-Padrão Char"/>
    <w:uiPriority w:val="99"/>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uiPriority w:val="99"/>
    <w:qFormat/>
    <w:rPr>
      <w:rFonts w:ascii="Arial" w:hAnsi="Arial" w:cs="Arial"/>
      <w:sz w:val="24"/>
      <w:szCs w:val="24"/>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9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rPr>
  </w:style>
  <w:style w:type="character" w:customStyle="1" w:styleId="Sumrio1Char">
    <w:name w:val="Sumário 1 Char"/>
    <w:link w:val="Sumrio1"/>
    <w:uiPriority w:val="99"/>
    <w:semiHidden/>
    <w:qFormat/>
    <w:locked/>
    <w:rPr>
      <w:rFonts w:ascii="Times New Roman" w:eastAsia="Times New Roman" w:hAnsi="Times New Roman" w:cs="Times New Roman"/>
      <w:b/>
      <w:bCs/>
      <w:caps/>
      <w:sz w:val="20"/>
      <w:szCs w:val="20"/>
      <w:lang w:eastAsia="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rPr>
  </w:style>
  <w:style w:type="character" w:styleId="Forte">
    <w:name w:val="Strong"/>
    <w:uiPriority w:val="99"/>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uiPriority w:val="99"/>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semiHidden/>
    <w:qFormat/>
    <w:locked/>
    <w:rPr>
      <w:rFonts w:ascii="Tahoma" w:hAnsi="Tahoma" w:cs="Tahoma"/>
      <w:sz w:val="24"/>
      <w:szCs w:val="24"/>
      <w:shd w:val="clear" w:color="auto" w:fill="000080"/>
      <w:lang w:eastAsia="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customStyle="1" w:styleId="ncoradanotaderodap">
    <w:name w:val="Âncora da nota de rodapé"/>
    <w:rPr>
      <w:vertAlign w:val="superscript"/>
    </w:rPr>
  </w:style>
  <w:style w:type="character" w:customStyle="1" w:styleId="FootnoteCharacters">
    <w:name w:val="Footnote Characters"/>
    <w:uiPriority w:val="99"/>
    <w:qFormat/>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link w:val="PargrafodaLista"/>
    <w:uiPriority w:val="34"/>
    <w:qFormat/>
    <w:locked/>
    <w:rPr>
      <w:rFonts w:ascii="Arial" w:eastAsia="Times New Roman" w:hAnsi="Arial" w:cs="Tahoma"/>
      <w:sz w:val="20"/>
      <w:szCs w:val="24"/>
      <w:lang w:eastAsia="pt-BR"/>
    </w:rPr>
  </w:style>
  <w:style w:type="character" w:customStyle="1" w:styleId="MenoPendente10">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link w:val="TtuloChar"/>
    <w:qFormat/>
    <w:pPr>
      <w:suppressAutoHyphens/>
      <w:jc w:val="center"/>
    </w:pPr>
    <w:rPr>
      <w:rFonts w:ascii="Times New Roman" w:eastAsiaTheme="minorHAnsi" w:hAnsi="Times New Roman" w:cs="Times New Roman"/>
      <w:b/>
      <w:bCs/>
      <w:sz w:val="24"/>
    </w:rPr>
  </w:style>
  <w:style w:type="character" w:customStyle="1" w:styleId="TtuloChar2">
    <w:name w:val="Título Char2"/>
    <w:basedOn w:val="Fontepargpadro"/>
    <w:uiPriority w:val="10"/>
    <w:rPr>
      <w:rFonts w:asciiTheme="majorHAnsi" w:eastAsiaTheme="majorEastAsia" w:hAnsiTheme="majorHAnsi" w:cstheme="majorBidi"/>
      <w:spacing w:val="-10"/>
      <w:kern w:val="28"/>
      <w:sz w:val="56"/>
      <w:szCs w:val="56"/>
      <w:lang w:eastAsia="pt-BR"/>
    </w:rPr>
  </w:style>
  <w:style w:type="paragraph" w:styleId="Corpodetexto">
    <w:name w:val="Body Text"/>
    <w:basedOn w:val="Normal"/>
    <w:link w:val="CorpodetextoChar"/>
    <w:uiPriority w:val="1"/>
    <w:qFormat/>
    <w:pPr>
      <w:suppressAutoHyphens/>
      <w:jc w:val="both"/>
    </w:pPr>
    <w:rPr>
      <w:rFonts w:ascii="Times New Roman" w:eastAsiaTheme="minorHAnsi" w:hAnsi="Times New Roman" w:cs="Times New Roman"/>
      <w:b/>
      <w:bCs/>
      <w:sz w:val="24"/>
    </w:rPr>
  </w:style>
  <w:style w:type="character" w:customStyle="1" w:styleId="CorpodetextoChar1">
    <w:name w:val="Corpo de texto Char1"/>
    <w:basedOn w:val="Fontepargpadro"/>
    <w:uiPriority w:val="99"/>
    <w:semiHidden/>
    <w:rPr>
      <w:rFonts w:ascii="Arial" w:eastAsia="Times New Roman" w:hAnsi="Arial" w:cs="Tahoma"/>
      <w:sz w:val="20"/>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ndice">
    <w:name w:val="Índice"/>
    <w:basedOn w:val="Normal"/>
    <w:uiPriority w:val="99"/>
    <w:qFormat/>
    <w:pPr>
      <w:suppressLineNumbers/>
      <w:suppressAutoHyphens/>
    </w:pPr>
    <w:rPr>
      <w:rFonts w:ascii="Times New Roman" w:hAnsi="Times New Roman" w:cs="Times New Roman"/>
      <w:sz w:val="24"/>
      <w:lang w:eastAsia="zh-CN"/>
    </w:rPr>
  </w:style>
  <w:style w:type="paragraph" w:customStyle="1" w:styleId="Default">
    <w:name w:val="Default"/>
    <w:qFormat/>
    <w:pPr>
      <w:suppressAutoHyphens/>
      <w:spacing w:after="0" w:line="240" w:lineRule="auto"/>
    </w:pPr>
    <w:rPr>
      <w:rFonts w:ascii="Arial" w:eastAsia="Calibri" w:hAnsi="Arial" w:cs="Arial"/>
      <w:color w:val="000000"/>
      <w:sz w:val="24"/>
      <w:szCs w:val="24"/>
    </w:rPr>
  </w:style>
  <w:style w:type="paragraph" w:customStyle="1" w:styleId="CabealhoeRodap">
    <w:name w:val="Cabeçalho e Rodapé"/>
    <w:basedOn w:val="Normal"/>
    <w:qFormat/>
    <w:pPr>
      <w:suppressAutoHyphens/>
      <w:spacing w:after="200" w:line="276" w:lineRule="auto"/>
    </w:pPr>
    <w:rPr>
      <w:rFonts w:ascii="Calibri" w:eastAsia="Calibri" w:hAnsi="Calibri" w:cs="Calibri"/>
      <w:sz w:val="22"/>
      <w:szCs w:val="22"/>
      <w:lang w:eastAsia="en-US"/>
    </w:rPr>
  </w:style>
  <w:style w:type="paragraph" w:styleId="Corpodetexto2">
    <w:name w:val="Body Text 2"/>
    <w:basedOn w:val="Normal"/>
    <w:link w:val="Corpodetexto2Char"/>
    <w:qFormat/>
    <w:pPr>
      <w:suppressAutoHyphens/>
      <w:jc w:val="both"/>
    </w:pPr>
    <w:rPr>
      <w:rFonts w:ascii="Times New Roman" w:eastAsiaTheme="minorHAnsi" w:hAnsi="Times New Roman" w:cs="Times New Roman"/>
      <w:b/>
      <w:bCs/>
      <w:sz w:val="24"/>
    </w:rPr>
  </w:style>
  <w:style w:type="character" w:customStyle="1" w:styleId="Corpodetexto2Char1">
    <w:name w:val="Corpo de texto 2 Char1"/>
    <w:basedOn w:val="Fontepargpadro"/>
    <w:uiPriority w:val="99"/>
    <w:semiHidden/>
    <w:rPr>
      <w:rFonts w:ascii="Arial" w:eastAsia="Times New Roman" w:hAnsi="Arial" w:cs="Tahoma"/>
      <w:sz w:val="20"/>
      <w:szCs w:val="24"/>
      <w:lang w:eastAsia="pt-BR"/>
    </w:rPr>
  </w:style>
  <w:style w:type="paragraph" w:styleId="Recuodecorpodetexto">
    <w:name w:val="Body Text Indent"/>
    <w:basedOn w:val="Normal"/>
    <w:link w:val="RecuodecorpodetextoChar"/>
    <w:pPr>
      <w:suppressAutoHyphens/>
      <w:spacing w:after="120"/>
      <w:ind w:left="283"/>
    </w:pPr>
    <w:rPr>
      <w:rFonts w:ascii="Times New Roman" w:eastAsiaTheme="minorHAnsi" w:hAnsi="Times New Roman" w:cs="Times New Roman"/>
      <w:sz w:val="24"/>
    </w:rPr>
  </w:style>
  <w:style w:type="character" w:customStyle="1" w:styleId="RecuodecorpodetextoChar1">
    <w:name w:val="Recuo de corpo de texto Char1"/>
    <w:basedOn w:val="Fontepargpadro"/>
    <w:uiPriority w:val="99"/>
    <w:semiHidden/>
    <w:rPr>
      <w:rFonts w:ascii="Arial" w:eastAsia="Times New Roman" w:hAnsi="Arial" w:cs="Tahoma"/>
      <w:sz w:val="20"/>
      <w:szCs w:val="24"/>
      <w:lang w:eastAsia="pt-BR"/>
    </w:rPr>
  </w:style>
  <w:style w:type="paragraph" w:customStyle="1" w:styleId="WW-Padro">
    <w:name w:val="WW-Padrão"/>
    <w:uiPriority w:val="99"/>
    <w:qFormat/>
    <w:pPr>
      <w:suppressAutoHyphens/>
      <w:spacing w:after="0" w:line="240" w:lineRule="auto"/>
    </w:pPr>
    <w:rPr>
      <w:rFonts w:ascii="Times New Roman" w:eastAsia="Calibri" w:hAnsi="Times New Roman" w:cs="Times New Roman"/>
      <w:lang w:eastAsia="ar-SA"/>
    </w:rPr>
  </w:style>
  <w:style w:type="paragraph" w:customStyle="1" w:styleId="Padro0">
    <w:name w:val="Padrão"/>
    <w:qFormat/>
    <w:pPr>
      <w:suppressAutoHyphens/>
      <w:spacing w:after="0"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qFormat/>
    <w:pPr>
      <w:suppressAutoHyphens/>
      <w:spacing w:after="120"/>
    </w:pPr>
    <w:rPr>
      <w:rFonts w:ascii="Times New Roman" w:eastAsiaTheme="minorHAnsi" w:hAnsi="Times New Roman" w:cs="Times New Roman"/>
      <w:sz w:val="16"/>
      <w:szCs w:val="16"/>
    </w:rPr>
  </w:style>
  <w:style w:type="character" w:customStyle="1" w:styleId="Corpodetexto3Char1">
    <w:name w:val="Corpo de texto 3 Char1"/>
    <w:basedOn w:val="Fontepargpadro"/>
    <w:uiPriority w:val="99"/>
    <w:semiHidden/>
    <w:rPr>
      <w:rFonts w:ascii="Arial" w:eastAsia="Times New Roman" w:hAnsi="Arial" w:cs="Tahoma"/>
      <w:sz w:val="16"/>
      <w:szCs w:val="16"/>
      <w:lang w:eastAsia="pt-BR"/>
    </w:rPr>
  </w:style>
  <w:style w:type="paragraph" w:customStyle="1" w:styleId="Recuodocorpodetexto">
    <w:name w:val="Recuo do corpo de texto"/>
    <w:basedOn w:val="Padro0"/>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szCs w:val="20"/>
    </w:rPr>
  </w:style>
  <w:style w:type="paragraph" w:customStyle="1" w:styleId="Contedo1">
    <w:name w:val="Conteúdo 1"/>
    <w:basedOn w:val="Padro0"/>
    <w:next w:val="Padro0"/>
    <w:qFormat/>
    <w:pPr>
      <w:spacing w:before="120" w:after="120"/>
    </w:pPr>
    <w:rPr>
      <w:b/>
      <w:bCs/>
      <w:caps/>
    </w:rPr>
  </w:style>
  <w:style w:type="paragraph" w:styleId="NormalWeb">
    <w:name w:val="Normal (Web)"/>
    <w:basedOn w:val="Normal"/>
    <w:uiPriority w:val="99"/>
    <w:qFormat/>
    <w:pPr>
      <w:suppressAutoHyphens/>
      <w:spacing w:beforeAutospacing="1" w:after="200" w:afterAutospacing="1"/>
    </w:pPr>
    <w:rPr>
      <w:rFonts w:ascii="Times New Roman" w:hAnsi="Times New Roman" w:cs="Times New Roman"/>
      <w:szCs w:val="20"/>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uppressAutoHyphens/>
      <w:ind w:left="720"/>
    </w:pPr>
    <w:rPr>
      <w:rFonts w:ascii="Times New Roman" w:eastAsia="Calibri" w:hAnsi="Times New Roman" w:cs="Times New Roman"/>
      <w:szCs w:val="20"/>
      <w:lang w:eastAsia="ar-SA"/>
    </w:rPr>
  </w:style>
  <w:style w:type="paragraph" w:customStyle="1" w:styleId="Ttulo40">
    <w:name w:val="Título4"/>
    <w:basedOn w:val="Normal"/>
    <w:next w:val="Subttulo"/>
    <w:uiPriority w:val="99"/>
    <w:qFormat/>
    <w:pPr>
      <w:suppressAutoHyphens/>
      <w:jc w:val="center"/>
    </w:pPr>
    <w:rPr>
      <w:rFonts w:ascii="Times New Roman" w:hAnsi="Times New Roman" w:cs="Times New Roman"/>
      <w:b/>
      <w:bCs/>
      <w:sz w:val="24"/>
      <w:lang w:eastAsia="zh-CN"/>
    </w:rPr>
  </w:style>
  <w:style w:type="paragraph" w:customStyle="1" w:styleId="Ttulo30">
    <w:name w:val="Título3"/>
    <w:basedOn w:val="Normal"/>
    <w:next w:val="Corpodetexto"/>
    <w:uiPriority w:val="99"/>
    <w:qFormat/>
    <w:pPr>
      <w:keepNext/>
      <w:suppressAutoHyphens/>
      <w:spacing w:before="240" w:after="120"/>
    </w:pPr>
    <w:rPr>
      <w:rFonts w:cs="Arial"/>
      <w:sz w:val="28"/>
      <w:szCs w:val="28"/>
      <w:lang w:eastAsia="zh-CN"/>
    </w:rPr>
  </w:style>
  <w:style w:type="paragraph" w:customStyle="1" w:styleId="Legenda2">
    <w:name w:val="Legenda2"/>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Ttulo20">
    <w:name w:val="Título2"/>
    <w:basedOn w:val="Normal"/>
    <w:next w:val="Corpodetexto"/>
    <w:uiPriority w:val="99"/>
    <w:qFormat/>
    <w:pPr>
      <w:keepNext/>
      <w:suppressAutoHyphens/>
      <w:spacing w:before="240" w:after="120"/>
    </w:pPr>
    <w:rPr>
      <w:rFonts w:cs="Arial"/>
      <w:sz w:val="28"/>
      <w:szCs w:val="28"/>
      <w:lang w:eastAsia="zh-CN"/>
    </w:rPr>
  </w:style>
  <w:style w:type="paragraph" w:customStyle="1" w:styleId="Legenda1">
    <w:name w:val="Legenda1"/>
    <w:basedOn w:val="Normal"/>
    <w:uiPriority w:val="99"/>
    <w:qFormat/>
    <w:pPr>
      <w:suppressLineNumbers/>
      <w:suppressAutoHyphens/>
      <w:spacing w:before="120" w:after="120"/>
    </w:pPr>
    <w:rPr>
      <w:rFonts w:ascii="Times New Roman" w:hAnsi="Times New Roman" w:cs="Times New Roman"/>
      <w:i/>
      <w:iCs/>
      <w:sz w:val="24"/>
      <w:lang w:eastAsia="zh-CN"/>
    </w:rPr>
  </w:style>
  <w:style w:type="paragraph" w:customStyle="1" w:styleId="Corpodetexto32">
    <w:name w:val="Corpo de texto 32"/>
    <w:basedOn w:val="Normal"/>
    <w:uiPriority w:val="99"/>
    <w:qFormat/>
    <w:pPr>
      <w:suppressAutoHyphens/>
      <w:spacing w:after="120"/>
    </w:pPr>
    <w:rPr>
      <w:rFonts w:ascii="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uppressAutoHyphens/>
      <w:spacing w:before="240" w:after="120"/>
    </w:pPr>
    <w:rPr>
      <w:rFonts w:cs="Arial"/>
      <w:color w:val="000000"/>
      <w:sz w:val="28"/>
      <w:szCs w:val="28"/>
      <w:lang w:eastAsia="zh-CN"/>
    </w:rPr>
  </w:style>
  <w:style w:type="paragraph" w:styleId="Subttulo">
    <w:name w:val="Subtitle"/>
    <w:basedOn w:val="Ttulo20"/>
    <w:next w:val="Corpodetexto"/>
    <w:link w:val="SubttuloChar"/>
    <w:uiPriority w:val="99"/>
    <w:qFormat/>
    <w:pPr>
      <w:jc w:val="center"/>
    </w:pPr>
    <w:rPr>
      <w:rFonts w:eastAsiaTheme="minorHAnsi"/>
      <w:i/>
      <w:iCs/>
    </w:rPr>
  </w:style>
  <w:style w:type="character" w:customStyle="1" w:styleId="SubttuloChar1">
    <w:name w:val="Subtítulo Char1"/>
    <w:basedOn w:val="Fontepargpadro"/>
    <w:uiPriority w:val="11"/>
    <w:rPr>
      <w:rFonts w:eastAsiaTheme="minorEastAsia"/>
      <w:color w:val="5A5A5A" w:themeColor="text1" w:themeTint="A5"/>
      <w:spacing w:val="15"/>
      <w:lang w:eastAsia="pt-BR"/>
    </w:rPr>
  </w:style>
  <w:style w:type="paragraph" w:customStyle="1" w:styleId="AlneaTracejada">
    <w:name w:val="Alínea Tracejada"/>
    <w:basedOn w:val="Normal"/>
    <w:uiPriority w:val="99"/>
    <w:qFormat/>
    <w:pPr>
      <w:numPr>
        <w:numId w:val="28"/>
      </w:numPr>
      <w:suppressAutoHyphens/>
      <w:spacing w:line="360" w:lineRule="auto"/>
      <w:jc w:val="both"/>
    </w:pPr>
    <w:rPr>
      <w:rFonts w:cs="Arial"/>
      <w:sz w:val="24"/>
      <w:lang w:eastAsia="zh-CN"/>
    </w:rPr>
  </w:style>
  <w:style w:type="paragraph" w:customStyle="1" w:styleId="Data1">
    <w:name w:val="Data1"/>
    <w:basedOn w:val="Normal"/>
    <w:next w:val="Normal"/>
    <w:uiPriority w:val="99"/>
    <w:qFormat/>
    <w:pPr>
      <w:suppressAutoHyphens/>
    </w:pPr>
    <w:rPr>
      <w:rFonts w:ascii="Times New Roman" w:hAnsi="Times New Roman" w:cs="Times New Roman"/>
      <w:sz w:val="24"/>
      <w:lang w:eastAsia="zh-CN"/>
    </w:rPr>
  </w:style>
  <w:style w:type="paragraph" w:styleId="Textodenotaderodap">
    <w:name w:val="footnote text"/>
    <w:basedOn w:val="Normal"/>
    <w:link w:val="TextodenotaderodapChar"/>
    <w:uiPriority w:val="99"/>
    <w:pPr>
      <w:suppressAutoHyphens/>
      <w:spacing w:after="120"/>
      <w:ind w:firstLine="964"/>
      <w:jc w:val="both"/>
    </w:pPr>
    <w:rPr>
      <w:rFonts w:eastAsiaTheme="minorHAnsi" w:cs="Arial"/>
      <w:szCs w:val="20"/>
      <w:lang w:eastAsia="zh-CN"/>
    </w:rPr>
  </w:style>
  <w:style w:type="character" w:customStyle="1" w:styleId="TextodenotaderodapChar1">
    <w:name w:val="Texto de nota de rodapé Char1"/>
    <w:basedOn w:val="Fontepargpadro"/>
    <w:uiPriority w:val="99"/>
    <w:semiHidden/>
    <w:rPr>
      <w:rFonts w:ascii="Arial" w:eastAsia="Times New Roman" w:hAnsi="Arial" w:cs="Tahoma"/>
      <w:sz w:val="20"/>
      <w:szCs w:val="20"/>
      <w:lang w:eastAsia="pt-BR"/>
    </w:rPr>
  </w:style>
  <w:style w:type="paragraph" w:customStyle="1" w:styleId="Contedodetabela">
    <w:name w:val="Conteúdo de tabela"/>
    <w:basedOn w:val="Normal"/>
    <w:uiPriority w:val="99"/>
    <w:qFormat/>
    <w:pPr>
      <w:suppressLineNumbers/>
      <w:suppressAutoHyphens/>
    </w:pPr>
    <w:rPr>
      <w:rFonts w:ascii="Times New Roman" w:hAnsi="Times New Roman" w:cs="Times New Roman"/>
      <w:sz w:val="24"/>
      <w:lang w:eastAsia="zh-CN"/>
    </w:rPr>
  </w:style>
  <w:style w:type="paragraph" w:customStyle="1" w:styleId="Contedodatabela">
    <w:name w:val="Conteúdo da tabela"/>
    <w:basedOn w:val="Normal"/>
    <w:uiPriority w:val="99"/>
    <w:qFormat/>
    <w:pPr>
      <w:suppressLineNumbers/>
      <w:suppressAutoHyphens/>
    </w:pPr>
    <w:rPr>
      <w:rFonts w:ascii="Times New Roman" w:hAnsi="Times New Roman" w:cs="Times New Roman"/>
      <w:sz w:val="24"/>
      <w:lang w:eastAsia="zh-CN"/>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pPr>
      <w:suppressAutoHyphens/>
      <w:spacing w:after="0" w:line="240" w:lineRule="auto"/>
    </w:pPr>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uppressAutoHyphens/>
      <w:spacing w:after="283"/>
    </w:pPr>
    <w:rPr>
      <w:rFonts w:ascii="Times New Roman" w:hAnsi="Times New Roman" w:cs="Times New Roman"/>
      <w:sz w:val="12"/>
      <w:szCs w:val="12"/>
      <w:lang w:eastAsia="zh-CN"/>
    </w:rPr>
  </w:style>
  <w:style w:type="paragraph" w:customStyle="1" w:styleId="Corpodetexto33">
    <w:name w:val="Corpo de texto 33"/>
    <w:basedOn w:val="Normal"/>
    <w:uiPriority w:val="99"/>
    <w:qFormat/>
    <w:pPr>
      <w:suppressAutoHyphens/>
      <w:spacing w:after="120"/>
    </w:pPr>
    <w:rPr>
      <w:rFonts w:ascii="Times New Roman" w:hAnsi="Times New Roman" w:cs="Times New Roman"/>
      <w:sz w:val="16"/>
      <w:szCs w:val="16"/>
      <w:lang w:eastAsia="zh-CN"/>
    </w:rPr>
  </w:style>
  <w:style w:type="paragraph" w:customStyle="1" w:styleId="WW-Corpodetexto3">
    <w:name w:val="WW-Corpo de texto 3"/>
    <w:basedOn w:val="Normal"/>
    <w:uiPriority w:val="99"/>
    <w:qFormat/>
    <w:pPr>
      <w:suppressAutoHyphens/>
      <w:jc w:val="both"/>
    </w:pPr>
    <w:rPr>
      <w:rFonts w:ascii="Times New Roman" w:hAnsi="Times New Roman" w:cs="Times New Roman"/>
      <w:sz w:val="24"/>
      <w:lang w:eastAsia="zh-CN"/>
    </w:rPr>
  </w:style>
  <w:style w:type="paragraph" w:customStyle="1" w:styleId="Corpodetexto34">
    <w:name w:val="Corpo de texto 34"/>
    <w:basedOn w:val="Normal"/>
    <w:uiPriority w:val="99"/>
    <w:qFormat/>
    <w:pPr>
      <w:suppressAutoHyphens/>
      <w:spacing w:after="120"/>
    </w:pPr>
    <w:rPr>
      <w:rFonts w:ascii="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uppressAutoHyphens/>
      <w:spacing w:after="120"/>
      <w:ind w:left="283"/>
    </w:pPr>
    <w:rPr>
      <w:rFonts w:ascii="Times New Roman" w:eastAsiaTheme="minorHAnsi" w:hAnsi="Times New Roman" w:cs="Times New Roman"/>
      <w:sz w:val="16"/>
      <w:szCs w:val="16"/>
      <w:lang w:eastAsia="ar-SA"/>
    </w:rPr>
  </w:style>
  <w:style w:type="character" w:customStyle="1" w:styleId="Recuodecorpodetexto3Char1">
    <w:name w:val="Recuo de corpo de texto 3 Char1"/>
    <w:basedOn w:val="Fontepargpadro"/>
    <w:uiPriority w:val="99"/>
    <w:semiHidden/>
    <w:rPr>
      <w:rFonts w:ascii="Arial" w:eastAsia="Times New Roman" w:hAnsi="Arial" w:cs="Tahoma"/>
      <w:sz w:val="16"/>
      <w:szCs w:val="16"/>
      <w:lang w:eastAsia="pt-BR"/>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uppressAutoHyphens/>
      <w:spacing w:after="120" w:line="480" w:lineRule="auto"/>
      <w:ind w:left="283"/>
    </w:pPr>
    <w:rPr>
      <w:rFonts w:ascii="Times New Roman" w:eastAsiaTheme="minorHAnsi" w:hAnsi="Times New Roman" w:cs="Times New Roman"/>
      <w:szCs w:val="20"/>
      <w:lang w:eastAsia="ar-SA"/>
    </w:rPr>
  </w:style>
  <w:style w:type="character" w:customStyle="1" w:styleId="Recuodecorpodetexto2Char1">
    <w:name w:val="Recuo de corpo de texto 2 Char1"/>
    <w:basedOn w:val="Fontepargpadro"/>
    <w:uiPriority w:val="99"/>
    <w:semiHidden/>
    <w:rPr>
      <w:rFonts w:ascii="Arial" w:eastAsia="Times New Roman" w:hAnsi="Arial" w:cs="Tahoma"/>
      <w:sz w:val="20"/>
      <w:szCs w:val="24"/>
      <w:lang w:eastAsia="pt-BR"/>
    </w:rPr>
  </w:style>
  <w:style w:type="paragraph" w:customStyle="1" w:styleId="Captulo">
    <w:name w:val="Capítulo"/>
    <w:basedOn w:val="Normal"/>
    <w:next w:val="Corpodetexto"/>
    <w:uiPriority w:val="99"/>
    <w:qFormat/>
    <w:pPr>
      <w:keepNext/>
      <w:suppressAutoHyphens/>
      <w:spacing w:before="240" w:after="120"/>
    </w:pPr>
    <w:rPr>
      <w:rFonts w:eastAsia="Calibri"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uppressAutoHyphens/>
      <w:ind w:left="1418" w:hanging="1418"/>
      <w:jc w:val="center"/>
    </w:pPr>
    <w:rPr>
      <w:rFonts w:ascii="Times New Roman" w:hAnsi="Times New Roman" w:cs="Times New Roman"/>
      <w:b/>
      <w:bCs/>
      <w:sz w:val="28"/>
      <w:szCs w:val="28"/>
      <w:u w:val="single"/>
      <w:lang w:eastAsia="ar-SA"/>
    </w:rPr>
  </w:style>
  <w:style w:type="paragraph" w:customStyle="1" w:styleId="OmniPage15">
    <w:name w:val="OmniPage #15"/>
    <w:basedOn w:val="Normal"/>
    <w:uiPriority w:val="99"/>
    <w:qFormat/>
    <w:pPr>
      <w:suppressAutoHyphens/>
      <w:spacing w:line="260" w:lineRule="exact"/>
    </w:pPr>
    <w:rPr>
      <w:rFonts w:ascii="Times New Roman" w:hAnsi="Times New Roman" w:cs="Times New Roman"/>
      <w:szCs w:val="20"/>
      <w:lang w:val="en-US" w:eastAsia="ar-SA"/>
    </w:rPr>
  </w:style>
  <w:style w:type="paragraph" w:customStyle="1" w:styleId="OmniPage25">
    <w:name w:val="OmniPage #25"/>
    <w:basedOn w:val="Normal"/>
    <w:uiPriority w:val="99"/>
    <w:qFormat/>
    <w:pPr>
      <w:suppressAutoHyphens/>
      <w:spacing w:line="260" w:lineRule="exact"/>
    </w:pPr>
    <w:rPr>
      <w:rFonts w:ascii="Times New Roman" w:hAnsi="Times New Roman" w:cs="Times New Roman"/>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uppressAutoHyphens/>
      <w:spacing w:before="100" w:after="100"/>
    </w:pPr>
    <w:rPr>
      <w:rFonts w:ascii="Times New Roman" w:hAnsi="Times New Roman" w:cs="Times New Roman"/>
      <w:sz w:val="18"/>
      <w:szCs w:val="18"/>
      <w:lang w:eastAsia="ar-SA"/>
    </w:rPr>
  </w:style>
  <w:style w:type="paragraph" w:styleId="Commarcadores">
    <w:name w:val="List Bullet"/>
    <w:basedOn w:val="Normal"/>
    <w:autoRedefine/>
    <w:uiPriority w:val="99"/>
    <w:qFormat/>
    <w:pPr>
      <w:numPr>
        <w:numId w:val="29"/>
      </w:numPr>
      <w:tabs>
        <w:tab w:val="left" w:pos="360"/>
      </w:tabs>
      <w:suppressAutoHyphens/>
      <w:ind w:left="360" w:firstLine="0"/>
    </w:pPr>
    <w:rPr>
      <w:rFonts w:ascii="Times New Roman" w:hAnsi="Times New Roman" w:cs="Times New Roman"/>
      <w:szCs w:val="20"/>
    </w:rPr>
  </w:style>
  <w:style w:type="paragraph" w:customStyle="1" w:styleId="WW-Padro1">
    <w:name w:val="WW-Padrão1"/>
    <w:uiPriority w:val="99"/>
    <w:qFormat/>
    <w:pPr>
      <w:suppressAutoHyphens/>
      <w:spacing w:after="0" w:line="240" w:lineRule="auto"/>
    </w:pPr>
    <w:rPr>
      <w:rFonts w:ascii="Times New Roman" w:eastAsia="Calibri" w:hAnsi="Times New Roman" w:cs="Times New Roman"/>
      <w:sz w:val="24"/>
      <w:szCs w:val="24"/>
      <w:lang w:eastAsia="ar-SA"/>
    </w:rPr>
  </w:style>
  <w:style w:type="paragraph" w:customStyle="1" w:styleId="WW-Padro11">
    <w:name w:val="WW-Padrão11"/>
    <w:uiPriority w:val="99"/>
    <w:qFormat/>
    <w:pPr>
      <w:suppressAutoHyphens/>
      <w:spacing w:after="0" w:line="240" w:lineRule="auto"/>
    </w:pPr>
    <w:rPr>
      <w:rFonts w:ascii="Times New Roman" w:eastAsia="Calibri" w:hAnsi="Times New Roman" w:cs="Times New Roman"/>
      <w:sz w:val="24"/>
      <w:szCs w:val="24"/>
      <w:lang w:eastAsia="ar-SA"/>
    </w:rPr>
  </w:style>
  <w:style w:type="paragraph" w:styleId="MapadoDocumento">
    <w:name w:val="Document Map"/>
    <w:basedOn w:val="Normal"/>
    <w:link w:val="MapadoDocumentoChar"/>
    <w:uiPriority w:val="99"/>
    <w:semiHidden/>
    <w:qFormat/>
    <w:pPr>
      <w:shd w:val="clear" w:color="auto" w:fill="000080"/>
      <w:suppressAutoHyphens/>
    </w:pPr>
    <w:rPr>
      <w:rFonts w:ascii="Tahoma" w:eastAsiaTheme="minorHAnsi" w:hAnsi="Tahoma"/>
      <w:sz w:val="24"/>
      <w:lang w:eastAsia="ar-SA"/>
    </w:rPr>
  </w:style>
  <w:style w:type="character" w:customStyle="1" w:styleId="MapadoDocumentoChar1">
    <w:name w:val="Mapa do Documento Char1"/>
    <w:basedOn w:val="Fontepargpadro"/>
    <w:uiPriority w:val="99"/>
    <w:semiHidden/>
    <w:rPr>
      <w:rFonts w:ascii="Segoe UI" w:eastAsia="Times New Roman" w:hAnsi="Segoe UI" w:cs="Segoe UI"/>
      <w:sz w:val="16"/>
      <w:szCs w:val="16"/>
      <w:lang w:eastAsia="pt-BR"/>
    </w:rPr>
  </w:style>
  <w:style w:type="paragraph" w:customStyle="1" w:styleId="fontelink">
    <w:name w:val="fontelink"/>
    <w:basedOn w:val="Normal"/>
    <w:uiPriority w:val="99"/>
    <w:qFormat/>
    <w:pPr>
      <w:suppressAutoHyphens/>
      <w:spacing w:beforeAutospacing="1" w:after="200" w:afterAutospacing="1"/>
    </w:pPr>
    <w:rPr>
      <w:rFonts w:ascii="Verdana" w:hAnsi="Verdana" w:cs="Verdana"/>
      <w:color w:val="073476"/>
      <w:sz w:val="15"/>
      <w:szCs w:val="15"/>
    </w:rPr>
  </w:style>
  <w:style w:type="paragraph" w:styleId="Partesuperior-zdoformulrio">
    <w:name w:val="HTML Top of Form"/>
    <w:basedOn w:val="Normal"/>
    <w:next w:val="Normal"/>
    <w:link w:val="Partesuperior-zdoformulrioChar2"/>
    <w:uiPriority w:val="99"/>
    <w:qFormat/>
    <w:pPr>
      <w:pBdr>
        <w:bottom w:val="single" w:sz="6" w:space="1" w:color="000000"/>
      </w:pBdr>
      <w:suppressAutoHyphens/>
      <w:jc w:val="center"/>
    </w:pPr>
    <w:rPr>
      <w:rFonts w:eastAsia="Calibri" w:cs="Arial"/>
      <w:vanish/>
      <w:sz w:val="16"/>
      <w:szCs w:val="16"/>
      <w:lang w:eastAsia="ar-SA"/>
    </w:rPr>
  </w:style>
  <w:style w:type="character" w:customStyle="1" w:styleId="Partesuperior-zdoformulrioChar2">
    <w:name w:val="Parte superior-z do formulário Char2"/>
    <w:basedOn w:val="Fontepargpadro"/>
    <w:link w:val="Partesuperior-zdoformulrio"/>
    <w:uiPriority w:val="99"/>
    <w:rPr>
      <w:rFonts w:ascii="Arial" w:eastAsia="Calibri"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uppressAutoHyphens/>
      <w:jc w:val="center"/>
    </w:pPr>
    <w:rPr>
      <w:rFonts w:eastAsiaTheme="minorHAnsi" w:cs="Arial"/>
      <w:vanish/>
      <w:sz w:val="16"/>
      <w:szCs w:val="16"/>
      <w:lang w:eastAsia="ar-SA"/>
    </w:rPr>
  </w:style>
  <w:style w:type="character" w:customStyle="1" w:styleId="ParteinferiordoformulrioChar2">
    <w:name w:val="Parte inferior do formulário Char2"/>
    <w:basedOn w:val="Fontepargpadro"/>
    <w:uiPriority w:val="99"/>
    <w:semiHidden/>
    <w:rPr>
      <w:rFonts w:ascii="Arial" w:eastAsia="Times New Roman" w:hAnsi="Arial" w:cs="Arial"/>
      <w:vanish/>
      <w:sz w:val="16"/>
      <w:szCs w:val="16"/>
      <w:lang w:eastAsia="pt-BR"/>
    </w:rPr>
  </w:style>
  <w:style w:type="paragraph" w:customStyle="1" w:styleId="Corpo">
    <w:name w:val="Corpo"/>
    <w:uiPriority w:val="99"/>
    <w:qFormat/>
    <w:pPr>
      <w:suppressAutoHyphens/>
      <w:spacing w:after="0" w:line="240" w:lineRule="auto"/>
    </w:pPr>
    <w:rPr>
      <w:rFonts w:ascii="Courier" w:eastAsia="Times New Roman" w:hAnsi="Courier" w:cs="Courier"/>
      <w:color w:val="000000"/>
      <w:sz w:val="24"/>
      <w:szCs w:val="24"/>
      <w:lang w:eastAsia="pt-BR"/>
    </w:rPr>
  </w:style>
  <w:style w:type="paragraph" w:customStyle="1" w:styleId="ww-padro0">
    <w:name w:val="ww-padro"/>
    <w:basedOn w:val="Normal"/>
    <w:uiPriority w:val="99"/>
    <w:qFormat/>
    <w:pPr>
      <w:suppressAutoHyphens/>
      <w:spacing w:beforeAutospacing="1" w:after="200" w:afterAutospacing="1"/>
    </w:pPr>
    <w:rPr>
      <w:rFonts w:ascii="Times New Roman" w:hAnsi="Times New Roman" w:cs="Times New Roman"/>
      <w:sz w:val="24"/>
    </w:rPr>
  </w:style>
  <w:style w:type="paragraph" w:styleId="SemEspaamento">
    <w:name w:val="No Spacing"/>
    <w:uiPriority w:val="99"/>
    <w:qFormat/>
    <w:pPr>
      <w:suppressAutoHyphens/>
      <w:spacing w:after="0" w:line="240" w:lineRule="auto"/>
    </w:pPr>
    <w:rPr>
      <w:rFonts w:ascii="Times New Roman" w:eastAsia="Times New Roman" w:hAnsi="Times New Roman" w:cs="Times New Roman"/>
      <w:sz w:val="24"/>
      <w:szCs w:val="24"/>
      <w:lang w:eastAsia="pt-BR"/>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eastAsia="Calibri" w:cs="Arial"/>
      <w:sz w:val="24"/>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ascii="Times New Roman" w:eastAsia="Calibri" w:hAnsi="Times New Roman" w:cs="Times New Roman"/>
      <w:sz w:val="24"/>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both"/>
    </w:pPr>
    <w:rPr>
      <w:rFonts w:ascii="Times New Roman" w:eastAsia="Calibri" w:hAnsi="Times New Roman" w:cs="Times New Roman"/>
      <w:sz w:val="18"/>
      <w:szCs w:val="18"/>
    </w:rPr>
  </w:style>
  <w:style w:type="paragraph" w:customStyle="1" w:styleId="ww-padro10">
    <w:name w:val="ww-padro1"/>
    <w:basedOn w:val="Normal"/>
    <w:uiPriority w:val="99"/>
    <w:qFormat/>
    <w:pPr>
      <w:suppressAutoHyphens/>
    </w:pPr>
    <w:rPr>
      <w:rFonts w:ascii="Times New Roman" w:hAnsi="Times New Roman" w:cs="Times New Roman"/>
      <w:sz w:val="24"/>
    </w:rPr>
  </w:style>
  <w:style w:type="paragraph" w:customStyle="1" w:styleId="Corpodetexto21">
    <w:name w:val="Corpo de texto 21"/>
    <w:basedOn w:val="Normal"/>
    <w:uiPriority w:val="99"/>
    <w:qFormat/>
    <w:pPr>
      <w:suppressAutoHyphens/>
      <w:spacing w:after="120" w:line="480" w:lineRule="auto"/>
    </w:pPr>
    <w:rPr>
      <w:rFonts w:ascii="Times New Roman" w:hAnsi="Times New Roman" w:cs="Times New Roman"/>
      <w:szCs w:val="20"/>
      <w:lang w:eastAsia="ar-SA"/>
    </w:rPr>
  </w:style>
  <w:style w:type="paragraph" w:customStyle="1" w:styleId="Recuodecorpodetexto21">
    <w:name w:val="Recuo de corpo de texto 21"/>
    <w:basedOn w:val="Normal"/>
    <w:uiPriority w:val="99"/>
    <w:qFormat/>
    <w:pPr>
      <w:suppressAutoHyphens/>
      <w:spacing w:after="120" w:line="480" w:lineRule="auto"/>
      <w:ind w:left="283"/>
    </w:pPr>
    <w:rPr>
      <w:rFonts w:ascii="Times New Roman" w:hAnsi="Times New Roman" w:cs="Times New Roman"/>
      <w:szCs w:val="20"/>
      <w:lang w:eastAsia="ar-SA"/>
    </w:rPr>
  </w:style>
  <w:style w:type="paragraph" w:customStyle="1" w:styleId="Lista31">
    <w:name w:val="Lista 31"/>
    <w:basedOn w:val="Normal"/>
    <w:uiPriority w:val="99"/>
    <w:qFormat/>
    <w:pPr>
      <w:suppressAutoHyphens/>
      <w:ind w:left="849" w:hanging="283"/>
    </w:pPr>
    <w:rPr>
      <w:rFonts w:ascii="Times New Roman" w:hAnsi="Times New Roman" w:cs="Times New Roman"/>
      <w:szCs w:val="20"/>
      <w:lang w:eastAsia="ar-SA"/>
    </w:rPr>
  </w:style>
  <w:style w:type="paragraph" w:customStyle="1" w:styleId="western">
    <w:name w:val="western"/>
    <w:basedOn w:val="Normal"/>
    <w:uiPriority w:val="99"/>
    <w:qFormat/>
    <w:pPr>
      <w:suppressAutoHyphens/>
      <w:spacing w:beforeAutospacing="1" w:after="119"/>
    </w:pPr>
    <w:rPr>
      <w:rFonts w:ascii="Times New Roman" w:hAnsi="Times New Roman" w:cs="Times New Roman"/>
      <w:sz w:val="24"/>
    </w:rPr>
  </w:style>
  <w:style w:type="paragraph" w:customStyle="1" w:styleId="respostas2">
    <w:name w:val="respostas2"/>
    <w:basedOn w:val="Normal"/>
    <w:uiPriority w:val="99"/>
    <w:qFormat/>
    <w:pPr>
      <w:suppressAutoHyphens/>
      <w:spacing w:beforeAutospacing="1" w:after="200" w:afterAutospacing="1"/>
    </w:pPr>
    <w:rPr>
      <w:rFonts w:ascii="Times New Roman" w:hAnsi="Times New Roman" w:cs="Times New Roman"/>
      <w:color w:val="8F8F8F"/>
      <w:sz w:val="18"/>
      <w:szCs w:val="18"/>
    </w:rPr>
  </w:style>
  <w:style w:type="paragraph" w:customStyle="1" w:styleId="style18">
    <w:name w:val="style18"/>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pricebox">
    <w:name w:val="price_box"/>
    <w:basedOn w:val="Normal"/>
    <w:uiPriority w:val="99"/>
    <w:qFormat/>
    <w:pPr>
      <w:shd w:val="clear" w:color="auto" w:fill="EEEEEE"/>
      <w:suppressAutoHyphens/>
      <w:spacing w:beforeAutospacing="1" w:after="200" w:afterAutospacing="1"/>
    </w:pPr>
    <w:rPr>
      <w:rFonts w:ascii="Times New Roman" w:hAnsi="Times New Roman" w:cs="Times New Roman"/>
      <w:sz w:val="22"/>
      <w:szCs w:val="22"/>
    </w:rPr>
  </w:style>
  <w:style w:type="paragraph" w:customStyle="1" w:styleId="fst">
    <w:name w:val="fst"/>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titulo">
    <w:name w:val="titulo"/>
    <w:basedOn w:val="Normal"/>
    <w:uiPriority w:val="99"/>
    <w:qFormat/>
    <w:pPr>
      <w:suppressAutoHyphens/>
      <w:spacing w:beforeAutospacing="1" w:after="200" w:afterAutospacing="1"/>
    </w:pPr>
    <w:rPr>
      <w:rFonts w:ascii="Times New Roman" w:hAnsi="Times New Roman" w:cs="Times New Roman"/>
      <w:sz w:val="24"/>
    </w:rPr>
  </w:style>
  <w:style w:type="paragraph" w:customStyle="1" w:styleId="B">
    <w:name w:val="B"/>
    <w:basedOn w:val="Normal"/>
    <w:uiPriority w:val="99"/>
    <w:qFormat/>
    <w:pPr>
      <w:tabs>
        <w:tab w:val="left" w:pos="567"/>
      </w:tabs>
      <w:suppressAutoHyphens/>
      <w:jc w:val="both"/>
    </w:pPr>
    <w:rPr>
      <w:rFonts w:ascii="Times New Roman" w:hAnsi="Times New Roman" w:cs="Times New Roman"/>
      <w:caps/>
      <w:szCs w:val="20"/>
    </w:rPr>
  </w:style>
  <w:style w:type="paragraph" w:customStyle="1" w:styleId="BodyText21">
    <w:name w:val="Body Text 21"/>
    <w:basedOn w:val="Normal"/>
    <w:uiPriority w:val="99"/>
    <w:qFormat/>
    <w:pPr>
      <w:widowControl w:val="0"/>
      <w:suppressAutoHyphens/>
      <w:jc w:val="both"/>
    </w:pPr>
    <w:rPr>
      <w:rFonts w:ascii="Times New Roman" w:hAnsi="Times New Roman" w:cs="Times New Roman"/>
      <w:sz w:val="24"/>
    </w:rPr>
  </w:style>
  <w:style w:type="paragraph" w:customStyle="1" w:styleId="texto1">
    <w:name w:val="texto1"/>
    <w:basedOn w:val="Normal"/>
    <w:uiPriority w:val="99"/>
    <w:qFormat/>
    <w:pPr>
      <w:suppressAutoHyphens/>
      <w:spacing w:before="100" w:after="100" w:line="280" w:lineRule="atLeast"/>
      <w:jc w:val="both"/>
    </w:pPr>
    <w:rPr>
      <w:rFonts w:cs="Arial"/>
      <w:sz w:val="22"/>
      <w:szCs w:val="22"/>
    </w:rPr>
  </w:style>
  <w:style w:type="paragraph" w:customStyle="1" w:styleId="MapadoDocumento1">
    <w:name w:val="Mapa do Documento1"/>
    <w:basedOn w:val="Normal"/>
    <w:uiPriority w:val="99"/>
    <w:qFormat/>
    <w:pPr>
      <w:shd w:val="clear" w:color="auto" w:fill="000080"/>
      <w:suppressAutoHyphens/>
    </w:pPr>
    <w:rPr>
      <w:rFonts w:ascii="Tahoma" w:hAnsi="Tahoma"/>
      <w:sz w:val="24"/>
      <w:lang w:eastAsia="ar-SA"/>
    </w:rPr>
  </w:style>
  <w:style w:type="paragraph" w:customStyle="1" w:styleId="font5">
    <w:name w:val="font5"/>
    <w:basedOn w:val="Normal"/>
    <w:uiPriority w:val="99"/>
    <w:qFormat/>
    <w:pPr>
      <w:suppressAutoHyphens/>
      <w:spacing w:beforeAutospacing="1" w:after="200" w:afterAutospacing="1"/>
    </w:pPr>
    <w:rPr>
      <w:rFonts w:ascii="Times New Roman" w:hAnsi="Times New Roman" w:cs="Times New Roman"/>
      <w:color w:val="FF0000"/>
      <w:sz w:val="16"/>
      <w:szCs w:val="16"/>
    </w:rPr>
  </w:style>
  <w:style w:type="paragraph" w:customStyle="1" w:styleId="xl65">
    <w:name w:val="xl65"/>
    <w:basedOn w:val="Normal"/>
    <w:uiPriority w:val="99"/>
    <w:qFormat/>
    <w:pPr>
      <w:suppressAutoHyphens/>
      <w:spacing w:beforeAutospacing="1" w:after="200" w:afterAutospacing="1"/>
    </w:pPr>
    <w:rPr>
      <w:rFonts w:ascii="Times New Roman" w:hAnsi="Times New Roman" w:cs="Times New Roman"/>
      <w:szCs w:val="20"/>
    </w:rPr>
  </w:style>
  <w:style w:type="paragraph" w:customStyle="1" w:styleId="xl66">
    <w:name w:val="xl66"/>
    <w:basedOn w:val="Normal"/>
    <w:uiPriority w:val="99"/>
    <w:qFormat/>
    <w:pPr>
      <w:suppressAutoHyphens/>
      <w:spacing w:beforeAutospacing="1" w:after="200" w:afterAutospacing="1"/>
      <w:jc w:val="center"/>
    </w:pPr>
    <w:rPr>
      <w:rFonts w:ascii="Times New Roman" w:hAnsi="Times New Roman" w:cs="Times New Roman"/>
      <w:szCs w:val="20"/>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pPr>
    <w:rPr>
      <w:rFonts w:ascii="Times New Roman" w:hAnsi="Times New Roman" w:cs="Times New Roman"/>
      <w:sz w:val="16"/>
      <w:szCs w:val="16"/>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textAlignment w:val="center"/>
    </w:pPr>
    <w:rPr>
      <w:rFonts w:ascii="Times New Roman" w:hAnsi="Times New Roman" w:cs="Times New Roman"/>
      <w:color w:val="000000"/>
      <w:sz w:val="16"/>
      <w:szCs w:val="16"/>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textAlignment w:val="center"/>
    </w:pPr>
    <w:rPr>
      <w:rFonts w:ascii="Times New Roman" w:hAnsi="Times New Roman" w:cs="Times New Roman"/>
      <w:sz w:val="16"/>
      <w:szCs w:val="16"/>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textAlignment w:val="center"/>
    </w:pPr>
    <w:rPr>
      <w:rFonts w:ascii="Times New Roman" w:hAnsi="Times New Roman" w:cs="Times New Roman"/>
      <w:color w:val="000000"/>
      <w:sz w:val="16"/>
      <w:szCs w:val="16"/>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uppressAutoHyphens/>
      <w:spacing w:beforeAutospacing="1" w:after="200" w:afterAutospacing="1"/>
      <w:jc w:val="center"/>
      <w:textAlignment w:val="center"/>
    </w:pPr>
    <w:rPr>
      <w:rFonts w:ascii="Times New Roman" w:hAnsi="Times New Roman" w:cs="Times New Roman"/>
      <w:sz w:val="16"/>
      <w:szCs w:val="16"/>
    </w:rPr>
  </w:style>
  <w:style w:type="paragraph" w:customStyle="1" w:styleId="PargrafodaLista2">
    <w:name w:val="Parágrafo da Lista2"/>
    <w:basedOn w:val="Normal"/>
    <w:uiPriority w:val="99"/>
    <w:qFormat/>
    <w:pPr>
      <w:widowControl w:val="0"/>
      <w:suppressAutoHyphens/>
    </w:pPr>
    <w:rPr>
      <w:rFonts w:ascii="Calibri" w:hAnsi="Calibri" w:cs="Calibri"/>
      <w:sz w:val="22"/>
      <w:szCs w:val="22"/>
      <w:lang w:val="en-US" w:eastAsia="en-US"/>
    </w:rPr>
  </w:style>
  <w:style w:type="paragraph" w:customStyle="1" w:styleId="TableParagraph">
    <w:name w:val="Table Paragraph"/>
    <w:basedOn w:val="Normal"/>
    <w:uiPriority w:val="1"/>
    <w:qFormat/>
    <w:pPr>
      <w:widowControl w:val="0"/>
      <w:suppressAutoHyphens/>
      <w:spacing w:line="261" w:lineRule="exact"/>
      <w:ind w:left="107"/>
    </w:pPr>
    <w:rPr>
      <w:rFonts w:ascii="Times New Roman" w:hAnsi="Times New Roman" w:cs="Times New Roman"/>
      <w:sz w:val="22"/>
      <w:szCs w:val="22"/>
      <w:lang w:val="pt-PT" w:eastAsia="en-US"/>
    </w:rPr>
  </w:style>
  <w:style w:type="table" w:customStyle="1" w:styleId="TableNormal">
    <w:name w:val="Table Normal"/>
    <w:uiPriority w:val="2"/>
    <w:semiHidden/>
    <w:unhideWhenUsed/>
    <w:qFormat/>
    <w:pPr>
      <w:suppressAutoHyphens/>
      <w:spacing w:after="0" w:line="240" w:lineRule="auto"/>
    </w:pPr>
    <w:rPr>
      <w:lang w:val="en-US"/>
    </w:rPr>
    <w:tblPr>
      <w:tblCellMar>
        <w:top w:w="0" w:type="dxa"/>
        <w:left w:w="0" w:type="dxa"/>
        <w:bottom w:w="0" w:type="dxa"/>
        <w:right w:w="0" w:type="dxa"/>
      </w:tblCellMar>
    </w:tblPr>
  </w:style>
  <w:style w:type="character" w:customStyle="1" w:styleId="Nivel2Char">
    <w:name w:val="Nivel 2 Char"/>
    <w:basedOn w:val="Fontepargpadro"/>
    <w:link w:val="Nivel2"/>
    <w:locked/>
    <w:rPr>
      <w:rFonts w:ascii="Ecofont_Spranq_eco_Sans" w:eastAsia="Arial Unicode MS" w:hAnsi="Ecofont_Spranq_eco_Sans" w:cs="Times New Roman"/>
      <w:sz w:val="20"/>
      <w:szCs w:val="20"/>
      <w:lang w:eastAsia="pt-BR"/>
    </w:rPr>
  </w:style>
  <w:style w:type="character" w:customStyle="1" w:styleId="Nivel1Char">
    <w:name w:val="Nivel1 Char"/>
    <w:basedOn w:val="Fontepargpadro"/>
    <w:link w:val="Nivel10"/>
    <w:locked/>
    <w:rPr>
      <w:rFonts w:ascii="Arial" w:eastAsiaTheme="majorEastAsia" w:hAnsi="Arial" w:cs="Times New Roman"/>
      <w:b/>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543608">
      <w:bodyDiv w:val="1"/>
      <w:marLeft w:val="0"/>
      <w:marRight w:val="0"/>
      <w:marTop w:val="0"/>
      <w:marBottom w:val="0"/>
      <w:divBdr>
        <w:top w:val="none" w:sz="0" w:space="0" w:color="auto"/>
        <w:left w:val="none" w:sz="0" w:space="0" w:color="auto"/>
        <w:bottom w:val="none" w:sz="0" w:space="0" w:color="auto"/>
        <w:right w:val="none" w:sz="0" w:space="0" w:color="auto"/>
      </w:divBdr>
    </w:div>
    <w:div w:id="189242123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mlicita.org.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mlicita.org.br" TargetMode="External"/><Relationship Id="rId5" Type="http://schemas.openxmlformats.org/officeDocument/2006/relationships/webSettings" Target="webSettings.xml"/><Relationship Id="rId10" Type="http://schemas.openxmlformats.org/officeDocument/2006/relationships/hyperlink" Target="http://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DB4682-BC6A-4F61-B99B-43565A17D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19</Pages>
  <Words>8891</Words>
  <Characters>48013</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Camara Municipal</cp:lastModifiedBy>
  <cp:revision>64</cp:revision>
  <dcterms:created xsi:type="dcterms:W3CDTF">2024-03-25T13:50:00Z</dcterms:created>
  <dcterms:modified xsi:type="dcterms:W3CDTF">2025-03-07T17:59:00Z</dcterms:modified>
</cp:coreProperties>
</file>