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41C3C" w14:textId="77777777" w:rsidR="00216E34" w:rsidRDefault="00902DCC">
      <w:pPr>
        <w:spacing w:after="120"/>
        <w:jc w:val="center"/>
        <w:rPr>
          <w:rFonts w:ascii="Verdana" w:eastAsia="Verdana" w:hAnsi="Verdana" w:cs="Verdana"/>
          <w:b/>
          <w:bCs/>
          <w:sz w:val="24"/>
          <w:szCs w:val="24"/>
        </w:rPr>
      </w:pPr>
      <w:bookmarkStart w:id="0" w:name="_heading=h.gjdgxs" w:colFirst="0" w:colLast="0"/>
      <w:bookmarkEnd w:id="0"/>
      <w:r>
        <w:rPr>
          <w:rFonts w:ascii="Verdana" w:eastAsia="Verdana" w:hAnsi="Verdana" w:cs="Verdana"/>
          <w:b/>
          <w:bCs/>
          <w:sz w:val="24"/>
          <w:szCs w:val="24"/>
        </w:rPr>
        <w:t>ESTUDO TÉCNICO PRELIMINAR</w:t>
      </w:r>
    </w:p>
    <w:p w14:paraId="52CBFF37" w14:textId="77777777" w:rsidR="00216E34" w:rsidRDefault="00902DCC">
      <w:pPr>
        <w:spacing w:after="120"/>
        <w:jc w:val="center"/>
        <w:rPr>
          <w:rFonts w:ascii="Verdana" w:eastAsia="Verdana" w:hAnsi="Verdana" w:cs="Verdana"/>
          <w:b/>
          <w:bCs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 xml:space="preserve">RELATÓRIO DE VIABILIDADE </w:t>
      </w:r>
    </w:p>
    <w:p w14:paraId="770ABD84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SOLICITAÇÃO DE DEMANDA N. 059/2026</w:t>
      </w:r>
    </w:p>
    <w:p w14:paraId="7215574D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PROCESSO LICITATÓRIO N. 077/2026</w:t>
      </w:r>
    </w:p>
    <w:p w14:paraId="37C329F9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SECRETARIA (s) DEMANDANTE(s): Secretaria Municipal de Administração e Planejamento.</w:t>
      </w:r>
    </w:p>
    <w:p w14:paraId="552DF8D1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5"/>
        <w:jc w:val="both"/>
        <w:rPr>
          <w:rFonts w:ascii="Verdana" w:eastAsia="Verdana" w:hAnsi="Verdana" w:cs="Verdana"/>
        </w:rPr>
      </w:pPr>
      <w:bookmarkStart w:id="1" w:name="_heading=h.dde0ow4upvq9" w:colFirst="0" w:colLast="0"/>
      <w:bookmarkEnd w:id="1"/>
      <w:r>
        <w:rPr>
          <w:rFonts w:ascii="Verdana" w:eastAsia="Verdana" w:hAnsi="Verdana" w:cs="Verdana"/>
          <w:b/>
          <w:bCs/>
        </w:rPr>
        <w:t>OBJETO:</w:t>
      </w:r>
      <w:r>
        <w:rPr>
          <w:rFonts w:ascii="Verdana" w:eastAsia="Verdana" w:hAnsi="Verdana" w:cs="Verdana"/>
        </w:rPr>
        <w:t xml:space="preserve"> Contratação de empresa especializada no ramo da construção civil para a Provisão de Unidades Habitacionais no Município de Juti/MS conforme Termo de Compromisso nº 996083/2026 - Operação 1106050-88.</w:t>
      </w:r>
    </w:p>
    <w:tbl>
      <w:tblPr>
        <w:tblStyle w:val="a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5"/>
      </w:tblGrid>
      <w:tr w:rsidR="00216E34" w14:paraId="63799458" w14:textId="77777777">
        <w:trPr>
          <w:trHeight w:val="215"/>
        </w:trPr>
        <w:tc>
          <w:tcPr>
            <w:tcW w:w="902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F4F14" w14:textId="77777777" w:rsidR="00216E34" w:rsidRDefault="00902DCC">
            <w:pPr>
              <w:spacing w:after="120"/>
              <w:jc w:val="both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</w:rPr>
              <w:t xml:space="preserve">      </w:t>
            </w:r>
            <w:r>
              <w:rPr>
                <w:rFonts w:ascii="Verdana" w:eastAsia="Verdana" w:hAnsi="Verdana" w:cs="Verdana"/>
                <w:b/>
                <w:bCs/>
              </w:rPr>
              <w:t>DO RELATÓRIO</w:t>
            </w:r>
          </w:p>
        </w:tc>
      </w:tr>
    </w:tbl>
    <w:p w14:paraId="4A3CEB41" w14:textId="77777777" w:rsidR="00216E34" w:rsidRDefault="00902DCC">
      <w:pPr>
        <w:numPr>
          <w:ilvl w:val="0"/>
          <w:numId w:val="1"/>
        </w:numPr>
        <w:spacing w:after="120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INTRODUÇÃO </w:t>
      </w:r>
    </w:p>
    <w:p w14:paraId="1E19FD0C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1.1. O presente ESTUDO TÉCNICO PRELIMINAR (ETP), enquanto elemento essencial ao planejamento do suprimento governamental, ao cumprir as determinações legais relacionadas à sua elaboração, auxilia na elaboração do competente Termo de Referência (TR) e dos demais documentos integrantes do processo de contratação </w:t>
      </w:r>
      <w:r>
        <w:rPr>
          <w:rFonts w:ascii="Verdana" w:eastAsia="Verdana" w:hAnsi="Verdana" w:cs="Verdana"/>
          <w:vertAlign w:val="superscript"/>
        </w:rPr>
        <w:footnoteReference w:id="1"/>
      </w:r>
      <w:r>
        <w:rPr>
          <w:rFonts w:ascii="Verdana" w:eastAsia="Verdana" w:hAnsi="Verdana" w:cs="Verdana"/>
        </w:rPr>
        <w:t>.</w:t>
      </w:r>
    </w:p>
    <w:p w14:paraId="660D866E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 xml:space="preserve">1.2.  É evidente, portanto, que as finalidades do ETP incluem a </w:t>
      </w:r>
      <w:r>
        <w:rPr>
          <w:rFonts w:ascii="Verdana" w:eastAsia="Verdana" w:hAnsi="Verdana" w:cs="Verdana"/>
          <w:b/>
          <w:bCs/>
        </w:rPr>
        <w:t xml:space="preserve">análise da viabilidade técnica dos serviços desejados, juntamente com a avaliação de todos os elementos essenciais para a efetivação da contratação. </w:t>
      </w:r>
    </w:p>
    <w:p w14:paraId="2FEB1855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1.3. Além disso, é importante observar que o papel do ETP, apesar de sua previsão legal, também encontra apoio na doutrina administrativa brasileira, como destacado pela Professora Tatiana Camarão</w:t>
      </w:r>
      <w:r>
        <w:rPr>
          <w:rFonts w:ascii="Verdana" w:eastAsia="Verdana" w:hAnsi="Verdana" w:cs="Verdana"/>
          <w:vertAlign w:val="superscript"/>
        </w:rPr>
        <w:footnoteReference w:id="2"/>
      </w:r>
      <w:r>
        <w:rPr>
          <w:rFonts w:ascii="Verdana" w:eastAsia="Verdana" w:hAnsi="Verdana" w:cs="Verdana"/>
        </w:rPr>
        <w:t xml:space="preserve">: </w:t>
      </w:r>
    </w:p>
    <w:p w14:paraId="69113DB5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Entende-se que um dos principais documentos da etapa de planejamento é o Estudo Técnico Preliminar (ETP), o qual se destina a identificar e analisar a necessidade pungente projetada pela unidade administrativa ao realizar o seu planejamento estratégico e o plano anual de contratação, buscando evidenciar o problema a ser resolvido, assim como as soluções possíveis, com fins de avaliar as informações necessárias para subsidiar o respectivo processo de contratação. Nota-se, portanto, que o ETP assume função estratégica na engrenagem das contratações públicas, pois pavimenta o caminho para o atendimento da demanda ao avaliar os cenários possíveis e demonstrar a viabilidade técnica e econômica das soluções disponíveis. Em decorrência disto, esse documento vem sendo exigido em vários normativos e </w:t>
      </w:r>
      <w:r>
        <w:rPr>
          <w:rFonts w:ascii="Verdana" w:eastAsia="Verdana" w:hAnsi="Verdana" w:cs="Verdana"/>
          <w:sz w:val="16"/>
          <w:szCs w:val="16"/>
        </w:rPr>
        <w:lastRenderedPageBreak/>
        <w:t>trouxe à tona dúvidas em relação à sua produção, conteúdo, momento adequado para sua elaboração e aplicabilidade nas contratações públicas.</w:t>
      </w:r>
    </w:p>
    <w:p w14:paraId="557937DF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1.4. Nesse sentido, disciplina o § 1º do artigo 18 da Lei n. 14.133/2021 quanto à própria função do </w:t>
      </w:r>
      <w:proofErr w:type="gramStart"/>
      <w:r>
        <w:rPr>
          <w:rFonts w:ascii="Verdana" w:eastAsia="Verdana" w:hAnsi="Verdana" w:cs="Verdana"/>
        </w:rPr>
        <w:t>ETP :</w:t>
      </w:r>
      <w:proofErr w:type="gramEnd"/>
      <w:r>
        <w:rPr>
          <w:rFonts w:ascii="Verdana" w:eastAsia="Verdana" w:hAnsi="Verdana" w:cs="Verdana"/>
        </w:rPr>
        <w:t xml:space="preserve"> </w:t>
      </w:r>
    </w:p>
    <w:p w14:paraId="26614E2A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Art. 18. A </w:t>
      </w:r>
      <w:r>
        <w:rPr>
          <w:rFonts w:ascii="Verdana" w:eastAsia="Verdana" w:hAnsi="Verdana" w:cs="Verdana"/>
          <w:b/>
          <w:bCs/>
          <w:sz w:val="16"/>
          <w:szCs w:val="16"/>
        </w:rPr>
        <w:t>fase preparatória do processo licitatório é caracterizada pelo planejamento</w:t>
      </w:r>
      <w:r>
        <w:rPr>
          <w:rFonts w:ascii="Verdana" w:eastAsia="Verdana" w:hAnsi="Verdana" w:cs="Verdana"/>
          <w:sz w:val="16"/>
          <w:szCs w:val="16"/>
        </w:rPr>
        <w:t xml:space="preserve"> e deve compatibilizar-se com o plano de contratações anual de que trata o inciso VII do caput do art. 12 desta Lei, sempre que elaborado, e com as leis orçamentárias, </w:t>
      </w:r>
      <w:r>
        <w:rPr>
          <w:rFonts w:ascii="Verdana" w:eastAsia="Verdana" w:hAnsi="Verdana" w:cs="Verdana"/>
          <w:b/>
          <w:bCs/>
          <w:sz w:val="16"/>
          <w:szCs w:val="16"/>
        </w:rPr>
        <w:t>bem como abordar todas as considerações técnicas, mercadológicas e de gestão que podem interferir na contratação,</w:t>
      </w:r>
      <w:r>
        <w:rPr>
          <w:rFonts w:ascii="Verdana" w:eastAsia="Verdana" w:hAnsi="Verdana" w:cs="Verdana"/>
          <w:sz w:val="16"/>
          <w:szCs w:val="16"/>
        </w:rPr>
        <w:t xml:space="preserve"> compreendidos: </w:t>
      </w:r>
    </w:p>
    <w:p w14:paraId="7E00672A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I - </w:t>
      </w:r>
      <w:proofErr w:type="gramStart"/>
      <w:r>
        <w:rPr>
          <w:rFonts w:ascii="Verdana" w:eastAsia="Verdana" w:hAnsi="Verdana" w:cs="Verdana"/>
          <w:sz w:val="16"/>
          <w:szCs w:val="16"/>
        </w:rPr>
        <w:t>a</w:t>
      </w:r>
      <w:proofErr w:type="gram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sz w:val="16"/>
          <w:szCs w:val="16"/>
        </w:rPr>
        <w:t>descrição da necessidade</w:t>
      </w:r>
      <w:r>
        <w:rPr>
          <w:rFonts w:ascii="Verdana" w:eastAsia="Verdana" w:hAnsi="Verdana" w:cs="Verdana"/>
          <w:sz w:val="16"/>
          <w:szCs w:val="16"/>
        </w:rPr>
        <w:t xml:space="preserve"> da contratação fundamentada em estudo técnico preliminar que caracterize o interesse público envolvido; </w:t>
      </w:r>
    </w:p>
    <w:p w14:paraId="7082A227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[...] </w:t>
      </w:r>
    </w:p>
    <w:p w14:paraId="5E93A196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§ 1º. O estudo técnico preliminar a que se refere o inciso I do caput deste artigo deverá </w:t>
      </w:r>
      <w:r>
        <w:rPr>
          <w:rFonts w:ascii="Verdana" w:eastAsia="Verdana" w:hAnsi="Verdana" w:cs="Verdana"/>
          <w:b/>
          <w:bCs/>
          <w:sz w:val="16"/>
          <w:szCs w:val="16"/>
        </w:rPr>
        <w:t>evidenciar o problema a ser resolvido e a sua melhor solução,</w:t>
      </w:r>
      <w:r>
        <w:rPr>
          <w:rFonts w:ascii="Verdana" w:eastAsia="Verdana" w:hAnsi="Verdana" w:cs="Verdana"/>
          <w:sz w:val="16"/>
          <w:szCs w:val="16"/>
        </w:rPr>
        <w:t xml:space="preserve"> de modo a permitir a avaliação da viabilidade técnica e econômica da contratação, e conterá os seguintes elementos: </w:t>
      </w:r>
    </w:p>
    <w:p w14:paraId="60AAD53A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I -</w:t>
      </w:r>
      <w:r>
        <w:rPr>
          <w:rFonts w:ascii="Verdana" w:eastAsia="Verdana" w:hAnsi="Verdana" w:cs="Verdana"/>
          <w:sz w:val="16"/>
          <w:szCs w:val="16"/>
        </w:rPr>
        <w:t xml:space="preserve"> A descrição da necessidade da contratação, considerado o problema a ser resolvido sob a perspectiva do interesse público; </w:t>
      </w:r>
    </w:p>
    <w:p w14:paraId="14C2F4D4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II -</w:t>
      </w:r>
      <w:r>
        <w:rPr>
          <w:rFonts w:ascii="Verdana" w:eastAsia="Verdana" w:hAnsi="Verdana" w:cs="Verdana"/>
          <w:sz w:val="16"/>
          <w:szCs w:val="16"/>
        </w:rPr>
        <w:t xml:space="preserve"> A demonstração da previsão da contratação no plano de contratações anual, sempre que elaborado, de modo a indicar o seu alinhamento com o planejamento da Administração; </w:t>
      </w:r>
    </w:p>
    <w:p w14:paraId="16372BEE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 xml:space="preserve">III - </w:t>
      </w:r>
      <w:r>
        <w:rPr>
          <w:rFonts w:ascii="Verdana" w:eastAsia="Verdana" w:hAnsi="Verdana" w:cs="Verdana"/>
          <w:sz w:val="16"/>
          <w:szCs w:val="16"/>
        </w:rPr>
        <w:t xml:space="preserve">Os requisitos da contratação; </w:t>
      </w:r>
    </w:p>
    <w:p w14:paraId="5D9D04CD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IV -</w:t>
      </w:r>
      <w:r>
        <w:rPr>
          <w:rFonts w:ascii="Verdana" w:eastAsia="Verdana" w:hAnsi="Verdana" w:cs="Verdana"/>
          <w:sz w:val="16"/>
          <w:szCs w:val="16"/>
        </w:rPr>
        <w:t xml:space="preserve"> As estimativas das quantidades para a contratação, acompanhadas das memórias de cálculo e dos documentos que lhes dão suporte, que considerem interdependências com outras contratações, de modo a possibilitar economia de escala; </w:t>
      </w:r>
    </w:p>
    <w:p w14:paraId="6BCE2747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 xml:space="preserve">V - </w:t>
      </w:r>
      <w:r>
        <w:rPr>
          <w:rFonts w:ascii="Verdana" w:eastAsia="Verdana" w:hAnsi="Verdana" w:cs="Verdana"/>
          <w:sz w:val="16"/>
          <w:szCs w:val="16"/>
        </w:rPr>
        <w:t xml:space="preserve">O levantamento de mercado, que consiste na análise das alternativas possíveis, e justificativa técnica e econômica da escolha do tipo de solução a contratar; </w:t>
      </w:r>
    </w:p>
    <w:p w14:paraId="5EC5C3D4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 xml:space="preserve">VI - </w:t>
      </w:r>
      <w:r>
        <w:rPr>
          <w:rFonts w:ascii="Verdana" w:eastAsia="Verdana" w:hAnsi="Verdana" w:cs="Verdana"/>
          <w:sz w:val="16"/>
          <w:szCs w:val="16"/>
        </w:rPr>
        <w:t>A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licitação;</w:t>
      </w:r>
    </w:p>
    <w:p w14:paraId="63F691BA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VII -</w:t>
      </w:r>
      <w:r>
        <w:rPr>
          <w:rFonts w:ascii="Verdana" w:eastAsia="Verdana" w:hAnsi="Verdana" w:cs="Verdana"/>
          <w:sz w:val="16"/>
          <w:szCs w:val="16"/>
        </w:rPr>
        <w:t xml:space="preserve"> A descrição da solução como um todo, inclusive das exigências relacionadas à manutenção e à assistência técnica, quando for o caso; </w:t>
      </w:r>
    </w:p>
    <w:p w14:paraId="05417420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VIII -</w:t>
      </w:r>
      <w:r>
        <w:rPr>
          <w:rFonts w:ascii="Verdana" w:eastAsia="Verdana" w:hAnsi="Verdana" w:cs="Verdana"/>
          <w:sz w:val="16"/>
          <w:szCs w:val="16"/>
        </w:rPr>
        <w:t xml:space="preserve"> As justificativas para o parcelamento ou não da contratação; </w:t>
      </w:r>
    </w:p>
    <w:p w14:paraId="3B10A426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IX -</w:t>
      </w:r>
      <w:r>
        <w:rPr>
          <w:rFonts w:ascii="Verdana" w:eastAsia="Verdana" w:hAnsi="Verdana" w:cs="Verdana"/>
          <w:sz w:val="16"/>
          <w:szCs w:val="16"/>
        </w:rPr>
        <w:t xml:space="preserve"> O demonstrativo dos resultados pretendidos em termos de economicidade e de melhor aproveitamento dos recursos humanos, materiais e financeiros disponíveis.</w:t>
      </w:r>
    </w:p>
    <w:p w14:paraId="08762C4F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 xml:space="preserve">X </w:t>
      </w:r>
      <w:r>
        <w:rPr>
          <w:rFonts w:ascii="Verdana" w:eastAsia="Verdana" w:hAnsi="Verdana" w:cs="Verdana"/>
          <w:sz w:val="16"/>
          <w:szCs w:val="16"/>
        </w:rPr>
        <w:t xml:space="preserve">- </w:t>
      </w:r>
      <w:proofErr w:type="gramStart"/>
      <w:r>
        <w:rPr>
          <w:rFonts w:ascii="Verdana" w:eastAsia="Verdana" w:hAnsi="Verdana" w:cs="Verdana"/>
          <w:sz w:val="16"/>
          <w:szCs w:val="16"/>
        </w:rPr>
        <w:t>providências</w:t>
      </w:r>
      <w:proofErr w:type="gramEnd"/>
      <w:r>
        <w:rPr>
          <w:rFonts w:ascii="Verdana" w:eastAsia="Verdana" w:hAnsi="Verdana" w:cs="Verdana"/>
          <w:sz w:val="16"/>
          <w:szCs w:val="16"/>
        </w:rPr>
        <w:t xml:space="preserve"> a serem adotadas pela Administração previamente à celebração do contrato, inclusive quanto à capacitação de servidores ou de empregados para fiscalização e gestão contratual;</w:t>
      </w:r>
    </w:p>
    <w:p w14:paraId="388E98C2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 xml:space="preserve">XI - </w:t>
      </w:r>
      <w:r>
        <w:rPr>
          <w:rFonts w:ascii="Verdana" w:eastAsia="Verdana" w:hAnsi="Verdana" w:cs="Verdana"/>
          <w:sz w:val="16"/>
          <w:szCs w:val="16"/>
        </w:rPr>
        <w:t>contratações correlatas e/ou interdependentes;</w:t>
      </w:r>
    </w:p>
    <w:p w14:paraId="51871DF2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t>XII -</w:t>
      </w:r>
      <w:r>
        <w:rPr>
          <w:rFonts w:ascii="Verdana" w:eastAsia="Verdana" w:hAnsi="Verdana" w:cs="Verdana"/>
          <w:sz w:val="16"/>
          <w:szCs w:val="16"/>
        </w:rPr>
        <w:t xml:space="preserve"> descrição de possíveis impactos ambientais e respectivas medidas mitigadoras, incluídos requisitos de baixo consumo de energia e de outros recursos, bem como logística reversa para desfazimento e reciclagem de bens e refugos, quando aplicável;</w:t>
      </w:r>
    </w:p>
    <w:p w14:paraId="4794B417" w14:textId="77777777" w:rsidR="00216E34" w:rsidRDefault="00902DCC">
      <w:pPr>
        <w:spacing w:after="120"/>
        <w:ind w:left="226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sz w:val="16"/>
          <w:szCs w:val="16"/>
        </w:rPr>
        <w:lastRenderedPageBreak/>
        <w:t>XIII -</w:t>
      </w:r>
      <w:r>
        <w:rPr>
          <w:rFonts w:ascii="Verdana" w:eastAsia="Verdana" w:hAnsi="Verdana" w:cs="Verdana"/>
          <w:sz w:val="16"/>
          <w:szCs w:val="16"/>
        </w:rPr>
        <w:t xml:space="preserve"> posicionamento conclusivo sobre a adequação da contratação para o atendimento da necessidade a que se destina.</w:t>
      </w:r>
    </w:p>
    <w:p w14:paraId="2ECDB4C4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1.5. Com efeito, enfatiza-se que o município </w:t>
      </w:r>
      <w:proofErr w:type="gramStart"/>
      <w:r>
        <w:rPr>
          <w:rFonts w:ascii="Verdana" w:eastAsia="Verdana" w:hAnsi="Verdana" w:cs="Verdana"/>
        </w:rPr>
        <w:t>encontra-se</w:t>
      </w:r>
      <w:proofErr w:type="gramEnd"/>
      <w:r>
        <w:rPr>
          <w:rFonts w:ascii="Verdana" w:eastAsia="Verdana" w:hAnsi="Verdana" w:cs="Verdana"/>
        </w:rPr>
        <w:t xml:space="preserve"> em fase de adaptação e aprimoramento dos processos licitatórios, utilizando o ETP para a realização de licitação sob a égide da Lei Federal n. 14.133/21.</w:t>
      </w:r>
    </w:p>
    <w:p w14:paraId="249C97F3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1.6. Desta forma, em atendimento a legislação vigente, o presente documento buscará analisar a viabilidade da contratação</w:t>
      </w:r>
      <w:r>
        <w:rPr>
          <w:rFonts w:ascii="Verdana" w:eastAsia="Verdana" w:hAnsi="Verdana" w:cs="Verdana"/>
          <w:b/>
          <w:bCs/>
        </w:rPr>
        <w:t xml:space="preserve">, </w:t>
      </w:r>
      <w:r>
        <w:rPr>
          <w:rFonts w:ascii="Verdana" w:eastAsia="Verdana" w:hAnsi="Verdana" w:cs="Verdana"/>
        </w:rPr>
        <w:t>sendo elaborado em consonância com as determinações realizadas no Decreto Municipal n. 025/2023, que instituiu as diretrizes e procedimentos para padronização de documentos e fluxo de processos licitatórios.</w:t>
      </w:r>
    </w:p>
    <w:p w14:paraId="267E0977" w14:textId="77777777" w:rsidR="00216E34" w:rsidRDefault="00902DCC">
      <w:pPr>
        <w:spacing w:after="120"/>
        <w:ind w:firstLine="1133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>1.7. Em complemento, informa-se que este ETP não seguirá exatamente o padrão estabelecido no anexo do Decreto Municipal n. 025/2023, visto que deslocará subtópicos, apresentando, inclusive, outros dados não requeridos no padrão, e, consequentemente, servirá de base para próximos processos a serem elaborados por esta Administração.</w:t>
      </w:r>
    </w:p>
    <w:p w14:paraId="4C3DD8F2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</w:rPr>
        <w:t xml:space="preserve">1.2. </w:t>
      </w:r>
      <w:r>
        <w:rPr>
          <w:rFonts w:ascii="Verdana" w:eastAsia="Verdana" w:hAnsi="Verdana" w:cs="Verdana"/>
          <w:b/>
          <w:bCs/>
          <w:color w:val="000000"/>
        </w:rPr>
        <w:t>Agente de Planejamento:</w:t>
      </w:r>
    </w:p>
    <w:p w14:paraId="7BB89706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1134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O município designa para o planejamento deste Estudo Técnico Preliminar, as seguintes agentes públicas:</w:t>
      </w:r>
    </w:p>
    <w:p w14:paraId="7386BC95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Ana Paula </w:t>
      </w:r>
      <w:proofErr w:type="spellStart"/>
      <w:r>
        <w:rPr>
          <w:rFonts w:ascii="Verdana" w:eastAsia="Verdana" w:hAnsi="Verdana" w:cs="Verdana"/>
          <w:b/>
          <w:bCs/>
        </w:rPr>
        <w:t>Broietti</w:t>
      </w:r>
      <w:proofErr w:type="spellEnd"/>
      <w:r>
        <w:rPr>
          <w:rFonts w:ascii="Verdana" w:eastAsia="Verdana" w:hAnsi="Verdana" w:cs="Verdana"/>
          <w:b/>
          <w:bCs/>
        </w:rPr>
        <w:t>, Matrícula 59077</w:t>
      </w:r>
    </w:p>
    <w:p w14:paraId="12FDA6A1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Ana Carolina </w:t>
      </w:r>
      <w:proofErr w:type="spellStart"/>
      <w:r>
        <w:rPr>
          <w:rFonts w:ascii="Verdana" w:eastAsia="Verdana" w:hAnsi="Verdana" w:cs="Verdana"/>
          <w:b/>
          <w:bCs/>
        </w:rPr>
        <w:t>Schuetz</w:t>
      </w:r>
      <w:proofErr w:type="spellEnd"/>
      <w:r>
        <w:rPr>
          <w:rFonts w:ascii="Verdana" w:eastAsia="Verdana" w:hAnsi="Verdana" w:cs="Verdana"/>
          <w:b/>
          <w:bCs/>
        </w:rPr>
        <w:t>, Matrícula 57654</w:t>
      </w:r>
    </w:p>
    <w:p w14:paraId="27EE23C4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1.3. Regime Regente:</w:t>
      </w:r>
    </w:p>
    <w:p w14:paraId="75DECF4C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 xml:space="preserve">(  </w:t>
      </w:r>
      <w:proofErr w:type="gramEnd"/>
      <w:r>
        <w:rPr>
          <w:rFonts w:ascii="Verdana" w:eastAsia="Verdana" w:hAnsi="Verdana" w:cs="Verdana"/>
        </w:rPr>
        <w:t xml:space="preserve"> ) Lei n. 8.666/93 e legislação correlata.</w:t>
      </w:r>
    </w:p>
    <w:p w14:paraId="7FC3802E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proofErr w:type="gramStart"/>
      <w:r>
        <w:rPr>
          <w:rFonts w:ascii="Verdana" w:eastAsia="Verdana" w:hAnsi="Verdana" w:cs="Verdana"/>
          <w:b/>
          <w:bCs/>
        </w:rPr>
        <w:t>( X</w:t>
      </w:r>
      <w:proofErr w:type="gramEnd"/>
      <w:r>
        <w:rPr>
          <w:rFonts w:ascii="Verdana" w:eastAsia="Verdana" w:hAnsi="Verdana" w:cs="Verdana"/>
          <w:b/>
          <w:bCs/>
        </w:rPr>
        <w:t xml:space="preserve"> ) Lei n. 14.133/21 e legislação correlata.</w:t>
      </w:r>
    </w:p>
    <w:p w14:paraId="0A19625F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</w:rPr>
        <w:t xml:space="preserve">1.4. </w:t>
      </w:r>
      <w:r>
        <w:rPr>
          <w:rFonts w:ascii="Verdana" w:eastAsia="Verdana" w:hAnsi="Verdana" w:cs="Verdana"/>
          <w:b/>
          <w:bCs/>
          <w:color w:val="000000"/>
        </w:rPr>
        <w:t>Legislação Específica Para O Objeto:</w:t>
      </w:r>
    </w:p>
    <w:p w14:paraId="0ADF7B28" w14:textId="77777777" w:rsidR="00216E34" w:rsidRDefault="00902DCC">
      <w:pPr>
        <w:numPr>
          <w:ilvl w:val="0"/>
          <w:numId w:val="6"/>
        </w:num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Licitações e Contratos Administrativos:</w:t>
      </w:r>
    </w:p>
    <w:p w14:paraId="3A845A30" w14:textId="77777777" w:rsidR="00216E34" w:rsidRDefault="00902DCC">
      <w:pPr>
        <w:numPr>
          <w:ilvl w:val="0"/>
          <w:numId w:val="7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Lei n. 14.133, de 1º de abril de 2021 (Nova Lei de Licitações e Contratos Administrativos)</w:t>
      </w:r>
    </w:p>
    <w:p w14:paraId="0284C72C" w14:textId="77777777" w:rsidR="00216E34" w:rsidRDefault="00902DCC">
      <w:pPr>
        <w:numPr>
          <w:ilvl w:val="0"/>
          <w:numId w:val="11"/>
        </w:num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Obras Públicas e Engenharia:</w:t>
      </w:r>
    </w:p>
    <w:p w14:paraId="3AD98D65" w14:textId="77777777" w:rsidR="00216E34" w:rsidRDefault="00902DCC">
      <w:pPr>
        <w:numPr>
          <w:ilvl w:val="0"/>
          <w:numId w:val="10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Lei n. 5.194, de 24 de dezembro de 1966, que regula o exercício das profissões de Engenharia e dá outras providências. Lei nº 12.378/2010, que regula o exercício da Arquitetura e cria o Conselho de Arquitetura e Urbanismo do Brasil (CAU/BR) e das Unidades da Federação (CAU/UF).</w:t>
      </w:r>
    </w:p>
    <w:p w14:paraId="47122E31" w14:textId="77777777" w:rsidR="00216E34" w:rsidRDefault="00902DCC">
      <w:pPr>
        <w:numPr>
          <w:ilvl w:val="0"/>
          <w:numId w:val="10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Lei n. 6.496, de 07 de dezembro de 1977, que institui a “Anotação de Responsabilidade Técnica” na prestação de serviços de Engenharia, autoriza </w:t>
      </w:r>
      <w:r>
        <w:rPr>
          <w:rFonts w:ascii="Verdana" w:eastAsia="Verdana" w:hAnsi="Verdana" w:cs="Verdana"/>
        </w:rPr>
        <w:lastRenderedPageBreak/>
        <w:t>a criação, pelo Conselho Federal de Engenharia, Arquitetura e Agronomia – CONFEA, de uma mútua de assistência profissional, e dá outras providências;</w:t>
      </w:r>
    </w:p>
    <w:p w14:paraId="1F82D7C2" w14:textId="77777777" w:rsidR="00216E34" w:rsidRDefault="00902DCC">
      <w:pPr>
        <w:numPr>
          <w:ilvl w:val="0"/>
          <w:numId w:val="10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Normas Brasileiras (</w:t>
      </w:r>
      <w:proofErr w:type="spellStart"/>
      <w:r>
        <w:rPr>
          <w:rFonts w:ascii="Verdana" w:eastAsia="Verdana" w:hAnsi="Verdana" w:cs="Verdana"/>
        </w:rPr>
        <w:t>NBRs</w:t>
      </w:r>
      <w:proofErr w:type="spellEnd"/>
      <w:r>
        <w:rPr>
          <w:rFonts w:ascii="Verdana" w:eastAsia="Verdana" w:hAnsi="Verdana" w:cs="Verdana"/>
        </w:rPr>
        <w:t xml:space="preserve">) da ABNT (Associação Brasileira de Normas Técnicas): Diversas </w:t>
      </w:r>
      <w:proofErr w:type="spellStart"/>
      <w:r>
        <w:rPr>
          <w:rFonts w:ascii="Verdana" w:eastAsia="Verdana" w:hAnsi="Verdana" w:cs="Verdana"/>
        </w:rPr>
        <w:t>NBRs</w:t>
      </w:r>
      <w:proofErr w:type="spellEnd"/>
      <w:r>
        <w:rPr>
          <w:rFonts w:ascii="Verdana" w:eastAsia="Verdana" w:hAnsi="Verdana" w:cs="Verdana"/>
        </w:rPr>
        <w:t xml:space="preserve"> são aplicáveis a projetos e obras de construção civil, abrangendo desde requisitos para materiais, estruturas, instalações elétricas e hidráulicas, acessibilidade, segurança do trabalho, entre outros. A conformidade com essas normas é essencial para a qualidade e segurança da obra.</w:t>
      </w:r>
    </w:p>
    <w:p w14:paraId="799BEBAA" w14:textId="77777777" w:rsidR="00216E34" w:rsidRDefault="00902DCC">
      <w:pPr>
        <w:numPr>
          <w:ilvl w:val="0"/>
          <w:numId w:val="10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Legislação Urbanística e Ambiental Municipal: O projeto e a execução da obra devem respeitar o Plano Diretor Municipal, o Código de Obras e Edificações do município, as leis de uso e ocupação do solo, e as normas ambientais locais, que podem exigir licenças e alvarás específicos.</w:t>
      </w:r>
    </w:p>
    <w:p w14:paraId="6DACCFD1" w14:textId="77777777" w:rsidR="00216E34" w:rsidRDefault="00902DCC">
      <w:pPr>
        <w:numPr>
          <w:ilvl w:val="0"/>
          <w:numId w:val="10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Normas de Acessibilidade (Lei nº 13.146/2015 - Estatuto da Pessoa com Deficiência e NBR 9050): A Provisão de Unidades Habitacionais no Município de Juti deve obrigatoriamente atender às normas de acessibilidade, garantindo que o espaço seja utilizável por pessoas com deficiência.</w:t>
      </w:r>
    </w:p>
    <w:p w14:paraId="19AD76E5" w14:textId="77777777" w:rsidR="00216E34" w:rsidRDefault="00902DCC">
      <w:pPr>
        <w:numPr>
          <w:ilvl w:val="0"/>
          <w:numId w:val="2"/>
        </w:num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Meio Ambiente e Resíduos Sólidos</w:t>
      </w:r>
    </w:p>
    <w:p w14:paraId="2EB6ED4F" w14:textId="77777777" w:rsidR="00216E34" w:rsidRDefault="00902DCC">
      <w:pPr>
        <w:numPr>
          <w:ilvl w:val="0"/>
          <w:numId w:val="8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Resolução CONAMA n. 307/2002</w:t>
      </w:r>
      <w:r>
        <w:rPr>
          <w:rFonts w:ascii="Verdana" w:eastAsia="Verdana" w:hAnsi="Verdana" w:cs="Verdana"/>
        </w:rPr>
        <w:t xml:space="preserve"> – Gestão de resíduos da construção civil.</w:t>
      </w:r>
    </w:p>
    <w:p w14:paraId="3ABAB96E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Legislação Específica da Assistência Social</w:t>
      </w:r>
    </w:p>
    <w:p w14:paraId="2868809D" w14:textId="77777777" w:rsidR="00216E34" w:rsidRDefault="00902DCC">
      <w:pPr>
        <w:spacing w:after="120"/>
        <w:ind w:left="36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</w:rPr>
        <w:t>Lei n. 8.742/1993 (Lei Orgânica da Assistência Social - LOAS): Esta lei estabelece os princípios, diretrizes e objetivos do SUAS, definindo os direitos e deveres dos usuários e prestadores de serviços. A Provisão de Unidades Habitacionais no Município de Juti deve estar em conformidade com as finalidades e diretrizes da LOAS.</w:t>
      </w:r>
    </w:p>
    <w:p w14:paraId="4C1ABDBB" w14:textId="77777777" w:rsidR="00216E34" w:rsidRDefault="00902DCC">
      <w:pPr>
        <w:spacing w:after="120"/>
        <w:ind w:left="36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 Norma Operacional Básica do SUAS (NOB/SUAS): A NOB/SUAS é um instrumento que detalha a operacionalização do SUAS, definindo as competências e responsabilidades dos entes federados (União, Estados, Distrito Federal e Municípios), os serviços, programas, projetos e benefícios socioassistenciais, e os padrões de infraestrutura para os equipamentos.</w:t>
      </w:r>
    </w:p>
    <w:p w14:paraId="38ED9FB4" w14:textId="77777777" w:rsidR="00216E34" w:rsidRDefault="00902DCC">
      <w:pPr>
        <w:spacing w:after="120"/>
        <w:ind w:left="36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 Resoluções do Conselho Nacional de Assistência Social (CNAS): O CNAS é o órgão superior do SUAS e emite resoluções que orientam a implementação da política de assistência social, incluindo diretrizes para a infraestrutura dos equipamentos.</w:t>
      </w:r>
    </w:p>
    <w:p w14:paraId="0F147E08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Trabalho e Segurança</w:t>
      </w:r>
    </w:p>
    <w:p w14:paraId="2033B0E1" w14:textId="77777777" w:rsidR="00216E34" w:rsidRDefault="00902DCC">
      <w:pPr>
        <w:numPr>
          <w:ilvl w:val="0"/>
          <w:numId w:val="3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CLT – Consolidação das Leis do Trabalho, aplicável aos operários contratados.</w:t>
      </w:r>
    </w:p>
    <w:p w14:paraId="7A157583" w14:textId="77777777" w:rsidR="00216E34" w:rsidRDefault="00902DCC">
      <w:pPr>
        <w:numPr>
          <w:ilvl w:val="0"/>
          <w:numId w:val="3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Normas Regulamentadoras (</w:t>
      </w:r>
      <w:proofErr w:type="spellStart"/>
      <w:r>
        <w:rPr>
          <w:rFonts w:ascii="Verdana" w:eastAsia="Verdana" w:hAnsi="Verdana" w:cs="Verdana"/>
        </w:rPr>
        <w:t>NRs</w:t>
      </w:r>
      <w:proofErr w:type="spellEnd"/>
      <w:r>
        <w:rPr>
          <w:rFonts w:ascii="Verdana" w:eastAsia="Verdana" w:hAnsi="Verdana" w:cs="Verdana"/>
        </w:rPr>
        <w:t>) – Especialmente:</w:t>
      </w:r>
    </w:p>
    <w:p w14:paraId="244A1143" w14:textId="77777777" w:rsidR="00216E34" w:rsidRDefault="00902DCC">
      <w:pPr>
        <w:spacing w:after="120"/>
        <w:ind w:left="7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NR 18 – Condições e meio ambiente de trabalho na indústria da construção.</w:t>
      </w:r>
    </w:p>
    <w:p w14:paraId="4884F5C1" w14:textId="77777777" w:rsidR="00216E34" w:rsidRDefault="00902DCC">
      <w:pPr>
        <w:spacing w:after="120"/>
        <w:ind w:left="7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NR 35 – Trabalho em altura.</w:t>
      </w:r>
    </w:p>
    <w:p w14:paraId="2FD4D2B8" w14:textId="77777777" w:rsidR="00216E34" w:rsidRDefault="00902DCC">
      <w:pPr>
        <w:spacing w:after="120"/>
        <w:ind w:left="7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NR 12 – Segurança em máquinas e equipamentos.</w:t>
      </w:r>
    </w:p>
    <w:p w14:paraId="12A49C03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1.5. Licitação Anterior: </w:t>
      </w:r>
    </w:p>
    <w:p w14:paraId="5001D749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Não houve licitação anterior para este objeto.</w:t>
      </w:r>
    </w:p>
    <w:p w14:paraId="71ACEE33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1.6. Há Frota A Ser Atendida:</w:t>
      </w:r>
    </w:p>
    <w:p w14:paraId="123AFCD6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proofErr w:type="gramStart"/>
      <w:r>
        <w:rPr>
          <w:rFonts w:ascii="Verdana" w:eastAsia="Verdana" w:hAnsi="Verdana" w:cs="Verdana"/>
        </w:rPr>
        <w:t xml:space="preserve">(  </w:t>
      </w:r>
      <w:proofErr w:type="gramEnd"/>
      <w:r>
        <w:rPr>
          <w:rFonts w:ascii="Verdana" w:eastAsia="Verdana" w:hAnsi="Verdana" w:cs="Verdana"/>
        </w:rPr>
        <w:t xml:space="preserve"> ) SIM, em anexo  </w:t>
      </w:r>
    </w:p>
    <w:p w14:paraId="7C025D34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>( X</w:t>
      </w:r>
      <w:proofErr w:type="gramEnd"/>
      <w:r>
        <w:rPr>
          <w:rFonts w:ascii="Verdana" w:eastAsia="Verdana" w:hAnsi="Verdana" w:cs="Verdana"/>
        </w:rPr>
        <w:t xml:space="preserve">  )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</w:rPr>
        <w:t>NÃO</w:t>
      </w:r>
    </w:p>
    <w:p w14:paraId="01BE8E54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1.7. Modalidade a ser adotada para o presente objeto</w:t>
      </w:r>
    </w:p>
    <w:p w14:paraId="0666D881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1.7.1. Considerando que o objeto do presente instrumento consiste na execução de obra pública para a </w:t>
      </w:r>
      <w:proofErr w:type="spellStart"/>
      <w:r>
        <w:rPr>
          <w:rFonts w:ascii="Verdana" w:eastAsia="Verdana" w:hAnsi="Verdana" w:cs="Verdana"/>
          <w:b/>
          <w:bCs/>
        </w:rPr>
        <w:t>A</w:t>
      </w:r>
      <w:proofErr w:type="spellEnd"/>
      <w:r>
        <w:rPr>
          <w:rFonts w:ascii="Verdana" w:eastAsia="Verdana" w:hAnsi="Verdana" w:cs="Verdana"/>
          <w:b/>
          <w:bCs/>
        </w:rPr>
        <w:t xml:space="preserve"> PROVISÃO DE UNIDADES HABITACIONAIS NO MUNICÍPIO DE JUTI/MS,</w:t>
      </w:r>
      <w:r>
        <w:rPr>
          <w:rFonts w:ascii="Verdana" w:eastAsia="Verdana" w:hAnsi="Verdana" w:cs="Verdana"/>
        </w:rPr>
        <w:t xml:space="preserve"> será adotada a modalidade de licitação denominada </w:t>
      </w:r>
      <w:r>
        <w:rPr>
          <w:rFonts w:ascii="Verdana" w:eastAsia="Verdana" w:hAnsi="Verdana" w:cs="Verdana"/>
          <w:b/>
          <w:bCs/>
        </w:rPr>
        <w:t>Concorrência Eletrônica,</w:t>
      </w:r>
      <w:r>
        <w:rPr>
          <w:rFonts w:ascii="Verdana" w:eastAsia="Verdana" w:hAnsi="Verdana" w:cs="Verdana"/>
        </w:rPr>
        <w:t xml:space="preserve"> conforme dispõe a Lei n. 14.133/2021, que estabelece o novo regime jurídico das licitações e contratos administrativos.</w:t>
      </w:r>
    </w:p>
    <w:p w14:paraId="328C71E2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1.7.2. A escolha da Concorrência Eletrônica fundamenta-se nos seguintes dispositivos e critérios legais:</w:t>
      </w:r>
    </w:p>
    <w:p w14:paraId="50F9AB3B" w14:textId="77777777" w:rsidR="00216E34" w:rsidRDefault="00902DCC">
      <w:pPr>
        <w:numPr>
          <w:ilvl w:val="0"/>
          <w:numId w:val="9"/>
        </w:numPr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Art. 28, inciso II da Lei n. 14.133/2021, que determina que a Concorrência é a modalidade obrigatória para contratação de obras e serviços comuns ou especiais de engenharia;</w:t>
      </w:r>
    </w:p>
    <w:p w14:paraId="152AD39C" w14:textId="77777777" w:rsidR="00216E34" w:rsidRDefault="00902DCC">
      <w:pPr>
        <w:numPr>
          <w:ilvl w:val="0"/>
          <w:numId w:val="9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Art. 17, §2º da mesma Lei, que estabelece a preferência pelo meio eletrônico como forma de realização do processo licitatório, salvo comprovada inviabilidade técnica ou desproporcionalidade de custos;</w:t>
      </w:r>
    </w:p>
    <w:p w14:paraId="2704C95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1.7.3. Dessa forma, adota-se a </w:t>
      </w:r>
      <w:r>
        <w:rPr>
          <w:rFonts w:ascii="Verdana" w:eastAsia="Verdana" w:hAnsi="Verdana" w:cs="Verdana"/>
          <w:b/>
          <w:bCs/>
        </w:rPr>
        <w:t>Concorrência,</w:t>
      </w:r>
      <w:r>
        <w:rPr>
          <w:rFonts w:ascii="Verdana" w:eastAsia="Verdana" w:hAnsi="Verdana" w:cs="Verdana"/>
        </w:rPr>
        <w:t xml:space="preserve"> na forma </w:t>
      </w:r>
      <w:r>
        <w:rPr>
          <w:rFonts w:ascii="Verdana" w:eastAsia="Verdana" w:hAnsi="Verdana" w:cs="Verdana"/>
          <w:b/>
          <w:bCs/>
        </w:rPr>
        <w:t>eletrônica</w:t>
      </w:r>
      <w:r>
        <w:rPr>
          <w:rFonts w:ascii="Verdana" w:eastAsia="Verdana" w:hAnsi="Verdana" w:cs="Verdana"/>
        </w:rPr>
        <w:t>, com critério de julgamento por empreitada global, como a modalidade de licitação mais adequada à complexidade e valor da contratação, em conformidade com os normativos legais aplicáveis, assegurando o cumprimento dos princípios da legalidade, isonomia, publicidade e seleção da proposta mais vantajosa para a administração pública.</w:t>
      </w:r>
    </w:p>
    <w:p w14:paraId="7DABBA08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2. DA NECESSIDADE DA CONTRATAÇÃO E PROBLEMA A SER RESOLVIDO SOB A PERSPECTIVA DO INTERESSE PÚBLICO</w:t>
      </w:r>
    </w:p>
    <w:p w14:paraId="400CB90C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2.1. A presente contratação decorre da necessidade de atendimento à demanda habitacional existente no Município de Juti/MS, considerando o déficit de moradias adequadas para famílias em situação de vulnerabilidade social, bem como a necessidade de promover melhores condições de habitação, segurança, dignidade e qualidade de vida à população.</w:t>
      </w:r>
    </w:p>
    <w:p w14:paraId="4323C9D1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2.2. Atualmente, verifica-se a existência de munícipes que residem em condições precárias e inadequadas, cenário que compromete o bem-estar social e evidencia a insuficiência da infraestrutura habitacional disponível. Tal situação demanda atuação efetiva do Poder Público para assegurar o acesso à moradia digna, direito social fundamental previsto no artigo 6º da Constituição Federal.</w:t>
      </w:r>
    </w:p>
    <w:p w14:paraId="4F022334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2.3. Sob a perspectiva do interesse público, a contratação de empresa especializada no ramo da construção civil para a provisão de unidades habitacionais visa solucionar a carência habitacional local, reduzir o déficit de moradias, promover inclusão social e fortalecer as políticas públicas habitacionais do município.</w:t>
      </w:r>
    </w:p>
    <w:p w14:paraId="200D5849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>2.4. A execução do objeto permitirá atender famílias previamente identificadas pelos critérios sociais e técnicos estabelecidos pela Administração Pública, contribuindo para a redução das desigualdades sociais, para o desenvolvimento urbano ordenado e para a promoção da dignidade da pessoa humana, atendendo aos princípios da eficiência, economicidade e interesse público que regem a Administração Pública.</w:t>
      </w:r>
    </w:p>
    <w:p w14:paraId="3B00AC8E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3. DA DEMONSTRAÇÃO DA PREVISÃO NOS INSTRUMENTOS DE PLANEJAMENTO DO MUNICÍPIO</w:t>
      </w:r>
    </w:p>
    <w:p w14:paraId="23E89ABB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3.1. Em que pese a disposição do art. 5º do Decreto Municipal n. 011/2025:</w:t>
      </w:r>
    </w:p>
    <w:p w14:paraId="2D84B4ED" w14:textId="77777777" w:rsidR="00216E34" w:rsidRDefault="00902DCC">
      <w:pPr>
        <w:spacing w:after="120"/>
        <w:ind w:left="2834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“Art. 5º Ficam dispensadas de registro no plano de contratações anual:</w:t>
      </w:r>
    </w:p>
    <w:p w14:paraId="571DBC64" w14:textId="77777777" w:rsidR="00216E34" w:rsidRDefault="00902DCC">
      <w:pPr>
        <w:spacing w:after="120"/>
        <w:ind w:left="2834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(...)</w:t>
      </w:r>
    </w:p>
    <w:p w14:paraId="2AD12F6E" w14:textId="77777777" w:rsidR="00216E34" w:rsidRDefault="00902DCC">
      <w:pPr>
        <w:spacing w:after="120"/>
        <w:ind w:left="2834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V - As contratações realizadas por meio de recebimento de transferência voluntária da União ou do Estado;”</w:t>
      </w:r>
    </w:p>
    <w:p w14:paraId="36156667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3.2. A presente contratação está prevista no Plano de Contratações Anual (PCA) do exercício de 2025 do Município de Juti/MS, atendendo ao disposto no §1º, inciso II, do art. 18 da Lei n. 14.133/2021.</w:t>
      </w:r>
    </w:p>
    <w:p w14:paraId="6E065648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 item correspondente no PCA está registrado da seguinte forma:</w:t>
      </w:r>
    </w:p>
    <w:p w14:paraId="0428F255" w14:textId="1DB451C6" w:rsidR="00216E34" w:rsidRPr="00314167" w:rsidRDefault="00902DCC">
      <w:pPr>
        <w:spacing w:after="120"/>
        <w:jc w:val="both"/>
        <w:rPr>
          <w:rFonts w:ascii="Verdana" w:eastAsia="Verdana" w:hAnsi="Verdana" w:cs="Verdana"/>
        </w:rPr>
      </w:pPr>
      <w:r w:rsidRPr="00314167">
        <w:rPr>
          <w:rFonts w:ascii="Verdana" w:eastAsia="Verdana" w:hAnsi="Verdana" w:cs="Verdana"/>
        </w:rPr>
        <w:t>•</w:t>
      </w:r>
      <w:r w:rsidRPr="00314167">
        <w:rPr>
          <w:rFonts w:ascii="Verdana" w:eastAsia="Verdana" w:hAnsi="Verdana" w:cs="Verdana"/>
        </w:rPr>
        <w:tab/>
        <w:t xml:space="preserve">Item n.: </w:t>
      </w:r>
      <w:r w:rsidR="00314167" w:rsidRPr="00314167">
        <w:rPr>
          <w:rFonts w:ascii="Verdana" w:eastAsia="Verdana" w:hAnsi="Verdana" w:cs="Verdana"/>
        </w:rPr>
        <w:t>100</w:t>
      </w:r>
    </w:p>
    <w:p w14:paraId="31E56931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•</w:t>
      </w:r>
      <w:r>
        <w:rPr>
          <w:rFonts w:ascii="Verdana" w:eastAsia="Verdana" w:hAnsi="Verdana" w:cs="Verdana"/>
        </w:rPr>
        <w:tab/>
        <w:t>Objeto da contratação: Provisão de Unidades Habitacionais no Município de Juti/MS</w:t>
      </w:r>
    </w:p>
    <w:p w14:paraId="49014D2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•</w:t>
      </w:r>
      <w:r>
        <w:rPr>
          <w:rFonts w:ascii="Verdana" w:eastAsia="Verdana" w:hAnsi="Verdana" w:cs="Verdana"/>
        </w:rPr>
        <w:tab/>
        <w:t>Unidade demandante: Município</w:t>
      </w:r>
    </w:p>
    <w:p w14:paraId="51F893AC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3.3. Portanto, a contratação ora analisada encontra-se alinhada ao planejamento estratégico e orçamentário do Município, contribuindo para a racionalização das despesas e a eficiência na gestão dos recursos públicos.</w:t>
      </w:r>
    </w:p>
    <w:p w14:paraId="48461F86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3.4. A íntegra do Plano de Contratação Anual está disponível no Portal da Transparência deste município.</w:t>
      </w:r>
    </w:p>
    <w:p w14:paraId="4534430D" w14:textId="77777777" w:rsidR="00216E34" w:rsidRDefault="00216E34">
      <w:pPr>
        <w:spacing w:after="120"/>
        <w:jc w:val="both"/>
        <w:rPr>
          <w:rFonts w:ascii="Verdana" w:eastAsia="Verdana" w:hAnsi="Verdana" w:cs="Verdana"/>
        </w:rPr>
      </w:pPr>
    </w:p>
    <w:p w14:paraId="00FD2EBB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4. DA ESTIMATIVA DAS QUANTIDADES PARA CONTRATAÇÃO</w:t>
      </w:r>
    </w:p>
    <w:tbl>
      <w:tblPr>
        <w:tblStyle w:val="a0"/>
        <w:tblW w:w="9064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91"/>
        <w:gridCol w:w="2984"/>
        <w:gridCol w:w="1719"/>
        <w:gridCol w:w="1283"/>
        <w:gridCol w:w="2087"/>
      </w:tblGrid>
      <w:tr w:rsidR="00216E34" w14:paraId="08966F7D" w14:textId="77777777">
        <w:trPr>
          <w:trHeight w:val="529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669B8" w14:textId="77777777" w:rsidR="00216E34" w:rsidRDefault="00902DCC">
            <w:pPr>
              <w:widowControl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6AA6" w14:textId="77777777" w:rsidR="00216E34" w:rsidRDefault="00902DC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2721" w14:textId="77777777" w:rsidR="00216E34" w:rsidRDefault="00902DCC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DD63" w14:textId="77777777" w:rsidR="00216E34" w:rsidRDefault="00902DCC">
            <w:pPr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1098" w14:textId="77777777" w:rsidR="00216E34" w:rsidRDefault="00902DCC">
            <w:pPr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 w:rsidR="00216E34" w14:paraId="4161E541" w14:textId="77777777">
        <w:trPr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FC0D7" w14:textId="77777777" w:rsidR="00216E34" w:rsidRDefault="00902DCC">
            <w:pPr>
              <w:widowControl w:val="0"/>
              <w:spacing w:before="120"/>
              <w:jc w:val="center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5B4F3" w14:textId="77777777" w:rsidR="00216E34" w:rsidRDefault="00902DC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Contratação de empresa especializada no ramo da construção civil para a Provisão de Unidades Habitacionais no Município de Juti/MS conforme Termo de Compromisso nº 996083/2026 - Operação 1106050-88.</w:t>
            </w:r>
          </w:p>
          <w:p w14:paraId="278B94A3" w14:textId="77777777" w:rsidR="00216E34" w:rsidRDefault="00216E34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1FA32" w14:textId="77777777" w:rsidR="00216E34" w:rsidRDefault="00902DCC">
            <w:pPr>
              <w:widowControl w:val="0"/>
              <w:spacing w:before="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26DC" w14:textId="77777777" w:rsidR="00216E34" w:rsidRDefault="00902DCC">
            <w:pPr>
              <w:widowControl w:val="0"/>
              <w:spacing w:before="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77F77" w14:textId="77777777" w:rsidR="00216E34" w:rsidRDefault="00902DCC">
            <w:pPr>
              <w:widowControl w:val="0"/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R$ 2.544.519,10</w:t>
            </w:r>
          </w:p>
        </w:tc>
      </w:tr>
    </w:tbl>
    <w:p w14:paraId="63A4C41B" w14:textId="77777777" w:rsidR="00216E34" w:rsidRDefault="00902DCC">
      <w:pPr>
        <w:widowControl w:val="0"/>
        <w:spacing w:after="120"/>
        <w:ind w:left="6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4.1. A estimativa de custos para a Provisão de Unidades Habitacionais no Município de Juti/MS foi realizada com base na Tabela SINAPI.</w:t>
      </w:r>
    </w:p>
    <w:p w14:paraId="43042350" w14:textId="77777777" w:rsidR="00216E34" w:rsidRDefault="00902DCC">
      <w:pPr>
        <w:widowControl w:val="0"/>
        <w:spacing w:after="120"/>
        <w:ind w:left="6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4.2. A composição dos custos inclui:</w:t>
      </w:r>
    </w:p>
    <w:p w14:paraId="10CB964C" w14:textId="77777777" w:rsidR="00216E34" w:rsidRDefault="00902DCC">
      <w:pPr>
        <w:widowControl w:val="0"/>
        <w:numPr>
          <w:ilvl w:val="0"/>
          <w:numId w:val="4"/>
        </w:numPr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Materiais de construção (estruturas metálicas, concreto, alvenaria, telhas, revestimentos, instalações elétricas e hidráulicas, entre outros); </w:t>
      </w:r>
    </w:p>
    <w:p w14:paraId="6D519A1A" w14:textId="77777777" w:rsidR="00216E34" w:rsidRDefault="00902DCC">
      <w:pPr>
        <w:widowControl w:val="0"/>
        <w:numPr>
          <w:ilvl w:val="0"/>
          <w:numId w:val="4"/>
        </w:numPr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Mão de obra especializada para execução das fundações, estrutura, acabamentos e instalações; </w:t>
      </w:r>
    </w:p>
    <w:p w14:paraId="6E91D5FF" w14:textId="77777777" w:rsidR="00216E34" w:rsidRDefault="00902DCC">
      <w:pPr>
        <w:widowControl w:val="0"/>
        <w:numPr>
          <w:ilvl w:val="0"/>
          <w:numId w:val="4"/>
        </w:num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Equipamentos e serviços auxiliares necessários para a execução da obra; Encargos e tributos aplicáveis à contratação.</w:t>
      </w:r>
    </w:p>
    <w:p w14:paraId="6BCB8FE5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5. DA ESTIMATIVA DO VALOR DA CONTRATAÇÃO</w:t>
      </w:r>
    </w:p>
    <w:p w14:paraId="7B5C328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5.1. A contratação em comento corresponde ao valor estimado de </w:t>
      </w:r>
      <w:r>
        <w:rPr>
          <w:rFonts w:ascii="Verdana" w:eastAsia="Verdana" w:hAnsi="Verdana" w:cs="Verdana"/>
          <w:b/>
          <w:bCs/>
        </w:rPr>
        <w:t xml:space="preserve">R$ 2.544.519,10 (dois milhões quinhentos e quarenta e quatro mil quinhentos e dezenove reais e dez centavos) </w:t>
      </w:r>
      <w:r>
        <w:rPr>
          <w:rFonts w:ascii="Verdana" w:eastAsia="Verdana" w:hAnsi="Verdana" w:cs="Verdana"/>
        </w:rPr>
        <w:t>limite máximo aceitável para contratação, orçado com base nos sistemas de custos federais e estaduais oficiais, bem como em pesquisas complementares, anexo.</w:t>
      </w:r>
    </w:p>
    <w:p w14:paraId="1B0C8738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6. DO LEVANTAMENTO DE MERCADO</w:t>
      </w:r>
    </w:p>
    <w:p w14:paraId="4AAC3F24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6.1.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</w:rPr>
        <w:t xml:space="preserve">Em atendimento ao disposto no artigo 18, §1º, inciso V, da Lei nº 14.133/2021, foi realizado levantamento das soluções disponíveis no mercado para atendimento da necessidade de provisão de 20 (vinte) unidades habitacionais destinadas a famílias em situação de vulnerabilidade social no Município de Juti/MS. </w:t>
      </w:r>
    </w:p>
    <w:p w14:paraId="4CFF3313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 xml:space="preserve">6.2. A análise das alternativas demonstrou que a solução mais adequada para atendimento da demanda consiste na contratação de empresa especializada no ramo da construção civil para execução integral da obra, contemplando o fornecimento de mão de obra, materiais, equipamentos, ferramentas e demais insumos necessários à conclusão do empreendimento habitacional, conforme projetos executivos, memoriais descritivos, planilhas orçamentárias e especificações técnicas elaboradas pela Administração. </w:t>
      </w:r>
    </w:p>
    <w:p w14:paraId="7557486D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6.3. Considerando as características do objeto, a existência de projetos executivos detalhados, a definição prévia dos quantitativos e das soluções construtivas a serem adotadas, verificou-se que o regime de execução por empreitada por preço global apresenta-se como a alternativa mais vantajosa para a Administração. Esse regime transfere à contratada a responsabilidade pela execução integral do empreendimento por valor previamente definido, proporcionando maior previsibilidade dos custos, simplificação da gestão contratual e redução dos riscos relacionados a alterações quantitativas ordinárias decorrentes da execução da obra. </w:t>
      </w:r>
    </w:p>
    <w:p w14:paraId="30826659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6.4. A adoção da empreitada por preço global mostra-se especialmente adequada para o presente empreendimento habitacional, uma vez que os projetos, memoriais descritivos, planilhas orçamentárias, cronograma físico-financeiro e demais documentos técnicos fornecem elevado grau de detalhamento e precisão, permitindo que as licitantes compreendam integralmente o escopo da contratação e apresentem propostas compatíveis com as condições efetivamente exigidas. </w:t>
      </w:r>
    </w:p>
    <w:p w14:paraId="159D3BC7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6.5. Quanto ao critério de julgamento, verificou-se que a adoção do critério de menor preço global é a alternativa mais adequada para a seleção da proposta mais vantajosa, considerando que o objeto possui especificações técnicas previamente definidas e padronizadas pela Administração. Tal critério assegura ampla competitividade entre os participantes, objetividade na seleção da proposta vencedora, economicidade na aplicação dos recursos públicos e observância aos princípios da eficiência e da isonomia. </w:t>
      </w:r>
    </w:p>
    <w:p w14:paraId="4C0AF3CB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6.6. Diante dessas características, conclui-se que a modalidade Concorrência, em sua forma eletrônica, com adoção do modo de disputa aberto, critério de </w:t>
      </w:r>
      <w:r>
        <w:rPr>
          <w:rFonts w:ascii="Verdana" w:eastAsia="Verdana" w:hAnsi="Verdana" w:cs="Verdana"/>
        </w:rPr>
        <w:lastRenderedPageBreak/>
        <w:t xml:space="preserve">julgamento pelo menor preço global e regime de execução por empreitada por preço global, constitui a solução mais adequada para a contratação pretendida, proporcionando segurança jurídica, eficiência administrativa, controle dos custos, transparência do procedimento licitatório e adequada execução da obra de provisão das 20 unidades habitacionais previstas no Termo de Compromisso nº 996083/2026 – Operação nº 1106050-88. </w:t>
      </w:r>
    </w:p>
    <w:p w14:paraId="5B379CEB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6.7. Ressalta-se, ainda, que a contratação possui natureza de execução por escopo, não caracterizando prestação de serviços continuados, razão pela qual sua duração está vinculada ao prazo necessário para a conclusão da obra, estimado em até 20 (vinte) meses de execução e 24 (vinte e quatro) meses de vigência contratual, incluindo as etapas de fiscalização, recebimento provisório e recebimento definitivo do objeto. </w:t>
      </w:r>
    </w:p>
    <w:p w14:paraId="7F8BCBF8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7. DOS REQUISITOS DA CONTRATAÇÃO </w:t>
      </w:r>
    </w:p>
    <w:p w14:paraId="311CD8D0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 Sustentabilidade em obras de engenharia</w:t>
      </w:r>
    </w:p>
    <w:p w14:paraId="3AB676CF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7.1.1. A contratação deverá observar os princípios do desenvolvimento nacional sustentável previstos na Lei nº 14.133/2021, promovendo a utilização racional dos recursos naturais, a mitigação dos impactos ambientais decorrentes da construção civil e a adoção de práticas que assegurem benefícios sociais, econômicos e ambientais ao longo do ciclo de vida do empreendimento.</w:t>
      </w:r>
    </w:p>
    <w:p w14:paraId="04F8B579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7.1.2. Considerando que o objeto consiste na provisão de 20 (vinte) unidades habitacionais no Município de Juti/MS, deverão ser observadas diretrizes que contribuam para a eficiência construtiva, redução de desperdícios, melhoria das condições de habitabilidade e utilização responsável dos recursos públicos e naturais. </w:t>
      </w:r>
    </w:p>
    <w:p w14:paraId="5456A75E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Especificações técnicas de sustentabilidade</w:t>
      </w:r>
    </w:p>
    <w:p w14:paraId="1B5F94C5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7.1.2.1. Ventilação e iluminação naturais</w:t>
      </w:r>
    </w:p>
    <w:p w14:paraId="3CDB1851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7.1.2.1.1. Design que maximiza a luz natural</w:t>
      </w:r>
    </w:p>
    <w:p w14:paraId="3C40B198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7.1.2.1.2. Promoção de ventilação adequada para reduzir o uso de sistemas artificiais</w:t>
      </w:r>
    </w:p>
    <w:p w14:paraId="18E9E9B7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7.1.2.2. Uso racional da água</w:t>
      </w:r>
    </w:p>
    <w:p w14:paraId="60B7CE9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7.1.2.2.1. Implementação de sistemas de reuso de água cinza</w:t>
      </w:r>
    </w:p>
    <w:p w14:paraId="067E8BF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7.1.2.2.2. Sistemas de captação de água de chuva</w:t>
      </w:r>
    </w:p>
    <w:p w14:paraId="3FCD6E22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7.1.2.3. Energia solar</w:t>
      </w:r>
    </w:p>
    <w:p w14:paraId="4706E68B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bookmarkStart w:id="2" w:name="_heading=h.qoh1aqralysi" w:colFirst="0" w:colLast="0"/>
      <w:bookmarkEnd w:id="2"/>
      <w:r>
        <w:rPr>
          <w:rFonts w:ascii="Verdana" w:eastAsia="Verdana" w:hAnsi="Verdana" w:cs="Verdana"/>
        </w:rPr>
        <w:t>7.1.2.3.1. Instalação de painéis fotovoltaicos em locais estratégicos</w:t>
      </w:r>
    </w:p>
    <w:p w14:paraId="6EC73451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7.1.2.4. Materiais de baixo impacto ambiental</w:t>
      </w:r>
    </w:p>
    <w:p w14:paraId="6B2EEEC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7.1.2.4.1. Seleção de materiais sustentáveis certificados</w:t>
      </w:r>
    </w:p>
    <w:p w14:paraId="028A282D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7.1.2.5. Gerenciamento de resíduos</w:t>
      </w:r>
    </w:p>
    <w:p w14:paraId="0933F388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7.1.2.5.1. Planos para redução, reutilização e reciclagem de resíduos de construção</w:t>
      </w:r>
    </w:p>
    <w:p w14:paraId="29127031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7.1.2.6. Redução da poluição</w:t>
      </w:r>
    </w:p>
    <w:p w14:paraId="4366D2B8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7.1.2.6.1. Práticas para minimizar a poluição durante construção e operação</w:t>
      </w:r>
    </w:p>
    <w:p w14:paraId="5AAEC003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7.1.2.7. Biodiversidade</w:t>
      </w:r>
    </w:p>
    <w:p w14:paraId="7D09091B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7.1.2.7.1. Proteção e promoção da biodiversidade no local da obra</w:t>
      </w:r>
    </w:p>
    <w:p w14:paraId="5EAF3EBA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7.2. Subcontratação</w:t>
      </w:r>
    </w:p>
    <w:p w14:paraId="04065165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7.2.1. </w:t>
      </w:r>
      <w:r>
        <w:rPr>
          <w:rFonts w:ascii="Verdana" w:eastAsia="Verdana" w:hAnsi="Verdana" w:cs="Verdana"/>
          <w:b/>
          <w:bCs/>
        </w:rPr>
        <w:t>Proibição e permissões</w:t>
      </w:r>
      <w:r>
        <w:rPr>
          <w:rFonts w:ascii="Verdana" w:eastAsia="Verdana" w:hAnsi="Verdana" w:cs="Verdana"/>
        </w:rPr>
        <w:t>:</w:t>
      </w:r>
    </w:p>
    <w:p w14:paraId="016D51C8" w14:textId="77777777" w:rsidR="00216E34" w:rsidRDefault="00174E3A">
      <w:pPr>
        <w:spacing w:after="120"/>
        <w:jc w:val="both"/>
        <w:rPr>
          <w:rFonts w:ascii="Verdana" w:eastAsia="Verdana" w:hAnsi="Verdana" w:cs="Verdana"/>
        </w:rPr>
      </w:pPr>
      <w:sdt>
        <w:sdtPr>
          <w:tag w:val="goog_rdk_0"/>
          <w:id w:val="418660707"/>
        </w:sdtPr>
        <w:sdtEndPr/>
        <w:sdtContent>
          <w:r w:rsidR="00902DCC">
            <w:rPr>
              <w:rFonts w:ascii="Arial Unicode MS" w:eastAsia="Arial Unicode MS" w:hAnsi="Arial Unicode MS" w:cs="Arial Unicode MS"/>
            </w:rPr>
            <w:t xml:space="preserve">●       </w:t>
          </w:r>
        </w:sdtContent>
      </w:sdt>
      <w:r w:rsidR="00902DCC">
        <w:rPr>
          <w:rFonts w:ascii="Verdana" w:eastAsia="Verdana" w:hAnsi="Verdana" w:cs="Verdana"/>
          <w:b/>
          <w:bCs/>
        </w:rPr>
        <w:t>Proibição total</w:t>
      </w:r>
      <w:r w:rsidR="00902DCC">
        <w:rPr>
          <w:rFonts w:ascii="Verdana" w:eastAsia="Verdana" w:hAnsi="Verdana" w:cs="Verdana"/>
        </w:rPr>
        <w:t>: Não é admitida a subcontratação do objeto contratual</w:t>
      </w:r>
    </w:p>
    <w:p w14:paraId="59E72113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  <w:b/>
          <w:bCs/>
          <w:u w:val="single"/>
        </w:rPr>
      </w:pPr>
      <w:bookmarkStart w:id="3" w:name="_heading=h.m8dgqiwxbvq9" w:colFirst="0" w:colLast="0"/>
      <w:bookmarkEnd w:id="3"/>
      <w:r>
        <w:rPr>
          <w:rFonts w:ascii="Verdana" w:eastAsia="Verdana" w:hAnsi="Verdana" w:cs="Verdana"/>
          <w:b/>
          <w:bCs/>
        </w:rPr>
        <w:t>7.3. Garantia da contratação</w:t>
      </w:r>
    </w:p>
    <w:p w14:paraId="12ECB152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7.3.1. Será exigida a garantia da contratação de que tratam os </w:t>
      </w:r>
      <w:proofErr w:type="spellStart"/>
      <w:r>
        <w:rPr>
          <w:rFonts w:ascii="Verdana" w:eastAsia="Verdana" w:hAnsi="Verdana" w:cs="Verdana"/>
        </w:rPr>
        <w:t>arts</w:t>
      </w:r>
      <w:proofErr w:type="spellEnd"/>
      <w:r>
        <w:rPr>
          <w:rFonts w:ascii="Verdana" w:eastAsia="Verdana" w:hAnsi="Verdana" w:cs="Verdana"/>
        </w:rPr>
        <w:t>. 96 e seguintes da Lei n. 14.133, de 2021, no percentual 5%</w:t>
      </w:r>
      <w:r>
        <w:t xml:space="preserve"> </w:t>
      </w:r>
      <w:r>
        <w:rPr>
          <w:rFonts w:ascii="Verdana" w:eastAsia="Verdana" w:hAnsi="Verdana" w:cs="Verdana"/>
        </w:rPr>
        <w:t>e condições descritas nas cláusulas do contrato.</w:t>
      </w:r>
    </w:p>
    <w:p w14:paraId="1D5B4672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7.3.1. No caso de opção pelo seguro-garantia, a parte adjudicatária deverá apresentá-lo, no máximo, até a data de assinatura do contrato. </w:t>
      </w:r>
    </w:p>
    <w:p w14:paraId="51AA4AF8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7.3.2. A garantia, nas modalidades caução e fiança bancária, deverá ser prestada em até 10 (dez) dias úteis após a assinatura do contrato.</w:t>
      </w:r>
    </w:p>
    <w:p w14:paraId="0D0AF7D8" w14:textId="77777777" w:rsidR="00216E34" w:rsidRDefault="00902DCC">
      <w:pPr>
        <w:spacing w:line="36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7.3.3. O contrato oferece maior detalhamento das regras que serão aplicadas em relação à garantia da contratação.</w:t>
      </w:r>
    </w:p>
    <w:p w14:paraId="78D2D496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7.4 Vistoria</w:t>
      </w:r>
    </w:p>
    <w:p w14:paraId="4B326465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7.4.1. A avaliação prévia do local de execução dos serviços é imprescindível para o conhecimento pleno das condições e peculiaridades do objeto a ser contratado, sendo assegurado ao interessado o direito de realização de vistoria prévia, acompanhado por servidor designado para esse fim, de segunda à sexta-feira, das 8:00 horas às 16:00 horas.  </w:t>
      </w:r>
    </w:p>
    <w:p w14:paraId="674251BA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 xml:space="preserve">7.4.2. Serão disponibilizados data e horário diferentes aos interessados em realizar a vistoria prévia, a qual poderá ser agendada através do e-mail planejamento.juti@gmail.com. </w:t>
      </w:r>
    </w:p>
    <w:p w14:paraId="76464102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7.4.3. Para a vistoria, o representante legal da empresa ou responsável técnico deverá estar devidamente identificado, apresentando documento de identidade civil e documento expedido pela empresa, comprovando sua habilitação para a realização da vistoria. </w:t>
      </w:r>
    </w:p>
    <w:p w14:paraId="0038CDE9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5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7.4.4.</w:t>
      </w:r>
      <w:r>
        <w:rPr>
          <w:rFonts w:ascii="Verdana" w:eastAsia="Verdana" w:hAnsi="Verdana" w:cs="Verdana"/>
        </w:rPr>
        <w:tab/>
        <w:t>Caso o licitante opte por não realizar a vistoria, deverá prestar declaração formal assinada pelo responsável técnico do licitante acerca do conhecimento pleno das condições e peculiaridades da contratação.</w:t>
      </w:r>
    </w:p>
    <w:p w14:paraId="1E401194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5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7.4.5.</w:t>
      </w:r>
      <w:r>
        <w:rPr>
          <w:rFonts w:ascii="Verdana" w:eastAsia="Verdana" w:hAnsi="Verdana" w:cs="Verdana"/>
        </w:rPr>
        <w:tab/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1AEF1B82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7.5.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b/>
          <w:bCs/>
        </w:rPr>
        <w:t>Padrões mínimos de qualidade</w:t>
      </w:r>
    </w:p>
    <w:p w14:paraId="61FF09B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7.5.1. Os materiais a serem aplicados devem estar de acordo com as determinações dos projetos, dos memoriais descritivos e das especificações técnicas contidas nos anexos, a serem atendidas pela contratada. Assim, deverão ser de primeira qualidade, isentos de quaisquer defeitos de fabricação, transporte ou manuseio inadequados, produzidos de modo a atender integralmente no que lhes couber as especificações da ABNT, dos projetos e anexos, respondendo às exigências citadas nas normas sanitárias em relação às especificidades que dizem respeito à mitigação do risco sanitário e demais riscos pertinentes a um estabelecimento residencial.</w:t>
      </w:r>
    </w:p>
    <w:p w14:paraId="10239F6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7.5.2. A substituição de materiais especificados por similares só poderá ser realizada mediante justificativa e autorização prévia expressa pelos responsáveis pelo gerenciamento e fiscalização da obra, que poderão exigir a troca, quando houver dúvidas quanto à qualidade ou similaridade.</w:t>
      </w:r>
    </w:p>
    <w:p w14:paraId="41A5D1B5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7.5.3. Os critérios, tipos de materiais e serviços a serem executados, bem como as normas para a execução, serão claramente especificados nos memoriais descritivos e nos projetos de engenharia, elaborados por profissional habilitado.</w:t>
      </w:r>
    </w:p>
    <w:p w14:paraId="116AF090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bookmarkStart w:id="4" w:name="_heading=h.qe0jamw37p00" w:colFirst="0" w:colLast="0"/>
      <w:bookmarkEnd w:id="4"/>
      <w:r>
        <w:rPr>
          <w:rFonts w:ascii="Verdana" w:eastAsia="Verdana" w:hAnsi="Verdana" w:cs="Verdana"/>
          <w:b/>
          <w:bCs/>
        </w:rPr>
        <w:t>7.6. Enquadramento do objeto como bem de luxo</w:t>
      </w:r>
    </w:p>
    <w:p w14:paraId="4E9B75B1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 xml:space="preserve">7.6.1 O artigo 20 da Lei n. 14.133/2021 proíbe a aquisição de artigos de luxo para suprir as demandas da Administração Pública, determinando que os itens devem ter qualidade comum. O Decreto nº 10.818/2021 específica que bens de consumo adquiridos pela Administração Pública Federal devem ter baixa ou moderada </w:t>
      </w:r>
      <w:r>
        <w:rPr>
          <w:rFonts w:ascii="Verdana" w:eastAsia="Verdana" w:hAnsi="Verdana" w:cs="Verdana"/>
        </w:rPr>
        <w:lastRenderedPageBreak/>
        <w:t>elasticidade-renda da demanda. No entanto, o objeto em questão trata-se de serviços de obras e engenharia, classificados como investimentos e não como bens de consumo. Esses serviços são considerados ativos duráveis com vida útil estendida e essenciais para a entrega de serviços públicos, portanto, o teor do Decreto nº 10.818/2021 não se aplica a eles. Além disso,</w:t>
      </w:r>
      <w:r>
        <w:rPr>
          <w:rFonts w:ascii="Verdana" w:eastAsia="Verdana" w:hAnsi="Verdana" w:cs="Verdana"/>
          <w:b/>
          <w:bCs/>
        </w:rPr>
        <w:t xml:space="preserve"> tais serviços não possuem características de ostentação ou requinte mencionadas no Decreto.</w:t>
      </w:r>
    </w:p>
    <w:p w14:paraId="3CFED5AD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7.7. Requisitos gerais</w:t>
      </w:r>
    </w:p>
    <w:p w14:paraId="1758278A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7.7.1. A obra será executada conforme o estabelecido no edital e seus respectivos anexos, nas quantidades especificadas na planilha orçamentária anexada ao Edital, devidamente aprovados pela Prefeitura Municipal de Juti/MS.</w:t>
      </w:r>
    </w:p>
    <w:p w14:paraId="2BF19CD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7.7.2 A empresa contratada será responsável por fornecer e instalar todos os materiais e equipamentos especificados na planilha orçamentária e nos memoriais descritivos, garantindo a correta adequação desses itens à obra. Esta medida visa evitar que instalações futuras comprometam a obra concluída, prevenindo danos e prejuízos aos serviços já executados.</w:t>
      </w:r>
    </w:p>
    <w:p w14:paraId="6F1BD247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7.7.3 Todos os serviços deverão ser realizados em estrita conformidade com os princípios de boa prática técnica e atender, rigorosamente, às normas brasileiras aplicáveis à construção civil. Em caso de divergências na interpretação dos documentos fornecidos, será adotada a seguinte ordem de prioridade:</w:t>
      </w:r>
    </w:p>
    <w:p w14:paraId="195EE1A3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7.7.3.1. Em caso de divergências entre a especificação da planilha orçamentária e os desenhos/projetos fornecidos, a Prefeitura Municipal de Juti/MS deverá ser consultada.</w:t>
      </w:r>
    </w:p>
    <w:p w14:paraId="6802D6CC" w14:textId="77777777" w:rsidR="00216E34" w:rsidRDefault="00902DCC">
      <w:pPr>
        <w:spacing w:after="120"/>
        <w:jc w:val="both"/>
        <w:rPr>
          <w:rFonts w:ascii="Verdana" w:eastAsia="Verdana" w:hAnsi="Verdana" w:cs="Verdana"/>
          <w:color w:val="444746"/>
        </w:rPr>
      </w:pPr>
      <w:r>
        <w:rPr>
          <w:rFonts w:ascii="Verdana" w:eastAsia="Verdana" w:hAnsi="Verdana" w:cs="Verdana"/>
        </w:rPr>
        <w:t>7.7.3.2. Em caso de divergência entre projetos com datas diferentes, prevalecerá o mais recente</w:t>
      </w:r>
      <w:r>
        <w:rPr>
          <w:rFonts w:ascii="Verdana" w:eastAsia="Verdana" w:hAnsi="Verdana" w:cs="Verdana"/>
          <w:color w:val="444746"/>
        </w:rPr>
        <w:t>.</w:t>
      </w:r>
    </w:p>
    <w:p w14:paraId="4FF72CD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7.7.3.3. Em caso de divergências no projeto, como entre as cotas dos desenhos e a representação gráfica em escala, a Prefeitura Municipal de Juti/MS deverá ser consultada.</w:t>
      </w:r>
    </w:p>
    <w:p w14:paraId="58813BE8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7.7.4. A contratante, Prefeitura de Juti/MS, designará engenheiros, arquitetos e seus prepostos para acompanhar e fiscalizar as obras.</w:t>
      </w:r>
    </w:p>
    <w:p w14:paraId="70E40566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bookmarkStart w:id="5" w:name="_heading=h.6jprl95w7qn9" w:colFirst="0" w:colLast="0"/>
      <w:bookmarkEnd w:id="5"/>
      <w:r>
        <w:rPr>
          <w:rFonts w:ascii="Verdana" w:eastAsia="Verdana" w:hAnsi="Verdana" w:cs="Verdana"/>
          <w:b/>
          <w:bCs/>
        </w:rPr>
        <w:t>7.8. Participação de consórcio</w:t>
      </w:r>
    </w:p>
    <w:p w14:paraId="76B01D4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bookmarkStart w:id="6" w:name="_heading=h.ayoqhhv51ce2" w:colFirst="0" w:colLast="0"/>
      <w:bookmarkEnd w:id="6"/>
      <w:r>
        <w:rPr>
          <w:rFonts w:ascii="Verdana" w:eastAsia="Verdana" w:hAnsi="Verdana" w:cs="Verdana"/>
        </w:rPr>
        <w:t xml:space="preserve">7.8.1. Esta licitação </w:t>
      </w:r>
      <w:r>
        <w:rPr>
          <w:rFonts w:ascii="Verdana" w:eastAsia="Verdana" w:hAnsi="Verdana" w:cs="Verdana"/>
          <w:b/>
          <w:bCs/>
        </w:rPr>
        <w:t>não</w:t>
      </w:r>
      <w:r>
        <w:rPr>
          <w:rFonts w:ascii="Verdana" w:eastAsia="Verdana" w:hAnsi="Verdana" w:cs="Verdana"/>
        </w:rPr>
        <w:t xml:space="preserve"> permitirá a formação de consórcios, uma medida considerada excepcional e que, conforme o art. 15, caput, da Lei nº 14.133/2021, requer justificativa técnica. A decisão se baseia na discricionariedade da Administração Pública e na avaliação do objeto licitado, que não apresenta a escala ou a complexidade que justificariam a atuação conjunta de empresas. Como </w:t>
      </w:r>
      <w:r>
        <w:rPr>
          <w:rFonts w:ascii="Verdana" w:eastAsia="Verdana" w:hAnsi="Verdana" w:cs="Verdana"/>
        </w:rPr>
        <w:lastRenderedPageBreak/>
        <w:t xml:space="preserve">aponta Marçal </w:t>
      </w:r>
      <w:proofErr w:type="spellStart"/>
      <w:r>
        <w:rPr>
          <w:rFonts w:ascii="Verdana" w:eastAsia="Verdana" w:hAnsi="Verdana" w:cs="Verdana"/>
        </w:rPr>
        <w:t>Justen</w:t>
      </w:r>
      <w:proofErr w:type="spellEnd"/>
      <w:r>
        <w:rPr>
          <w:rFonts w:ascii="Verdana" w:eastAsia="Verdana" w:hAnsi="Verdana" w:cs="Verdana"/>
        </w:rPr>
        <w:t xml:space="preserve"> Filho, consórcios não são incentivados pelo direito brasileiro devido ao risco de práticas anticompetitivas e à redução da concorrência.  </w:t>
      </w:r>
    </w:p>
    <w:p w14:paraId="5D5F228D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bookmarkStart w:id="7" w:name="_heading=h.m14wui4gdddp" w:colFirst="0" w:colLast="0"/>
      <w:bookmarkEnd w:id="7"/>
      <w:r>
        <w:rPr>
          <w:rFonts w:ascii="Verdana" w:eastAsia="Verdana" w:hAnsi="Verdana" w:cs="Verdana"/>
        </w:rPr>
        <w:t>7.8.2. A restrição visa garantir a qualidade dos serviços, considerando que o objeto da licitação, referente a serviços e obras de engenharia, não exige qualificações distintas que justifiquem a formação de consórcios. Embora a Nova Lei de Licitações (Lei nº 14.133/2021) permita consórcios como regra geral, é comum que a Administração Pública os autorize apenas quando o porte ou a complexidade do objeto requeira tal associação, o que não é o caso. Dessa forma, a vedação busca preservar a isonomia entre os participantes e assegurar um processo licitatório mais justo e competitivo.</w:t>
      </w:r>
    </w:p>
    <w:p w14:paraId="25BD5045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7.9. Justificativa para NÃO Participação de cooperativas</w:t>
      </w:r>
    </w:p>
    <w:p w14:paraId="6ABD20C2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7.9.1. NÃO SERÁ POSSÍVEL A PARTICIPAÇÃO DE COOPERATIVAS DE TRABALHO, justifica-se tal posicionamento, tendo em vista que a pretensa contratação requer empresa que apresente estrutura, histórico e capacidade de oferecer serviço compatível com o objeto. Além disso, a contratação de cooperativas poderá dificultar os cumprimentos integrais de obrigações trabalhistas e previdenciárias, transferindo à Administração esta responsabilidade, não sendo este o objetivo da terceirização. Por fim, é válido mencionar que a contratação de cooperativas poderá dificultar a execução do objeto pretendido, uma vez que todos os cooperados precisarão assinar e anuir a todos os procedimentos, como contratos, aditivos e pagamentos.</w:t>
      </w:r>
    </w:p>
    <w:p w14:paraId="749EAD6E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75"/>
          <w:tab w:val="left" w:pos="1230"/>
          <w:tab w:val="left" w:pos="1545"/>
          <w:tab w:val="left" w:pos="1800"/>
          <w:tab w:val="left" w:pos="691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8. DA DESCRIÇÃO DA SOLUÇÃO COMO UM TODO</w:t>
      </w:r>
    </w:p>
    <w:p w14:paraId="067057F0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>8.1. A solução como um todo consiste na contratação de empresa especializada para a prestação de serviços de engenharia visando à realização de obra para a</w:t>
      </w:r>
      <w:r>
        <w:rPr>
          <w:rFonts w:ascii="Verdana" w:eastAsia="Verdana" w:hAnsi="Verdana" w:cs="Verdana"/>
          <w:b/>
          <w:bCs/>
        </w:rPr>
        <w:t xml:space="preserve"> PROVISÃO DE UNIDADES HABITACIONAIS NO MUNICÍPIO DE JUTI/MS</w:t>
      </w:r>
      <w:r>
        <w:rPr>
          <w:rFonts w:ascii="Verdana" w:eastAsia="Verdana" w:hAnsi="Verdana" w:cs="Verdana"/>
        </w:rPr>
        <w:t xml:space="preserve">, sendo no total 20 unidades, conforme </w:t>
      </w:r>
      <w:r>
        <w:rPr>
          <w:rFonts w:ascii="Verdana" w:eastAsia="Verdana" w:hAnsi="Verdana" w:cs="Verdana"/>
          <w:b/>
          <w:bCs/>
        </w:rPr>
        <w:t>projeto executivo</w:t>
      </w:r>
      <w:r>
        <w:rPr>
          <w:rFonts w:ascii="Verdana" w:eastAsia="Verdana" w:hAnsi="Verdana" w:cs="Verdana"/>
        </w:rPr>
        <w:t xml:space="preserve">; por meio de licitação na modalidade </w:t>
      </w:r>
      <w:r>
        <w:rPr>
          <w:rFonts w:ascii="Verdana" w:eastAsia="Verdana" w:hAnsi="Verdana" w:cs="Verdana"/>
          <w:b/>
          <w:bCs/>
        </w:rPr>
        <w:t>Concorrência Eletrônica</w:t>
      </w:r>
      <w:r>
        <w:rPr>
          <w:rFonts w:ascii="Verdana" w:eastAsia="Verdana" w:hAnsi="Verdana" w:cs="Verdana"/>
        </w:rPr>
        <w:t xml:space="preserve">, a ser executada em regime de </w:t>
      </w:r>
      <w:r>
        <w:rPr>
          <w:rFonts w:ascii="Verdana" w:eastAsia="Verdana" w:hAnsi="Verdana" w:cs="Verdana"/>
          <w:b/>
          <w:bCs/>
        </w:rPr>
        <w:t>Empreitada Global, conforme requisitos e diretrizes estabelecidos neste ETP e a serem estabelecidos no Termo de Referência.</w:t>
      </w:r>
    </w:p>
    <w:p w14:paraId="1EEA5926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8.2. A obra será executada conforme projetos técnicos previamente elaborados ou complementados pela contratada, respeitando o cronograma físico-financeiro pactuado e os parâmetros de qualidade e segurança exigidos para obras públicas.</w:t>
      </w:r>
    </w:p>
    <w:p w14:paraId="1F6ABACF" w14:textId="77777777" w:rsidR="00216E34" w:rsidRDefault="00902DCC">
      <w:pPr>
        <w:spacing w:after="120"/>
        <w:jc w:val="both"/>
        <w:rPr>
          <w:rFonts w:ascii="Verdana" w:eastAsia="Verdana" w:hAnsi="Verdana" w:cs="Verdana"/>
          <w:color w:val="FF0000"/>
        </w:rPr>
      </w:pPr>
      <w:r>
        <w:rPr>
          <w:rFonts w:ascii="Verdana" w:eastAsia="Verdana" w:hAnsi="Verdana" w:cs="Verdana"/>
        </w:rPr>
        <w:t xml:space="preserve">8.4. </w:t>
      </w:r>
      <w:r>
        <w:rPr>
          <w:rFonts w:ascii="Verdana" w:eastAsia="Verdana" w:hAnsi="Verdana" w:cs="Verdana"/>
          <w:b/>
          <w:bCs/>
        </w:rPr>
        <w:t>Definição da localidade</w:t>
      </w:r>
      <w:r>
        <w:rPr>
          <w:rFonts w:ascii="Verdana" w:eastAsia="Verdana" w:hAnsi="Verdana" w:cs="Verdana"/>
        </w:rPr>
        <w:t>: A obra será realizada em diversas ruas e avenidas de Juti/MS, conforme projeto.</w:t>
      </w:r>
    </w:p>
    <w:p w14:paraId="5C8D4CEC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8.5. </w:t>
      </w:r>
      <w:r>
        <w:rPr>
          <w:rFonts w:ascii="Verdana" w:eastAsia="Verdana" w:hAnsi="Verdana" w:cs="Verdana"/>
          <w:b/>
          <w:bCs/>
        </w:rPr>
        <w:t>Data de execução</w:t>
      </w:r>
      <w:r>
        <w:rPr>
          <w:rFonts w:ascii="Verdana" w:eastAsia="Verdana" w:hAnsi="Verdana" w:cs="Verdana"/>
        </w:rPr>
        <w:t xml:space="preserve">: O prazo de execução do contrato é de 20 meses, para execução contratual e 24 meses para vigência do contrato. </w:t>
      </w:r>
    </w:p>
    <w:p w14:paraId="33CCDCA4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lastRenderedPageBreak/>
        <w:t xml:space="preserve">9. DA JUSTIFICATIVA PARA O PARCELAMENTO OU NÃO DA CONTRATAÇÃO </w:t>
      </w:r>
    </w:p>
    <w:p w14:paraId="5539506D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9.1 De acordo com o artigo 40, § 3º, da Lei n. 14.133/2021, o parcelamento do objeto em uma licitação só deve ser evitado quando certas condições estratégicas ou técnicas assim o justificarem, como economia de escala significativa ou a integridade de sistemas técnicos que poderiam ser comprometidos pela divisão.</w:t>
      </w:r>
    </w:p>
    <w:p w14:paraId="12CF3F11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9.2. Para o projeto de PROVISÃO DE UNIDADES HABITACIONAIS NO MUNICÍPIO DE JUTI, a análise técnica sugere que o parcelamento pode resultar em complexidade adicional e potencial comprometimento da integridade dos sistemas envolvidos. Os riscos associados à divisão do projeto podem superar os benefícios da competição ampliada devido às exigências técnicas específicas e interdependências entre as tarefas.</w:t>
      </w:r>
    </w:p>
    <w:p w14:paraId="33B31E02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9.3. Considerando o caráter integrado e a complexidade do projeto, a decisão é pela</w:t>
      </w:r>
      <w:r>
        <w:rPr>
          <w:rFonts w:ascii="Verdana" w:eastAsia="Verdana" w:hAnsi="Verdana" w:cs="Verdana"/>
          <w:b/>
          <w:bCs/>
        </w:rPr>
        <w:t xml:space="preserve"> NÃO ADOÇÃO DO PARCELAMENTO</w:t>
      </w:r>
      <w:r>
        <w:rPr>
          <w:rFonts w:ascii="Verdana" w:eastAsia="Verdana" w:hAnsi="Verdana" w:cs="Verdana"/>
        </w:rPr>
        <w:t>. A justificativa baseia-se no potencial risco técnico e operacional que tal divisão implicaria, além de potencialmente elevar os custos de gestão e supervisão do contrato. Optou-se por manter o projeto como um contrato único para garantir a coerência na execução e a qualidade do resultado.</w:t>
      </w:r>
    </w:p>
    <w:p w14:paraId="7992FA5B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9.4. Esta decisão alinha-se aos preceitos do Artigo 40, § 3º, da Lei n. 14.133/2021, garantindo que a gestão do contrato permaneça eficaz e que os objetivos de qualidade e integridade do projeto sejam mantidos. A opção por não parcelar o objeto reflete uma abordagem cautelosa, que valoriza a entrega de uma infraestrutura de saúde robusta e durável para a comunidade.</w:t>
      </w:r>
    </w:p>
    <w:p w14:paraId="169B67C7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10. DO DEMONSTRATIVO DE RESULTADOS PRETENDIDOS</w:t>
      </w:r>
    </w:p>
    <w:p w14:paraId="62E8F45D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10.1. </w:t>
      </w:r>
      <w:r>
        <w:rPr>
          <w:rFonts w:ascii="Verdana" w:eastAsia="Verdana" w:hAnsi="Verdana" w:cs="Verdana"/>
        </w:rPr>
        <w:t>A Provisão de Unidades Habitacionais no Município de Juti por meio da contratação de uma empresa de construção civil, visa alcançar resultados tangíveis e impactantes que se traduzem diretamente em melhorias na qualidade de vida da população, permitirá a diminuição do déficit habitacional existente no Município de Juti/MS, mediante a oferta de unidades habitacionais destinadas ao atendimento de famílias em situação de vulnerabilidade social, promovendo acesso à moradia adequada e contribuindo para a melhoria das condições habitacionais da população.</w:t>
      </w:r>
    </w:p>
    <w:p w14:paraId="1DF38108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10.2. Promoção da Dignidade e Segurança Habitacional</w:t>
      </w:r>
    </w:p>
    <w:p w14:paraId="21A9E34E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10.2.1. </w:t>
      </w:r>
      <w:r>
        <w:rPr>
          <w:rFonts w:ascii="Verdana" w:eastAsia="Verdana" w:hAnsi="Verdana" w:cs="Verdana"/>
        </w:rPr>
        <w:t>A disponibilização de moradias adequadas proporcionará melhores condições de segurança, salubridade, conforto e estabilidade às famílias beneficiadas, assegurando o atendimento ao direito social à moradia e promovendo a dignidade da pessoa humana.</w:t>
      </w:r>
    </w:p>
    <w:p w14:paraId="0D81E12F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lastRenderedPageBreak/>
        <w:t>10.3. Atendimento à Demanda Social Identificada</w:t>
      </w:r>
    </w:p>
    <w:p w14:paraId="4AA8843E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10.3.1. </w:t>
      </w:r>
      <w:r>
        <w:rPr>
          <w:rFonts w:ascii="Verdana" w:eastAsia="Verdana" w:hAnsi="Verdana" w:cs="Verdana"/>
        </w:rPr>
        <w:t>A contratação possibilitará resposta efetiva à demanda habitacional previamente identificada pela Administração Pública, permitindo o atendimento organizado, planejado e transparente das famílias que se enquadrem nos critérios estabelecidos pelos programas habitacionais municipais.</w:t>
      </w:r>
    </w:p>
    <w:p w14:paraId="3DE612E5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10.4. Fortalecimento da Política Pública Habitacional</w:t>
      </w:r>
    </w:p>
    <w:p w14:paraId="3E6FA2E6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 xml:space="preserve">10.4.1. </w:t>
      </w:r>
      <w:r>
        <w:rPr>
          <w:rFonts w:ascii="Verdana" w:eastAsia="Verdana" w:hAnsi="Verdana" w:cs="Verdana"/>
        </w:rPr>
        <w:t>A execução do objeto contribuirá para o fortalecimento da política pública de habitação no âmbito municipal, ampliando a capacidade administrativa de enfrentamento das demandas sociais relacionadas à moradia e consolidando ações estruturantes de desenvolvimento social.</w:t>
      </w:r>
    </w:p>
    <w:p w14:paraId="5BC924E0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10.5. Redução de Situações de Vulnerabilidade Social</w:t>
      </w:r>
    </w:p>
    <w:p w14:paraId="4E987E9D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10.5.1. </w:t>
      </w:r>
      <w:r>
        <w:rPr>
          <w:rFonts w:ascii="Verdana" w:eastAsia="Verdana" w:hAnsi="Verdana" w:cs="Verdana"/>
        </w:rPr>
        <w:t>A provisão das unidades habitacionais contribuirá para a mitigação de situações de vulnerabilidade decorrentes da precariedade habitacional, reduzindo riscos sociais, sanitários e estruturais enfrentados por famílias residentes em condições inadequadas de moradia.</w:t>
      </w:r>
    </w:p>
    <w:p w14:paraId="4B3E33B0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10.6. Desenvolvimento Urbano Planejado e Ordenado</w:t>
      </w:r>
    </w:p>
    <w:p w14:paraId="2C51BAEF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 xml:space="preserve">10.6.1. </w:t>
      </w:r>
      <w:r>
        <w:rPr>
          <w:rFonts w:ascii="Verdana" w:eastAsia="Verdana" w:hAnsi="Verdana" w:cs="Verdana"/>
        </w:rPr>
        <w:t>A implantação das unidades habitacionais favorecerá a ocupação urbana planejada, promovendo melhor organização territorial, adequação da infraestrutura local e alinhamento com as diretrizes de desenvolvimento urbano sustentável do Município.</w:t>
      </w:r>
    </w:p>
    <w:p w14:paraId="567D2E0D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10.7. Os resultados pretendidos demonstram que a contratação constitui medida necessária e estratégica para o enfrentamento da demanda habitacional do Município de Juti/MS, promovendo benefícios sociais relevantes, desenvolvimento urbano ordenado e efetividade na implementação das políticas públicas voltadas à garantia do direito à moradia digna.</w:t>
      </w:r>
    </w:p>
    <w:p w14:paraId="1B5C90A7" w14:textId="77777777" w:rsidR="00216E34" w:rsidRDefault="00216E34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</w:p>
    <w:p w14:paraId="492607AC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11. DAS PROVIDÊNCIAS A SEREM ADOTADAS PELA ADMINISTRAÇÃO</w:t>
      </w:r>
    </w:p>
    <w:p w14:paraId="53012361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11.1. Não se aplica.</w:t>
      </w:r>
    </w:p>
    <w:p w14:paraId="6DB72E88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12. CONTRATAÇÕES CORRELATAS E/OU INTERDEPENDENTES </w:t>
      </w:r>
    </w:p>
    <w:p w14:paraId="2780FFA2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12.1. Contratações correlatas: considerando a necessidade de complementaridade ao objeto principal deste contrato, a Administração Pública poderá realizar contratações correlatas, especificamente a aquisição de equipamentos urbanos para o pleno funcionamento do objeto principal, que, embora não essenciais para a funcionalidade do objeto a ser contratado por este estudo (Construção), são </w:t>
      </w:r>
      <w:r>
        <w:rPr>
          <w:rFonts w:ascii="Verdana" w:eastAsia="Verdana" w:hAnsi="Verdana" w:cs="Verdana"/>
        </w:rPr>
        <w:lastRenderedPageBreak/>
        <w:t>fundamentais para otimizar o desempenho e a eficácia dos serviços que serão prestados na unidade.</w:t>
      </w:r>
    </w:p>
    <w:p w14:paraId="1ADBB6CE" w14:textId="77777777" w:rsidR="00216E34" w:rsidRDefault="00902DCC">
      <w:pPr>
        <w:tabs>
          <w:tab w:val="left" w:pos="1276"/>
        </w:tabs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 DOS IMPACTOS AMBIENTAIS E RESPECTIVAS MEDIDAS MITIGADORAS</w:t>
      </w:r>
    </w:p>
    <w:p w14:paraId="7A00C537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13.1. A construção de qualquer edificação, mesmo que para fins sociais, naturalmente gera impactos ambientais. No entanto, é possível e crucial minimizar esses impactos através de planejamento e adoção de medidas mitigadoras eficazes. Para a Provisão de Unidades Habitacionais no Município de Juti, os principais impactos ambientais e suas respectivas medidas mitigadoras a serem consideradas são:</w:t>
      </w:r>
    </w:p>
    <w:p w14:paraId="0A9ABAA8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13.2. Geração de Resíduos da Construção Civil (RCC)</w:t>
      </w:r>
    </w:p>
    <w:p w14:paraId="6CF77341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13.2.1. A terraplanagem e a construção geram uma quantidade significativa de entulhos e resíduos.</w:t>
      </w:r>
    </w:p>
    <w:p w14:paraId="6C0D759A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Impacto:</w:t>
      </w:r>
    </w:p>
    <w:p w14:paraId="5B6591D9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Aumento do volume de lixo em aterros sanitários ou locais inadequados.</w:t>
      </w:r>
    </w:p>
    <w:p w14:paraId="62992A3D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Poluição visual e potencial contaminação do solo e da água se não descartados corretamente.</w:t>
      </w:r>
    </w:p>
    <w:p w14:paraId="28F66265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Consumo de recursos naturais para novos materiais.</w:t>
      </w:r>
    </w:p>
    <w:p w14:paraId="0F297651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Medidas Mitigadoras:</w:t>
      </w:r>
    </w:p>
    <w:p w14:paraId="44ACA8B0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Plano de Gerenciamento de Resíduos da Construção Civil (PGRCC): </w:t>
      </w:r>
      <w:r>
        <w:rPr>
          <w:rFonts w:ascii="Verdana" w:eastAsia="Verdana" w:hAnsi="Verdana" w:cs="Verdana"/>
          <w:b/>
          <w:bCs/>
          <w:color w:val="000000"/>
        </w:rPr>
        <w:t>Obrigatório</w:t>
      </w:r>
      <w:r>
        <w:rPr>
          <w:rFonts w:ascii="Verdana" w:eastAsia="Verdana" w:hAnsi="Verdana" w:cs="Verdana"/>
          <w:color w:val="000000"/>
        </w:rPr>
        <w:t xml:space="preserve"> por lei, deve ser elaborado e seguido rigorosamente, detalhando a segregação, o armazenamento temporário, a reutilização, a reciclagem e o descarte adequado dos resíduos.</w:t>
      </w:r>
    </w:p>
    <w:p w14:paraId="2ED048AC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Reutilização e Reciclagem: Priorizar a separação de materiais como concreto, tijolos, madeira, metais e plásticos para reciclagem ou reutilização em outras obras.</w:t>
      </w:r>
    </w:p>
    <w:p w14:paraId="0780B512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Destinação Correta: Contratar empresas licenciadas para o transporte e descarte em aterros de resíduos da construção civil ou usinas de reciclagem.</w:t>
      </w:r>
    </w:p>
    <w:p w14:paraId="6FAF2B0F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Minimização na Fonte: Otimizar o projeto para reduzir o desperdício de materiais.</w:t>
      </w:r>
    </w:p>
    <w:p w14:paraId="2E13CF25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13.3. Consumo de Recursos Naturais (Água, Energia, Matéria-Prima)</w:t>
      </w:r>
    </w:p>
    <w:p w14:paraId="48FE791C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13.3.1. A obra demanda o uso de grandes volumes de água, energia elétrica e matéria-prima (cimento, areia, brita, ferro, madeira).</w:t>
      </w:r>
    </w:p>
    <w:p w14:paraId="657909A0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Impacto:</w:t>
      </w:r>
    </w:p>
    <w:p w14:paraId="6F7332E3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Esgotamento de recursos hídricos e energéticos.</w:t>
      </w:r>
    </w:p>
    <w:p w14:paraId="317420A8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lastRenderedPageBreak/>
        <w:t>Impactos ambientais associados à extração e produção de materiais (desmatamento, degradação de jazidas).</w:t>
      </w:r>
    </w:p>
    <w:p w14:paraId="4F159FFA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Aumento da pegada de carbono devido ao transporte e produção.</w:t>
      </w:r>
    </w:p>
    <w:p w14:paraId="0BA71696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Medidas Mitigadoras:</w:t>
      </w:r>
    </w:p>
    <w:p w14:paraId="241A2706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Uso Racional de Água: Instalação de torneiras com fechamento automático, reutilização de água da chuva para fins não potáveis (lavagem de equipamentos, irrigação do canteiro, etc.).</w:t>
      </w:r>
    </w:p>
    <w:p w14:paraId="1A57E34E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Eficiência Energética: Utilização de iluminação natural e ventilação cruzada no projeto. Uso de equipamentos e máquinas mais eficientes energeticamente no canteiro de obras.</w:t>
      </w:r>
    </w:p>
    <w:p w14:paraId="38B7DDCF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Materiais Sustentáveis: Priorizar a compra de materiais de construção com certificação ambiental, provenientes de fontes renováveis ou recicladas (</w:t>
      </w:r>
      <w:proofErr w:type="spellStart"/>
      <w:r>
        <w:rPr>
          <w:rFonts w:ascii="Verdana" w:eastAsia="Verdana" w:hAnsi="Verdana" w:cs="Verdana"/>
          <w:color w:val="000000"/>
        </w:rPr>
        <w:t>ex</w:t>
      </w:r>
      <w:proofErr w:type="spellEnd"/>
      <w:r>
        <w:rPr>
          <w:rFonts w:ascii="Verdana" w:eastAsia="Verdana" w:hAnsi="Verdana" w:cs="Verdana"/>
          <w:color w:val="000000"/>
        </w:rPr>
        <w:t>: madeira certificada, tintas à base d'água, telhas ecológicas).</w:t>
      </w:r>
    </w:p>
    <w:p w14:paraId="00C52A11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Otimização de Compras: Reduzir o transporte de materiais, buscando fornecedores locais sempre que possível.</w:t>
      </w:r>
    </w:p>
    <w:p w14:paraId="26EB75D1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13.4. Ruído e Poluição do Ar (Poeira, Gases)</w:t>
      </w:r>
    </w:p>
    <w:p w14:paraId="321389C7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13.4.1. As atividades de construção geram ruído e emissão de poluentes atmosféricos.</w:t>
      </w:r>
    </w:p>
    <w:p w14:paraId="329954C6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Impacto:</w:t>
      </w:r>
    </w:p>
    <w:p w14:paraId="3F55F7F9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Desconforto e perturbação para a comunidade no entorno (ruído).</w:t>
      </w:r>
    </w:p>
    <w:p w14:paraId="6016EAF4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Prejuízo à qualidade do ar, afetando a saúde respiratória de trabalhadores e moradores (poeira, material particulado, gases de combustão de veículos e máquinas).</w:t>
      </w:r>
    </w:p>
    <w:p w14:paraId="6A406C8D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Impacto na fauna local.</w:t>
      </w:r>
    </w:p>
    <w:p w14:paraId="44915C3A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Medidas Mitigadoras:</w:t>
      </w:r>
    </w:p>
    <w:p w14:paraId="178BF257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Controle de Ruído: Utilizar equipamentos com manutenção em dia, isolamento acústico em máquinas ruidosas, e evitar trabalhos barulhentos em horários de descanso da comunidade.</w:t>
      </w:r>
    </w:p>
    <w:p w14:paraId="6EDCC234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Controle de Poeira: Umectação constante de vias e pilhas de materiais, uso de telas de proteção e cercas no entorno da obra.</w:t>
      </w:r>
    </w:p>
    <w:p w14:paraId="2613337D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Manutenção de Veículos e Máquinas: Garantir que caminhões e equipamentos do canteiro estejam com a manutenção em dia para reduzir a emissão de gases poluentes.</w:t>
      </w:r>
    </w:p>
    <w:p w14:paraId="49AAF9C8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Transporte Consciente: Otimizar rotas e horários de transporte de materiais para minimizar congestionamentos e emissões.</w:t>
      </w:r>
    </w:p>
    <w:p w14:paraId="3F3D506A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13.5. Alteração do Solo e Drenagem Superficial</w:t>
      </w:r>
    </w:p>
    <w:p w14:paraId="2E42B56C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13.5.1. A movimentação de terra, compactação do solo e impermeabilização da área podem afetar o regime hídrico local.</w:t>
      </w:r>
    </w:p>
    <w:p w14:paraId="5036AB94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Impacto:</w:t>
      </w:r>
    </w:p>
    <w:p w14:paraId="5C612135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Erosão do solo, assoreamento de cursos d'água próximos.</w:t>
      </w:r>
    </w:p>
    <w:p w14:paraId="1543E34B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Alteração do escoamento da água da chuva, aumentando o risco de inundações.</w:t>
      </w:r>
    </w:p>
    <w:p w14:paraId="68738371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Perda de permeabilidade e recarga de aquíferos.</w:t>
      </w:r>
    </w:p>
    <w:p w14:paraId="32868608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Medidas Mitigadoras:</w:t>
      </w:r>
    </w:p>
    <w:p w14:paraId="6DD09DAC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Plano de Terraplenagem: Realizar terraplenagem e movimentação de terra de forma controlada, com técnicas que minimizem a erosão.</w:t>
      </w:r>
    </w:p>
    <w:p w14:paraId="773DB53C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Sistemas de Drenagem Sustentável: Incluir no projeto sistemas de drenagem que favoreçam a infiltração de água no solo, como jardins de chuva, telhados verdes ou pisos permeáveis, onde aplicável.</w:t>
      </w:r>
    </w:p>
    <w:p w14:paraId="155EB26A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Contenção de Sedimentos: Instalação de barreiras de contenção (barricadas, cercas de sedimentos) para evitar que partículas de solo e entulho atinjam sistemas de drenagem naturais ou públicos.</w:t>
      </w:r>
    </w:p>
    <w:p w14:paraId="6CEF4A79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Vegetação: Revegetação de áreas verdes perturbadas após a conclusão da obra.</w:t>
      </w:r>
    </w:p>
    <w:p w14:paraId="3308E61D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13.6. Impacto sobre a Biodiversidade Local (Fauna e Flora)</w:t>
      </w:r>
    </w:p>
    <w:p w14:paraId="7770BE93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13.6.1. Mesmo em áreas urbanas, as obras podem afetar pequenas áreas verdes, árvores e a microfauna.</w:t>
      </w:r>
    </w:p>
    <w:p w14:paraId="3B4BF7A7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Impacto:</w:t>
      </w:r>
    </w:p>
    <w:p w14:paraId="6C688B05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Remoção de vegetação nativa ou de árvores.</w:t>
      </w:r>
    </w:p>
    <w:p w14:paraId="01AA385B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Perturbação de pequenos habitats.</w:t>
      </w:r>
    </w:p>
    <w:p w14:paraId="7A40A025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Medidas Mitigadoras:</w:t>
      </w:r>
    </w:p>
    <w:p w14:paraId="1C4CA847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Priorizar a Manutenção de Árvores: Integrar a vegetação existente ao projeto, sempre que possível, evitando o corte desnecessário de árvores.</w:t>
      </w:r>
    </w:p>
    <w:p w14:paraId="43E05BF9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Compensação Ambiental: Se a remoção de árvores for inevitável, realizar o plantio compensatório conforme exigência da legislação ambiental local.</w:t>
      </w:r>
    </w:p>
    <w:p w14:paraId="1135316F" w14:textId="77777777" w:rsidR="00216E34" w:rsidRDefault="00902DCC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Manejo de Fauna: Adoção de medidas para evitar danos à fauna local, como verificação de ninhos antes da poda ou remoção de árvores.</w:t>
      </w:r>
    </w:p>
    <w:p w14:paraId="40B617DC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13.7. A implementação dessas medidas mitigadoras não apenas garante a conformidade com a legislação ambiental vigente, mas também reforça o compromisso da gestão pública com a sustentabilidade, resultando em uma obra </w:t>
      </w:r>
      <w:r>
        <w:rPr>
          <w:rFonts w:ascii="Verdana" w:eastAsia="Verdana" w:hAnsi="Verdana" w:cs="Verdana"/>
        </w:rPr>
        <w:lastRenderedPageBreak/>
        <w:t>mais limpa, eficiente e socialmente responsável, que serve de exemplo para a comunidade.</w:t>
      </w:r>
    </w:p>
    <w:p w14:paraId="24BE3707" w14:textId="38B44C7D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14. CLASSIFICAÇÃO DA LEI GERAL DE PROTEÇÃO DE DADOS PESSOAIS (LGPD)</w:t>
      </w:r>
    </w:p>
    <w:p w14:paraId="3051D4CC" w14:textId="77777777" w:rsidR="00216E34" w:rsidRDefault="00902DC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14.1 O estudo técnico em questão não contém informações sensíveis, conforme estabelecido pela Lei Geral de Proteção de Dados Pessoais (LGPD) –, Lei n. 13.709, de 14 de agosto de 2018.</w:t>
      </w:r>
    </w:p>
    <w:p w14:paraId="4E5D5400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15. POSICIONAMENTO CONCLUSIVO SOBRE A ADEQUAÇÃO DA CONTRATAÇÃO PARA O ATENDIMENTO DA NECESSIDADE A QUE SE DESTINA</w:t>
      </w:r>
    </w:p>
    <w:p w14:paraId="6D6C5F2F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(x)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b/>
          <w:bCs/>
        </w:rPr>
        <w:t>VIABILIDADE</w:t>
      </w:r>
      <w:r>
        <w:rPr>
          <w:rFonts w:ascii="Verdana" w:eastAsia="Verdana" w:hAnsi="Verdana" w:cs="Verdana"/>
        </w:rPr>
        <w:t xml:space="preserve"> DA CONTRATAÇÃO com base em uma análise técnica aprofundada dos projetos e memoriais descritivos elaborados para a execução da obra.</w:t>
      </w:r>
    </w:p>
    <w:p w14:paraId="718C9072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>(  )</w:t>
      </w:r>
      <w:proofErr w:type="gramEnd"/>
      <w:r>
        <w:rPr>
          <w:rFonts w:ascii="Verdana" w:eastAsia="Verdana" w:hAnsi="Verdana" w:cs="Verdana"/>
        </w:rPr>
        <w:t xml:space="preserve"> A </w:t>
      </w:r>
      <w:r>
        <w:rPr>
          <w:rFonts w:ascii="Verdana" w:eastAsia="Verdana" w:hAnsi="Verdana" w:cs="Verdana"/>
          <w:b/>
          <w:bCs/>
        </w:rPr>
        <w:t>ALTERAÇÃO</w:t>
      </w:r>
      <w:r>
        <w:rPr>
          <w:rFonts w:ascii="Verdana" w:eastAsia="Verdana" w:hAnsi="Verdana" w:cs="Verdana"/>
        </w:rPr>
        <w:t xml:space="preserve"> DA </w:t>
      </w:r>
      <w:r>
        <w:rPr>
          <w:rFonts w:ascii="Verdana" w:eastAsia="Verdana" w:hAnsi="Verdana" w:cs="Verdana"/>
          <w:b/>
          <w:bCs/>
        </w:rPr>
        <w:t>VIABILIDADE</w:t>
      </w:r>
      <w:r>
        <w:rPr>
          <w:rFonts w:ascii="Verdana" w:eastAsia="Verdana" w:hAnsi="Verdana" w:cs="Verdana"/>
        </w:rPr>
        <w:t xml:space="preserve"> SOLICITADA, nos termos abaixo descritos </w:t>
      </w:r>
    </w:p>
    <w:p w14:paraId="388E67B7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________________________________________________________________.</w:t>
      </w:r>
    </w:p>
    <w:p w14:paraId="4A2DAC86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>(  )</w:t>
      </w:r>
      <w:proofErr w:type="gramEnd"/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b/>
          <w:bCs/>
        </w:rPr>
        <w:t>INVIABILIDADE</w:t>
      </w:r>
      <w:r>
        <w:rPr>
          <w:rFonts w:ascii="Verdana" w:eastAsia="Verdana" w:hAnsi="Verdana" w:cs="Verdana"/>
        </w:rPr>
        <w:t xml:space="preserve"> da contratação, nos termos abaixo resumidos:</w:t>
      </w:r>
    </w:p>
    <w:p w14:paraId="554070BD" w14:textId="77777777" w:rsidR="00216E34" w:rsidRDefault="00902DCC">
      <w:pPr>
        <w:spacing w:after="1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 xml:space="preserve">17. DOCUMENTOS ANEXOS </w:t>
      </w:r>
    </w:p>
    <w:p w14:paraId="2431D742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17.1. Integram este ETP, para todos os fins e efeitos, os seguintes anexos:</w:t>
      </w:r>
    </w:p>
    <w:p w14:paraId="271BB53A" w14:textId="77777777" w:rsidR="00216E34" w:rsidRDefault="00216E34">
      <w:pPr>
        <w:widowControl w:val="0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after="120"/>
        <w:ind w:firstLine="1134"/>
        <w:jc w:val="both"/>
        <w:rPr>
          <w:rFonts w:ascii="Verdana" w:eastAsia="Verdana" w:hAnsi="Verdana" w:cs="Verdana"/>
        </w:rPr>
      </w:pPr>
    </w:p>
    <w:p w14:paraId="6D043906" w14:textId="77777777" w:rsidR="00216E34" w:rsidRDefault="00902DCC">
      <w:pPr>
        <w:widowControl w:val="0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after="120"/>
        <w:ind w:firstLine="1134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ANEXO I - MAPA DE RISCOS</w:t>
      </w:r>
    </w:p>
    <w:p w14:paraId="560C9BE8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120"/>
        <w:ind w:left="14"/>
        <w:jc w:val="right"/>
        <w:rPr>
          <w:rFonts w:ascii="Verdana" w:eastAsia="Verdana" w:hAnsi="Verdana" w:cs="Verdana"/>
          <w:color w:val="000000"/>
        </w:rPr>
      </w:pPr>
    </w:p>
    <w:p w14:paraId="3CC5EF85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120"/>
        <w:ind w:left="14"/>
        <w:jc w:val="right"/>
        <w:rPr>
          <w:rFonts w:ascii="Verdana" w:eastAsia="Verdana" w:hAnsi="Verdana" w:cs="Verdana"/>
          <w:color w:val="FF0000"/>
        </w:rPr>
      </w:pPr>
      <w:r>
        <w:rPr>
          <w:rFonts w:ascii="Verdana" w:eastAsia="Verdana" w:hAnsi="Verdana" w:cs="Verdana"/>
          <w:color w:val="000000"/>
        </w:rPr>
        <w:t>Juti/MS, 25 de maio de 2026.</w:t>
      </w:r>
    </w:p>
    <w:p w14:paraId="10828BCC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120"/>
        <w:ind w:left="14"/>
        <w:jc w:val="right"/>
        <w:rPr>
          <w:rFonts w:ascii="Verdana" w:eastAsia="Verdana" w:hAnsi="Verdana" w:cs="Verdana"/>
          <w:color w:val="000000"/>
        </w:rPr>
      </w:pPr>
    </w:p>
    <w:p w14:paraId="7B39D9B6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120"/>
        <w:rPr>
          <w:rFonts w:ascii="Verdana" w:eastAsia="Verdana" w:hAnsi="Verdana" w:cs="Verdana"/>
          <w:color w:val="000000"/>
        </w:rPr>
      </w:pPr>
    </w:p>
    <w:p w14:paraId="75621BB1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4FCD49D0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 xml:space="preserve">       Ana Paula </w:t>
      </w:r>
      <w:proofErr w:type="spellStart"/>
      <w:r>
        <w:rPr>
          <w:rFonts w:ascii="Verdana" w:eastAsia="Verdana" w:hAnsi="Verdana" w:cs="Verdana"/>
          <w:b/>
          <w:bCs/>
          <w:color w:val="000000"/>
        </w:rPr>
        <w:t>Broietti</w:t>
      </w:r>
      <w:proofErr w:type="spellEnd"/>
      <w:r>
        <w:rPr>
          <w:rFonts w:ascii="Verdana" w:eastAsia="Verdana" w:hAnsi="Verdana" w:cs="Verdana"/>
          <w:b/>
          <w:bCs/>
          <w:color w:val="000000"/>
        </w:rPr>
        <w:t xml:space="preserve">                                      Ana Carolina </w:t>
      </w:r>
      <w:proofErr w:type="spellStart"/>
      <w:r>
        <w:rPr>
          <w:rFonts w:ascii="Verdana" w:eastAsia="Verdana" w:hAnsi="Verdana" w:cs="Verdana"/>
          <w:b/>
          <w:bCs/>
          <w:color w:val="000000"/>
        </w:rPr>
        <w:t>Schuetz</w:t>
      </w:r>
      <w:proofErr w:type="spellEnd"/>
    </w:p>
    <w:p w14:paraId="11959BCA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Assessora de Planejamento                               Arquiteta e Urbanista</w:t>
      </w:r>
    </w:p>
    <w:p w14:paraId="33864516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</w:p>
    <w:p w14:paraId="5347899E" w14:textId="77777777" w:rsidR="00314167" w:rsidRDefault="0031416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</w:p>
    <w:p w14:paraId="51D0A27F" w14:textId="77777777" w:rsidR="00314167" w:rsidRDefault="0031416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</w:p>
    <w:tbl>
      <w:tblPr>
        <w:tblStyle w:val="a1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5"/>
      </w:tblGrid>
      <w:tr w:rsidR="00216E34" w14:paraId="664716A7" w14:textId="77777777">
        <w:trPr>
          <w:trHeight w:val="470"/>
        </w:trPr>
        <w:tc>
          <w:tcPr>
            <w:tcW w:w="902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53961" w14:textId="77777777" w:rsidR="00216E34" w:rsidRDefault="00902DCC">
            <w:pPr>
              <w:spacing w:after="120"/>
              <w:jc w:val="both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lastRenderedPageBreak/>
              <w:t>CIÊNCIA DA AUTORIDADE COMPETENTE</w:t>
            </w:r>
          </w:p>
        </w:tc>
      </w:tr>
    </w:tbl>
    <w:p w14:paraId="503CEB65" w14:textId="77777777" w:rsidR="00216E34" w:rsidRDefault="00902DCC">
      <w:pPr>
        <w:spacing w:after="120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 presente planejamento está de acordo com as necessidades técnicas, operacionais e estratégicas da Administração. No mais, atende adequadamente às demandas de negócio formuladas, os benefícios pretendidos são adequados, os custos previstos são compatíveis e caracterizam a economicidade, os riscos envolvidos são administráveis e a área responsável priorizará o fornecimento de todos os elementos aqui relacionados necessários à consecução dos benefícios pretendidos, pelo que recomendamos a contratação.</w:t>
      </w:r>
    </w:p>
    <w:p w14:paraId="4C1F5CA7" w14:textId="77777777" w:rsidR="00216E34" w:rsidRDefault="00902DCC">
      <w:pPr>
        <w:spacing w:after="120"/>
        <w:jc w:val="right"/>
        <w:rPr>
          <w:rFonts w:ascii="Verdana" w:eastAsia="Verdana" w:hAnsi="Verdana" w:cs="Verdana"/>
          <w:color w:val="FF0000"/>
        </w:rPr>
      </w:pPr>
      <w:r>
        <w:rPr>
          <w:rFonts w:ascii="Verdana" w:eastAsia="Verdana" w:hAnsi="Verdana" w:cs="Verdana"/>
          <w:color w:val="FF0000"/>
        </w:rPr>
        <w:t xml:space="preserve"> </w:t>
      </w:r>
      <w:r>
        <w:rPr>
          <w:rFonts w:ascii="Verdana" w:eastAsia="Verdana" w:hAnsi="Verdana" w:cs="Verdana"/>
        </w:rPr>
        <w:t xml:space="preserve">Juti/MS, 25 de maio de 2026. </w:t>
      </w:r>
    </w:p>
    <w:p w14:paraId="6A326023" w14:textId="77777777" w:rsidR="00216E34" w:rsidRDefault="00216E34">
      <w:pPr>
        <w:spacing w:after="120"/>
        <w:jc w:val="center"/>
        <w:rPr>
          <w:rFonts w:ascii="Verdana" w:eastAsia="Verdana" w:hAnsi="Verdana" w:cs="Verdana"/>
        </w:rPr>
      </w:pPr>
    </w:p>
    <w:p w14:paraId="299F0704" w14:textId="77777777" w:rsidR="00216E34" w:rsidRDefault="00216E34">
      <w:pPr>
        <w:spacing w:after="120"/>
        <w:jc w:val="center"/>
        <w:rPr>
          <w:rFonts w:ascii="Verdana" w:eastAsia="Verdana" w:hAnsi="Verdana" w:cs="Verdana"/>
        </w:rPr>
      </w:pPr>
    </w:p>
    <w:p w14:paraId="54DCF84C" w14:textId="77777777" w:rsidR="00216E34" w:rsidRDefault="00902DCC">
      <w:pPr>
        <w:spacing w:after="120"/>
        <w:jc w:val="center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  <w:b/>
          <w:bCs/>
        </w:rPr>
        <w:t>_______________________________________</w:t>
      </w:r>
    </w:p>
    <w:p w14:paraId="3C2E5F44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Gilson Marcos da Cruz</w:t>
      </w:r>
    </w:p>
    <w:p w14:paraId="5A097D82" w14:textId="77777777" w:rsidR="00216E34" w:rsidRDefault="00902D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Prefeito Municipal</w:t>
      </w:r>
    </w:p>
    <w:p w14:paraId="3920BAD8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37ACC969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7AB78BEB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6E7FC136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362424C9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23A409B7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67156B06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3BB7B233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113C3362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4D8BFCCF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0E6E729C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3E2F833E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57730B01" w14:textId="77777777" w:rsidR="00314167" w:rsidRDefault="0031416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3FCAC0AF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p w14:paraId="604EC746" w14:textId="77777777" w:rsidR="00216E34" w:rsidRDefault="00216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Verdana" w:eastAsia="Verdana" w:hAnsi="Verdana" w:cs="Verdana"/>
          <w:color w:val="000000"/>
        </w:rPr>
      </w:pPr>
    </w:p>
    <w:tbl>
      <w:tblPr>
        <w:tblStyle w:val="a2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5"/>
      </w:tblGrid>
      <w:tr w:rsidR="00216E34" w14:paraId="2B54CAD1" w14:textId="77777777">
        <w:trPr>
          <w:trHeight w:val="485"/>
        </w:trPr>
        <w:tc>
          <w:tcPr>
            <w:tcW w:w="9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93FB021" w14:textId="77777777" w:rsidR="00216E34" w:rsidRDefault="00902DCC">
            <w:pPr>
              <w:spacing w:after="120"/>
              <w:jc w:val="both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lastRenderedPageBreak/>
              <w:t>RECEBIMENTO NO SETOR DE LICITAÇÕES</w:t>
            </w:r>
          </w:p>
        </w:tc>
      </w:tr>
      <w:tr w:rsidR="00216E34" w14:paraId="16B9F1CA" w14:textId="77777777">
        <w:trPr>
          <w:trHeight w:val="4183"/>
        </w:trPr>
        <w:tc>
          <w:tcPr>
            <w:tcW w:w="90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EF56BD2" w14:textId="77777777" w:rsidR="00216E34" w:rsidRDefault="00902DCC">
            <w:pPr>
              <w:spacing w:after="12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Certifico o recebimento da presente solicitação, devidamente instruída e encaminho para Equipe/Agente de Planejamento, a fim da elaboração e formalização dos artefatos prévios ao edital de licitação.</w:t>
            </w:r>
          </w:p>
          <w:p w14:paraId="58364475" w14:textId="77777777" w:rsidR="00216E34" w:rsidRDefault="00902DCC">
            <w:pPr>
              <w:spacing w:after="1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</w:t>
            </w:r>
          </w:p>
          <w:p w14:paraId="34ED2F5F" w14:textId="77777777" w:rsidR="00216E34" w:rsidRDefault="00902DCC">
            <w:pPr>
              <w:spacing w:after="1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Juti/MS, 25 de maio de 2026.</w:t>
            </w:r>
          </w:p>
          <w:p w14:paraId="0A3F1473" w14:textId="77777777" w:rsidR="00216E34" w:rsidRDefault="00902DCC">
            <w:pPr>
              <w:spacing w:after="1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</w:t>
            </w:r>
          </w:p>
          <w:p w14:paraId="31003773" w14:textId="77777777" w:rsidR="00216E34" w:rsidRDefault="00902DCC">
            <w:pPr>
              <w:spacing w:after="120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_______________________________________</w:t>
            </w:r>
          </w:p>
          <w:p w14:paraId="22816751" w14:textId="77777777" w:rsidR="00216E34" w:rsidRDefault="009D3951">
            <w:pPr>
              <w:spacing w:after="120"/>
              <w:jc w:val="center"/>
              <w:rPr>
                <w:rFonts w:ascii="Verdana" w:eastAsia="Verdana" w:hAnsi="Verdana" w:cs="Verdana"/>
                <w:i/>
                <w:iCs/>
              </w:rPr>
            </w:pPr>
            <w:r>
              <w:rPr>
                <w:rFonts w:ascii="Verdana" w:eastAsia="Verdana" w:hAnsi="Verdana" w:cs="Verdana"/>
                <w:i/>
                <w:iCs/>
              </w:rPr>
              <w:t>Rosangela Sodré de Oliveira Galdino</w:t>
            </w:r>
          </w:p>
          <w:p w14:paraId="705C0F0A" w14:textId="73591B18" w:rsidR="009D3951" w:rsidRDefault="009D3951">
            <w:pPr>
              <w:spacing w:after="120"/>
              <w:jc w:val="center"/>
              <w:rPr>
                <w:rFonts w:ascii="Verdana" w:eastAsia="Verdana" w:hAnsi="Verdana" w:cs="Verdana"/>
                <w:i/>
                <w:iCs/>
              </w:rPr>
            </w:pPr>
            <w:r>
              <w:rPr>
                <w:rFonts w:ascii="Verdana" w:eastAsia="Verdana" w:hAnsi="Verdana" w:cs="Verdana"/>
                <w:i/>
                <w:iCs/>
              </w:rPr>
              <w:t>Equipe de Apoio a Licitação</w:t>
            </w:r>
          </w:p>
        </w:tc>
      </w:tr>
    </w:tbl>
    <w:p w14:paraId="767D8F4C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49EF4A4C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7C0230D4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7B183271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6A541BF3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37C11FB5" w14:textId="77777777" w:rsidR="00216E34" w:rsidRDefault="00216E34">
      <w:pPr>
        <w:spacing w:after="120"/>
        <w:rPr>
          <w:rFonts w:ascii="Verdana" w:eastAsia="Verdana" w:hAnsi="Verdana" w:cs="Verdana"/>
        </w:rPr>
      </w:pPr>
    </w:p>
    <w:p w14:paraId="06EA21D9" w14:textId="77777777" w:rsidR="00216E34" w:rsidRDefault="00216E34">
      <w:pPr>
        <w:spacing w:after="120"/>
        <w:rPr>
          <w:rFonts w:ascii="Verdana" w:eastAsia="Verdana" w:hAnsi="Verdana" w:cs="Verdana"/>
        </w:rPr>
      </w:pPr>
    </w:p>
    <w:sectPr w:rsidR="00216E34">
      <w:headerReference w:type="default" r:id="rId8"/>
      <w:pgSz w:w="11909" w:h="16834"/>
      <w:pgMar w:top="1701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05014" w14:textId="77777777" w:rsidR="00174E3A" w:rsidRDefault="00174E3A">
      <w:pPr>
        <w:spacing w:line="240" w:lineRule="auto"/>
      </w:pPr>
      <w:r>
        <w:separator/>
      </w:r>
    </w:p>
  </w:endnote>
  <w:endnote w:type="continuationSeparator" w:id="0">
    <w:p w14:paraId="6DBA052D" w14:textId="77777777" w:rsidR="00174E3A" w:rsidRDefault="00174E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228D7C5F-C2B3-49DA-9989-3A83E648268F}"/>
    <w:embedBold r:id="rId2" w:fontKey="{19347F05-9B48-4CAB-9607-7784376FF53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58C7B87B-C1B1-4E6E-92FF-ED87D3961D86}"/>
    <w:embedBold r:id="rId4" w:fontKey="{B9B709F1-625C-48E8-AE74-52CA74708761}"/>
    <w:embedItalic r:id="rId5" w:fontKey="{04E20933-9A9E-474E-96C1-8FA61B3335EB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6" w:subsetted="1" w:fontKey="{8BBA4C04-5571-4D31-97C8-DBC13FD77776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7" w:fontKey="{7A92221E-125E-4494-87BD-198247E50A6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21CEA4EE-A3E2-4BCB-A51A-06356C7F06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FB73D5E-2A60-4568-ABC2-AA93B36AB8A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DCB991" w14:textId="77777777" w:rsidR="00174E3A" w:rsidRDefault="00174E3A">
      <w:pPr>
        <w:spacing w:line="240" w:lineRule="auto"/>
      </w:pPr>
      <w:r>
        <w:separator/>
      </w:r>
    </w:p>
  </w:footnote>
  <w:footnote w:type="continuationSeparator" w:id="0">
    <w:p w14:paraId="4895C716" w14:textId="77777777" w:rsidR="00174E3A" w:rsidRDefault="00174E3A">
      <w:pPr>
        <w:spacing w:line="240" w:lineRule="auto"/>
      </w:pPr>
      <w:r>
        <w:continuationSeparator/>
      </w:r>
    </w:p>
  </w:footnote>
  <w:footnote w:id="1">
    <w:p w14:paraId="0A86E6C5" w14:textId="77777777" w:rsidR="00216E34" w:rsidRDefault="00902DCC">
      <w:pPr>
        <w:spacing w:line="240" w:lineRule="auto"/>
        <w:jc w:val="both"/>
        <w:rPr>
          <w:rFonts w:ascii="Verdana" w:eastAsia="Verdana" w:hAnsi="Verdana" w:cs="Verdana"/>
          <w:b/>
          <w:bCs/>
          <w:sz w:val="12"/>
          <w:szCs w:val="12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sz w:val="12"/>
          <w:szCs w:val="12"/>
        </w:rPr>
        <w:t xml:space="preserve"> TCE-MG. Denúncia nº 1013231, Relator Cons. Mauri Torres. Sessão de julgamento em 12.06.2018. Publicação em 21.06.2018: “[...]. </w:t>
      </w:r>
      <w:r>
        <w:rPr>
          <w:rFonts w:ascii="Verdana" w:eastAsia="Verdana" w:hAnsi="Verdana" w:cs="Verdana"/>
          <w:b/>
          <w:bCs/>
          <w:sz w:val="12"/>
          <w:szCs w:val="12"/>
        </w:rPr>
        <w:t>O Termo de Referência ou Projeto Básico é um instrumento obrigatório para toda contratação (seja ela por meio de licitação, dispensa, inexigibilidade e adesão à ata de registro de preços), sendo elaborado a partir de estudos técnicos preliminares e devendo reunir os elementos necessários e suficientes, com nível de precisão adequado para caracterizar o objeto, bem como as condições da licitação e da contratação.”</w:t>
      </w:r>
    </w:p>
  </w:footnote>
  <w:footnote w:id="2">
    <w:p w14:paraId="744FC577" w14:textId="77777777" w:rsidR="00216E34" w:rsidRDefault="00902DCC">
      <w:pPr>
        <w:spacing w:line="240" w:lineRule="auto"/>
        <w:jc w:val="both"/>
        <w:rPr>
          <w:rFonts w:ascii="Verdana" w:eastAsia="Verdana" w:hAnsi="Verdana" w:cs="Verdana"/>
          <w:sz w:val="12"/>
          <w:szCs w:val="12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sz w:val="12"/>
          <w:szCs w:val="12"/>
        </w:rPr>
        <w:t xml:space="preserve"> CAMARÃO, Tatiana. Estudo Técnico Preliminar: arquitetura, conteúdo e obrigatoriedade. Disponível em: http://www.novaleilicitacao.com.br/2020/01/03/estudo-tecnico-preliminar-arquitetura-conteudo-obrigatoriedade-e-a-previsao-no-pl1292-95/.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BD3E1" w14:textId="77777777" w:rsidR="00216E34" w:rsidRDefault="00902D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  <w:bookmarkStart w:id="8" w:name="_heading=h.tyjcwt" w:colFirst="0" w:colLast="0"/>
    <w:bookmarkEnd w:id="8"/>
    <w:r>
      <w:rPr>
        <w:noProof/>
        <w:color w:val="000000"/>
      </w:rPr>
      <w:drawing>
        <wp:inline distT="0" distB="0" distL="0" distR="0" wp14:anchorId="746EB8A7" wp14:editId="56AEC9F7">
          <wp:extent cx="820399" cy="1096307"/>
          <wp:effectExtent l="0" t="0" r="0" b="0"/>
          <wp:docPr id="1" name="image1.png" descr="C:\Users\USUARIO\Desktop\Brasão Ju%5b1%5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USUARIO\Desktop\Brasão Ju%5b1%5d.png"/>
                  <pic:cNvPicPr preferRelativeResize="0"/>
                </pic:nvPicPr>
                <pic:blipFill>
                  <a:blip r:embed="rId1"/>
                  <a:srcRect t="5742"/>
                  <a:stretch>
                    <a:fillRect/>
                  </a:stretch>
                </pic:blipFill>
                <pic:spPr>
                  <a:xfrm>
                    <a:off x="0" y="0"/>
                    <a:ext cx="820399" cy="10963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4EC173B" w14:textId="77777777" w:rsidR="00216E34" w:rsidRDefault="00902D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ascii="Arial Black" w:eastAsia="Arial Black" w:hAnsi="Arial Black" w:cs="Arial Black"/>
        <w:b/>
        <w:bCs/>
        <w:color w:val="000000"/>
      </w:rPr>
    </w:pPr>
    <w:r>
      <w:rPr>
        <w:rFonts w:ascii="Arial Black" w:eastAsia="Arial Black" w:hAnsi="Arial Black" w:cs="Arial Black"/>
        <w:b/>
        <w:bCs/>
        <w:color w:val="000000"/>
      </w:rPr>
      <w:t>PREFEITURA MUNICIPAL DE JUTI</w:t>
    </w:r>
  </w:p>
  <w:p w14:paraId="504430FD" w14:textId="77777777" w:rsidR="00216E34" w:rsidRDefault="00902DCC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  <w:tab w:val="left" w:pos="2385"/>
      </w:tabs>
      <w:spacing w:line="240" w:lineRule="auto"/>
      <w:jc w:val="center"/>
      <w:rPr>
        <w:color w:val="000000"/>
      </w:rPr>
    </w:pPr>
    <w:r>
      <w:rPr>
        <w:color w:val="000000"/>
      </w:rPr>
      <w:t>ESTADO DE MATO GROSSO DO SUL</w:t>
    </w:r>
  </w:p>
  <w:p w14:paraId="63182BBB" w14:textId="77777777" w:rsidR="00216E34" w:rsidRDefault="00902DCC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  <w:tab w:val="left" w:pos="2385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t>Departamento de Planejamento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523052"/>
    <w:multiLevelType w:val="multilevel"/>
    <w:tmpl w:val="DF0C82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D8084D"/>
    <w:multiLevelType w:val="multilevel"/>
    <w:tmpl w:val="63FAE3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9A7E3A"/>
    <w:multiLevelType w:val="multilevel"/>
    <w:tmpl w:val="98687B0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EFB0EF2"/>
    <w:multiLevelType w:val="multilevel"/>
    <w:tmpl w:val="1A0A34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6C6CF7"/>
    <w:multiLevelType w:val="multilevel"/>
    <w:tmpl w:val="2F0667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14B55DD"/>
    <w:multiLevelType w:val="multilevel"/>
    <w:tmpl w:val="D6A2B4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B367115"/>
    <w:multiLevelType w:val="multilevel"/>
    <w:tmpl w:val="1BD8A4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D70E73"/>
    <w:multiLevelType w:val="multilevel"/>
    <w:tmpl w:val="2B34B0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AAF0066"/>
    <w:multiLevelType w:val="multilevel"/>
    <w:tmpl w:val="0A8882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E7310E3"/>
    <w:multiLevelType w:val="multilevel"/>
    <w:tmpl w:val="2BA6C8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7430F5F"/>
    <w:multiLevelType w:val="multilevel"/>
    <w:tmpl w:val="CBB6BE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34"/>
    <w:rsid w:val="00174E3A"/>
    <w:rsid w:val="00216E34"/>
    <w:rsid w:val="00314167"/>
    <w:rsid w:val="004D76CC"/>
    <w:rsid w:val="00902DCC"/>
    <w:rsid w:val="009D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026E"/>
  <w15:docId w15:val="{647C56B8-6B15-4ECA-AE99-FEB14983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7H595WV4CQbQnLzFTfEF456CLQ==">CgMxLjAaJgoBMBIhCh8IB0IbCgdWZXJkYW5hEhBBcmlhbCBVbmljb2RlIE1TMghoLmdqZGd4czIOaC5kZGUwb3c0dXB2cTkyDmgucW9oMWFxcmFseXNpMg5oLm04ZGdxaXd4YnZxOTIOaC5xZTBqYW13MzdwMDAyDmguNmpwcmw5NXc3cW45Mg5oLmF5b3FoaHY1MWNlMjIOaC5tMTR3dWk0Z2RkZHAyCGgudHlqY3d0OAByITFCOGlMa2VtcGpiZGdsZHpLdk5yOGxGbURPQ0YzRTM2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21</Pages>
  <Words>6324</Words>
  <Characters>34154</Characters>
  <Application>Microsoft Office Word</Application>
  <DocSecurity>0</DocSecurity>
  <Lines>284</Lines>
  <Paragraphs>80</Paragraphs>
  <ScaleCrop>false</ScaleCrop>
  <Company/>
  <LinksUpToDate>false</LinksUpToDate>
  <CharactersWithSpaces>40398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Licitação</cp:lastModifiedBy>
  <cp:revision>4</cp:revision>
  <dcterms:created xsi:type="dcterms:W3CDTF">2026-06-24T12:55:00Z</dcterms:created>
  <dcterms:modified xsi:type="dcterms:W3CDTF">2026-10-07T12:52:00Z</dcterms:modified>
</cp:coreProperties>
</file>