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header+xml" PartName="/word/header.xml"/>
  <Override ContentType="image/png" PartName="/word/media/header_image_rId1.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body>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i w:val="false"/>
          <w:color w:val="000000"/>
          <w:sz w:val="24"/>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TERMO DE REFERÊNCIA</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w:t>
      </w:r>
      <w:r>
        <w:rPr>
          <w:rFonts w:hint="default" w:ascii="Arial" w:hAnsi="Arial"/>
          <w:b/>
          <w:i w:val="false"/>
          <w:color w:val="000000"/>
          <w:sz w:val="20"/>
        </w:rPr>
        <w:t xml:space="preserve"> </w:t>
      </w:r>
      <w:r>
        <w:rPr>
          <w:rFonts w:hint="default" w:ascii="Arial" w:hAnsi="Arial"/>
          <w:b/>
          <w:i w:val="false"/>
          <w:color w:val="000000"/>
          <w:sz w:val="20"/>
        </w:rPr>
        <w:t>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1.1 
          </w:t>
      </w:r>
      <w:r>
        <w:rPr>
          <w:rFonts w:hint="default" w:ascii="Arial" w:hAnsi="Arial"/>
          <w:b w:val="false"/>
          <w:i w:val="false"/>
          <w:color w:val="000000"/>
          <w:sz w:val="20"/>
        </w:rPr>
        <w:t xml:space="preserve">- </w:t>
      </w:r>
      <w:r>
        <w:rPr>
          <w:rFonts w:hint="default" w:ascii="Arial" w:hAnsi="Arial"/>
          <w:b w:val="false"/>
          <w:i w:val="false"/>
          <w:color w:val="000000"/>
          <w:sz w:val="20"/>
        </w:rPr>
        <w:t>Aquisição de material de consumo – gênero alimentício, para suprir as necessidades da Junta Comercial do Estado do Tocantins – JUCETINS.</w:t>
      </w:r>
      <w:r>
        <w:rPr>
          <w:rFonts w:hint="default" w:ascii="Arial" w:hAnsi="Arial"/>
          <w:b w:val="false"/>
          <w:i w:val="false"/>
          <w:color w:val="000000"/>
          <w:sz w:val="20"/>
        </w:rPr>
        <w:t>, conforme condições, quantidades e exigências estabelecidas neste instrumento.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2.</w:t>
      </w:r>
      <w:r>
        <w:rPr>
          <w:rFonts w:hint="default" w:ascii="Arial" w:hAnsi="Arial"/>
          <w:b/>
          <w:i w:val="false"/>
          <w:color w:val="000000"/>
          <w:sz w:val="20"/>
        </w:rPr>
        <w:t xml:space="preserve"> </w:t>
      </w:r>
      <w:r>
        <w:rPr>
          <w:rFonts w:hint="default" w:ascii="Arial" w:hAnsi="Arial"/>
          <w:b/>
          <w:i w:val="false"/>
          <w:color w:val="000000"/>
          <w:sz w:val="20"/>
        </w:rPr>
        <w:t>JUSTIFICATIVA E OBJETIVO DA CONTRATAÇÃO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2.1. A contratação visa abastecer a copa da Junta Comercial do Estado do Tocantins no decorrer do exercício de 2023, atendendo à demanda dos servidores, colaboradores, estagiários e demais usuários externos, além dos participantes de eventos institucionais realizados nesta autarquia.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2.2. O fornecimento destes produtos propicia que as necessidades dos servidores no âmbito do trabalho possam ser desenvolvidas com maior efetividade, e os usuários que buscam esta autarquia possam encontrar maior conforto e qualidade em seu atendimento, portanto, a existência destes produtos possibilita um melhor desempenho das funções, constituindo fatores de aprimoramento no serviço prestado a sociedade.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2.3. Considerando que o planejamento realizado no último exercício, e, com minucioso controle de saída do estoque, foi possível que a quantidade estimada atendesse de forma satisfatória o período pretendido, sendo necessário para o decorrer deste exercício novo aporte de insumos, com vistas à continuidade do atendimento de fornecimento de café ao público externo que visita a JUCETINS, assim como aos servidores que desenvolvem suas funções nesta Autarquia.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3.</w:t>
      </w:r>
      <w:r>
        <w:rPr>
          <w:rFonts w:hint="default" w:ascii="Arial" w:hAnsi="Arial"/>
          <w:b/>
          <w:i w:val="false"/>
          <w:color w:val="000000"/>
          <w:sz w:val="20"/>
        </w:rPr>
        <w:t xml:space="preserve"> </w:t>
      </w:r>
      <w:r>
        <w:rPr>
          <w:rFonts w:hint="default" w:ascii="Arial" w:hAnsi="Arial"/>
          <w:b/>
          <w:i w:val="false"/>
          <w:color w:val="000000"/>
          <w:sz w:val="20"/>
        </w:rPr>
        <w:t>DA FUNDAMENTAÇÃO LEGAL</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3.1</w:t>
      </w:r>
      <w:r>
        <w:rPr>
          <w:rFonts w:hint="default" w:ascii="Arial" w:hAnsi="Arial"/>
          <w:b w:val="false"/>
          <w:i w:val="false"/>
          <w:color w:val="000000"/>
          <w:sz w:val="20"/>
        </w:rPr>
        <w:t xml:space="preserve"> - A aquisição em tela tem amparo nas leis que fundamentam a modalidade de licitação dispensável, nos limites dos Incisos I e II do art. 75 da lei 14133/2021, através do </w:t>
      </w:r>
      <w:r>
        <w:rPr>
          <w:rFonts w:hint="default" w:ascii="Arial" w:hAnsi="Arial"/>
          <w:b/>
          <w:i w:val="false"/>
          <w:color w:val="000000"/>
          <w:sz w:val="20"/>
        </w:rPr>
        <w:t>SISTEMA DE COMPRA DIRETA</w:t>
      </w:r>
      <w:r>
        <w:rPr>
          <w:rFonts w:hint="default" w:ascii="Arial" w:hAnsi="Arial"/>
          <w:b w:val="false"/>
          <w:i w:val="false"/>
          <w:color w:val="000000"/>
          <w:sz w:val="20"/>
        </w:rPr>
        <w:t>, tais como: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a) </w:t>
      </w:r>
      <w:r>
        <w:rPr>
          <w:rFonts w:hint="default" w:ascii="Arial" w:hAnsi="Arial"/>
          <w:b w:val="false"/>
          <w:i w:val="false"/>
          <w:color w:val="000000"/>
          <w:sz w:val="20"/>
        </w:rPr>
        <w:t xml:space="preserve"> 
          </w:t>
      </w:r>
      <w:r>
        <w:rPr>
          <w:rFonts w:hint="default" w:ascii="Arial" w:hAnsi="Arial"/>
          <w:b/>
          <w:i w:val="false"/>
          <w:color w:val="000000"/>
          <w:sz w:val="20"/>
        </w:rPr>
        <w:t xml:space="preserve"> </w:t>
      </w:r>
      <w:hyperlink r:id="rId4">
        <w:r>
          <w:rPr>
            <w:rStyle w:val="Hyperlink"/>
            <w:rFonts w:hint="default" w:ascii="Arial" w:hAnsi="Arial"/>
            <w:b/>
            <w:i w:val="false"/>
            <w:color w:val="0000ff"/>
            <w:sz w:val="20"/>
            <w:u w:val="single"/>
          </w:rPr>
          <w:t>Lei Federal nº 14.133/2021</w:t>
        </w:r>
      </w:hyperlink>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Lei de Licitações e Contratos Administrativos.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b)</w:t>
      </w:r>
      <w:r>
        <w:rPr>
          <w:rFonts w:hint="default" w:ascii="Arial" w:hAnsi="Arial"/>
          <w:b/>
          <w:i w:val="false"/>
          <w:color w:val="000000"/>
          <w:sz w:val="20"/>
        </w:rPr>
        <w:t xml:space="preserve"> </w:t>
      </w:r>
      <w:hyperlink r:id="rId5">
        <w:r>
          <w:rPr>
            <w:rStyle w:val="Hyperlink"/>
            <w:rFonts w:hint="default" w:ascii="Arial" w:hAnsi="Arial"/>
            <w:b/>
            <w:i w:val="false"/>
            <w:color w:val="0000ff"/>
            <w:sz w:val="20"/>
            <w:u w:val="single"/>
          </w:rPr>
          <w:t>Lei Complementar nº 123/2006</w:t>
        </w:r>
      </w:hyperlink>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 Institui o Estatuto Nacional da Microempresa e da Empresa de Pequeno Porte</w:t>
      </w:r>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u w:val="single"/>
        </w:rPr>
        <w:t xml:space="preserve"> </w:t>
      </w:r>
      <w:r>
        <w:br/>
      </w:r>
      <w:r>
        <w:rPr>
          <w:rFonts w:hint="default" w:ascii="Arial" w:hAnsi="Arial"/>
          <w:b w:val="false"/>
          <w:i w:val="false"/>
          <w:color w:val="000000"/>
          <w:sz w:val="20"/>
          <w:u w:val="single"/>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c) </w:t>
      </w:r>
      <w:r>
        <w:rPr>
          <w:rFonts w:hint="default" w:ascii="Arial" w:hAnsi="Arial"/>
          <w:b/>
          <w:i w:val="false"/>
          <w:color w:val="000000"/>
          <w:sz w:val="20"/>
        </w:rPr>
        <w:t xml:space="preserve"> </w:t>
      </w:r>
      <w:hyperlink r:id="rId6">
        <w:r>
          <w:rPr>
            <w:rStyle w:val="Hyperlink"/>
            <w:rFonts w:hint="default" w:ascii="Arial" w:hAnsi="Arial"/>
            <w:b/>
            <w:i w:val="false"/>
            <w:color w:val="0000ff"/>
            <w:sz w:val="20"/>
            <w:u w:val="single"/>
          </w:rPr>
          <w:t>Decreto</w:t>
        </w:r>
        <w:r>
          <w:rPr>
            <w:rFonts w:hint="default" w:ascii="Arial" w:hAnsi="Arial"/>
            <w:b/>
            <w:i w:val="false"/>
            <w:color w:val="0000ff"/>
            <w:sz w:val="20"/>
          </w:rPr>
          <w:t xml:space="preserve"> 6.084, de 14 de abril de 2020</w:t>
        </w:r>
      </w:hyperlink>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 Institui o Sistema Integrado de Gestão Administrativa do Estado do Tocantins - SIGA-TO, e adota outras providências.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u w:val="single"/>
        </w:rPr>
        <w:t xml:space="preserve"> </w:t>
      </w:r>
      <w:r>
        <w:br/>
      </w:r>
      <w:r>
        <w:rPr>
          <w:rFonts w:hint="default" w:ascii="Arial" w:hAnsi="Arial"/>
          <w:b w:val="false"/>
          <w:i w:val="false"/>
          <w:color w:val="000000"/>
          <w:sz w:val="20"/>
          <w:u w:val="single"/>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d) </w:t>
      </w:r>
      <w:r>
        <w:rPr>
          <w:rFonts w:hint="default" w:ascii="Arial" w:hAnsi="Arial"/>
          <w:b/>
          <w:i w:val="false"/>
          <w:color w:val="000000"/>
          <w:sz w:val="20"/>
        </w:rPr>
        <w:t xml:space="preserve"> </w:t>
      </w:r>
      <w:r>
        <w:rPr>
          <w:rFonts w:hint="default" w:ascii="Arial" w:hAnsi="Arial"/>
          <w:b/>
          <w:i w:val="false"/>
          <w:color w:val="0000ff"/>
          <w:sz w:val="20"/>
        </w:rPr>
        <w:t>Portaria SEFAZ nº 507/2020/GABSEC de 03/06/2020</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Institui o CATÁLOGO DE MATERIAIS E SERVIÇOS a ser utilizado pelos órgãos da Administração Pública Direta e Indireta do Poder Executivo do Estado do Tocantins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u w:val="single"/>
        </w:rPr>
        <w:t xml:space="preserve"> </w:t>
      </w:r>
      <w:r>
        <w:br/>
      </w:r>
      <w:r>
        <w:rPr>
          <w:rFonts w:hint="default" w:ascii="Arial" w:hAnsi="Arial"/>
          <w:b w:val="false"/>
          <w:i w:val="false"/>
          <w:color w:val="000000"/>
          <w:sz w:val="20"/>
          <w:u w:val="single"/>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e) </w:t>
      </w:r>
      <w:r>
        <w:rPr>
          <w:rFonts w:hint="default" w:ascii="Arial" w:hAnsi="Arial"/>
          <w:b/>
          <w:i w:val="false"/>
          <w:color w:val="000000"/>
          <w:sz w:val="20"/>
        </w:rPr>
        <w:t xml:space="preserve"> </w:t>
      </w:r>
      <w:r>
        <w:rPr>
          <w:rFonts w:hint="default" w:ascii="Arial" w:hAnsi="Arial"/>
          <w:b/>
          <w:i w:val="false"/>
          <w:color w:val="0000ff"/>
          <w:sz w:val="20"/>
        </w:rPr>
        <w:t>Portaria SEFAZ Nº 235/2021/GABSEC</w:t>
      </w:r>
      <w:r>
        <w:rPr>
          <w:rFonts w:hint="default" w:ascii="Arial" w:hAnsi="Arial"/>
          <w:b/>
          <w:i w:val="false"/>
          <w:color w:val="000000"/>
          <w:sz w:val="20"/>
        </w:rPr>
        <w:t xml:space="preserve"> </w:t>
      </w:r>
      <w:r>
        <w:rPr>
          <w:rFonts w:hint="default" w:ascii="Arial" w:hAnsi="Arial"/>
          <w:b w:val="false"/>
          <w:i w:val="false"/>
          <w:color w:val="000000"/>
          <w:sz w:val="20"/>
        </w:rPr>
        <w:t xml:space="preserve">, de 06 de abril de 2021 </w:t>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Define normas e procedimentos para aquisições através do SISTEMA DE COMPRA DIRETA através da Cotação Eletrônica nos limites de licitação dispensável e dá outras providências</w:t>
      </w:r>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4.</w:t>
      </w:r>
      <w:r>
        <w:rPr>
          <w:rFonts w:hint="default" w:ascii="Arial" w:hAnsi="Arial"/>
          <w:b/>
          <w:i w:val="false"/>
          <w:color w:val="000000"/>
          <w:sz w:val="20"/>
        </w:rPr>
        <w:t xml:space="preserve"> </w:t>
      </w:r>
      <w:r>
        <w:rPr>
          <w:rFonts w:hint="default" w:ascii="Arial" w:hAnsi="Arial"/>
          <w:b/>
          <w:i w:val="false"/>
          <w:color w:val="000000"/>
          <w:sz w:val="20"/>
        </w:rPr>
        <w:t>DAS ESPECIFICAÇÕES TÉCNICAS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tbl>
      <w:tblPr>
        <w:tblW w:w="0" w:type="auto"/>
        <w:tblCellSpacing w:w="0" w:type="auto"/>
        <w:tblBorders>
          <w:top w:val="none"/>
          <w:left w:val="none"/>
          <w:bottom w:val="none"/>
          <w:right w:val="none"/>
          <w:insideH w:val="none"/>
          <w:insideV w:val="none"/>
        </w:tblBorders>
      </w:tblPr>
      <w:tblGrid>
        <w:gridCol w:w="453"/>
        <w:gridCol w:w="394"/>
        <w:gridCol w:w="740"/>
        <w:gridCol w:w="9370"/>
        <w:gridCol w:w="749"/>
        <w:gridCol w:w="380"/>
        <w:gridCol w:w="508"/>
        <w:gridCol w:w="508"/>
        <w:gridCol w:w="532"/>
      </w:tblGrid>
      <w:tr>
        <w:tc>
          <w:tcPr>
            <w:tcW w:w="0" w:type="auto"/>
            <w:gridSpan w:val="9"/>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Itens</w:t>
            </w:r>
          </w:p>
        </w:tc>
      </w:tr>
      <w:tr>
        <w:tc>
          <w:tcPr>
            <w:tcW w:w="453"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Tipo</w:t>
            </w:r>
          </w:p>
        </w:tc>
        <w:tc>
          <w:tcPr>
            <w:tcW w:w="394"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Item</w:t>
            </w:r>
          </w:p>
        </w:tc>
        <w:tc>
          <w:tcPr>
            <w:tcW w:w="74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Código</w:t>
            </w:r>
          </w:p>
        </w:tc>
        <w:tc>
          <w:tcPr>
            <w:tcW w:w="937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Descrição</w:t>
            </w:r>
          </w:p>
        </w:tc>
        <w:tc>
          <w:tcPr>
            <w:tcW w:w="74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Un. Aquisição</w:t>
            </w:r>
          </w:p>
        </w:tc>
        <w:tc>
          <w:tcPr>
            <w:tcW w:w="380"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Qtd.</w:t>
            </w:r>
          </w:p>
        </w:tc>
        <w:tc>
          <w:tcPr>
            <w:tcW w:w="508"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Unit.</w:t>
            </w:r>
          </w:p>
        </w:tc>
        <w:tc>
          <w:tcPr>
            <w:tcW w:w="508"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Total</w:t>
            </w:r>
          </w:p>
        </w:tc>
        <w:tc>
          <w:tcPr>
            <w:tcW w:w="532"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Vlr. Acum.</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001</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00028860</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Café - Apresentação: torrado e moído; Categoria: extraforte; Empacotamento: vácuo; Embalagem: pacote com 500 g; Requisito: conter na embalagem o selo de pureza da abic.</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80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002</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00016439</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Açúcar - Categoria: cristal; Cor: branca; Composição: sacarose da cana-de-açúcar; Embalagem: com 2 kg; Requisito da embalagem: plástica e conter data de validade e número do lote de fabricação.</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003</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00022371</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Chá de hortelã - Tipo: sachê; Peso: 1,6 g; Embalagem: caixa com 10 sachês.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004</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4</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00022368</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Chá de erva-doce - Tipo: sachê; Peso: 1,6 g; Embalagem: caixa com 10 sachês.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005</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5</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00022370</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Chá de capim-cidreira - Tipo: sachê; Peso: 1,6 g; Embalagem: caixa com 10 sachês.</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006</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6</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00013832</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 xml:space="preserve">Leite em pó - Tipo: desnatado; Composição: 100 % de origem animal, instantâneo, enriquecido com vitamina A e D; Requisito da embalagem: com identificação dos ingredientes, valor nutricional, data de fabricação e validade. </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24</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007</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7</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00016455</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Adoçante - Aspecto físico: líquido; Categoria: dietético; Embalagem: frasco com 100 ml.</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008</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8</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00016450</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Água mineral - Categoria: com gás; Embalagem: garrafa com 500 ml; Requisito: acondicionada em plástico descartável, contendo no rótulo a composição química e o registro no Ministério da Saúde.</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45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Item 009</w:t>
            </w:r>
          </w:p>
        </w:tc>
        <w:tc>
          <w:tcPr>
            <w:tcW w:w="39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9</w:t>
            </w:r>
          </w:p>
        </w:tc>
        <w:tc>
          <w:tcPr>
            <w:tcW w:w="74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00016446</w:t>
            </w:r>
          </w:p>
        </w:tc>
        <w:tc>
          <w:tcPr>
            <w:tcW w:w="937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Água mineral - Categoria: sem gás; Embalagem: garrafa com 500 ml; Requisito: acondicionada em plástico descartável, contendo no rótulo a composição química e o registro no Ministério da Saúde.</w:t>
            </w:r>
          </w:p>
        </w:tc>
        <w:tc>
          <w:tcPr>
            <w:tcW w:w="74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1 - Unidade</w:t>
            </w:r>
          </w:p>
        </w:tc>
        <w:tc>
          <w:tcPr>
            <w:tcW w:w="380"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08"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532"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r>
      <w:tr>
        <w:tc>
          <w:tcPr>
            <w:tcW w:w="0" w:type="auto"/>
            <w:gridSpan w:val="6"/>
            <w:tcBorders/>
          </w:tcPr>
          <w:p>
            <w:pPr>
              <w:spacing w:after="0"/>
              <w:ind w:left="0"/>
              <w:jc w:val="right"/>
            </w:pPr>
            <w:r>
              <w:rPr>
                <w:rFonts w:hint="default" w:ascii="Arial" w:hAnsi="Arial"/>
                <w:b/>
                <w:i w:val="false"/>
                <w:color w:val="000000"/>
                <w:sz w:val="20"/>
              </w:rPr>
              <w:t>Total (R$):</w:t>
            </w:r>
          </w:p>
        </w:tc>
        <w:tc>
          <w:tcPr>
            <w:tcW w:w="508" w:type="dxa"/>
            <w:tcBorders/>
          </w:tcPr>
          <w:p>
            <w:pPr>
              <w:spacing w:after="0"/>
              <w:ind w:left="0"/>
              <w:jc w:val="left"/>
            </w:pPr>
            <w:r>
              <w:rPr>
                <w:rFonts w:hint="default" w:ascii="Arial" w:hAnsi="Arial"/>
                <w:b/>
                <w:i w:val="false"/>
                <w:color w:val="000000"/>
                <w:sz w:val="20"/>
              </w:rPr>
              <w:t>0,00</w:t>
            </w:r>
          </w:p>
        </w:tc>
        <w:tc>
          <w:tcPr>
            <w:tcW w:w="508" w:type="dxa"/>
            <w:tcBorders/>
          </w:tcPr>
          <w:p>
            <w:pPr>
              <w:spacing w:after="0"/>
              <w:ind w:left="0"/>
              <w:jc w:val="left"/>
            </w:pPr>
            <w:r>
              <w:rPr>
                <w:rFonts w:hint="default" w:ascii="Arial" w:hAnsi="Arial"/>
                <w:b/>
                <w:i w:val="false"/>
                <w:color w:val="000000"/>
                <w:sz w:val="20"/>
              </w:rPr>
              <w:t>0,00</w:t>
            </w:r>
          </w:p>
        </w:tc>
        <w:tc>
          <w:tcPr>
            <w:tcW w:w="532" w:type="dxa"/>
            <w:tcBorders/>
          </w:tcPr>
          <w:p>
            <w:pPr>
              <w:spacing w:after="0"/>
              <w:ind w:left="0"/>
              <w:jc w:val="left"/>
            </w:pPr>
            <w:r>
              <w:rPr>
                <w:rFonts w:hint="default" w:ascii="Arial" w:hAnsi="Arial"/>
                <w:b/>
                <w:i w:val="false"/>
                <w:color w:val="000000"/>
                <w:sz w:val="20"/>
              </w:rPr>
              <w:t>0,00</w:t>
            </w:r>
          </w:p>
        </w:tc>
      </w:tr>
    </w:tbl>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5.</w:t>
      </w:r>
      <w:r>
        <w:rPr>
          <w:rFonts w:hint="default" w:ascii="Arial" w:hAnsi="Arial"/>
          <w:b/>
          <w:i w:val="false"/>
          <w:color w:val="000000"/>
          <w:sz w:val="20"/>
        </w:rPr>
        <w:t xml:space="preserve"> </w:t>
      </w:r>
      <w:r>
        <w:rPr>
          <w:rFonts w:hint="default" w:ascii="Arial" w:hAnsi="Arial"/>
          <w:b/>
          <w:i w:val="false"/>
          <w:color w:val="000000"/>
          <w:sz w:val="20"/>
        </w:rPr>
        <w:t>DO PRAZO E DA ENTREGA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5.1 - O prazo de entrega será de </w:t>
      </w:r>
      <w:r>
        <w:rPr>
          <w:rFonts w:hint="default" w:ascii="Arial" w:hAnsi="Arial"/>
          <w:b w:val="false"/>
          <w:i w:val="false"/>
          <w:color w:val="000000"/>
          <w:sz w:val="20"/>
        </w:rPr>
        <w:t>05 (cinco) dias úteis contados do recebimento da Nota de Empenho – NE</w:t>
      </w:r>
      <w:r>
        <w:rPr>
          <w:rFonts w:hint="default" w:ascii="Arial" w:hAnsi="Arial"/>
          <w:b w:val="false"/>
          <w:i w:val="false"/>
          <w:color w:val="000000"/>
          <w:sz w:val="20"/>
        </w:rPr>
        <w:t xml:space="preserve">, em remessa parcelada ou única.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5.2. Os fornecimentos serão realizados por demanda, mediante ordem de fornecimento, na qual estarão especificadas as quantidades que deverão ser fornecidas;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5.3 - A entrega dos referidos materiais será efetuada em horário de expediente, no seguinte endereço: </w:t>
      </w:r>
      <w:r>
        <w:rPr>
          <w:rFonts w:hint="default" w:ascii="Arial" w:hAnsi="Arial"/>
          <w:b w:val="false"/>
          <w:i w:val="false"/>
          <w:color w:val="000000"/>
          <w:sz w:val="20"/>
        </w:rPr>
        <w:t>No almoxarifado da Junta Comercial do Estado do Tocantins, localizada na End: Q. 103 Sul Rua SO 5, 07 - Lote 12 - Plano Diretor Sul, Palmas - TO, 77015-030, de segunda a sexta das 08:00 às 14:00h.</w:t>
      </w:r>
      <w:r>
        <w:rPr>
          <w:rFonts w:hint="default" w:ascii="Arial" w:hAnsi="Arial"/>
          <w:b w:val="false"/>
          <w:i w:val="false"/>
          <w:color w:val="000000"/>
          <w:sz w:val="20"/>
        </w:rPr>
        <w:t xml:space="preserve"> na presença de servidor devidamente autorizado que terá o prazo de até 05 (cinco) dias corridos para aceitação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5.4 - A responsabilidade pelo recebimento do material ficará a cargo de servidor designado formalmente pela </w:t>
      </w:r>
      <w:r>
        <w:rPr>
          <w:rFonts w:hint="default" w:ascii="Arial" w:hAnsi="Arial"/>
          <w:b w:val="false"/>
          <w:i w:val="false"/>
          <w:color w:val="000000"/>
          <w:sz w:val="20"/>
        </w:rPr>
        <w:t>JUCETINS</w:t>
      </w:r>
      <w:r>
        <w:rPr>
          <w:rFonts w:hint="default" w:ascii="Arial" w:hAnsi="Arial"/>
          <w:b w:val="false"/>
          <w:i w:val="false"/>
          <w:color w:val="000000"/>
          <w:sz w:val="20"/>
        </w:rPr>
        <w:t>, o qual deverá proceder ao atesto da(s) nota(s) fiscal(is).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6.</w:t>
      </w:r>
      <w:r>
        <w:rPr>
          <w:rFonts w:hint="default" w:ascii="Arial" w:hAnsi="Arial"/>
          <w:b/>
          <w:i w:val="false"/>
          <w:color w:val="000000"/>
          <w:sz w:val="20"/>
        </w:rPr>
        <w:t xml:space="preserve"> </w:t>
      </w:r>
      <w:r>
        <w:rPr>
          <w:rFonts w:hint="default" w:ascii="Arial" w:hAnsi="Arial"/>
          <w:b/>
          <w:i w:val="false"/>
          <w:color w:val="000000"/>
          <w:sz w:val="20"/>
        </w:rPr>
        <w:t>REQUISITOS DA CONTRATAÇÃO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6.1 - </w:t>
      </w:r>
      <w:r>
        <w:rPr>
          <w:rFonts w:hint="default" w:ascii="Arial" w:hAnsi="Arial"/>
          <w:b w:val="false"/>
          <w:i w:val="false"/>
          <w:color w:val="0000ff"/>
          <w:sz w:val="20"/>
        </w:rPr>
        <w:t xml:space="preserve"> </w:t>
      </w:r>
      <w:r>
        <w:rPr>
          <w:rFonts w:hint="default" w:ascii="Arial" w:hAnsi="Arial"/>
          <w:b w:val="false"/>
          <w:i w:val="false"/>
          <w:color w:val="000000"/>
          <w:sz w:val="20"/>
        </w:rPr>
        <w:t>A presente contratação de dispensa será realizada por meio de cotação eletrônica, do tipo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MENOR PREÇO UNITÁRIO” ou “MENOR PREÇO TOTAL POR ITEM OU GRUPO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realizada através de Sistema Eletrônico, no Portal de Compras do Governo Estadual – localizado no site </w:t>
      </w:r>
      <w:hyperlink r:id="rId7">
        <w:r>
          <w:rPr>
            <w:rStyle w:val="Hyperlink"/>
            <w:rFonts w:hint="default" w:ascii="Arial" w:hAnsi="Arial"/>
            <w:b w:val="false"/>
            <w:i w:val="false"/>
            <w:color w:val="0000ff"/>
            <w:sz w:val="20"/>
            <w:u w:val="single"/>
          </w:rPr>
          <w:t>http://www.siga.to.gov.br/compra-direta</w:t>
        </w:r>
      </w:hyperlink>
      <w:r>
        <w:rPr>
          <w:rFonts w:hint="default" w:ascii="Arial" w:hAnsi="Arial"/>
          <w:b w:val="false"/>
          <w:i w:val="false"/>
          <w:color w:val="000000"/>
          <w:sz w:val="20"/>
        </w:rPr>
        <w:t>.</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7.</w:t>
      </w:r>
      <w:r>
        <w:rPr>
          <w:rFonts w:hint="default" w:ascii="Arial" w:hAnsi="Arial"/>
          <w:b/>
          <w:i w:val="false"/>
          <w:color w:val="000000"/>
          <w:sz w:val="20"/>
        </w:rPr>
        <w:t xml:space="preserve"> </w:t>
      </w:r>
      <w:r>
        <w:rPr>
          <w:rFonts w:hint="default" w:ascii="Arial" w:hAnsi="Arial"/>
          <w:b/>
          <w:i w:val="false"/>
          <w:color w:val="000000"/>
          <w:sz w:val="20"/>
        </w:rPr>
        <w:t>CRITÉRIOS DE ACEITAÇÃO DO OBJETO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7.1 
          </w:t>
      </w:r>
      <w:r>
        <w:rPr>
          <w:rFonts w:hint="default" w:ascii="Arial" w:hAnsi="Arial"/>
          <w:b w:val="false"/>
          <w:i w:val="false"/>
          <w:color w:val="000000"/>
          <w:sz w:val="20"/>
        </w:rPr>
        <w:t xml:space="preserve">- Os bens serão recebidos provisoriamente no prazo de 03 (três) dias, pelo responsável pelo acompanhamento e fiscalização do contrato, para efeito de posterior verificação de sua conformidade com as especificações constantes neste Termo de Referência e na proposta.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7.2 -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7.3 - Os bens serão recebidos definitivamente no prazo de ...... (.....) dias, contados do recebimento provisório, após a verificação da qualidade e quantidade do material e consequente aceitação mediante termo circunstanciado.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7.4 - Na hipótese de a verificação a que se refere o subitem anterior não ser procedida dentro do prazo fixado, reputar-se-á como realizada, consumando-se o recebimento definitivo no dia do esgotamento do prazo.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7.5 - O recebimento provisório ou definitivo do objeto não exclui a responsabilidade da contratada pelos prejuízos resultantes da incorreta execução do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8. DA VALIDADE DOS PRODUTOS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8.1. A contratada deverá oferecer os produtos conforme especificação técnica constante no Item 4 e, deverá ter validade mínima de 12 (doze) meses a partir da data de entrega.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8.2. Tratando-se de vício oculto, o prazo de garantia dos produtos, iniciar-se-á no momento da entrega em que ficar evidenciado o defeito, nos termos do §3º, do artigo 26 da Lei n.º 8.078/1990.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8.3. A garantia inclui a substituição dos produtos defeituosos no prazo máximo de 05 (cinco) dias corridos a contar da comunicação do fato, sem qualquer ônus para JUCETINS, podendo ser prorrogado mediante solicitação por escrito, devidamente justificada.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8.4. O pedido de substituição ou troca dos produtos, durante o período de entrega, poderá ser formalizado por e-mail ou outro meio hábil de comunicação.</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9. OBRIGAÇÕES DA CONTRATANTE</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9.1 - Exigir do fornecedor o fiel cumprimento das obrigações decorrentes desta contratação;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9.2 - Verificar a manutenção pelo fornecedor das condições de habilitação, com relação a regularidade fiscal;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9.3 - Aplicar penalidades ao fornecedor, por descumprimento contratual;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9.4 - Prestar as informações e os esclarecimentos que venham a ser solicitados pelos funcionários da CONTRATADA;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9.5 - Comunicar à CONTRATADA qualquer irregularidade verificada na execução do fornecimento, determinando, de imediato, as providências necessárias à sua regularização;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9.6 - Acompanhar e fiscalizar rigorosamente o cumprimento do contrato, verificando a qualidade do fornecimento executado;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9.7 - Rejeitar qualquer fornecimento considerado insatisfatório, determinando que seja refeito no prazo a ser estipulado pela fiscalização do contrato;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9.8 - Efetuar o pagamento do fornecimento executado, conforme condições estabelecidas no contrato ou nota de empenho, e conferir as notas fiscais, atestando-as;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9.9 - Anotar, em registro próprio, todas as ocorrências relacionadas com a execução do objeto do contrato, determinando o que for necessário à regularização das faltas ou defeitos observados;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9.10 -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10.1 </w:t>
      </w:r>
      <w:r>
        <w:rPr>
          <w:rFonts w:hint="default" w:ascii="Arial" w:hAnsi="Arial"/>
          <w:b/>
          <w:i w:val="false"/>
          <w:color w:val="000000"/>
          <w:sz w:val="20"/>
        </w:rPr>
        <w:t>OBRIGAÇÕES DA CONTRATADA</w:t>
      </w:r>
      <w:r>
        <w:rPr>
          <w:rFonts w:hint="default" w:ascii="Arial" w:hAnsi="Arial"/>
          <w:b/>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10.1 - É responsabilidade da CONTRATADA providenciar todos os recursos e insumos necessários ao perfeito cumprimento do objeto contratado, devendo estar incluídos no preço proposto todas as despesas com materiais, insumos, mão de obra, fretes, embalagens, seguros, impostos, taxas, tarifas, encargos sociais e trabalhistas e demais despesas necessárias à perfeita execução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10.2 - A contratada para a execução do objeto estará obrigada a satisfazer todos os requisitos, exigências e condições estabelecidas no termo de referência e seus anexos.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10.3 - Atender prontamente todas as solicitações da Contratante previstas no termo de referência e seus anexos.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10.4 - Garantir a qualidade dos materiais licitado comprometendo-se a substituí-los as suas expensas aqueles que não atendam o padrão de qualidade exigido, apresente defeitos de fabricação ou danos em decorrência do transporte, no prazo máximo de XX ( ) dias corridos a partir da notificação oficial.</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10.5 - Efetuar a entrega dos materiais de acordo com as especificações, prazo de entrega e demais condições estipuladas no Termo de Referência, na Nota de Empenho, responsabilizando-se exclusivamente por todas as despesas relativas à execução do objeto.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10.6 - Comunicar o(a) </w:t>
      </w:r>
      <w:r>
        <w:rPr>
          <w:rFonts w:hint="default" w:ascii="Arial" w:hAnsi="Arial"/>
          <w:b w:val="false"/>
          <w:i w:val="false"/>
          <w:color w:val="000000"/>
          <w:sz w:val="20"/>
        </w:rPr>
        <w:t>JUCETINS</w:t>
      </w:r>
      <w:r>
        <w:rPr>
          <w:rFonts w:hint="default" w:ascii="Arial" w:hAnsi="Arial"/>
          <w:b w:val="false"/>
          <w:i w:val="false"/>
          <w:color w:val="000000"/>
          <w:sz w:val="20"/>
        </w:rPr>
        <w:t>, imediatamente após o recebimento do pedido de fornecimento, motivos que possam impossibilitar o seu cu</w:t>
      </w:r>
      <w:r>
        <w:rPr>
          <w:rFonts w:hint="default" w:ascii="Arial" w:hAnsi="Arial"/>
          <w:b w:val="false"/>
          <w:i w:val="false"/>
          <w:color w:val="000000"/>
          <w:sz w:val="20"/>
        </w:rPr>
        <w:t xml:space="preserve"> 
              </w:t>
      </w:r>
      <w:r>
        <w:rPr>
          <w:rFonts w:hint="default" w:ascii="Arial" w:hAnsi="Arial"/>
          <w:b w:val="false"/>
          <w:i w:val="false"/>
          <w:color w:val="000000"/>
          <w:sz w:val="20"/>
        </w:rPr>
        <w:t>mprimento.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10.7 - Responsabilizar-se com exclusividade por todas as despesas relativas à entrega do objeto, inclusive quanto à retirada do(s) objeto(s) a ser(em) substituído(s), quando houver.</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10.8 - Responsabilizar-se pelo transporte apropriado dos materiais, assumindo a responsabilidade pelos encargos fiscais e comerciais resultante da adjudicação do objeto desta licitação.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10.9 - Não transferir a outrem, no todo ou em parte, o objeto deste termo de referencia.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10.10 - Manter, durante a execução do contrato, todas as condições de habilitação e qualificação exigidas na licitação, em conformidade com art. 92, inciso XVI , da Lei nº 14.133/2021, incluindo a atualização de documentos de controle da arrecadação de tributos e contribuições federais e outras legalmente exigíveis.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11. </w:t>
      </w:r>
      <w:r>
        <w:rPr>
          <w:rFonts w:hint="default" w:ascii="Arial" w:hAnsi="Arial"/>
          <w:b/>
          <w:i w:val="false"/>
          <w:color w:val="000000"/>
          <w:sz w:val="20"/>
        </w:rPr>
        <w:t>PRAZO DE EXECUÇÃO DO CONTRATO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11.1 - O contrato terá a sua vigência adstrita à dos respectivos créditos orçamentários, a partir da data de sua assinatura ou até a utilização do quantitativo, prevalecendo o que ocorrer primeiro.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11.2 - Após a expiração da vigência, ainda subsistirá a responsabilidade da CONTRATADA quanto à garantia dos materiais entregues, quando for o caso.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br/>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12. </w:t>
      </w:r>
      <w:r>
        <w:rPr>
          <w:rFonts w:hint="default" w:ascii="Arial" w:hAnsi="Arial"/>
          <w:b/>
          <w:i w:val="false"/>
          <w:color w:val="000000"/>
          <w:sz w:val="20"/>
        </w:rPr>
        <w:t>DO CONTROLE E FISCALIZAÇÃO DA EXECUÇÃO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12.1 - Nos termos do art. 117 Lei nº 14.133/2021, será designado servidor para acompanhar e fiscalizar a entrega dos bens, anotando em registro próprio todas as ocorrências relacionadas com a execução e determinando o que for necessário à regularização de falhas ou defeitos observados.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12.2 - O recebimento de material de valor superior ao limite estabelecido na legislação, será confiado a uma comissão de, no mínimo, 3 (t</w:t>
      </w:r>
      <w:r>
        <w:rPr>
          <w:rFonts w:hint="default" w:ascii="Arial" w:hAnsi="Arial"/>
          <w:b w:val="false"/>
          <w:i w:val="false"/>
          <w:color w:val="000000"/>
          <w:sz w:val="20"/>
        </w:rPr>
        <w:t xml:space="preserve"> 
          </w:t>
      </w:r>
      <w:r>
        <w:rPr>
          <w:rFonts w:hint="default" w:ascii="Arial" w:hAnsi="Arial"/>
          <w:b w:val="false"/>
          <w:i w:val="false"/>
          <w:color w:val="000000"/>
          <w:sz w:val="20"/>
        </w:rPr>
        <w:t>rês) membros, designados pela autoridade competente.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12.3 -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8.666, de 1993.</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12.4 -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13. DA SUBCONTRATAÇÃO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13.1 - Não será admitida a subcontratação total ou parcial do objeto desta contratação, bem como cedê-lo ou transferi-lo, no todo ou em parte.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14. </w:t>
      </w:r>
      <w:r>
        <w:rPr>
          <w:rFonts w:hint="default" w:ascii="Arial" w:hAnsi="Arial"/>
          <w:b/>
          <w:i w:val="false"/>
          <w:color w:val="000000"/>
          <w:sz w:val="20"/>
        </w:rPr>
        <w:t>DA CLASSIFICAÇÃO ORCAMENTÁRIA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14.1 - As despesas decorrentes da aquisição do objeto deste Contrato correrão por conta da seguinte classificação orçamentária: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p>
    <w:tbl>
      <w:tblPr>
        <w:tblW w:w="0" w:type="auto"/>
        <w:tblCellSpacing w:w="0" w:type="auto"/>
        <w:tblBorders>
          <w:top w:val="none"/>
          <w:left w:val="none"/>
          <w:bottom w:val="none"/>
          <w:right w:val="none"/>
          <w:insideH w:val="none"/>
          <w:insideV w:val="none"/>
        </w:tblBorders>
      </w:tblPr>
      <w:tblGrid>
        <w:gridCol w:w="4783"/>
        <w:gridCol w:w="3289"/>
        <w:gridCol w:w="2784"/>
        <w:gridCol w:w="1059"/>
        <w:gridCol w:w="1719"/>
      </w:tblGrid>
      <w:tr>
        <w:tc>
          <w:tcPr>
            <w:tcW w:w="0" w:type="auto"/>
            <w:gridSpan w:val="5"/>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Dotação</w:t>
            </w:r>
          </w:p>
        </w:tc>
      </w:tr>
      <w:tr>
        <w:tc>
          <w:tcPr>
            <w:tcW w:w="4783"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Funcional Programática</w:t>
            </w:r>
          </w:p>
        </w:tc>
        <w:tc>
          <w:tcPr>
            <w:tcW w:w="328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Natureza de Despesa</w:t>
            </w:r>
          </w:p>
        </w:tc>
        <w:tc>
          <w:tcPr>
            <w:tcW w:w="2784"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Fonte de Recurso</w:t>
            </w:r>
          </w:p>
        </w:tc>
        <w:tc>
          <w:tcPr>
            <w:tcW w:w="105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Valor</w:t>
            </w:r>
          </w:p>
        </w:tc>
        <w:tc>
          <w:tcPr>
            <w:tcW w:w="1719" w:type="dxa"/>
            <w:tcBorders>
              <w:top w:val="single" w:color="#777777" w:sz="8"/>
              <w:left w:val="single" w:color="#777777" w:sz="8"/>
              <w:bottom w:val="single" w:color="#777777" w:sz="8"/>
              <w:right w:val="single" w:color="#777777" w:sz="8"/>
            </w:tcBorders>
          </w:tcPr>
          <w:p>
            <w:pPr>
              <w:spacing w:after="0"/>
              <w:ind w:left="0"/>
              <w:jc w:val="left"/>
            </w:pPr>
            <w:r>
              <w:rPr>
                <w:rFonts w:hint="default" w:ascii="Arial" w:hAnsi="Arial"/>
                <w:b w:val="false"/>
                <w:i w:val="false"/>
                <w:color w:val="000000"/>
                <w:sz w:val="12"/>
              </w:rPr>
              <w:t>Exercício.</w:t>
            </w:r>
          </w:p>
        </w:tc>
      </w:tr>
      <w:tr>
        <w:tc>
          <w:tcPr>
            <w:tcW w:w="4783"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205700 20570 0412211004194</w:t>
            </w:r>
          </w:p>
        </w:tc>
        <w:tc>
          <w:tcPr>
            <w:tcW w:w="328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33903007</w:t>
            </w:r>
          </w:p>
        </w:tc>
        <w:tc>
          <w:tcPr>
            <w:tcW w:w="2784"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7991666666</w:t>
            </w:r>
          </w:p>
        </w:tc>
        <w:tc>
          <w:tcPr>
            <w:tcW w:w="105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0,00</w:t>
            </w:r>
          </w:p>
        </w:tc>
        <w:tc>
          <w:tcPr>
            <w:tcW w:w="1719" w:type="dxa"/>
            <w:tcBorders>
              <w:top w:val="single" w:color="#777777" w:sz="8"/>
              <w:left w:val="single" w:color="#777777" w:sz="8"/>
              <w:bottom w:val="single" w:color="#777777" w:sz="8"/>
              <w:right w:val="single" w:color="#777777" w:sz="8"/>
            </w:tcBorders>
          </w:tcPr>
          <w:p>
            <w:pPr>
              <w:spacing w:after="0"/>
              <w:ind w:left="0"/>
              <w:jc w:val="both"/>
            </w:pPr>
            <w:r>
              <w:rPr>
                <w:rFonts w:hint="default" w:ascii="Arial" w:hAnsi="Arial"/>
                <w:b w:val="false"/>
                <w:i w:val="false"/>
                <w:color w:val="000000"/>
                <w:sz w:val="12"/>
              </w:rPr>
              <w:t>2023</w:t>
            </w:r>
          </w:p>
        </w:tc>
      </w:tr>
      <w:tr>
        <w:tc>
          <w:tcPr>
            <w:tcW w:w="0" w:type="auto"/>
            <w:gridSpan w:val="3"/>
            <w:tcBorders/>
          </w:tcPr>
          <w:p>
            <w:pPr>
              <w:spacing w:after="0"/>
              <w:ind w:left="0"/>
              <w:jc w:val="right"/>
            </w:pPr>
            <w:r>
              <w:rPr>
                <w:rFonts w:hint="default" w:ascii="Arial" w:hAnsi="Arial"/>
                <w:b/>
                <w:i w:val="false"/>
                <w:color w:val="000000"/>
                <w:sz w:val="20"/>
              </w:rPr>
              <w:t>Custo total estimado (R$):</w:t>
            </w:r>
          </w:p>
        </w:tc>
        <w:tc>
          <w:tcPr>
            <w:tcW w:w="0" w:type="auto"/>
            <w:gridSpan w:val="2"/>
            <w:tcBorders/>
          </w:tcPr>
          <w:p>
            <w:pPr>
              <w:spacing w:after="0"/>
              <w:ind w:left="0"/>
              <w:jc w:val="left"/>
            </w:pPr>
            <w:r>
              <w:rPr>
                <w:rFonts w:hint="default" w:ascii="Arial" w:hAnsi="Arial"/>
                <w:b/>
                <w:i w:val="false"/>
                <w:color w:val="000000"/>
                <w:sz w:val="20"/>
              </w:rPr>
              <w:t>0,00</w:t>
            </w:r>
          </w:p>
        </w:tc>
      </w:tr>
    </w:tbl>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15. DO PAGAMENTO</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ff"/>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15.1 - O pagamento será efetuado em até 30 (trinta) dias, após o aceite dos materiais, mediante apresentação da Nota Fiscal/Fatura, devidamente comprovada e em perfeitas condições, atestada pelo setor competente da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15.2 - A Nota Fiscal ou Fatura deverá ser obrigatoriamente acompanhada da comprovação da regularidade fiscal, mediante consulta aos sítios eletrônicos oficiais ou à documentação mencionada no art. 68 da Lei nº 14.133/2021.</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15.3 -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16. DOS PRAZOS PARA APRESENTAÇÃO DA DOCUMENTAÇÃO EXIGIDA</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16.1 - Os documentos de habilitação e os complementares à proposta deverão ser encaminhados pelo vencedor, no prazo de 48 (horas), contado da solicitação do órgão requisitante, sob pena de inabilitação/desclassificação conforme o caso.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16.2 - As microempresas e empresas de pequeno porte deverão apresentar toda a documentação exigida para efeito de comprovação da documentação solicitada, mesmo que esta apresente alguma restrição, sob pena de inabilitação.</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16.2.1 - Havendo alguma restrição na comprovação da regularidade fiscal e trabalhista,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4"/>
        </w:rPr>
        <w:t xml:space="preserve"> </w:t>
      </w:r>
      <w:r>
        <w:br/>
      </w:r>
      <w:r>
        <w:rPr>
          <w:rFonts w:hint="default" w:ascii="Arial" w:hAnsi="Arial"/>
          <w:b w:val="false"/>
          <w:i w:val="false"/>
          <w:color w:val="000000"/>
          <w:sz w:val="24"/>
        </w:rPr>
        <w:t xml:space="preserve"> </w:t>
      </w:r>
      <w:r>
        <w:rPr>
          <w:rFonts w:hint="default" w:ascii="Arial" w:hAnsi="Arial"/>
          <w:b w:val="false"/>
          <w:i w:val="false"/>
          <w:color w:val="000000"/>
          <w:sz w:val="20"/>
        </w:rPr>
        <w:t xml:space="preserve"> 
     </w:t>
      </w:r>
    </w:p>
    <w:p>
      <w:pPr>
        <w:spacing w:after="0"/>
        <w:ind w:left="0"/>
        <w:jc w:val="both"/>
      </w:pP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i w:val="false"/>
          <w:color w:val="000000"/>
          <w:sz w:val="20"/>
        </w:rPr>
        <w:t xml:space="preserve"> </w:t>
      </w:r>
      <w:r>
        <w:rPr>
          <w:rFonts w:hint="default" w:ascii="Arial" w:hAnsi="Arial"/>
          <w:b/>
          <w:i w:val="false"/>
          <w:color w:val="000000"/>
          <w:sz w:val="20"/>
        </w:rPr>
        <w:t>17. DOS DOCUMENTOS A SEREM ENCAMINHADOS JUNTAMENTE COM A PROPOSTA</w:t>
      </w:r>
      <w:r>
        <w:rPr>
          <w:rFonts w:hint="default" w:ascii="Arial" w:hAnsi="Arial"/>
          <w:b/>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17.1 
         </w:t>
      </w:r>
      <w:r>
        <w:rPr>
          <w:rFonts w:hint="default" w:ascii="Arial" w:hAnsi="Arial"/>
          <w:b w:val="false"/>
          <w:i w:val="false"/>
          <w:color w:val="000000"/>
          <w:sz w:val="20"/>
        </w:rPr>
        <w:t>- Apresentar Declaração de Ciência do Termo de Referência.</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18. DO ARMAZENAMENTO</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18.1. Os produtos deverão ser acondicionados em embalagens que atendam as Normas Técnicas Brasileiras, originais intactas, apropriadas para armazenamento de forma a preservar a entrada de umidade, poeira e proteção contra alterações de qualidade, cor e sabor.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18.2. Os produtos deverão conter impressos na embalagem, os dados de identificação do produto, nome do fabricante, número do lote, fabricação, data de validade, instruções de uso e armazenagem.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18.3. Produtos sem identificação serão rejeitados no ato da entrega.</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19. DOS CASOS OMISSOS</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19.1. Os casos omissos serão submetidos ao parecer da Assessoria Jurídica da JUCETINS, e resolvidos em conformidade com o preceituado na Lei n.º Lei n.º 14.133/202, e demais legislações aplicáveis, depois de submetidos à anuência do Presidente da JUCETINS.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20. DAS DISPOSIÇÕES FINAIS</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20.1. Os entendimentos mantidos pelas partes deverão ser sempre por escrito, ressalvados os casos determinados pela urgência, cujos entendimentos verbais devem ser confirmados por escrito no prazo de até 72 (setenta e duas) horas.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21. DO FORO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 </w:t>
      </w:r>
      <w:r>
        <w:br/>
      </w:r>
      <w:r>
        <w:rPr>
          <w:rFonts w:hint="default" w:ascii="Arial" w:hAnsi="Arial"/>
          <w:b/>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21.1. Fica eleito o foro da Capital do Estado do Tocantins - Vara da Fazenda Pública, com renúncia expressa a outros, por mais privilegiados que forem para dirimir quaisquer questões fundadas neste Termo de Referência.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GERÊNCIA GERAL DE ADMINISTRAÇÃO DA JUNTA COMERCIAL DO ESTADO DO TOCANTINS</w:t>
      </w:r>
      <w:r>
        <w:rPr>
          <w:rFonts w:hint="default" w:ascii="Arial" w:hAnsi="Arial"/>
          <w:b w:val="false"/>
          <w:i w:val="false"/>
          <w:color w:val="000000"/>
          <w:sz w:val="20"/>
        </w:rPr>
        <w:t xml:space="preserve"> em Palmas-To, aos 13 dias do mês de março de 2023.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Responsável pela elaboração:</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Assinatura Eletrônica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 xml:space="preserve">Gheysa Costa Martins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Gerência Geral de Administração</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i w:val="false"/>
          <w:color w:val="000000"/>
          <w:sz w:val="20"/>
        </w:rPr>
        <w:t>APROVAÇÃO AO TERMO DE REFERÊNCIA</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Diante da necessidade de contratação do objeto em apreço e depois de atendido os dispositivos da Lei Federal nº 14.133/2021, APROVO O PRESENTE TERMO DE REFERÊNCIA.
        </w:t>
      </w:r>
    </w:p>
    <w:p>
      <w:pPr>
        <w:spacing w:after="0"/>
        <w:ind w:left="0"/>
        <w:jc w:val="both"/>
      </w:pP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Assinatura Eletrônica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w:t>
      </w:r>
      <w:r>
        <w:rPr>
          <w:rFonts w:hint="default" w:ascii="Arial" w:hAnsi="Arial"/>
          <w:b/>
          <w:i w:val="false"/>
          <w:color w:val="000000"/>
          <w:sz w:val="20"/>
        </w:rPr>
        <w:t xml:space="preserve"> PAULO CÉSAR BENFICA FILHO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0"/>
        </w:rPr>
        <w:t xml:space="preserve">
          Respondendo Interinamente pela Jucetins – ato n° 309-DSG 
         </w:t>
      </w:r>
      <w:r>
        <w:br/>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r>
        <w:rPr>
          <w:rFonts w:hint="default" w:ascii="Arial" w:hAnsi="Arial"/>
          <w:b w:val="false"/>
          <w:i w:val="false"/>
          <w:color w:val="000000"/>
          <w:sz w:val="20"/>
        </w:rPr>
        <w:t xml:space="preserve"> 
     </w:t>
      </w:r>
    </w:p>
    <w:p>
      <w:pPr>
        <w:spacing w:after="0"/>
        <w:ind w:left="0"/>
        <w:jc w:val="both"/>
      </w:pPr>
      <w:r>
        <w:rPr>
          <w:rFonts w:hint="default" w:ascii="Arial" w:hAnsi="Arial"/>
          <w:b w:val="false"/>
          <w:i w:val="false"/>
          <w:color w:val="000000"/>
          <w:sz w:val="20"/>
        </w:rPr>
        <w:t xml:space="preserve"> 
      </w:t>
      </w:r>
      <w:r>
        <w:rPr>
          <w:b w:val="false"/>
          <w:i w:val="false"/>
          <w:color w:val="000000"/>
          <w:sz w:val="20"/>
        </w:rPr>
        <w:t xml:space="preserve"> </w:t>
      </w:r>
      <w:r>
        <w:rPr>
          <w:rFonts w:hint="default" w:ascii="Arial" w:hAnsi="Arial"/>
          <w:b w:val="false"/>
          <w:i w:val="false"/>
          <w:color w:val="000000"/>
          <w:sz w:val="20"/>
        </w:rPr>
        <w:t xml:space="preserve"> 
     </w:t>
      </w:r>
    </w:p>
    <w:p>
      <w:pPr>
        <w:spacing w:after="0"/>
        <w:ind w:left="0"/>
        <w:jc w:val="center"/>
      </w:pPr>
      <w:r>
        <w:rPr>
          <w:rFonts w:hint="default" w:ascii="Arial" w:hAnsi="Arial"/>
          <w:b w:val="false"/>
          <w:i w:val="false"/>
          <w:color w:val="000000"/>
          <w:sz w:val="21"/>
        </w:rPr>
        <w:t>Palmas/TO, 15 de Março de 2023</w:t>
      </w:r>
    </w:p>
    <w:p>
      <w:pPr>
        <w:spacing w:after="0"/>
        <w:ind w:left="0"/>
        <w:jc w:val="center"/>
      </w:pP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ATESTADO POR</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Gheysa Costa Martins</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Gerente Geral de Administração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Processo analisado e devidamente assinado.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i w:val="false"/>
          <w:color w:val="000000"/>
          <w:sz w:val="21"/>
        </w:rPr>
        <w:t>Paulo Cesar Benfica Filho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rPr>
          <w:rFonts w:hint="default" w:ascii="Arial" w:hAnsi="Arial"/>
          <w:b w:val="false"/>
          <w:i w:val="false"/>
          <w:color w:val="000000"/>
          <w:sz w:val="21"/>
        </w:rPr>
        <w:t>Secretário de Estado da Administração</w:t>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r>
        <w:br/>
      </w:r>
      <w:r>
        <w:rPr>
          <w:rFonts w:hint="default" w:ascii="Arial" w:hAnsi="Arial"/>
          <w:b w:val="false"/>
          <w:i w:val="false"/>
          <w:color w:val="000000"/>
          <w:sz w:val="20"/>
        </w:rPr>
        <w:t xml:space="preserve">
    </w:t>
      </w:r>
    </w:p>
    <w:p>
      <w:pPr>
        <w:spacing w:after="0"/>
        <w:ind w:left="0"/>
        <w:jc w:val="left"/>
      </w:pPr>
    </w:p>
    <w:sectPr>
      <w:headerReference w:type="default" r:id="rId8"/>
      <w:footerReference w:type="default" r:id="rId9"/>
      <w:pgSz w:w="11907" w:h="16839" w:code="9"/>
      <w:pgMar w:top="3969" w:right="1134" w:bottom="2268" w:left="1701"/>
    </w:sectPr>
  </w:body>
</w:document>
</file>

<file path=word/footer.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2977"/>
      <w:gridCol w:w="1358"/>
    </w:tblGrid>
    <w:tr>
      <w:tc>
        <w:tcPr>
          <w:tcW w:w="2977" w:type="dxa"/>
          <w:tcBorders/>
        </w:tcPr>
        <w:p>
          <w:pPr>
            <w:spacing w:after="0"/>
            <w:ind w:left="0"/>
            <w:jc w:val="left"/>
          </w:pPr>
          <w:r>
            <w:rPr>
              <w:rFonts w:hint="default" w:ascii="Arial" w:hAnsi="Arial"/>
              <w:b w:val="false"/>
              <w:i w:val="false"/>
              <w:color w:val="000000"/>
              <w:sz w:val="16"/>
            </w:rPr>
            <w:t>Governo do Estado do Tocantins</w:t>
          </w:r>
        </w:p>
      </w:tc>
      <w:tc>
        <w:tcPr>
          <w:tcW w:w="1358" w:type="dxa"/>
          <w:tcBorders/>
        </w:tcPr>
        <w:p>
          <w:pPr>
            <w:spacing w:after="0"/>
            <w:ind w:left="0"/>
            <w:jc w:val="left"/>
          </w:pPr>
          <w:r>
            <w:rPr>
              <w:rFonts w:hint="default" w:ascii="Arial" w:hAnsi="Arial"/>
              <w:b w:val="false"/>
              <w:i w:val="false"/>
              <w:color w:val="000000"/>
              <w:sz w:val="16"/>
            </w:rPr>
            <w:t xml:space="preserve">Pág. </w:t>
            <w:fldChar w:fldCharType="begin"/>
            <w:instrText xml:space="preserve"> PAGE  \\* MERGEFORMAT </w:instrText>
            <w:fldChar w:fldCharType="end"/>
          </w:r>
        </w:p>
      </w:tc>
    </w:tr>
  </w:tbl>
</w:ftr>
</file>

<file path=word/header.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p>
    <w:pPr>
      <w:spacing w:after="120"/>
      <w:ind w:left="120"/>
      <w:jc w:val="left"/>
    </w:pPr>
  </w:p>
  <w:tbl>
    <w:tblPr>
      <w:tblW w:w="0" w:type="auto"/>
      <w:tblCellSpacing w:w="20" w:type="dxa"/>
      <w:tblBorders>
        <w:top w:val="none"/>
        <w:left w:val="none"/>
        <w:bottom w:val="none"/>
        <w:right w:val="none"/>
        <w:insideH w:val="none"/>
        <w:insideV w:val="none"/>
      </w:tblBorders>
    </w:tblPr>
    <w:tblGrid>
      <w:gridCol w:w="4263"/>
      <w:gridCol w:w="440"/>
    </w:tblGrid>
    <w:tr>
      <w:tc>
        <w:tcPr>
          <w:tcW w:w="4263" w:type="dxa"/>
          <w:tcBorders/>
        </w:tcPr>
        <w:p>
          <w:pPr>
            <w:spacing w:after="0"/>
            <w:ind w:left="0"/>
            <w:jc w:val="right"/>
          </w:pPr>
          <w:r>
            <w:rPr>
              <w:rFonts w:hint="default" w:ascii="Arial" w:hAnsi="Arial"/>
              <w:b/>
              <w:i w:val="false"/>
              <w:color w:val="000000"/>
              <w:sz w:val="18"/>
            </w:rPr>
            <w:t xml:space="preserve">
       Junta Comercial do Estado do Tocantins
      </w:t>
          </w:r>
        </w:p>
      </w:tc>
      <w:tc>
        <w:tcPr>
          <w:tcW w:w="440" w:type="dxa"/>
          <w:tcBorders/>
        </w:tcPr>
        <w:p>
          <w:r>
            <w:drawing>
              <wp:inline distT="0" distB="0" distL="0" distR="0">
                <wp:extent cx="2149810" cy="8890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1"/>
                        <a:stretch>
                          <a:fillRect/>
                        </a:stretch>
                      </pic:blipFill>
                      <pic:spPr>
                        <a:xfrm>
                          <a:off x="0" y="0"/>
                          <a:ext cx="2149810" cy="889000"/>
                        </a:xfrm>
                        <a:prstGeom prst="rect">
                          <a:avLst/>
                        </a:prstGeom>
                      </pic:spPr>
                    </pic:pic>
                  </a:graphicData>
                </a:graphic>
              </wp:inline>
            </w:drawing>
          </w:r>
        </w:p>
      </w:tc>
    </w:tr>
  </w:tbl>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w10="urn:schemas-microsoft-com:office:word" xmlns:v="urn:schemas-microsoft-com:vml"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14="http://schemas.microsoft.com/office/word/2010/wordprocessingDrawing" xmlns:ns32="http://schemas.openxmlformats.org/drawingml/2006/compatibility" xmlns:ns33="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planalto.gov.br/ccivil_03/_ato2019-2022/2021/lei/L14133.htm" Type="http://schemas.openxmlformats.org/officeDocument/2006/relationships/hyperlink" Id="rId4"/>
    <Relationship TargetMode="External" Target="http://www.planalto.gov.br/ccivil_03/leis/lcp/lcp123.htm" Type="http://schemas.openxmlformats.org/officeDocument/2006/relationships/hyperlink" Id="rId5"/>
    <Relationship TargetMode="External" Target="http://servicos.casacivil.to.gov.br/decretos/decreto/6084" Type="http://schemas.openxmlformats.org/officeDocument/2006/relationships/hyperlink" Id="rId6"/>
    <Relationship TargetMode="External" Target="http://www.siga.to.gov.br/compra-direta" Type="http://schemas.openxmlformats.org/officeDocument/2006/relationships/hyperlink" Id="rId7"/>
    <Relationship Target="header.xml" Type="http://schemas.openxmlformats.org/officeDocument/2006/relationships/header" Id="rId8"/>
    <Relationship Target="footer.xml" Type="http://schemas.openxmlformats.org/officeDocument/2006/relationships/footer" Id="rId9"/>
</Relationships>

</file>

<file path=word/_rels/header.xml.rels><?xml version="1.0" encoding="UTF-8" standalone="yes"?>
<Relationships xmlns="http://schemas.openxmlformats.org/package/2006/relationships">
    <Relationship Target="media/header_image_rId1.png" Type="http://schemas.openxmlformats.org/officeDocument/2006/relationships/image" Id="rId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