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B3391" w14:textId="5C398F65" w:rsidR="00751453" w:rsidRDefault="00000000">
      <w:pPr>
        <w:jc w:val="center"/>
      </w:pPr>
      <w:r>
        <w:rPr>
          <w:b/>
        </w:rPr>
        <w:br/>
      </w:r>
      <w:r>
        <w:rPr>
          <w:b/>
          <w:sz w:val="28"/>
        </w:rPr>
        <w:t>MEMORIAL DESCRITIVO</w:t>
      </w:r>
    </w:p>
    <w:p w14:paraId="2C305A08" w14:textId="77777777" w:rsidR="00751453" w:rsidRDefault="00000000">
      <w:pPr>
        <w:pStyle w:val="Ttulo1"/>
      </w:pPr>
      <w:r>
        <w:t>1. Objetivo</w:t>
      </w:r>
    </w:p>
    <w:p w14:paraId="55FAB048" w14:textId="77777777" w:rsidR="00751453" w:rsidRDefault="00000000">
      <w:r>
        <w:t>Este memorial estabelece diretrizes para a execução da pavimentação em CBUQ no trecho rural indicado. Deve ser lido conjuntamente com o projeto básico, plantas, orçamento, cronograma, matriz de riscos e normas técnicas aplicáveis.</w:t>
      </w:r>
    </w:p>
    <w:p w14:paraId="0D49B006" w14:textId="77777777" w:rsidR="00751453" w:rsidRDefault="00000000">
      <w:pPr>
        <w:pStyle w:val="Ttulo1"/>
      </w:pPr>
      <w:r>
        <w:t>2. Mobilização, canteiro e sinalização</w:t>
      </w:r>
    </w:p>
    <w:p w14:paraId="5EF27EF0" w14:textId="77777777" w:rsidR="00751453" w:rsidRDefault="00000000">
      <w:r>
        <w:t>A contratada deverá mobilizar equipe, equipamentos, container e recursos necessários; instalar placa de obra; sinalizar e proteger a frente de trabalho; manter acessos seguros; usar EPI e EPC; e remover instalações ao final, deixando o local limpo.</w:t>
      </w:r>
    </w:p>
    <w:p w14:paraId="17FCB633" w14:textId="77777777" w:rsidR="00751453" w:rsidRDefault="00000000">
      <w:pPr>
        <w:pStyle w:val="Ttulo1"/>
      </w:pPr>
      <w:r>
        <w:t>3. Preparação da pista</w:t>
      </w:r>
    </w:p>
    <w:p w14:paraId="54E6836A" w14:textId="77777777" w:rsidR="00751453" w:rsidRDefault="00000000">
      <w:r>
        <w:t>A superfície deverá estar regularizada, limpa, seca e liberada pela fiscalização. Eventuais falhas, deformações ou pontos com baixa capacidade deverão ser comunicados antes da aplicação. A terraplanagem e a drenagem, incluindo sarjeta e meio-fio, serão providas pelo Município, observadas as cotas e interfaces do projeto.</w:t>
      </w:r>
    </w:p>
    <w:p w14:paraId="2A4C5EE3" w14:textId="77777777" w:rsidR="00751453" w:rsidRDefault="00000000">
      <w:pPr>
        <w:pStyle w:val="Ttulo1"/>
      </w:pPr>
      <w:r>
        <w:t>4. Imprimação</w:t>
      </w:r>
    </w:p>
    <w:p w14:paraId="4EE0FB16" w14:textId="77777777" w:rsidR="00751453" w:rsidRDefault="00000000">
      <w:r>
        <w:t>A imprimação com CM-30 será executada sobre base aceita, limpa e sem umidade prejudicial, com equipamento adequado e taxa definida pelo projeto e pelos ensaios. A área estimada é 10.400 m². O tráfego sobre a superfície imprimada deverá ser controlado.</w:t>
      </w:r>
    </w:p>
    <w:p w14:paraId="280D65EB" w14:textId="77777777" w:rsidR="00751453" w:rsidRDefault="00000000">
      <w:pPr>
        <w:pStyle w:val="Ttulo1"/>
      </w:pPr>
      <w:r>
        <w:t>5. Pintura de ligação</w:t>
      </w:r>
    </w:p>
    <w:p w14:paraId="250BA391" w14:textId="77777777" w:rsidR="00751453" w:rsidRDefault="00000000">
      <w:r>
        <w:t xml:space="preserve">A pintura de ligação com RR-1C será aplicada de modo uniforme sobre a superfície preparada, na área estimada de 10.400 m², respeitando taxa, cura e condições climáticas </w:t>
      </w:r>
      <w:r>
        <w:lastRenderedPageBreak/>
        <w:t>definidas pela especificação técnica. A aplicação do CBUQ dependerá da liberação da fiscalização.</w:t>
      </w:r>
    </w:p>
    <w:p w14:paraId="4A8EB82F" w14:textId="77777777" w:rsidR="00751453" w:rsidRDefault="00000000">
      <w:pPr>
        <w:pStyle w:val="Ttulo1"/>
      </w:pPr>
      <w:r>
        <w:t>6. CBUQ</w:t>
      </w:r>
    </w:p>
    <w:p w14:paraId="603CB9FD" w14:textId="77777777" w:rsidR="00751453" w:rsidRDefault="00000000">
      <w:r>
        <w:t>O CBUQ deverá ser produzido em usina regular, com materiais e traço aprovados. A massa será transportada em veículos adequados, protegida contra perda de temperatura e contaminação, espalhada e compactada dentro da faixa operacional especificada. O quantitativo de referência é 520 m³. Devem ser registrados origem, horário de usinagem, temperatura, local de aplicação, espessura e resultados dos ensaios.</w:t>
      </w:r>
    </w:p>
    <w:p w14:paraId="14B813BA" w14:textId="77777777" w:rsidR="00751453" w:rsidRDefault="00000000">
      <w:pPr>
        <w:pStyle w:val="Ttulo1"/>
      </w:pPr>
      <w:r>
        <w:t>7. Transportes</w:t>
      </w:r>
    </w:p>
    <w:p w14:paraId="74D980DD" w14:textId="77777777" w:rsidR="00751453" w:rsidRDefault="00000000">
      <w:r>
        <w:t>Os transportes até 30 km e excedentes serão medidos segundo as unidades e distâncias aprovadas no orçamento analítico, vedada a medição sem comprovação. A contratada deverá manter controle de cargas, trajetos e volumes.</w:t>
      </w:r>
    </w:p>
    <w:p w14:paraId="57318443" w14:textId="77777777" w:rsidR="00751453" w:rsidRDefault="00000000">
      <w:pPr>
        <w:pStyle w:val="Ttulo1"/>
      </w:pPr>
      <w:r>
        <w:t>8. Sinalização horizontal e vertical</w:t>
      </w:r>
    </w:p>
    <w:p w14:paraId="21ABE06C" w14:textId="77777777" w:rsidR="00751453" w:rsidRDefault="00000000">
      <w:r>
        <w:t>A pintura de eixo, estimada em 4.800 m, deverá utilizar material retrorrefletivo compatível e ser aplicada sobre pavimento limpo e curado. As placas e dispositivos deverão seguir dimensões, posicionamento, refletividade e fixação previstos no projeto e nas normas de trânsito.</w:t>
      </w:r>
    </w:p>
    <w:p w14:paraId="59CD6028" w14:textId="77777777" w:rsidR="00751453" w:rsidRDefault="00000000">
      <w:pPr>
        <w:pStyle w:val="Ttulo1"/>
      </w:pPr>
      <w:r>
        <w:t>9. Controle, limpeza e entrega</w:t>
      </w:r>
    </w:p>
    <w:p w14:paraId="36EEBEF7" w14:textId="77777777" w:rsidR="00751453" w:rsidRDefault="00000000">
      <w:r>
        <w:t>A fiscalização acompanhará os serviços, solicitará ensaios e registrará não conformidades. A contratada corrigirá defeitos, removerá resíduos, recomporá áreas afetadas e entregará as built, relatórios, certificados, ensaios, diário e termo de responsabilidade quando exigidos.</w:t>
      </w:r>
    </w:p>
    <w:p w14:paraId="0020DACF" w14:textId="77777777" w:rsidR="00751453" w:rsidRDefault="00000000">
      <w:pPr>
        <w:pStyle w:val="Ttulo1"/>
      </w:pPr>
      <w:r>
        <w:t>10. Observação técnica obrigatória</w:t>
      </w:r>
    </w:p>
    <w:p w14:paraId="0776D8D9" w14:textId="77777777" w:rsidR="00751453" w:rsidRDefault="00000000">
      <w:r>
        <w:t xml:space="preserve">Este memorial é uma base preparatória. Antes da publicação, o responsável técnico deverá inserir ou confirmar espessuras, seção transversal, especificação do traço, taxas de </w:t>
      </w:r>
      <w:r>
        <w:lastRenderedPageBreak/>
        <w:t>aplicação, critérios de aceitação, normas específicas, detalhes de drenagem e demais elementos do projeto executivo ou básico aprovado.</w:t>
      </w:r>
    </w:p>
    <w:p w14:paraId="75699F4C" w14:textId="77777777" w:rsidR="00751453" w:rsidRDefault="00000000">
      <w:pPr>
        <w:pStyle w:val="Ttulo1"/>
      </w:pPr>
      <w:r>
        <w:t>Referências normativas</w:t>
      </w:r>
    </w:p>
    <w:p w14:paraId="7011241A" w14:textId="77777777" w:rsidR="00751453" w:rsidRDefault="00000000">
      <w:r>
        <w:t>[1] Lei nº 14.133/2021 – Lei de Licitações e Contratos Administrativos. Disponível em: https://www.planalto.gov.br/ccivil_03/_ato2019-2022/2021/lei/l14133.htm.</w:t>
      </w:r>
    </w:p>
    <w:p w14:paraId="5CA2F3F4" w14:textId="77777777" w:rsidR="00751453" w:rsidRDefault="00000000">
      <w:r>
        <w:t>[2] IN SEGES nº 58/2022 – Estudos Técnicos Preliminares. Disponível em: https://www.gov.br/compras/pt-br/acesso-a-informacao/legislacao/instrucoes-normativas/instrucao-normativa-seges-no-58-de-8-de-agosto-de-2022.</w:t>
      </w:r>
    </w:p>
    <w:p w14:paraId="7275B0E1" w14:textId="77777777" w:rsidR="00751453" w:rsidRDefault="00000000">
      <w:r>
        <w:t>[3] IN SEGES/ME nº 81/2022 – Termo de Referência. Disponível em: https://www.gov.br/compras/pt-br/acesso-a-informacao/legislacao/instrucoes-normativas/instrucao-normativa-seges-me-no-81-de-25-de-novembro-de-2022.</w:t>
      </w:r>
    </w:p>
    <w:p w14:paraId="280F8E64" w14:textId="77777777" w:rsidR="00751453" w:rsidRDefault="00000000">
      <w:r>
        <w:br/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112"/>
        <w:gridCol w:w="3110"/>
        <w:gridCol w:w="3776"/>
      </w:tblGrid>
      <w:tr w:rsidR="00751453" w14:paraId="62ADE0D8" w14:textId="77777777">
        <w:trPr>
          <w:jc w:val="center"/>
        </w:trPr>
        <w:tc>
          <w:tcPr>
            <w:tcW w:w="3336" w:type="dxa"/>
            <w:shd w:val="clear" w:color="auto" w:fill="D9EAF7"/>
            <w:vAlign w:val="center"/>
          </w:tcPr>
          <w:p w14:paraId="77D66678" w14:textId="77777777" w:rsidR="00751453" w:rsidRDefault="00000000">
            <w:pPr>
              <w:jc w:val="left"/>
            </w:pPr>
            <w:r>
              <w:rPr>
                <w:b/>
                <w:sz w:val="20"/>
              </w:rPr>
              <w:t>Responsável</w:t>
            </w:r>
          </w:p>
        </w:tc>
        <w:tc>
          <w:tcPr>
            <w:tcW w:w="3336" w:type="dxa"/>
            <w:shd w:val="clear" w:color="auto" w:fill="D9EAF7"/>
            <w:vAlign w:val="center"/>
          </w:tcPr>
          <w:p w14:paraId="7726091E" w14:textId="77777777" w:rsidR="00751453" w:rsidRDefault="00000000">
            <w:pPr>
              <w:jc w:val="left"/>
            </w:pPr>
            <w:r>
              <w:rPr>
                <w:b/>
                <w:sz w:val="20"/>
              </w:rPr>
              <w:t>Cargo / identificação</w:t>
            </w:r>
          </w:p>
        </w:tc>
        <w:tc>
          <w:tcPr>
            <w:tcW w:w="3336" w:type="dxa"/>
            <w:shd w:val="clear" w:color="auto" w:fill="D9EAF7"/>
            <w:vAlign w:val="center"/>
          </w:tcPr>
          <w:p w14:paraId="0938CA19" w14:textId="77777777" w:rsidR="00751453" w:rsidRDefault="00000000">
            <w:pPr>
              <w:jc w:val="left"/>
            </w:pPr>
            <w:r>
              <w:rPr>
                <w:b/>
                <w:sz w:val="20"/>
              </w:rPr>
              <w:t>Assinatura e data</w:t>
            </w:r>
          </w:p>
        </w:tc>
      </w:tr>
      <w:tr w:rsidR="00751453" w14:paraId="212E58F6" w14:textId="77777777">
        <w:trPr>
          <w:jc w:val="center"/>
        </w:trPr>
        <w:tc>
          <w:tcPr>
            <w:tcW w:w="3336" w:type="dxa"/>
            <w:vAlign w:val="center"/>
          </w:tcPr>
          <w:p w14:paraId="4397AE69" w14:textId="77777777" w:rsidR="00751453" w:rsidRDefault="00000000">
            <w:pPr>
              <w:jc w:val="left"/>
            </w:pPr>
            <w:r>
              <w:rPr>
                <w:sz w:val="20"/>
              </w:rPr>
              <w:t>André Gonçalves Ferreira – Secretário Municipal de Obras e Transporte</w:t>
            </w:r>
          </w:p>
        </w:tc>
        <w:tc>
          <w:tcPr>
            <w:tcW w:w="3336" w:type="dxa"/>
            <w:vAlign w:val="center"/>
          </w:tcPr>
          <w:p w14:paraId="2D0ADA39" w14:textId="77777777" w:rsidR="00751453" w:rsidRDefault="00000000">
            <w:pPr>
              <w:jc w:val="left"/>
            </w:pPr>
            <w:r>
              <w:rPr>
                <w:sz w:val="20"/>
              </w:rPr>
              <w:t>Requisitante / autoridade técnica</w:t>
            </w:r>
          </w:p>
        </w:tc>
        <w:tc>
          <w:tcPr>
            <w:tcW w:w="3336" w:type="dxa"/>
            <w:vAlign w:val="center"/>
          </w:tcPr>
          <w:p w14:paraId="14627BA6" w14:textId="77777777" w:rsidR="00751453" w:rsidRDefault="00000000">
            <w:pPr>
              <w:jc w:val="left"/>
            </w:pPr>
            <w:r>
              <w:rPr>
                <w:sz w:val="20"/>
              </w:rPr>
              <w:t>________________________________</w:t>
            </w:r>
          </w:p>
        </w:tc>
      </w:tr>
      <w:tr w:rsidR="00751453" w14:paraId="7AF05133" w14:textId="77777777">
        <w:trPr>
          <w:jc w:val="center"/>
        </w:trPr>
        <w:tc>
          <w:tcPr>
            <w:tcW w:w="3336" w:type="dxa"/>
            <w:vAlign w:val="center"/>
          </w:tcPr>
          <w:p w14:paraId="0A179E0D" w14:textId="77777777" w:rsidR="00751453" w:rsidRDefault="00000000">
            <w:pPr>
              <w:jc w:val="left"/>
            </w:pPr>
            <w:r>
              <w:rPr>
                <w:sz w:val="20"/>
              </w:rPr>
              <w:t>Sérgio Renato Silva de Sá – Engenheiro Civil Fiscal – CREA-MG 108.066/D</w:t>
            </w:r>
          </w:p>
        </w:tc>
        <w:tc>
          <w:tcPr>
            <w:tcW w:w="3336" w:type="dxa"/>
            <w:vAlign w:val="center"/>
          </w:tcPr>
          <w:p w14:paraId="4717138B" w14:textId="77777777" w:rsidR="00751453" w:rsidRDefault="00000000">
            <w:pPr>
              <w:jc w:val="left"/>
            </w:pPr>
            <w:r>
              <w:rPr>
                <w:sz w:val="20"/>
              </w:rPr>
              <w:t>Responsável técnico e fiscalização</w:t>
            </w:r>
          </w:p>
        </w:tc>
        <w:tc>
          <w:tcPr>
            <w:tcW w:w="3336" w:type="dxa"/>
            <w:vAlign w:val="center"/>
          </w:tcPr>
          <w:p w14:paraId="5B558586" w14:textId="77777777" w:rsidR="00751453" w:rsidRDefault="00000000">
            <w:pPr>
              <w:jc w:val="left"/>
            </w:pPr>
            <w:r>
              <w:rPr>
                <w:sz w:val="20"/>
              </w:rPr>
              <w:t>________________________________</w:t>
            </w:r>
          </w:p>
        </w:tc>
      </w:tr>
    </w:tbl>
    <w:p w14:paraId="70680477" w14:textId="77777777" w:rsidR="00751453" w:rsidRDefault="00000000">
      <w:pPr>
        <w:pStyle w:val="Ttulo1"/>
      </w:pPr>
      <w:r>
        <w:t>11. Normas e referências técnicas</w:t>
      </w:r>
    </w:p>
    <w:p w14:paraId="61803BA5" w14:textId="77777777" w:rsidR="00751453" w:rsidRDefault="00000000">
      <w:r>
        <w:t>A execução deverá observar a legislação de licitações e contratos, normas ABNT aplicáveis, especificações vigentes do DNIT para concreto asfáltico, imprimação, pintura de ligação, materiais, controle tecnológico, sinalização e segurança, além das normas ambientais e de trânsito. A equipe técnica deverá confirmar a versão vigente da DNIT 031/2024-ES e demais especificações na data do edital.</w:t>
      </w:r>
    </w:p>
    <w:p w14:paraId="0F7D10DF" w14:textId="77777777" w:rsidR="00751453" w:rsidRDefault="00000000">
      <w:pPr>
        <w:pStyle w:val="Ttulo1"/>
      </w:pPr>
      <w:r>
        <w:lastRenderedPageBreak/>
        <w:t>12. Serviços preliminares e organização</w:t>
      </w:r>
    </w:p>
    <w:p w14:paraId="4BFCEC04" w14:textId="77777777" w:rsidR="00751453" w:rsidRDefault="00000000">
      <w:r>
        <w:t>Antes do início, a contratada deverá apresentar plano de ataque, cronograma detalhado, relação de equipamentos, equipe, plano de sinalização, contatos de emergência, fontes de materiais, plano de controle tecnológico e procedimentos de proteção ambiental. Nenhuma frente deverá ser aberta sem sinalização e liberação formal.</w:t>
      </w:r>
    </w:p>
    <w:p w14:paraId="40F7275A" w14:textId="77777777" w:rsidR="00751453" w:rsidRDefault="00000000">
      <w:pPr>
        <w:pStyle w:val="Ttulo1"/>
      </w:pPr>
      <w:r>
        <w:t>13. Terraplanagem e drenagem – interface municipal</w:t>
      </w:r>
    </w:p>
    <w:p w14:paraId="64AD6FA0" w14:textId="77777777" w:rsidR="00751453" w:rsidRDefault="00000000">
      <w:r>
        <w:t>A Prefeitura executará a terraplanagem e a drenagem pluvial, incluindo sarjetas e meio-fio, conforme os quantitativos e detalhes a serem incorporados ao projeto. A fiscalização deverá registrar a liberação de cada segmento, conferindo cotas, caimentos, compactação, limpeza e ausência de pontos de empoçamento. A contratada deverá comunicar qualquer condição que impeça a aplicação do revestimento.</w:t>
      </w:r>
    </w:p>
    <w:p w14:paraId="6CA03559" w14:textId="77777777" w:rsidR="00751453" w:rsidRDefault="00000000">
      <w:pPr>
        <w:pStyle w:val="Ttulo1"/>
      </w:pPr>
      <w:r>
        <w:t>14. Transporte, usinagem e aplicação do CBUQ</w:t>
      </w:r>
    </w:p>
    <w:p w14:paraId="592B8A92" w14:textId="77777777" w:rsidR="00751453" w:rsidRDefault="00000000">
      <w:r>
        <w:t>A massa deverá ser produzida conforme traço aprovado e transportada em quantidade compatível com a capacidade de aplicação, evitando paradas, segregação e perda de temperatura. Os caminhões deverão ser limpos e adequados, com cobertura quando necessária. A aplicação deverá ser contínua e a compactação iniciada na faixa operacional adequada, utilizando sequência de rolos compatível com a mistura e a espessura.</w:t>
      </w:r>
    </w:p>
    <w:p w14:paraId="26278965" w14:textId="192659D3" w:rsidR="00751453" w:rsidRDefault="00000000">
      <w:pPr>
        <w:pStyle w:val="Ttulo1"/>
      </w:pPr>
      <w:r>
        <w:t>1</w:t>
      </w:r>
      <w:r w:rsidR="000B0C3F">
        <w:t>5</w:t>
      </w:r>
      <w:r>
        <w:t>. Defeitos, correções e tolerâncias</w:t>
      </w:r>
    </w:p>
    <w:p w14:paraId="55CEA163" w14:textId="77777777" w:rsidR="00751453" w:rsidRDefault="00000000">
      <w:r>
        <w:t>Segregação, trincas prematuras, ondulações, exsudação, falhas de ligação, desagregação, baixa compactação, espessura insuficiente ou irregularidade acima dos limites deverão ser registrados e corrigidos. A solução de reparo será definida pela fiscalização com base em avaliação técnica, sem prejuízo da responsabilidade da contratada.</w:t>
      </w:r>
    </w:p>
    <w:p w14:paraId="7312278E" w14:textId="0408D016" w:rsidR="00751453" w:rsidRDefault="00000000">
      <w:pPr>
        <w:pStyle w:val="Ttulo1"/>
      </w:pPr>
      <w:r>
        <w:t>1</w:t>
      </w:r>
      <w:r w:rsidR="000B0C3F">
        <w:t>6</w:t>
      </w:r>
      <w:r>
        <w:t>. Meio ambiente e segurança</w:t>
      </w:r>
    </w:p>
    <w:p w14:paraId="1A847590" w14:textId="77777777" w:rsidR="00751453" w:rsidRDefault="00000000">
      <w:r>
        <w:t xml:space="preserve">A contratada deverá prevenir derramamento de ligantes e combustíveis, proteger drenagens e cursos d’água, controlar poeira, ruído e resíduos, manter sinalização, utilizar EPI/EPC e </w:t>
      </w:r>
      <w:r>
        <w:lastRenderedPageBreak/>
        <w:t>treinar operadores. Ocorrências deverão ser comunicadas imediatamente ao Município e às autoridades competentes quando necessário.</w:t>
      </w:r>
    </w:p>
    <w:p w14:paraId="669EDC44" w14:textId="2D40B4E3" w:rsidR="00751453" w:rsidRDefault="00000000">
      <w:pPr>
        <w:pStyle w:val="Ttulo1"/>
      </w:pPr>
      <w:r>
        <w:t>1</w:t>
      </w:r>
      <w:r w:rsidR="000B0C3F">
        <w:t>7</w:t>
      </w:r>
      <w:r>
        <w:t>. Conservação e entrega</w:t>
      </w:r>
    </w:p>
    <w:p w14:paraId="77751D6D" w14:textId="77777777" w:rsidR="00751453" w:rsidRDefault="00000000">
      <w:r>
        <w:t>Até o recebimento definitivo, a contratada deverá conservar a obra, corrigir danos atribuíveis à execução, manter sinalização e remover instalações provisórias. A entrega deverá ser acompanhada de documentação técnica, ensaios, garantias, cadastro do executado, limpeza e relatório fotográfico georreferenciado quando exigido.</w:t>
      </w:r>
    </w:p>
    <w:sectPr w:rsidR="00751453" w:rsidSect="00034616">
      <w:headerReference w:type="default" r:id="rId8"/>
      <w:pgSz w:w="12240" w:h="15840"/>
      <w:pgMar w:top="1008" w:right="1008" w:bottom="1008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432E1" w14:textId="77777777" w:rsidR="004F6D7C" w:rsidRDefault="004F6D7C" w:rsidP="000B0C3F">
      <w:pPr>
        <w:spacing w:after="0" w:line="240" w:lineRule="auto"/>
      </w:pPr>
      <w:r>
        <w:separator/>
      </w:r>
    </w:p>
  </w:endnote>
  <w:endnote w:type="continuationSeparator" w:id="0">
    <w:p w14:paraId="7EDB9E8B" w14:textId="77777777" w:rsidR="004F6D7C" w:rsidRDefault="004F6D7C" w:rsidP="000B0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115F4" w14:textId="77777777" w:rsidR="004F6D7C" w:rsidRDefault="004F6D7C" w:rsidP="000B0C3F">
      <w:pPr>
        <w:spacing w:after="0" w:line="240" w:lineRule="auto"/>
      </w:pPr>
      <w:r>
        <w:separator/>
      </w:r>
    </w:p>
  </w:footnote>
  <w:footnote w:type="continuationSeparator" w:id="0">
    <w:p w14:paraId="0105ED96" w14:textId="77777777" w:rsidR="004F6D7C" w:rsidRDefault="004F6D7C" w:rsidP="000B0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5B2B7" w14:textId="194583A9" w:rsidR="000B0C3F" w:rsidRDefault="000B0C3F" w:rsidP="000B0C3F">
    <w:pPr>
      <w:pStyle w:val="Cabealho"/>
      <w:jc w:val="center"/>
    </w:pPr>
    <w:r>
      <w:rPr>
        <w:noProof/>
      </w:rPr>
      <w:drawing>
        <wp:inline distT="0" distB="0" distL="0" distR="0" wp14:anchorId="6E8429FE" wp14:editId="12D53B02">
          <wp:extent cx="5487035" cy="895985"/>
          <wp:effectExtent l="0" t="0" r="0" b="0"/>
          <wp:docPr id="168051813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7035" cy="895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5644091">
    <w:abstractNumId w:val="8"/>
  </w:num>
  <w:num w:numId="2" w16cid:durableId="620304667">
    <w:abstractNumId w:val="6"/>
  </w:num>
  <w:num w:numId="3" w16cid:durableId="1975015677">
    <w:abstractNumId w:val="5"/>
  </w:num>
  <w:num w:numId="4" w16cid:durableId="126705102">
    <w:abstractNumId w:val="4"/>
  </w:num>
  <w:num w:numId="5" w16cid:durableId="1104610793">
    <w:abstractNumId w:val="7"/>
  </w:num>
  <w:num w:numId="6" w16cid:durableId="1874347523">
    <w:abstractNumId w:val="3"/>
  </w:num>
  <w:num w:numId="7" w16cid:durableId="2114322654">
    <w:abstractNumId w:val="2"/>
  </w:num>
  <w:num w:numId="8" w16cid:durableId="621620189">
    <w:abstractNumId w:val="1"/>
  </w:num>
  <w:num w:numId="9" w16cid:durableId="1853717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0C3F"/>
    <w:rsid w:val="0015074B"/>
    <w:rsid w:val="0029639D"/>
    <w:rsid w:val="00326F90"/>
    <w:rsid w:val="004F6D7C"/>
    <w:rsid w:val="00751453"/>
    <w:rsid w:val="0085469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33E8D94"/>
  <w14:defaultImageDpi w14:val="300"/>
  <w15:docId w15:val="{35616810-4073-498C-A097-463D805A4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360" w:lineRule="auto"/>
      <w:jc w:val="both"/>
    </w:pPr>
    <w:rPr>
      <w:rFonts w:ascii="Arial" w:eastAsia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1059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2026-08-12T15:39:00Z</dcterms:created>
  <dcterms:modified xsi:type="dcterms:W3CDTF">2026-08-12T15:39:00Z</dcterms:modified>
  <cp:category/>
</cp:coreProperties>
</file>