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14024" w14:textId="15EE6A8A" w:rsidR="00EA20E1" w:rsidRPr="00EA20E1" w:rsidRDefault="00FE4635" w:rsidP="000E7470">
      <w:pPr>
        <w:widowControl w:val="0"/>
        <w:pBdr>
          <w:top w:val="nil"/>
          <w:left w:val="nil"/>
          <w:bottom w:val="nil"/>
          <w:right w:val="nil"/>
          <w:between w:val="nil"/>
        </w:pBdr>
        <w:spacing w:before="240" w:after="240" w:line="240" w:lineRule="auto"/>
        <w:jc w:val="center"/>
        <w:rPr>
          <w:rFonts w:ascii="Times New Roman" w:eastAsia="Arial" w:hAnsi="Times New Roman" w:cs="Times New Roman"/>
          <w:b/>
          <w:bCs/>
          <w:sz w:val="24"/>
          <w:szCs w:val="24"/>
        </w:rPr>
      </w:pPr>
      <w:r>
        <w:rPr>
          <w:rFonts w:ascii="Times New Roman" w:hAnsi="Times New Roman" w:cs="Times New Roman"/>
          <w:noProof/>
          <w:sz w:val="24"/>
          <w:szCs w:val="24"/>
        </w:rPr>
        <w:pict w14:anchorId="0894FD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left:0;text-align:left;margin-left:0;margin-top:0;width:50pt;height:50pt;z-index:251658240;visibility:hidden;mso-wrap-edited:f;mso-width-percent:0;mso-height-percent:0;mso-width-percent:0;mso-height-percent:0">
            <o:lock v:ext="edit" selection="t"/>
          </v:shape>
        </w:pict>
      </w:r>
      <w:r>
        <w:rPr>
          <w:rFonts w:ascii="Times New Roman" w:hAnsi="Times New Roman" w:cs="Times New Roman"/>
          <w:noProof/>
          <w:sz w:val="24"/>
          <w:szCs w:val="24"/>
        </w:rPr>
        <w:pict w14:anchorId="56D26DD7">
          <v:shape id="_x0000_s2051" type="#_x0000_t136" alt="" style="position:absolute;left:0;text-align:left;margin-left:0;margin-top:0;width:50pt;height:50pt;z-index:251658241;visibility:hidden;mso-wrap-edited:f;mso-width-percent:0;mso-height-percent:0;mso-width-percent:0;mso-height-percent:0">
            <o:lock v:ext="edit" selection="t"/>
          </v:shape>
        </w:pict>
      </w:r>
      <w:r>
        <w:rPr>
          <w:rFonts w:ascii="Times New Roman" w:hAnsi="Times New Roman" w:cs="Times New Roman"/>
          <w:noProof/>
          <w:sz w:val="24"/>
          <w:szCs w:val="24"/>
        </w:rPr>
        <w:pict w14:anchorId="03A17945">
          <v:shape id="_x0000_s2050" type="#_x0000_t136" alt="" style="position:absolute;left:0;text-align:left;margin-left:0;margin-top:0;width:50pt;height:50pt;z-index:251658242;visibility:hidden;mso-wrap-edited:f;mso-width-percent:0;mso-height-percent:0;mso-width-percent:0;mso-height-percent:0">
            <o:lock v:ext="edit" selection="t"/>
          </v:shape>
        </w:pict>
      </w:r>
      <w:r w:rsidR="00EA20E1" w:rsidRPr="00EA20E1">
        <w:rPr>
          <w:rFonts w:ascii="Times New Roman" w:eastAsia="Arial" w:hAnsi="Times New Roman" w:cs="Times New Roman"/>
          <w:b/>
          <w:bCs/>
          <w:sz w:val="24"/>
          <w:szCs w:val="24"/>
        </w:rPr>
        <w:t xml:space="preserve">ANEXO </w:t>
      </w:r>
    </w:p>
    <w:p w14:paraId="2B63D956" w14:textId="318036B1" w:rsidR="00EA20E1" w:rsidRPr="00EA20E1" w:rsidRDefault="00FB5EFA" w:rsidP="000E7470">
      <w:pPr>
        <w:spacing w:before="240" w:after="240" w:line="240" w:lineRule="auto"/>
        <w:ind w:left="2835"/>
        <w:rPr>
          <w:rFonts w:ascii="Times New Roman" w:eastAsia="Arial" w:hAnsi="Times New Roman" w:cs="Times New Roman"/>
          <w:b/>
          <w:sz w:val="24"/>
          <w:szCs w:val="24"/>
        </w:rPr>
      </w:pPr>
      <w:r w:rsidRPr="00FB5EFA">
        <w:rPr>
          <w:rFonts w:ascii="Times New Roman" w:eastAsia="Arial" w:hAnsi="Times New Roman" w:cs="Times New Roman"/>
          <w:b/>
          <w:sz w:val="24"/>
          <w:szCs w:val="24"/>
        </w:rPr>
        <w:t xml:space="preserve">MINUTA DE </w:t>
      </w:r>
      <w:r w:rsidRPr="00FB5EFA">
        <w:rPr>
          <w:rFonts w:ascii="Times New Roman" w:eastAsia="Arial" w:hAnsi="Times New Roman" w:cs="Times New Roman"/>
          <w:b/>
          <w:noProof/>
          <w:sz w:val="24"/>
          <w:szCs w:val="24"/>
        </w:rPr>
        <mc:AlternateContent>
          <mc:Choice Requires="wps">
            <w:drawing>
              <wp:anchor distT="0" distB="0" distL="114300" distR="114300" simplePos="0" relativeHeight="251660290" behindDoc="0" locked="0" layoutInCell="1" allowOverlap="1" wp14:anchorId="4DB7F7FE" wp14:editId="25B1A484">
                <wp:simplePos x="0" y="0"/>
                <wp:positionH relativeFrom="column">
                  <wp:posOffset>0</wp:posOffset>
                </wp:positionH>
                <wp:positionV relativeFrom="paragraph">
                  <wp:posOffset>0</wp:posOffset>
                </wp:positionV>
                <wp:extent cx="635000" cy="635000"/>
                <wp:effectExtent l="0" t="0" r="0" b="0"/>
                <wp:wrapNone/>
                <wp:docPr id="1548377631" name="Caixa de Texto 1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37A11E" id="_x0000_t202" coordsize="21600,21600" o:spt="202" path="m,l,21600r21600,l21600,xe">
                <v:stroke joinstyle="miter"/>
                <v:path gradientshapeok="t" o:connecttype="rect"/>
              </v:shapetype>
              <v:shape id="Caixa de Texto 17" o:spid="_x0000_s1026" type="#_x0000_t202" style="position:absolute;margin-left:0;margin-top:0;width:50pt;height:50pt;z-index:25166029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B5EFA">
        <w:rPr>
          <w:rFonts w:ascii="Times New Roman" w:eastAsia="Arial" w:hAnsi="Times New Roman" w:cs="Times New Roman"/>
          <w:b/>
          <w:noProof/>
          <w:sz w:val="24"/>
          <w:szCs w:val="24"/>
        </w:rPr>
        <mc:AlternateContent>
          <mc:Choice Requires="wps">
            <w:drawing>
              <wp:anchor distT="0" distB="0" distL="114300" distR="114300" simplePos="0" relativeHeight="251661314" behindDoc="0" locked="0" layoutInCell="1" allowOverlap="1" wp14:anchorId="2B011C3E" wp14:editId="64A54A84">
                <wp:simplePos x="0" y="0"/>
                <wp:positionH relativeFrom="column">
                  <wp:posOffset>0</wp:posOffset>
                </wp:positionH>
                <wp:positionV relativeFrom="paragraph">
                  <wp:posOffset>0</wp:posOffset>
                </wp:positionV>
                <wp:extent cx="635000" cy="635000"/>
                <wp:effectExtent l="0" t="0" r="0" b="0"/>
                <wp:wrapNone/>
                <wp:docPr id="848701218" name="Caixa de Texto 1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D43BAA" id="Caixa de Texto 16" o:spid="_x0000_s1026" type="#_x0000_t202" style="position:absolute;margin-left:0;margin-top:0;width:50pt;height:50pt;z-index:25166131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B5EFA">
        <w:rPr>
          <w:rFonts w:ascii="Times New Roman" w:eastAsia="Arial" w:hAnsi="Times New Roman" w:cs="Times New Roman"/>
          <w:b/>
          <w:noProof/>
          <w:sz w:val="24"/>
          <w:szCs w:val="24"/>
        </w:rPr>
        <mc:AlternateContent>
          <mc:Choice Requires="wps">
            <w:drawing>
              <wp:anchor distT="0" distB="0" distL="114300" distR="114300" simplePos="0" relativeHeight="251662338" behindDoc="0" locked="0" layoutInCell="1" allowOverlap="1" wp14:anchorId="34289B8C" wp14:editId="14E40B6D">
                <wp:simplePos x="0" y="0"/>
                <wp:positionH relativeFrom="column">
                  <wp:posOffset>0</wp:posOffset>
                </wp:positionH>
                <wp:positionV relativeFrom="paragraph">
                  <wp:posOffset>0</wp:posOffset>
                </wp:positionV>
                <wp:extent cx="635000" cy="635000"/>
                <wp:effectExtent l="0" t="0" r="0" b="0"/>
                <wp:wrapNone/>
                <wp:docPr id="1472672890" name="Caixa de Texto 1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6BDA09" id="Caixa de Texto 15" o:spid="_x0000_s1026" type="#_x0000_t202" style="position:absolute;margin-left:0;margin-top:0;width:50pt;height:50pt;z-index:25166233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B5EFA">
        <w:rPr>
          <w:rFonts w:ascii="Times New Roman" w:eastAsia="Arial" w:hAnsi="Times New Roman" w:cs="Times New Roman"/>
          <w:b/>
          <w:sz w:val="24"/>
          <w:szCs w:val="24"/>
        </w:rPr>
        <w:t xml:space="preserve">INSTRUMENTO CONTRATUAL PARA </w:t>
      </w:r>
      <w:r w:rsidR="00E36796" w:rsidRPr="00E36796">
        <w:rPr>
          <w:rFonts w:ascii="Times New Roman" w:eastAsia="Arial" w:hAnsi="Times New Roman" w:cs="Times New Roman"/>
          <w:b/>
          <w:sz w:val="24"/>
          <w:szCs w:val="24"/>
        </w:rPr>
        <w:t>MANUTENÇÃO DE PORTÕES</w:t>
      </w:r>
      <w:r w:rsidR="00E36796">
        <w:rPr>
          <w:rFonts w:ascii="Times New Roman" w:eastAsia="Arial" w:hAnsi="Times New Roman" w:cs="Times New Roman"/>
          <w:b/>
          <w:sz w:val="24"/>
          <w:szCs w:val="24"/>
        </w:rPr>
        <w:t xml:space="preserve"> </w:t>
      </w:r>
      <w:r w:rsidR="00E36796" w:rsidRPr="00E36796">
        <w:rPr>
          <w:rFonts w:ascii="Times New Roman" w:eastAsia="Arial" w:hAnsi="Times New Roman" w:cs="Times New Roman"/>
          <w:b/>
          <w:sz w:val="24"/>
          <w:szCs w:val="24"/>
        </w:rPr>
        <w:t>E CANCELAS COM FORNECIMENTO DE PEÇAS</w:t>
      </w:r>
      <w:r w:rsidRPr="00FB5EFA">
        <w:rPr>
          <w:rFonts w:ascii="Times New Roman" w:eastAsia="Arial" w:hAnsi="Times New Roman" w:cs="Times New Roman"/>
          <w:b/>
          <w:sz w:val="24"/>
          <w:szCs w:val="24"/>
        </w:rPr>
        <w:t xml:space="preserve"> QUE ENTRE SI CELEBRAM O DEPARTAMENTO MUNICIPAL DE ÁGUA E ESGOTO E _______</w:t>
      </w:r>
      <w:r w:rsidR="00EA20E1" w:rsidRPr="00EA20E1">
        <w:rPr>
          <w:rFonts w:ascii="Times New Roman" w:eastAsia="Arial" w:hAnsi="Times New Roman" w:cs="Times New Roman"/>
          <w:b/>
          <w:sz w:val="24"/>
          <w:szCs w:val="24"/>
        </w:rPr>
        <w:t>.</w:t>
      </w:r>
    </w:p>
    <w:p w14:paraId="6FFBDBE2" w14:textId="06881715" w:rsidR="00EA20E1" w:rsidRDefault="0010064E" w:rsidP="000406A9">
      <w:pPr>
        <w:spacing w:before="0" w:after="0" w:line="240" w:lineRule="auto"/>
        <w:ind w:left="2835"/>
        <w:rPr>
          <w:rFonts w:ascii="Times New Roman" w:eastAsia="Arial" w:hAnsi="Times New Roman" w:cs="Times New Roman"/>
          <w:b/>
          <w:sz w:val="24"/>
          <w:szCs w:val="24"/>
        </w:rPr>
      </w:pPr>
      <w:r w:rsidRPr="0010064E">
        <w:rPr>
          <w:rFonts w:ascii="Times New Roman" w:eastAsia="Arial" w:hAnsi="Times New Roman" w:cs="Times New Roman"/>
          <w:b/>
          <w:bCs/>
          <w:sz w:val="24"/>
          <w:szCs w:val="24"/>
        </w:rPr>
        <w:t xml:space="preserve">DISPENSÁVEL À LICITAÇÃO Nº </w:t>
      </w:r>
      <w:r w:rsidR="00E36796">
        <w:rPr>
          <w:rFonts w:ascii="Times New Roman" w:eastAsia="Arial" w:hAnsi="Times New Roman" w:cs="Times New Roman"/>
          <w:b/>
          <w:bCs/>
          <w:sz w:val="24"/>
          <w:szCs w:val="24"/>
        </w:rPr>
        <w:t>058</w:t>
      </w:r>
      <w:r w:rsidRPr="0010064E">
        <w:rPr>
          <w:rFonts w:ascii="Times New Roman" w:eastAsia="Arial" w:hAnsi="Times New Roman" w:cs="Times New Roman"/>
          <w:b/>
          <w:bCs/>
          <w:sz w:val="24"/>
          <w:szCs w:val="24"/>
        </w:rPr>
        <w:t>/2026</w:t>
      </w:r>
      <w:r w:rsidR="00EA20E1" w:rsidRPr="00EA20E1">
        <w:rPr>
          <w:rFonts w:ascii="Times New Roman" w:eastAsia="Arial" w:hAnsi="Times New Roman" w:cs="Times New Roman"/>
          <w:b/>
          <w:sz w:val="24"/>
          <w:szCs w:val="24"/>
        </w:rPr>
        <w:t xml:space="preserve"> </w:t>
      </w:r>
    </w:p>
    <w:p w14:paraId="4C9261EA" w14:textId="77777777" w:rsidR="0010064E" w:rsidRPr="00EA20E1" w:rsidRDefault="0010064E" w:rsidP="000406A9">
      <w:pPr>
        <w:spacing w:before="0" w:after="0" w:line="240" w:lineRule="auto"/>
        <w:ind w:left="2835"/>
        <w:rPr>
          <w:rFonts w:ascii="Times New Roman" w:eastAsia="Arial" w:hAnsi="Times New Roman" w:cs="Times New Roman"/>
          <w:b/>
          <w:sz w:val="24"/>
          <w:szCs w:val="24"/>
        </w:rPr>
      </w:pPr>
    </w:p>
    <w:p w14:paraId="2C2F5FE5" w14:textId="77777777" w:rsidR="00EA20E1" w:rsidRPr="00EA20E1" w:rsidRDefault="00EA20E1" w:rsidP="000406A9">
      <w:pPr>
        <w:spacing w:before="0" w:after="0" w:line="240" w:lineRule="auto"/>
        <w:ind w:left="2835"/>
        <w:rPr>
          <w:rFonts w:ascii="Times New Roman" w:eastAsia="Arial" w:hAnsi="Times New Roman" w:cs="Times New Roman"/>
          <w:b/>
          <w:bCs/>
          <w:sz w:val="24"/>
          <w:szCs w:val="24"/>
        </w:rPr>
      </w:pPr>
      <w:r w:rsidRPr="00EA20E1">
        <w:rPr>
          <w:rFonts w:ascii="Times New Roman" w:eastAsia="Arial" w:hAnsi="Times New Roman" w:cs="Times New Roman"/>
          <w:b/>
          <w:bCs/>
          <w:sz w:val="24"/>
          <w:szCs w:val="24"/>
        </w:rPr>
        <w:t>CONTRATO ADMINISTRATIVO Nº</w:t>
      </w:r>
    </w:p>
    <w:p w14:paraId="0000000A" w14:textId="77777777" w:rsidR="000464B0" w:rsidRPr="000E7470" w:rsidRDefault="000464B0" w:rsidP="000E7470">
      <w:pPr>
        <w:spacing w:before="240" w:after="240" w:line="240" w:lineRule="auto"/>
        <w:ind w:firstLine="2835"/>
        <w:rPr>
          <w:rFonts w:ascii="Times New Roman" w:eastAsia="Arial" w:hAnsi="Times New Roman" w:cs="Times New Roman"/>
          <w:sz w:val="24"/>
          <w:szCs w:val="24"/>
        </w:rPr>
      </w:pPr>
    </w:p>
    <w:p w14:paraId="0000000C" w14:textId="27A5E34B"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PRIMEIRA - PARTES E FUNDAMENTO</w:t>
      </w:r>
    </w:p>
    <w:p w14:paraId="6DBBCA31" w14:textId="714D68A1" w:rsidR="009477F9" w:rsidRPr="000E7470" w:rsidRDefault="00C46C29"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b/>
          <w:sz w:val="24"/>
          <w:szCs w:val="24"/>
        </w:rPr>
        <w:t>CONTRATANTE:</w:t>
      </w:r>
      <w:r w:rsidRPr="000E7470">
        <w:rPr>
          <w:rFonts w:ascii="Times New Roman" w:hAnsi="Times New Roman" w:cs="Times New Roman"/>
          <w:sz w:val="24"/>
          <w:szCs w:val="24"/>
        </w:rPr>
        <w:t xml:space="preserve"> </w:t>
      </w:r>
      <w:r w:rsidRPr="000E7470">
        <w:rPr>
          <w:rFonts w:ascii="Times New Roman" w:hAnsi="Times New Roman" w:cs="Times New Roman"/>
          <w:b/>
          <w:sz w:val="24"/>
          <w:szCs w:val="24"/>
        </w:rPr>
        <w:t>DEPARTAMENTO MUNICIPAL DE ÁGUA E ESGOTO - DMAE</w:t>
      </w:r>
      <w:r w:rsidRPr="000E7470">
        <w:rPr>
          <w:rFonts w:ascii="Times New Roman" w:hAnsi="Times New Roman" w:cs="Times New Roman"/>
          <w:sz w:val="24"/>
          <w:szCs w:val="24"/>
        </w:rPr>
        <w:t>, com sede nesta cidade de Uberlândia, na Avenida Rondon Pacheco nº 6400, Bairro Tibery, inscrito no CNPJ sob nº 25.769.548/0001-21, neste ato representado</w:t>
      </w:r>
      <w:r w:rsidRPr="000E7470">
        <w:rPr>
          <w:rFonts w:ascii="Times New Roman" w:hAnsi="Times New Roman" w:cs="Times New Roman"/>
          <w:b/>
          <w:sz w:val="24"/>
          <w:szCs w:val="24"/>
        </w:rPr>
        <w:t xml:space="preserve"> </w:t>
      </w:r>
      <w:r w:rsidRPr="000E7470">
        <w:rPr>
          <w:rFonts w:ascii="Times New Roman" w:hAnsi="Times New Roman" w:cs="Times New Roman"/>
          <w:sz w:val="24"/>
          <w:szCs w:val="24"/>
        </w:rPr>
        <w:t xml:space="preserve">pelo </w:t>
      </w:r>
      <w:r w:rsidRPr="000E7470">
        <w:rPr>
          <w:rFonts w:ascii="Times New Roman" w:hAnsi="Times New Roman" w:cs="Times New Roman"/>
          <w:b/>
          <w:sz w:val="24"/>
          <w:szCs w:val="24"/>
        </w:rPr>
        <w:t xml:space="preserve">Diretor Geral, </w:t>
      </w:r>
      <w:bookmarkStart w:id="0" w:name="_Hlk192494572"/>
      <w:r w:rsidRPr="000E7470">
        <w:rPr>
          <w:rFonts w:ascii="Times New Roman" w:hAnsi="Times New Roman" w:cs="Times New Roman"/>
          <w:b/>
          <w:sz w:val="24"/>
          <w:szCs w:val="24"/>
        </w:rPr>
        <w:t>Rodrigo Sávio Couto de Lacerda</w:t>
      </w:r>
      <w:bookmarkEnd w:id="0"/>
      <w:r w:rsidRPr="000E7470">
        <w:rPr>
          <w:rFonts w:ascii="Times New Roman" w:hAnsi="Times New Roman" w:cs="Times New Roman"/>
          <w:sz w:val="24"/>
          <w:szCs w:val="24"/>
        </w:rPr>
        <w:t xml:space="preserve"> (no uso de suas atribuições legais, por delegação de poderes na forma do Decreto s/nº publicado no DOM nº 7060 de 10 de março de 2025 e pelo Decreto nº 21.567 de 1º de janeiro de 2025 e alterações posteriores) </w:t>
      </w:r>
      <w:r w:rsidR="00E36796" w:rsidRPr="00E36796">
        <w:rPr>
          <w:rFonts w:ascii="Times New Roman" w:hAnsi="Times New Roman" w:cs="Times New Roman"/>
          <w:sz w:val="24"/>
          <w:szCs w:val="24"/>
          <w:lang w:val="pt-PT"/>
        </w:rPr>
        <w:t xml:space="preserve">e pelo </w:t>
      </w:r>
      <w:r w:rsidR="00E36796" w:rsidRPr="00E36796">
        <w:rPr>
          <w:rFonts w:ascii="Times New Roman" w:hAnsi="Times New Roman" w:cs="Times New Roman"/>
          <w:b/>
          <w:sz w:val="24"/>
          <w:szCs w:val="24"/>
        </w:rPr>
        <w:t xml:space="preserve">Diretor Administrativo. Fábio Guilherme </w:t>
      </w:r>
      <w:proofErr w:type="spellStart"/>
      <w:r w:rsidR="00E36796" w:rsidRPr="00E36796">
        <w:rPr>
          <w:rFonts w:ascii="Times New Roman" w:hAnsi="Times New Roman" w:cs="Times New Roman"/>
          <w:b/>
          <w:sz w:val="24"/>
          <w:szCs w:val="24"/>
        </w:rPr>
        <w:t>Depin</w:t>
      </w:r>
      <w:proofErr w:type="spellEnd"/>
      <w:r w:rsidR="00E36796" w:rsidRPr="00E36796">
        <w:rPr>
          <w:rFonts w:ascii="Times New Roman" w:hAnsi="Times New Roman" w:cs="Times New Roman"/>
          <w:b/>
          <w:sz w:val="24"/>
          <w:szCs w:val="24"/>
        </w:rPr>
        <w:t>, (</w:t>
      </w:r>
      <w:r w:rsidR="00E36796" w:rsidRPr="00E36796">
        <w:rPr>
          <w:rFonts w:ascii="Times New Roman" w:hAnsi="Times New Roman" w:cs="Times New Roman"/>
          <w:sz w:val="24"/>
          <w:szCs w:val="24"/>
        </w:rPr>
        <w:t>no uso de suas atribuições legais, na forma da Portaria nº 058 publicada no DOM nº 7036 de 3 de fevereiro de 2025), ambos brasileiros, residentes e domiciliados nesta cidade.</w:t>
      </w:r>
    </w:p>
    <w:p w14:paraId="00000010" w14:textId="03AC7ADB" w:rsidR="000464B0" w:rsidRPr="008E17C7" w:rsidRDefault="00C46C29" w:rsidP="000E7470">
      <w:pPr>
        <w:pStyle w:val="Ttulo2"/>
        <w:spacing w:before="240" w:after="240" w:line="240" w:lineRule="auto"/>
        <w:ind w:firstLine="2835"/>
        <w:rPr>
          <w:rFonts w:ascii="Times New Roman" w:hAnsi="Times New Roman" w:cs="Times New Roman"/>
          <w:sz w:val="24"/>
          <w:szCs w:val="24"/>
        </w:rPr>
      </w:pPr>
      <w:r w:rsidRPr="008E17C7">
        <w:rPr>
          <w:rFonts w:ascii="Times New Roman" w:hAnsi="Times New Roman" w:cs="Times New Roman"/>
          <w:b/>
          <w:color w:val="000000" w:themeColor="text1"/>
          <w:sz w:val="24"/>
          <w:szCs w:val="24"/>
        </w:rPr>
        <w:t>CONTRATADO:</w:t>
      </w:r>
    </w:p>
    <w:p w14:paraId="0000002B" w14:textId="0131E126" w:rsidR="000464B0" w:rsidRPr="008E17C7" w:rsidRDefault="00C46C29" w:rsidP="000E7470">
      <w:pPr>
        <w:pStyle w:val="Ttulo2"/>
        <w:spacing w:before="240" w:after="240" w:line="240" w:lineRule="auto"/>
        <w:ind w:firstLine="2835"/>
        <w:rPr>
          <w:rFonts w:ascii="Times New Roman" w:eastAsia="Arial" w:hAnsi="Times New Roman" w:cs="Times New Roman"/>
          <w:sz w:val="24"/>
          <w:szCs w:val="24"/>
        </w:rPr>
      </w:pPr>
      <w:r w:rsidRPr="008E17C7">
        <w:rPr>
          <w:rFonts w:ascii="Times New Roman" w:hAnsi="Times New Roman" w:cs="Times New Roman"/>
          <w:b/>
          <w:sz w:val="24"/>
          <w:szCs w:val="24"/>
        </w:rPr>
        <w:t>FUNDAMENTO:</w:t>
      </w:r>
      <w:r w:rsidRPr="008E17C7">
        <w:rPr>
          <w:rFonts w:ascii="Times New Roman" w:hAnsi="Times New Roman" w:cs="Times New Roman"/>
          <w:sz w:val="24"/>
          <w:szCs w:val="24"/>
        </w:rPr>
        <w:t xml:space="preserve"> </w:t>
      </w:r>
      <w:r w:rsidR="0010064E" w:rsidRPr="0010064E">
        <w:rPr>
          <w:rFonts w:ascii="Times New Roman" w:hAnsi="Times New Roman" w:cs="Times New Roman"/>
          <w:sz w:val="24"/>
          <w:szCs w:val="24"/>
        </w:rPr>
        <w:t xml:space="preserve">A presente contratação decorre do processo de </w:t>
      </w:r>
      <w:r w:rsidR="0010064E" w:rsidRPr="0010064E">
        <w:rPr>
          <w:rFonts w:ascii="Times New Roman" w:hAnsi="Times New Roman" w:cs="Times New Roman"/>
          <w:b/>
          <w:sz w:val="24"/>
          <w:szCs w:val="24"/>
        </w:rPr>
        <w:t xml:space="preserve">Dispensa de Licitação nº </w:t>
      </w:r>
      <w:r w:rsidR="00E36796">
        <w:rPr>
          <w:rFonts w:ascii="Times New Roman" w:hAnsi="Times New Roman" w:cs="Times New Roman"/>
          <w:b/>
          <w:sz w:val="24"/>
          <w:szCs w:val="24"/>
        </w:rPr>
        <w:t>058</w:t>
      </w:r>
      <w:r w:rsidR="0010064E" w:rsidRPr="0010064E">
        <w:rPr>
          <w:rFonts w:ascii="Times New Roman" w:hAnsi="Times New Roman" w:cs="Times New Roman"/>
          <w:b/>
          <w:sz w:val="24"/>
          <w:szCs w:val="24"/>
        </w:rPr>
        <w:t>/2026</w:t>
      </w:r>
      <w:r w:rsidR="0010064E" w:rsidRPr="0010064E">
        <w:rPr>
          <w:rFonts w:ascii="Times New Roman" w:hAnsi="Times New Roman" w:cs="Times New Roman"/>
          <w:sz w:val="24"/>
          <w:szCs w:val="24"/>
        </w:rPr>
        <w:t xml:space="preserve">, fundamentado no </w:t>
      </w:r>
      <w:r w:rsidR="0010064E" w:rsidRPr="0010064E">
        <w:rPr>
          <w:rFonts w:ascii="Times New Roman" w:hAnsi="Times New Roman" w:cs="Times New Roman"/>
          <w:b/>
          <w:sz w:val="24"/>
          <w:szCs w:val="24"/>
        </w:rPr>
        <w:t>art. 75, inc. II da Lei Federal nº 14.133, de 1º de abril de 2021</w:t>
      </w:r>
      <w:r w:rsidR="0010064E" w:rsidRPr="0010064E">
        <w:rPr>
          <w:rFonts w:ascii="Times New Roman" w:hAnsi="Times New Roman" w:cs="Times New Roman"/>
          <w:sz w:val="24"/>
          <w:szCs w:val="24"/>
        </w:rPr>
        <w:t xml:space="preserve">, por meio de dispensa eletrônica, nos termos do </w:t>
      </w:r>
      <w:r w:rsidR="0010064E" w:rsidRPr="0010064E">
        <w:rPr>
          <w:rFonts w:ascii="Times New Roman" w:hAnsi="Times New Roman" w:cs="Times New Roman"/>
          <w:b/>
          <w:sz w:val="24"/>
          <w:szCs w:val="24"/>
        </w:rPr>
        <w:t>art. 96-A do Decreto Municipal 20.154</w:t>
      </w:r>
      <w:r w:rsidR="0010064E" w:rsidRPr="0010064E">
        <w:rPr>
          <w:rFonts w:ascii="Times New Roman" w:hAnsi="Times New Roman" w:cs="Times New Roman"/>
          <w:sz w:val="24"/>
          <w:szCs w:val="24"/>
        </w:rPr>
        <w:t>, de 1º de fevereiro de 2023 e demais normas pertinentes, bem como pelas disposições contidas neste instrumento.</w:t>
      </w:r>
    </w:p>
    <w:p w14:paraId="0000002D" w14:textId="010284E1"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SEGUNDA - DO OBJETO E PREÇOS</w:t>
      </w:r>
    </w:p>
    <w:p w14:paraId="0000002F" w14:textId="453F2D40" w:rsidR="000464B0" w:rsidRPr="000E7470" w:rsidRDefault="00FB5EFA" w:rsidP="000E7470">
      <w:pPr>
        <w:pStyle w:val="Ttulo2"/>
        <w:spacing w:before="240" w:after="240" w:line="240" w:lineRule="auto"/>
        <w:ind w:firstLine="2835"/>
        <w:rPr>
          <w:rFonts w:ascii="Times New Roman" w:hAnsi="Times New Roman" w:cs="Times New Roman"/>
          <w:sz w:val="24"/>
          <w:szCs w:val="24"/>
        </w:rPr>
      </w:pPr>
      <w:r w:rsidRPr="00FB5EFA">
        <w:rPr>
          <w:rFonts w:ascii="Times New Roman" w:hAnsi="Times New Roman" w:cs="Times New Roman"/>
          <w:sz w:val="24"/>
          <w:szCs w:val="24"/>
        </w:rPr>
        <w:t xml:space="preserve">Contratação de empresa para </w:t>
      </w:r>
      <w:r w:rsidR="00E36796">
        <w:rPr>
          <w:rFonts w:ascii="Times New Roman" w:hAnsi="Times New Roman" w:cs="Times New Roman"/>
          <w:sz w:val="24"/>
          <w:szCs w:val="24"/>
        </w:rPr>
        <w:t xml:space="preserve">prestação </w:t>
      </w:r>
      <w:r w:rsidR="00E36796" w:rsidRPr="00E36796">
        <w:rPr>
          <w:rFonts w:ascii="Times New Roman" w:hAnsi="Times New Roman" w:cs="Times New Roman"/>
          <w:b/>
          <w:sz w:val="24"/>
          <w:szCs w:val="24"/>
        </w:rPr>
        <w:t>de serviço de manutenção de portões e cancelas com fornecimento de peças</w:t>
      </w:r>
      <w:r w:rsidRPr="00FB5EFA">
        <w:rPr>
          <w:rFonts w:ascii="Times New Roman" w:hAnsi="Times New Roman" w:cs="Times New Roman"/>
          <w:sz w:val="24"/>
          <w:szCs w:val="24"/>
        </w:rPr>
        <w:t>, em atendimento à Diretoria</w:t>
      </w:r>
      <w:r w:rsidR="00E36796">
        <w:rPr>
          <w:rFonts w:ascii="Times New Roman" w:hAnsi="Times New Roman" w:cs="Times New Roman"/>
          <w:sz w:val="24"/>
          <w:szCs w:val="24"/>
        </w:rPr>
        <w:t xml:space="preserve"> </w:t>
      </w:r>
      <w:r w:rsidR="00E36796">
        <w:rPr>
          <w:rFonts w:ascii="Times New Roman" w:hAnsi="Times New Roman" w:cs="Times New Roman"/>
          <w:bCs w:val="0"/>
          <w:sz w:val="24"/>
          <w:szCs w:val="24"/>
        </w:rPr>
        <w:t>Administrativa</w:t>
      </w:r>
      <w:r w:rsidRPr="00FB5EFA">
        <w:rPr>
          <w:rFonts w:ascii="Times New Roman" w:hAnsi="Times New Roman" w:cs="Times New Roman"/>
          <w:sz w:val="24"/>
          <w:szCs w:val="24"/>
        </w:rPr>
        <w:t>, conforme condições, quantidades e exigências estabelecidas no Termo de Referência.</w:t>
      </w:r>
    </w:p>
    <w:p w14:paraId="00000031" w14:textId="0804FC1C" w:rsidR="000464B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Objeto da contratação:</w:t>
      </w:r>
    </w:p>
    <w:tbl>
      <w:tblPr>
        <w:tblStyle w:val="Tabelacomgrade"/>
        <w:tblW w:w="4267" w:type="pct"/>
        <w:jc w:val="center"/>
        <w:tblInd w:w="0" w:type="dxa"/>
        <w:tblCellMar>
          <w:top w:w="28" w:type="dxa"/>
          <w:left w:w="28" w:type="dxa"/>
          <w:bottom w:w="28" w:type="dxa"/>
          <w:right w:w="28" w:type="dxa"/>
        </w:tblCellMar>
        <w:tblLook w:val="04A0" w:firstRow="1" w:lastRow="0" w:firstColumn="1" w:lastColumn="0" w:noHBand="0" w:noVBand="1"/>
      </w:tblPr>
      <w:tblGrid>
        <w:gridCol w:w="457"/>
        <w:gridCol w:w="779"/>
        <w:gridCol w:w="4713"/>
        <w:gridCol w:w="2268"/>
      </w:tblGrid>
      <w:tr w:rsidR="00FC7BC3" w14:paraId="74952071" w14:textId="77777777" w:rsidTr="00FC7BC3">
        <w:trPr>
          <w:trHeight w:val="321"/>
          <w:jc w:val="center"/>
        </w:trPr>
        <w:tc>
          <w:tcPr>
            <w:tcW w:w="278" w:type="pct"/>
            <w:tcBorders>
              <w:top w:val="single" w:sz="4" w:space="0" w:color="auto"/>
              <w:left w:val="single" w:sz="4" w:space="0" w:color="auto"/>
              <w:bottom w:val="single" w:sz="4" w:space="0" w:color="auto"/>
              <w:right w:val="single" w:sz="4" w:space="0" w:color="auto"/>
            </w:tcBorders>
            <w:vAlign w:val="center"/>
            <w:hideMark/>
          </w:tcPr>
          <w:p w14:paraId="42B0F54A" w14:textId="77777777" w:rsidR="00FC7BC3" w:rsidRDefault="00FC7BC3" w:rsidP="00D3109A">
            <w:pPr>
              <w:pStyle w:val="Corpodetexto"/>
              <w:jc w:val="center"/>
              <w:rPr>
                <w:b/>
                <w:bCs/>
                <w:sz w:val="20"/>
              </w:rPr>
            </w:pPr>
            <w:r>
              <w:rPr>
                <w:b/>
                <w:bCs/>
                <w:sz w:val="20"/>
              </w:rPr>
              <w:t>Item</w:t>
            </w:r>
          </w:p>
        </w:tc>
        <w:tc>
          <w:tcPr>
            <w:tcW w:w="474" w:type="pct"/>
            <w:tcBorders>
              <w:top w:val="single" w:sz="4" w:space="0" w:color="auto"/>
              <w:left w:val="single" w:sz="4" w:space="0" w:color="auto"/>
              <w:bottom w:val="single" w:sz="4" w:space="0" w:color="auto"/>
              <w:right w:val="single" w:sz="4" w:space="0" w:color="auto"/>
            </w:tcBorders>
            <w:vAlign w:val="center"/>
          </w:tcPr>
          <w:p w14:paraId="759C1E27" w14:textId="2C84BB82" w:rsidR="00FC7BC3" w:rsidRDefault="00FC7BC3" w:rsidP="00FC7BC3">
            <w:pPr>
              <w:pStyle w:val="Corpodetexto"/>
              <w:jc w:val="center"/>
              <w:rPr>
                <w:b/>
                <w:bCs/>
                <w:sz w:val="20"/>
              </w:rPr>
            </w:pPr>
            <w:r>
              <w:rPr>
                <w:b/>
                <w:bCs/>
                <w:sz w:val="20"/>
              </w:rPr>
              <w:t>Unidade</w:t>
            </w:r>
          </w:p>
        </w:tc>
        <w:tc>
          <w:tcPr>
            <w:tcW w:w="2868" w:type="pct"/>
            <w:tcBorders>
              <w:top w:val="single" w:sz="4" w:space="0" w:color="auto"/>
              <w:left w:val="single" w:sz="4" w:space="0" w:color="auto"/>
              <w:bottom w:val="single" w:sz="4" w:space="0" w:color="auto"/>
              <w:right w:val="single" w:sz="4" w:space="0" w:color="auto"/>
            </w:tcBorders>
            <w:vAlign w:val="center"/>
            <w:hideMark/>
          </w:tcPr>
          <w:p w14:paraId="154CC123" w14:textId="4A889A81" w:rsidR="00FC7BC3" w:rsidRDefault="00FC7BC3" w:rsidP="00D3109A">
            <w:pPr>
              <w:pStyle w:val="Corpodetexto"/>
              <w:jc w:val="center"/>
              <w:rPr>
                <w:b/>
                <w:bCs/>
                <w:sz w:val="20"/>
              </w:rPr>
            </w:pPr>
            <w:r>
              <w:rPr>
                <w:b/>
                <w:bCs/>
                <w:sz w:val="20"/>
              </w:rPr>
              <w:t>Descrição Item</w:t>
            </w:r>
          </w:p>
        </w:tc>
        <w:tc>
          <w:tcPr>
            <w:tcW w:w="1380" w:type="pct"/>
            <w:tcBorders>
              <w:top w:val="single" w:sz="4" w:space="0" w:color="auto"/>
              <w:left w:val="single" w:sz="4" w:space="0" w:color="auto"/>
              <w:bottom w:val="single" w:sz="4" w:space="0" w:color="auto"/>
              <w:right w:val="single" w:sz="4" w:space="0" w:color="auto"/>
            </w:tcBorders>
            <w:vAlign w:val="center"/>
            <w:hideMark/>
          </w:tcPr>
          <w:p w14:paraId="13F68D3D" w14:textId="1A977C78" w:rsidR="00FC7BC3" w:rsidRDefault="00FC7BC3" w:rsidP="00D3109A">
            <w:pPr>
              <w:pStyle w:val="Corpodetexto"/>
              <w:jc w:val="center"/>
              <w:rPr>
                <w:b/>
                <w:bCs/>
                <w:sz w:val="20"/>
              </w:rPr>
            </w:pPr>
            <w:r>
              <w:rPr>
                <w:b/>
                <w:bCs/>
                <w:sz w:val="20"/>
              </w:rPr>
              <w:t xml:space="preserve">Desconto linear </w:t>
            </w:r>
          </w:p>
        </w:tc>
      </w:tr>
      <w:tr w:rsidR="00FC7BC3" w14:paraId="1B24EA6F" w14:textId="77777777" w:rsidTr="00FC7BC3">
        <w:trPr>
          <w:trHeight w:val="321"/>
          <w:jc w:val="center"/>
        </w:trPr>
        <w:tc>
          <w:tcPr>
            <w:tcW w:w="278" w:type="pct"/>
            <w:tcBorders>
              <w:top w:val="single" w:sz="4" w:space="0" w:color="auto"/>
              <w:left w:val="single" w:sz="4" w:space="0" w:color="auto"/>
              <w:bottom w:val="single" w:sz="4" w:space="0" w:color="auto"/>
              <w:right w:val="single" w:sz="4" w:space="0" w:color="auto"/>
            </w:tcBorders>
            <w:vAlign w:val="center"/>
            <w:hideMark/>
          </w:tcPr>
          <w:p w14:paraId="180A939A" w14:textId="77777777" w:rsidR="00FC7BC3" w:rsidRDefault="00FC7BC3" w:rsidP="00D3109A">
            <w:pPr>
              <w:pStyle w:val="Corpodetexto"/>
              <w:jc w:val="center"/>
              <w:rPr>
                <w:b/>
                <w:bCs/>
                <w:sz w:val="20"/>
              </w:rPr>
            </w:pPr>
            <w:r>
              <w:rPr>
                <w:b/>
                <w:bCs/>
                <w:sz w:val="20"/>
              </w:rPr>
              <w:t>01</w:t>
            </w:r>
          </w:p>
        </w:tc>
        <w:tc>
          <w:tcPr>
            <w:tcW w:w="474" w:type="pct"/>
            <w:tcBorders>
              <w:top w:val="single" w:sz="4" w:space="0" w:color="auto"/>
              <w:left w:val="single" w:sz="4" w:space="0" w:color="auto"/>
              <w:bottom w:val="single" w:sz="4" w:space="0" w:color="auto"/>
              <w:right w:val="single" w:sz="4" w:space="0" w:color="auto"/>
            </w:tcBorders>
            <w:vAlign w:val="center"/>
          </w:tcPr>
          <w:p w14:paraId="36810DEC" w14:textId="3A0E0DB6" w:rsidR="00FC7BC3" w:rsidRPr="00FC7BC3" w:rsidRDefault="00FC7BC3" w:rsidP="00FC7BC3">
            <w:pPr>
              <w:pStyle w:val="Corpodetexto"/>
              <w:jc w:val="center"/>
              <w:rPr>
                <w:sz w:val="20"/>
              </w:rPr>
            </w:pPr>
            <w:r w:rsidRPr="00FC7BC3">
              <w:rPr>
                <w:sz w:val="20"/>
              </w:rPr>
              <w:t>HS</w:t>
            </w:r>
          </w:p>
        </w:tc>
        <w:tc>
          <w:tcPr>
            <w:tcW w:w="2868" w:type="pct"/>
            <w:tcBorders>
              <w:top w:val="single" w:sz="4" w:space="0" w:color="auto"/>
              <w:left w:val="single" w:sz="4" w:space="0" w:color="auto"/>
              <w:bottom w:val="single" w:sz="4" w:space="0" w:color="auto"/>
              <w:right w:val="single" w:sz="4" w:space="0" w:color="auto"/>
            </w:tcBorders>
            <w:vAlign w:val="center"/>
            <w:hideMark/>
          </w:tcPr>
          <w:p w14:paraId="2FB564C9" w14:textId="013DAF77" w:rsidR="00FC7BC3" w:rsidRDefault="00FC7BC3" w:rsidP="00D3109A">
            <w:pPr>
              <w:pStyle w:val="Corpodetexto"/>
              <w:rPr>
                <w:sz w:val="20"/>
              </w:rPr>
            </w:pPr>
            <w:r w:rsidRPr="00FC7BC3">
              <w:rPr>
                <w:sz w:val="20"/>
              </w:rPr>
              <w:t>MANUTENCAO</w:t>
            </w:r>
          </w:p>
          <w:p w14:paraId="5A706585" w14:textId="0F3F121E" w:rsidR="00FC7BC3" w:rsidRDefault="00FC7BC3" w:rsidP="00D3109A">
            <w:pPr>
              <w:pStyle w:val="Corpodetexto"/>
              <w:rPr>
                <w:sz w:val="20"/>
              </w:rPr>
            </w:pPr>
            <w:r>
              <w:rPr>
                <w:sz w:val="20"/>
              </w:rPr>
              <w:t>S</w:t>
            </w:r>
            <w:r w:rsidRPr="00FC7BC3">
              <w:rPr>
                <w:sz w:val="20"/>
              </w:rPr>
              <w:t>erviço de manutenção de portões e cancelas com fornecimento de peças</w:t>
            </w:r>
            <w:r w:rsidRPr="0010064E">
              <w:rPr>
                <w:sz w:val="20"/>
              </w:rPr>
              <w:t>.</w:t>
            </w:r>
            <w:r>
              <w:rPr>
                <w:sz w:val="20"/>
              </w:rPr>
              <w:t xml:space="preserve"> </w:t>
            </w:r>
            <w:r>
              <w:rPr>
                <w:b/>
                <w:bCs/>
                <w:sz w:val="20"/>
              </w:rPr>
              <w:t>Conforme Termo de Referência.</w:t>
            </w:r>
          </w:p>
        </w:tc>
        <w:tc>
          <w:tcPr>
            <w:tcW w:w="1380" w:type="pct"/>
            <w:tcBorders>
              <w:top w:val="single" w:sz="4" w:space="0" w:color="auto"/>
              <w:left w:val="single" w:sz="4" w:space="0" w:color="auto"/>
              <w:bottom w:val="single" w:sz="4" w:space="0" w:color="auto"/>
              <w:right w:val="single" w:sz="4" w:space="0" w:color="auto"/>
            </w:tcBorders>
            <w:vAlign w:val="center"/>
          </w:tcPr>
          <w:p w14:paraId="7D1EA174" w14:textId="77777777" w:rsidR="00FC7BC3" w:rsidRDefault="00FC7BC3" w:rsidP="00D3109A">
            <w:pPr>
              <w:pStyle w:val="Corpodetexto"/>
              <w:jc w:val="center"/>
              <w:rPr>
                <w:b/>
                <w:bCs/>
                <w:sz w:val="20"/>
              </w:rPr>
            </w:pPr>
          </w:p>
        </w:tc>
      </w:tr>
      <w:tr w:rsidR="00FC7BC3" w14:paraId="29F7C847" w14:textId="77777777" w:rsidTr="00FC7BC3">
        <w:trPr>
          <w:trHeight w:val="321"/>
          <w:jc w:val="center"/>
        </w:trPr>
        <w:tc>
          <w:tcPr>
            <w:tcW w:w="278" w:type="pct"/>
            <w:tcBorders>
              <w:top w:val="single" w:sz="4" w:space="0" w:color="auto"/>
              <w:left w:val="single" w:sz="4" w:space="0" w:color="auto"/>
              <w:bottom w:val="single" w:sz="4" w:space="0" w:color="auto"/>
              <w:right w:val="single" w:sz="4" w:space="0" w:color="auto"/>
            </w:tcBorders>
            <w:vAlign w:val="center"/>
          </w:tcPr>
          <w:p w14:paraId="0988B995" w14:textId="0547F961" w:rsidR="00FC7BC3" w:rsidRDefault="00FC7BC3" w:rsidP="00D3109A">
            <w:pPr>
              <w:pStyle w:val="Corpodetexto"/>
              <w:jc w:val="center"/>
              <w:rPr>
                <w:b/>
                <w:bCs/>
                <w:sz w:val="20"/>
              </w:rPr>
            </w:pPr>
            <w:r>
              <w:rPr>
                <w:b/>
                <w:bCs/>
                <w:sz w:val="20"/>
              </w:rPr>
              <w:t>02</w:t>
            </w:r>
          </w:p>
        </w:tc>
        <w:tc>
          <w:tcPr>
            <w:tcW w:w="474" w:type="pct"/>
            <w:tcBorders>
              <w:top w:val="single" w:sz="4" w:space="0" w:color="auto"/>
              <w:left w:val="single" w:sz="4" w:space="0" w:color="auto"/>
              <w:bottom w:val="single" w:sz="4" w:space="0" w:color="auto"/>
              <w:right w:val="single" w:sz="4" w:space="0" w:color="auto"/>
            </w:tcBorders>
            <w:vAlign w:val="center"/>
          </w:tcPr>
          <w:p w14:paraId="6516DE91" w14:textId="12709E2A" w:rsidR="00FC7BC3" w:rsidRPr="00FC7BC3" w:rsidRDefault="00FC7BC3" w:rsidP="00FC7BC3">
            <w:pPr>
              <w:pStyle w:val="Corpodetexto"/>
              <w:jc w:val="center"/>
              <w:rPr>
                <w:sz w:val="20"/>
              </w:rPr>
            </w:pPr>
            <w:r w:rsidRPr="00FC7BC3">
              <w:rPr>
                <w:sz w:val="20"/>
              </w:rPr>
              <w:t>PC</w:t>
            </w:r>
          </w:p>
        </w:tc>
        <w:tc>
          <w:tcPr>
            <w:tcW w:w="2868" w:type="pct"/>
            <w:tcBorders>
              <w:top w:val="single" w:sz="4" w:space="0" w:color="auto"/>
              <w:left w:val="single" w:sz="4" w:space="0" w:color="auto"/>
              <w:bottom w:val="single" w:sz="4" w:space="0" w:color="auto"/>
              <w:right w:val="single" w:sz="4" w:space="0" w:color="auto"/>
            </w:tcBorders>
            <w:vAlign w:val="center"/>
          </w:tcPr>
          <w:p w14:paraId="523083B0" w14:textId="77777777" w:rsidR="00FC7BC3" w:rsidRPr="00FC7BC3" w:rsidRDefault="00FC7BC3" w:rsidP="00D3109A">
            <w:pPr>
              <w:pStyle w:val="Corpodetexto"/>
              <w:rPr>
                <w:sz w:val="20"/>
              </w:rPr>
            </w:pPr>
            <w:r w:rsidRPr="00FC7BC3">
              <w:rPr>
                <w:sz w:val="20"/>
              </w:rPr>
              <w:t xml:space="preserve">FORNECIMENTO DE PECAS </w:t>
            </w:r>
          </w:p>
          <w:p w14:paraId="5D443962" w14:textId="4914082C" w:rsidR="00FC7BC3" w:rsidRPr="00FC7BC3" w:rsidRDefault="00FC7BC3" w:rsidP="00D3109A">
            <w:pPr>
              <w:pStyle w:val="Corpodetexto"/>
              <w:rPr>
                <w:sz w:val="20"/>
              </w:rPr>
            </w:pPr>
            <w:r w:rsidRPr="00FC7BC3">
              <w:rPr>
                <w:sz w:val="20"/>
              </w:rPr>
              <w:t xml:space="preserve">Serviço de manutenção de portões e cancelas com fornecimento de peças. </w:t>
            </w:r>
            <w:r w:rsidRPr="00FC7BC3">
              <w:rPr>
                <w:b/>
                <w:bCs/>
                <w:sz w:val="20"/>
              </w:rPr>
              <w:t>Conforme Termo de Referência.</w:t>
            </w:r>
          </w:p>
        </w:tc>
        <w:tc>
          <w:tcPr>
            <w:tcW w:w="1380" w:type="pct"/>
            <w:tcBorders>
              <w:top w:val="single" w:sz="4" w:space="0" w:color="auto"/>
              <w:left w:val="single" w:sz="4" w:space="0" w:color="auto"/>
              <w:bottom w:val="single" w:sz="4" w:space="0" w:color="auto"/>
              <w:right w:val="single" w:sz="4" w:space="0" w:color="auto"/>
            </w:tcBorders>
            <w:vAlign w:val="center"/>
          </w:tcPr>
          <w:p w14:paraId="1D5A3D8B" w14:textId="77777777" w:rsidR="00FC7BC3" w:rsidRDefault="00FC7BC3" w:rsidP="00D3109A">
            <w:pPr>
              <w:pStyle w:val="Corpodetexto"/>
              <w:jc w:val="center"/>
              <w:rPr>
                <w:b/>
                <w:bCs/>
                <w:sz w:val="20"/>
              </w:rPr>
            </w:pPr>
          </w:p>
        </w:tc>
      </w:tr>
    </w:tbl>
    <w:p w14:paraId="0000004E" w14:textId="4A0E67B9"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 xml:space="preserve">Vinculam esta contratação, independentemente de </w:t>
      </w:r>
      <w:sdt>
        <w:sdtPr>
          <w:rPr>
            <w:rFonts w:ascii="Times New Roman" w:hAnsi="Times New Roman" w:cs="Times New Roman"/>
            <w:sz w:val="24"/>
            <w:szCs w:val="24"/>
          </w:rPr>
          <w:tag w:val="goog_rdk_9"/>
          <w:id w:val="106478372"/>
        </w:sdtPr>
        <w:sdtEndPr/>
        <w:sdtContent/>
      </w:sdt>
      <w:sdt>
        <w:sdtPr>
          <w:rPr>
            <w:rFonts w:ascii="Times New Roman" w:hAnsi="Times New Roman" w:cs="Times New Roman"/>
            <w:sz w:val="24"/>
            <w:szCs w:val="24"/>
          </w:rPr>
          <w:tag w:val="goog_rdk_10"/>
          <w:id w:val="-1222743192"/>
        </w:sdtPr>
        <w:sdtEndPr/>
        <w:sdtContent/>
      </w:sdt>
      <w:r w:rsidRPr="000E7470">
        <w:rPr>
          <w:rFonts w:ascii="Times New Roman" w:hAnsi="Times New Roman" w:cs="Times New Roman"/>
          <w:sz w:val="24"/>
          <w:szCs w:val="24"/>
        </w:rPr>
        <w:t>transcrição:</w:t>
      </w:r>
    </w:p>
    <w:p w14:paraId="0000004F" w14:textId="12609216" w:rsidR="000464B0" w:rsidRPr="000E7470" w:rsidRDefault="0015148A" w:rsidP="000E7470">
      <w:pPr>
        <w:pStyle w:val="Ttulo3"/>
        <w:tabs>
          <w:tab w:val="clear" w:pos="1134"/>
        </w:tabs>
        <w:spacing w:before="240" w:after="24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O Termo de Referência</w:t>
      </w:r>
      <w:r w:rsidR="00C33364">
        <w:rPr>
          <w:rFonts w:ascii="Times New Roman" w:hAnsi="Times New Roman" w:cs="Times New Roman"/>
          <w:sz w:val="24"/>
          <w:szCs w:val="24"/>
        </w:rPr>
        <w:t xml:space="preserve"> da</w:t>
      </w:r>
      <w:r w:rsidR="00FC7BC3">
        <w:rPr>
          <w:rFonts w:ascii="Times New Roman" w:hAnsi="Times New Roman" w:cs="Times New Roman"/>
          <w:sz w:val="24"/>
          <w:szCs w:val="24"/>
        </w:rPr>
        <w:t>s</w:t>
      </w:r>
      <w:r w:rsidR="00C33364">
        <w:rPr>
          <w:rFonts w:ascii="Times New Roman" w:hAnsi="Times New Roman" w:cs="Times New Roman"/>
          <w:sz w:val="24"/>
          <w:szCs w:val="24"/>
        </w:rPr>
        <w:t xml:space="preserve"> Requisiç</w:t>
      </w:r>
      <w:r w:rsidR="00FC7BC3">
        <w:rPr>
          <w:rFonts w:ascii="Times New Roman" w:hAnsi="Times New Roman" w:cs="Times New Roman"/>
          <w:sz w:val="24"/>
          <w:szCs w:val="24"/>
        </w:rPr>
        <w:t>ões</w:t>
      </w:r>
      <w:r w:rsidR="00C33364">
        <w:rPr>
          <w:rFonts w:ascii="Times New Roman" w:hAnsi="Times New Roman" w:cs="Times New Roman"/>
          <w:sz w:val="24"/>
          <w:szCs w:val="24"/>
        </w:rPr>
        <w:t xml:space="preserve"> nº </w:t>
      </w:r>
      <w:r w:rsidR="00FC7BC3">
        <w:rPr>
          <w:rFonts w:ascii="Times New Roman" w:hAnsi="Times New Roman" w:cs="Times New Roman"/>
          <w:sz w:val="24"/>
          <w:szCs w:val="24"/>
        </w:rPr>
        <w:t>778, 779, 2142 e 2143</w:t>
      </w:r>
      <w:r w:rsidR="00C33364">
        <w:rPr>
          <w:rFonts w:ascii="Times New Roman" w:hAnsi="Times New Roman" w:cs="Times New Roman"/>
          <w:sz w:val="24"/>
          <w:szCs w:val="24"/>
        </w:rPr>
        <w:t>/2026</w:t>
      </w:r>
      <w:r w:rsidRPr="000E7470">
        <w:rPr>
          <w:rFonts w:ascii="Times New Roman" w:hAnsi="Times New Roman" w:cs="Times New Roman"/>
          <w:sz w:val="24"/>
          <w:szCs w:val="24"/>
        </w:rPr>
        <w:t>;</w:t>
      </w:r>
    </w:p>
    <w:p w14:paraId="00000050" w14:textId="2830C663" w:rsidR="000464B0" w:rsidRPr="000E7470" w:rsidRDefault="0015148A" w:rsidP="000E7470">
      <w:pPr>
        <w:pStyle w:val="Ttulo3"/>
        <w:tabs>
          <w:tab w:val="clear" w:pos="1134"/>
        </w:tabs>
        <w:spacing w:before="240" w:after="24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O Edital da Licitação ou instrumento de contratação direta equivalente;</w:t>
      </w:r>
    </w:p>
    <w:p w14:paraId="00000051" w14:textId="72379290" w:rsidR="000464B0" w:rsidRPr="000E7470" w:rsidRDefault="0015148A" w:rsidP="000E7470">
      <w:pPr>
        <w:pStyle w:val="Ttulo3"/>
        <w:tabs>
          <w:tab w:val="clear" w:pos="1134"/>
        </w:tabs>
        <w:spacing w:before="240" w:after="24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A Proposta do contratado;</w:t>
      </w:r>
    </w:p>
    <w:p w14:paraId="00000052" w14:textId="58FE8CE8" w:rsidR="000464B0" w:rsidRPr="000E7470" w:rsidRDefault="0015148A" w:rsidP="000E7470">
      <w:pPr>
        <w:pStyle w:val="Ttulo3"/>
        <w:tabs>
          <w:tab w:val="clear" w:pos="1134"/>
        </w:tabs>
        <w:spacing w:before="240" w:after="24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Eventuais anexos dos documentos supracitados.</w:t>
      </w:r>
    </w:p>
    <w:p w14:paraId="00000054" w14:textId="70859F40"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Em caso de divergência entre este instrumento e as disposições do Termo de Referência, prevalecerá o disposto no Termo de Referência.</w:t>
      </w:r>
    </w:p>
    <w:p w14:paraId="0000005A" w14:textId="4D9E03CB" w:rsidR="000464B0" w:rsidRPr="000E7470" w:rsidRDefault="7AB06D70" w:rsidP="000E7470">
      <w:pPr>
        <w:pStyle w:val="Ttulo2"/>
        <w:spacing w:before="240" w:after="240" w:line="240" w:lineRule="auto"/>
        <w:ind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 xml:space="preserve">O valor </w:t>
      </w:r>
      <w:r w:rsidR="009B0D9E" w:rsidRPr="009B0D9E">
        <w:rPr>
          <w:rFonts w:ascii="Times New Roman" w:hAnsi="Times New Roman" w:cs="Times New Roman"/>
          <w:color w:val="auto"/>
          <w:sz w:val="24"/>
          <w:szCs w:val="24"/>
        </w:rPr>
        <w:t xml:space="preserve">estimado anual da contratação é de </w:t>
      </w:r>
      <w:r w:rsidR="009B0D9E" w:rsidRPr="009B0D9E">
        <w:rPr>
          <w:rFonts w:ascii="Times New Roman" w:hAnsi="Times New Roman" w:cs="Times New Roman"/>
          <w:b/>
          <w:bCs w:val="0"/>
          <w:color w:val="auto"/>
          <w:sz w:val="24"/>
          <w:szCs w:val="24"/>
        </w:rPr>
        <w:t>R$ 10.000,00 (dez mil reais)</w:t>
      </w:r>
      <w:r w:rsidR="009B0D9E" w:rsidRPr="009B0D9E">
        <w:rPr>
          <w:rFonts w:ascii="Times New Roman" w:hAnsi="Times New Roman" w:cs="Times New Roman"/>
          <w:color w:val="auto"/>
          <w:sz w:val="24"/>
          <w:szCs w:val="24"/>
        </w:rPr>
        <w:t xml:space="preserve"> </w:t>
      </w:r>
      <w:r w:rsidR="009B0D9E" w:rsidRPr="009B0D9E">
        <w:rPr>
          <w:rFonts w:ascii="Times New Roman" w:hAnsi="Times New Roman" w:cs="Times New Roman"/>
          <w:b/>
          <w:bCs w:val="0"/>
          <w:color w:val="auto"/>
          <w:sz w:val="24"/>
          <w:szCs w:val="24"/>
        </w:rPr>
        <w:t>para o serviço de mão de obra</w:t>
      </w:r>
      <w:r w:rsidR="009B0D9E" w:rsidRPr="009B0D9E">
        <w:rPr>
          <w:rFonts w:ascii="Times New Roman" w:hAnsi="Times New Roman" w:cs="Times New Roman"/>
          <w:color w:val="auto"/>
          <w:sz w:val="24"/>
          <w:szCs w:val="24"/>
        </w:rPr>
        <w:t xml:space="preserve"> e </w:t>
      </w:r>
      <w:r w:rsidR="009B0D9E" w:rsidRPr="009B0D9E">
        <w:rPr>
          <w:rFonts w:ascii="Times New Roman" w:hAnsi="Times New Roman" w:cs="Times New Roman"/>
          <w:b/>
          <w:bCs w:val="0"/>
          <w:color w:val="auto"/>
          <w:sz w:val="24"/>
          <w:szCs w:val="24"/>
        </w:rPr>
        <w:t>R$ 30.000,00 (trinta mil e reais)</w:t>
      </w:r>
      <w:r w:rsidR="009B0D9E" w:rsidRPr="009B0D9E">
        <w:rPr>
          <w:rFonts w:ascii="Times New Roman" w:hAnsi="Times New Roman" w:cs="Times New Roman"/>
          <w:color w:val="auto"/>
          <w:sz w:val="24"/>
          <w:szCs w:val="24"/>
        </w:rPr>
        <w:t xml:space="preserve"> </w:t>
      </w:r>
      <w:r w:rsidR="009B0D9E" w:rsidRPr="009B0D9E">
        <w:rPr>
          <w:rFonts w:ascii="Times New Roman" w:hAnsi="Times New Roman" w:cs="Times New Roman"/>
          <w:b/>
          <w:bCs w:val="0"/>
          <w:color w:val="auto"/>
          <w:sz w:val="24"/>
          <w:szCs w:val="24"/>
        </w:rPr>
        <w:t>para aquisição de peças</w:t>
      </w:r>
      <w:r w:rsidR="009B0D9E" w:rsidRPr="009B0D9E">
        <w:rPr>
          <w:rFonts w:ascii="Times New Roman" w:hAnsi="Times New Roman" w:cs="Times New Roman"/>
          <w:color w:val="auto"/>
          <w:sz w:val="24"/>
          <w:szCs w:val="24"/>
        </w:rPr>
        <w:t xml:space="preserve"> resultando em um valor contratual total de </w:t>
      </w:r>
      <w:r w:rsidR="009B0D9E" w:rsidRPr="009B0D9E">
        <w:rPr>
          <w:rFonts w:ascii="Times New Roman" w:hAnsi="Times New Roman" w:cs="Times New Roman"/>
          <w:b/>
          <w:bCs w:val="0"/>
          <w:color w:val="auto"/>
          <w:sz w:val="24"/>
          <w:szCs w:val="24"/>
        </w:rPr>
        <w:t>R$ 200.000,00 (duzentos mil reais)</w:t>
      </w:r>
      <w:r w:rsidR="00640F35" w:rsidRPr="000E7470">
        <w:rPr>
          <w:rFonts w:ascii="Times New Roman" w:hAnsi="Times New Roman" w:cs="Times New Roman"/>
          <w:color w:val="auto"/>
          <w:sz w:val="24"/>
          <w:szCs w:val="24"/>
        </w:rPr>
        <w:t>.</w:t>
      </w:r>
    </w:p>
    <w:p w14:paraId="0000005C" w14:textId="003C322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BE90E3" w14:textId="6B2C4837" w:rsidR="7AB06D70" w:rsidRPr="000E7470" w:rsidRDefault="7AB06D70"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valor acima é meramente estimativo, de forma que os pagamentos devidos ao contratado dependerão dos quantitativos efetivamente fornecidos, com observância dos valores unitários definidos na proposta comercial da empresa.</w:t>
      </w:r>
    </w:p>
    <w:p w14:paraId="00000063" w14:textId="65E93CA7" w:rsidR="000464B0" w:rsidRPr="000E7470" w:rsidRDefault="0015148A" w:rsidP="000E7470">
      <w:pPr>
        <w:pStyle w:val="Ttulo1"/>
        <w:spacing w:before="240" w:after="240" w:line="240" w:lineRule="auto"/>
        <w:ind w:firstLine="2835"/>
        <w:rPr>
          <w:rFonts w:ascii="Times New Roman" w:eastAsia="Arial" w:hAnsi="Times New Roman" w:cs="Times New Roman"/>
          <w:sz w:val="24"/>
        </w:rPr>
      </w:pPr>
      <w:r w:rsidRPr="000E7470">
        <w:rPr>
          <w:rFonts w:ascii="Times New Roman" w:hAnsi="Times New Roman" w:cs="Times New Roman"/>
          <w:sz w:val="24"/>
        </w:rPr>
        <w:t>CLÁUSULA TERCEIRA – VIGÊNCIA</w:t>
      </w:r>
      <w:r w:rsidR="0071216C" w:rsidRPr="000E7470">
        <w:rPr>
          <w:rFonts w:ascii="Times New Roman" w:hAnsi="Times New Roman" w:cs="Times New Roman"/>
          <w:sz w:val="24"/>
        </w:rPr>
        <w:t xml:space="preserve"> E</w:t>
      </w:r>
      <w:r w:rsidRPr="000E7470">
        <w:rPr>
          <w:rFonts w:ascii="Times New Roman" w:hAnsi="Times New Roman" w:cs="Times New Roman"/>
          <w:sz w:val="24"/>
        </w:rPr>
        <w:t xml:space="preserve"> PRORROGAÇÃO</w:t>
      </w:r>
    </w:p>
    <w:p w14:paraId="37BC1153" w14:textId="27488055" w:rsidR="00D60A1F" w:rsidRPr="009F2E1E" w:rsidRDefault="00BC0FAD" w:rsidP="009F2E1E">
      <w:pPr>
        <w:pStyle w:val="Ttulo2"/>
        <w:spacing w:before="240" w:after="240" w:line="240" w:lineRule="auto"/>
        <w:ind w:firstLine="2835"/>
        <w:rPr>
          <w:rFonts w:ascii="Times New Roman" w:hAnsi="Times New Roman" w:cs="Times New Roman"/>
          <w:color w:val="auto"/>
          <w:sz w:val="24"/>
          <w:szCs w:val="24"/>
        </w:rPr>
      </w:pPr>
      <w:r w:rsidRPr="00BC0FAD">
        <w:rPr>
          <w:rFonts w:ascii="Times New Roman" w:hAnsi="Times New Roman" w:cs="Times New Roman"/>
          <w:color w:val="auto"/>
          <w:sz w:val="24"/>
          <w:szCs w:val="24"/>
        </w:rPr>
        <w:t xml:space="preserve">O prazo de vigência da contratação será de até 5 (cinco) anos, contados da data de assinatura do contrato, podendo ser prorrogado sucessivamente, respeitado o limite máximo de 10 (dez) anos, nos termos dos </w:t>
      </w:r>
      <w:proofErr w:type="spellStart"/>
      <w:r w:rsidRPr="00BC0FAD">
        <w:rPr>
          <w:rFonts w:ascii="Times New Roman" w:hAnsi="Times New Roman" w:cs="Times New Roman"/>
          <w:color w:val="auto"/>
          <w:sz w:val="24"/>
          <w:szCs w:val="24"/>
        </w:rPr>
        <w:t>arts</w:t>
      </w:r>
      <w:proofErr w:type="spellEnd"/>
      <w:r w:rsidRPr="00BC0FAD">
        <w:rPr>
          <w:rFonts w:ascii="Times New Roman" w:hAnsi="Times New Roman" w:cs="Times New Roman"/>
          <w:color w:val="auto"/>
          <w:sz w:val="24"/>
          <w:szCs w:val="24"/>
        </w:rPr>
        <w:t>. 106 e 107 da Lei Federal nº 14.133, de 1º de abril de 2021.</w:t>
      </w:r>
    </w:p>
    <w:p w14:paraId="7DF60560" w14:textId="67554F28" w:rsidR="00D60A1F" w:rsidRPr="000E7470" w:rsidRDefault="00BC0FAD" w:rsidP="000E7470">
      <w:pPr>
        <w:pStyle w:val="Ttulo3"/>
        <w:spacing w:before="240" w:after="240" w:line="240" w:lineRule="auto"/>
        <w:ind w:left="0" w:firstLine="2835"/>
        <w:rPr>
          <w:rFonts w:ascii="Times New Roman" w:hAnsi="Times New Roman" w:cs="Times New Roman"/>
          <w:color w:val="auto"/>
          <w:sz w:val="24"/>
          <w:szCs w:val="24"/>
        </w:rPr>
      </w:pPr>
      <w:r w:rsidRPr="00BC0FAD">
        <w:rPr>
          <w:rFonts w:ascii="Times New Roman" w:hAnsi="Times New Roman" w:cs="Times New Roman"/>
          <w:color w:val="auto"/>
          <w:sz w:val="24"/>
          <w:szCs w:val="24"/>
        </w:rPr>
        <w:t>O gestor de contratos deverá atestar a vantagem da manutenção do contrato a cada exercício financeiro.</w:t>
      </w:r>
    </w:p>
    <w:p w14:paraId="23F0D0C5" w14:textId="2DD7C48B" w:rsidR="00D60A1F" w:rsidRPr="000E7470" w:rsidRDefault="009F2E1E" w:rsidP="000E7470">
      <w:pPr>
        <w:pStyle w:val="Ttulo2"/>
        <w:spacing w:before="240" w:after="240" w:line="240" w:lineRule="auto"/>
        <w:ind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t>A eficácia do contrato se opera a partir da publicação do mesmo no Portal Nacional de Contratações Públicas (PNCP)</w:t>
      </w:r>
      <w:r>
        <w:rPr>
          <w:rFonts w:ascii="Times New Roman" w:hAnsi="Times New Roman" w:cs="Times New Roman"/>
          <w:color w:val="auto"/>
          <w:sz w:val="24"/>
          <w:szCs w:val="24"/>
        </w:rPr>
        <w:t>.</w:t>
      </w:r>
    </w:p>
    <w:p w14:paraId="6885CAD7" w14:textId="6BD54110" w:rsidR="00D60A1F" w:rsidRPr="000E7470" w:rsidRDefault="009F2E1E" w:rsidP="000E7470">
      <w:pPr>
        <w:pStyle w:val="Ttulo2"/>
        <w:spacing w:before="240" w:after="240" w:line="240" w:lineRule="auto"/>
        <w:ind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t>A execução contratual só poderá se iniciar após a publicação referida no subitem anterior.</w:t>
      </w:r>
    </w:p>
    <w:p w14:paraId="00000082" w14:textId="188972E6"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QUARTA – MODELOS DE EXECUÇÃO </w:t>
      </w:r>
    </w:p>
    <w:p w14:paraId="00000084" w14:textId="4B57E657"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regime de execução contratual, assim como o cronograma de execução do objeto constam no Termo de Referência anexo a este Contrato.</w:t>
      </w:r>
    </w:p>
    <w:p w14:paraId="00000087" w14:textId="3530F52B"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QUINTA – SUBCONTRATAÇÃO</w:t>
      </w:r>
    </w:p>
    <w:p w14:paraId="00000089" w14:textId="299EE5F6"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As regras sobre a subcontratação do objeto são aquelas estabelecidas no Termo de Referência, anexo a este Contrato.</w:t>
      </w:r>
    </w:p>
    <w:p w14:paraId="00000090" w14:textId="43971CF5"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SEXTA</w:t>
      </w:r>
      <w:r w:rsidRPr="000E7470">
        <w:rPr>
          <w:rFonts w:ascii="Times New Roman" w:hAnsi="Times New Roman" w:cs="Times New Roman"/>
          <w:sz w:val="24"/>
        </w:rPr>
        <w:t xml:space="preserve"> - REAJUSTE </w:t>
      </w:r>
    </w:p>
    <w:p w14:paraId="00000092" w14:textId="21147D50"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preço definido no instrumento contratual será fixo e irreajustável pelo período de (um) ano, contados da data da consolidação do orçamento estimado ou da data da alteração de sua data-base.</w:t>
      </w:r>
    </w:p>
    <w:p w14:paraId="00000094" w14:textId="29ED6C47"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É facultado o reajuste em sentido estrito, a pedido da contratada, contemplando a variação do INPC - Índice Nacional de Preços ao Consumidor, após 1 (um) ano da data da consolidação do orçamento estimado ou da data de alteração do preço da ata de registro de preços com reflexo no contrato, devendo o pedido ser formulado antes do advento da data base referente ao reajuste subsequente, sob pena de o silêncio ser interpretado como renúncia presumida.</w:t>
      </w:r>
    </w:p>
    <w:p w14:paraId="00000095" w14:textId="30BE9B5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F3D7527" w14:textId="30E782A6" w:rsidR="00081EFF"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Nas aferições finais, o(s) índice(s) utilizado(s) para reajuste será(</w:t>
      </w:r>
      <w:proofErr w:type="spellStart"/>
      <w:r w:rsidRPr="000E7470">
        <w:rPr>
          <w:rFonts w:ascii="Times New Roman" w:hAnsi="Times New Roman" w:cs="Times New Roman"/>
          <w:sz w:val="24"/>
          <w:szCs w:val="24"/>
        </w:rPr>
        <w:t>ão</w:t>
      </w:r>
      <w:proofErr w:type="spellEnd"/>
      <w:r w:rsidRPr="000E7470">
        <w:rPr>
          <w:rFonts w:ascii="Times New Roman" w:hAnsi="Times New Roman" w:cs="Times New Roman"/>
          <w:sz w:val="24"/>
          <w:szCs w:val="24"/>
        </w:rPr>
        <w:t>), obrigatoriamente, o(s) definitivo(s).</w:t>
      </w:r>
    </w:p>
    <w:p w14:paraId="00000099" w14:textId="5793C985"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0E7470">
        <w:rPr>
          <w:rFonts w:ascii="Times New Roman" w:hAnsi="Times New Roman" w:cs="Times New Roman"/>
          <w:sz w:val="24"/>
          <w:szCs w:val="24"/>
        </w:rPr>
        <w:t>ão</w:t>
      </w:r>
      <w:proofErr w:type="spellEnd"/>
      <w:r w:rsidRPr="000E7470">
        <w:rPr>
          <w:rFonts w:ascii="Times New Roman" w:hAnsi="Times New Roman" w:cs="Times New Roman"/>
          <w:sz w:val="24"/>
          <w:szCs w:val="24"/>
        </w:rPr>
        <w:t>) adotado(s), em substituição, o(s) que vier(em) a ser determinado(s) pela legislação então em vigor.</w:t>
      </w:r>
    </w:p>
    <w:p w14:paraId="0000009B" w14:textId="3C8BD68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0000009D" w14:textId="5C45A0C6"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reajuste será realizado por apostilamento.</w:t>
      </w:r>
    </w:p>
    <w:p w14:paraId="0000009F" w14:textId="6436AFA6"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Os efeitos financeiros do reajuste em sentido estrito serão devidos a partir da solicitação da contratada;</w:t>
      </w:r>
    </w:p>
    <w:p w14:paraId="3D7A8C51" w14:textId="77777777" w:rsidR="00416701" w:rsidRPr="000E7470" w:rsidRDefault="00416701"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Caso a solicitação seja feita no prazo de até 30 (trinta) dias após o advento da data base, ou seja, do fato gerador do direito ao reajuste, os efeitos financeiros retroagirão à data do fato gerador ao direito.</w:t>
      </w:r>
    </w:p>
    <w:p w14:paraId="3D8EAABD" w14:textId="77777777" w:rsidR="00582EF9" w:rsidRPr="000E7470" w:rsidRDefault="00582EF9"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Não serão considerados e/ou admitidos pedidos de reajuste protocolados antes da implementação da data base, ou seja, do fato gerador do direito ao reajuste.</w:t>
      </w:r>
    </w:p>
    <w:p w14:paraId="2D6C71BF" w14:textId="77777777" w:rsidR="00210094" w:rsidRPr="000E7470" w:rsidRDefault="00210094"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Nos reajustes subsequentes ao primeiro, o interregno mínimo de 1 (um) ano será contado a partir dos efeitos financeiros da data base do reajuste anterior.</w:t>
      </w:r>
    </w:p>
    <w:p w14:paraId="000000A5" w14:textId="2B45BCBC"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 data de consolidação do orçamento é: </w:t>
      </w:r>
      <w:r w:rsidR="00BC0FAD">
        <w:rPr>
          <w:rFonts w:ascii="Times New Roman" w:hAnsi="Times New Roman" w:cs="Times New Roman"/>
          <w:b/>
          <w:bCs w:val="0"/>
          <w:sz w:val="24"/>
          <w:szCs w:val="24"/>
        </w:rPr>
        <w:t>09/04</w:t>
      </w:r>
      <w:r w:rsidR="007422B6" w:rsidRPr="000E7470">
        <w:rPr>
          <w:rFonts w:ascii="Times New Roman" w:hAnsi="Times New Roman" w:cs="Times New Roman"/>
          <w:b/>
          <w:bCs w:val="0"/>
          <w:sz w:val="24"/>
          <w:szCs w:val="24"/>
        </w:rPr>
        <w:t>/2026</w:t>
      </w:r>
    </w:p>
    <w:p w14:paraId="000000A7" w14:textId="1ABBA7C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Havendo reequilíbrio econômico-financeiro do contrato ou alteração do preço da ata de registro de preços com reflexo no contrato, ocorrerá a modificação da data-base, passando a mesma a coincidir com a data de concessão do reequilíbrio, sendo que os próximos reajustamentos anuais serão considerados a partir de então.</w:t>
      </w:r>
    </w:p>
    <w:p w14:paraId="000000A9" w14:textId="14C6673C"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 Contratada poderá solicitar o reajuste a qualquer tempo </w:t>
      </w:r>
      <w:r w:rsidRPr="000E7470">
        <w:rPr>
          <w:rFonts w:ascii="Times New Roman" w:hAnsi="Times New Roman" w:cs="Times New Roman"/>
          <w:color w:val="auto"/>
          <w:sz w:val="24"/>
          <w:szCs w:val="24"/>
        </w:rPr>
        <w:t xml:space="preserve">durante a vigência do contrato, até a data da prorrogação de sua vigência, observado o disposto no subitem nº </w:t>
      </w:r>
      <w:r w:rsidR="0097419F" w:rsidRPr="000E7470">
        <w:rPr>
          <w:rFonts w:ascii="Times New Roman" w:hAnsi="Times New Roman" w:cs="Times New Roman"/>
          <w:color w:val="auto"/>
          <w:sz w:val="24"/>
          <w:szCs w:val="24"/>
        </w:rPr>
        <w:t>6</w:t>
      </w:r>
      <w:r w:rsidRPr="000E7470">
        <w:rPr>
          <w:rFonts w:ascii="Times New Roman" w:hAnsi="Times New Roman" w:cs="Times New Roman"/>
          <w:color w:val="auto"/>
          <w:sz w:val="24"/>
          <w:szCs w:val="24"/>
        </w:rPr>
        <w:t>.2 deste Termo.</w:t>
      </w:r>
    </w:p>
    <w:p w14:paraId="000000AB" w14:textId="7AA58751"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extinção do contrato não configurará óbice para o deferimento do reajuste e/ou reequilíbrio solicitado tempestivamente, hipótese em que será concedido por meio de termo indenizatório.</w:t>
      </w:r>
    </w:p>
    <w:p w14:paraId="5B802488" w14:textId="77777777" w:rsidR="00645A8B" w:rsidRPr="000E7470" w:rsidRDefault="00645A8B"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Caso a Contratada não requeira tempestivamente o reajuste e prorrogue o contrato sem pleiteá-lo ou sem qualquer ressalva quanto à posterior análise do reajuste pela Administração, ocorrerá a preclusão do direito.</w:t>
      </w:r>
    </w:p>
    <w:p w14:paraId="3CF33D00" w14:textId="79A4B58D" w:rsidR="00D67F59"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SÉTIMA</w:t>
      </w:r>
      <w:r w:rsidRPr="000E7470">
        <w:rPr>
          <w:rFonts w:ascii="Times New Roman" w:hAnsi="Times New Roman" w:cs="Times New Roman"/>
          <w:sz w:val="24"/>
        </w:rPr>
        <w:t xml:space="preserve"> - OBRIGAÇÕES DO CONTRATANTE</w:t>
      </w:r>
    </w:p>
    <w:p w14:paraId="000000AE" w14:textId="4C5F21C4" w:rsidR="000464B0" w:rsidRPr="000E7470" w:rsidRDefault="005C0B12"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Além das obrigações específicas eventualmente previstas no Termo de Referência, as partes deverão se submeter às seguintes obrigações gerais.</w:t>
      </w:r>
    </w:p>
    <w:p w14:paraId="000000B0" w14:textId="6BBD6A8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São obrigações do Contratante:</w:t>
      </w:r>
    </w:p>
    <w:p w14:paraId="000000B2" w14:textId="5D3D88B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Exigir o cumprimento de todas as obrigações assumidas pelo Contratado, de acordo com o contrato e seus anexos;</w:t>
      </w:r>
    </w:p>
    <w:p w14:paraId="000000B4" w14:textId="29FF8D1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Receber o objeto no prazo e condições estabelecidas no Termo de Referência;</w:t>
      </w:r>
    </w:p>
    <w:p w14:paraId="000000B6" w14:textId="4BD55B0A"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Notificar o Contratado, por escrito, sobre vícios, defeitos ou incorreções verificadas no objeto fornecido, fixando prazo para que seja por ele substituído, reparado ou corrigido, no total ou em parte, às suas expensas certificando-se de que as soluções por ele propostas sejam as mais adequadas;</w:t>
      </w:r>
    </w:p>
    <w:p w14:paraId="000000B8" w14:textId="53126FB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Acompanhar e fiscalizar a execução do contrato e o cumprimento das obrigações pelo Contratado;</w:t>
      </w:r>
    </w:p>
    <w:p w14:paraId="000000BA" w14:textId="7777777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Comunicar a empresa para emissão de Nota Fiscal no que </w:t>
      </w:r>
      <w:proofErr w:type="spellStart"/>
      <w:r w:rsidRPr="000E7470">
        <w:rPr>
          <w:rFonts w:ascii="Times New Roman" w:hAnsi="Times New Roman" w:cs="Times New Roman"/>
          <w:sz w:val="24"/>
          <w:szCs w:val="24"/>
        </w:rPr>
        <w:t>pertine</w:t>
      </w:r>
      <w:proofErr w:type="spellEnd"/>
      <w:r w:rsidRPr="000E7470">
        <w:rPr>
          <w:rFonts w:ascii="Times New Roman" w:hAnsi="Times New Roman" w:cs="Times New Roman"/>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 de 2021;</w:t>
      </w:r>
    </w:p>
    <w:p w14:paraId="000000BC" w14:textId="207DC1C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Efetuar o pagamento ao Contratado do valor correspondente ao fornecimento do objeto, no prazo, forma e condições estabelecidos no presente Contrato, Edital e seus anexos;</w:t>
      </w:r>
    </w:p>
    <w:p w14:paraId="000000BE" w14:textId="137FBB8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Aplicar ao Contratado as sanções previstas na lei, neste Contrato, no Edital e seus anexos; </w:t>
      </w:r>
    </w:p>
    <w:p w14:paraId="000000C0" w14:textId="2648C69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Cientificar o órgão de representação judicial, quando for o caso, para adoção das medidas cabíveis quando do descumprimento de obrigações pelo Contratado;</w:t>
      </w:r>
    </w:p>
    <w:p w14:paraId="000000C2" w14:textId="50F64A7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Explicitamente emitir decisão sobre todas as solicitações, inclusive sobre eventuais pedidos de reestabelecimento do equilíbrio econômico-financeiro, e reclamações relacionadas à execução do presente Contrato, ressalvados os requerimentos manifestamente impertinentes, meramente protelatórios ou de nenhum interesse para a boa execução do ajuste;</w:t>
      </w:r>
    </w:p>
    <w:p w14:paraId="000000C4" w14:textId="1E67D66B" w:rsidR="000464B0" w:rsidRPr="000E7470" w:rsidRDefault="0015148A" w:rsidP="000E7470">
      <w:pPr>
        <w:pStyle w:val="Ttulo4"/>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Deverá ser observado o prazo de 01 (um) mês, contado da data do protocolo do requerimento, fixado no art. 112 do Decreto Municipal nº 20.154, de 2023, caso não haja disposição legal ou prazo específico estabelecido no Termo de Referência, sendo admitida a prorrogação uma vez, por igual período, desde que motivado;</w:t>
      </w:r>
    </w:p>
    <w:p w14:paraId="000000C6" w14:textId="7BB3AEC9"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Notificar os emitentes das garantias quanto ao início de processo administrativo para apuração de descumprimento de cláusulas contratuais</w:t>
      </w:r>
      <w:r w:rsidR="00321F90" w:rsidRPr="000E7470">
        <w:rPr>
          <w:rFonts w:ascii="Times New Roman" w:hAnsi="Times New Roman" w:cs="Times New Roman"/>
          <w:sz w:val="24"/>
          <w:szCs w:val="24"/>
        </w:rPr>
        <w:t>, quando for o caso</w:t>
      </w:r>
      <w:r w:rsidRPr="000E7470">
        <w:rPr>
          <w:rFonts w:ascii="Times New Roman" w:hAnsi="Times New Roman" w:cs="Times New Roman"/>
          <w:sz w:val="24"/>
          <w:szCs w:val="24"/>
        </w:rPr>
        <w:t>.</w:t>
      </w:r>
    </w:p>
    <w:p w14:paraId="000000C8" w14:textId="70107F4A"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0000CB" w14:textId="47D9F223"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OITAVA</w:t>
      </w:r>
      <w:r w:rsidRPr="000E7470">
        <w:rPr>
          <w:rFonts w:ascii="Times New Roman" w:hAnsi="Times New Roman" w:cs="Times New Roman"/>
          <w:sz w:val="24"/>
        </w:rPr>
        <w:t xml:space="preserve"> - OBRIGAÇÕES DO CONTRATADO </w:t>
      </w:r>
    </w:p>
    <w:p w14:paraId="000000CD" w14:textId="5C76E058"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Contratado deve cumprir todas as obrigações constantes deste Contrato, do Edital e em seus anexos, assumindo como exclusivamente seus os riscos e as despesas decorrentes da boa e perfeita execução do objeto, observando, ainda, as obrigações a seguir dispostas:</w:t>
      </w:r>
    </w:p>
    <w:p w14:paraId="000000CF" w14:textId="4EFA6CDE"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Entregar o objeto nas quantidades, prazos e condições pactuadas, acompanhado do manual, folders, catálogo, e da relação da rede de assistência técnica autorizada, quando for o caso;</w:t>
      </w:r>
    </w:p>
    <w:p w14:paraId="000000D1" w14:textId="782F6EB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Responsabilizar-se pelos vícios e danos decorrentes do objeto, de acordo com o Código de Defesa do Consumidor (Lei Federal nº 8.078, de 1990);</w:t>
      </w:r>
    </w:p>
    <w:p w14:paraId="000000D3" w14:textId="4C748EA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Comunicar ao contratante, no prazo </w:t>
      </w:r>
      <w:r w:rsidR="00DC522F" w:rsidRPr="000E7470">
        <w:rPr>
          <w:rFonts w:ascii="Times New Roman" w:hAnsi="Times New Roman" w:cs="Times New Roman"/>
          <w:sz w:val="24"/>
          <w:szCs w:val="24"/>
        </w:rPr>
        <w:t>mínimo</w:t>
      </w:r>
      <w:r w:rsidRPr="000E7470">
        <w:rPr>
          <w:rFonts w:ascii="Times New Roman" w:hAnsi="Times New Roman" w:cs="Times New Roman"/>
          <w:sz w:val="24"/>
          <w:szCs w:val="24"/>
        </w:rPr>
        <w:t xml:space="preserve"> de 24 (vinte e quatro) horas que antecede a data da entrega, os motivos que impossibilitem o cumprimento do prazo previsto, com a devida comprovação, caso não tenha sido fixado prazo diverso no Termo de Referência;</w:t>
      </w:r>
    </w:p>
    <w:p w14:paraId="000000D5" w14:textId="6B57907F"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Atender às determinações regulares emitidas pelo fiscal ou gestor do contrato ou autoridade superior e prestar todo esclarecimento ou informação por eles solicitados;</w:t>
      </w:r>
    </w:p>
    <w:p w14:paraId="000000D7" w14:textId="194F3EC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00000D9" w14:textId="10289F61"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0000DB" w14:textId="0177177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Manter, durante toda a execução do objeto, em compatibilidade com as obrigações por ele assumidas, todas as condições de habilitação e qualificação exigidas para contratação.</w:t>
      </w:r>
    </w:p>
    <w:p w14:paraId="000000DD" w14:textId="364285F2" w:rsidR="000464B0" w:rsidRPr="000E7470" w:rsidRDefault="002A1056"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não for possível a verificação da regularidade no Sistema de Cadastro de Fornecedores – SICAF, o contratado deverá entregar ao setor responsável pela fiscalização do contrato, junto com a Nota Fiscal para fins de pagamento, os documentos que atestem a manutenção da regularidade fiscal e trabalhista, conforme rol de requisitos de habilitação previstos no processo de origem da contratação, sendo: 1) prova de regularidade relativa à Seguridade Social; 2) certidão conjunta relativa aos tributos federais e à Dívida Ativa da União, se for o caso; 3) certidões que comprovem a regularidade perante a Fazenda Estadual ou Distrital do domicílio ou sede do contratado, se for o caso; 4) Certidão de Regularidade do FGTS – CRF, se for o caso; e 5) Certidão Negativa de Débitos Trabalhistas – CNDT, se for o caso;</w:t>
      </w:r>
    </w:p>
    <w:p w14:paraId="000000DF" w14:textId="40C78DE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0000E1" w14:textId="429B8DEA"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Comunicar ao Fiscal do contrato, no prazo de 24 (vinte e quatro) horas, quando não for definido prazo diverso no Termo de Referência, qualquer ocorrência anormal ou acidente que se verifique no local da execução do objeto contratual;</w:t>
      </w:r>
    </w:p>
    <w:p w14:paraId="000000E3" w14:textId="64A0304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000000E5" w14:textId="7069380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(art. 116, da Lei Federal n.º 14.133, de 2021);</w:t>
      </w:r>
    </w:p>
    <w:p w14:paraId="000000E7" w14:textId="3A5B6987" w:rsidR="000464B0" w:rsidRPr="000E7470" w:rsidRDefault="0015148A" w:rsidP="000E7470">
      <w:pPr>
        <w:pStyle w:val="Ttulo4"/>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solicitado, comprovar a reserva de cargos a que se refere a cláusula acima, no prazo fixado pelo fiscal do contrato, com a indicação dos empregados que preencheram as referidas vagas (art. 116, parágrafo único, da Lei Federal n.º 14.133, de 2021);</w:t>
      </w:r>
    </w:p>
    <w:p w14:paraId="000000E9" w14:textId="42B25AB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Guardar sigilo sobre todas as informações obtidas em decorrência do cumprimento do contrato; </w:t>
      </w:r>
    </w:p>
    <w:p w14:paraId="000000EB" w14:textId="200C58B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 II, alínea “d”, da Lei Federal nº 14.133, de 2021;</w:t>
      </w:r>
    </w:p>
    <w:p w14:paraId="000000ED" w14:textId="3D97A812"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Cumprir, além dos postulados legais vigentes de âmbito federal, estadual ou municipal, as normas de segurança do contratante;</w:t>
      </w:r>
    </w:p>
    <w:p w14:paraId="000000EF" w14:textId="7E17A023"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se for o caso;</w:t>
      </w:r>
    </w:p>
    <w:p w14:paraId="000000F1" w14:textId="6B676A9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Orientar e treinar seus empregados sobre os deveres previstos na Lei Federal nº 13.709, de 14 de agosto de 2018, adotando medidas eficazes para proteção de dados pessoais a que tenha acesso por força da execução deste contrato, quando aplicável;</w:t>
      </w:r>
    </w:p>
    <w:p w14:paraId="000000F3" w14:textId="79719AF1"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Federal nº 14.133, de 2021;</w:t>
      </w:r>
    </w:p>
    <w:p w14:paraId="000000F5" w14:textId="1651F94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Submeter previamente, por escrito, ao contratante, para análise e aprovação, quaisquer mudanças nos métodos executivos que fujam às especificações do termo de referência ou instrumento congênere.</w:t>
      </w:r>
    </w:p>
    <w:p w14:paraId="000000F7" w14:textId="61D4D7A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Cumprir as normas de proteção ao trabalho, inclusive aquelas relativas à segurança e à saúde no trabalho;</w:t>
      </w:r>
    </w:p>
    <w:p w14:paraId="000000F9" w14:textId="3D623115"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submeter os trabalhadores a condições degradantes de trabalho, jornadas exaustivas, servidão por dívida ou trabalhos forçados;</w:t>
      </w:r>
    </w:p>
    <w:p w14:paraId="000000FB" w14:textId="7B01BF6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permitir a utilização de qualquer trabalho do menor de dezesseis anos de idade, exceto na condição de aprendiz para os maiores de quatorze anos de idade, observada a legislação pertinente;</w:t>
      </w:r>
    </w:p>
    <w:p w14:paraId="000000FD" w14:textId="0D19BFC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00000FF" w14:textId="2FDEB61E"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Receber e dar o tratamento adequado a denúncias de discriminação, violência e assédio no ambiente de trabalho.</w:t>
      </w:r>
    </w:p>
    <w:p w14:paraId="00000101" w14:textId="08C2AD72"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NONA</w:t>
      </w:r>
      <w:r w:rsidRPr="000E7470">
        <w:rPr>
          <w:rFonts w:ascii="Times New Roman" w:hAnsi="Times New Roman" w:cs="Times New Roman"/>
          <w:sz w:val="24"/>
        </w:rPr>
        <w:t xml:space="preserve"> – GARANTIA DE EXECUÇÃO</w:t>
      </w:r>
    </w:p>
    <w:p w14:paraId="30B4CFDA" w14:textId="2A1E6B9E" w:rsidR="001C01D9" w:rsidRPr="000E7470" w:rsidRDefault="00A94C00"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Não há previsão de garantia de execução no Termo de Referência.</w:t>
      </w:r>
    </w:p>
    <w:p w14:paraId="00000105" w14:textId="7102DDAE" w:rsidR="000464B0" w:rsidRPr="000E7470" w:rsidRDefault="006D06E8"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 </w:t>
      </w:r>
      <w:r w:rsidR="0015148A" w:rsidRPr="000E7470">
        <w:rPr>
          <w:rFonts w:ascii="Times New Roman" w:hAnsi="Times New Roman" w:cs="Times New Roman"/>
          <w:sz w:val="24"/>
        </w:rPr>
        <w:t>CRITÉRIOS DE MEDIÇÃO E PAGAMENTO</w:t>
      </w:r>
    </w:p>
    <w:p w14:paraId="00000109" w14:textId="5B37456C"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Além do previsto neste termo, os procedimentos a serem adotados nos processos de liquidação e pagamento deverão observar o disposto na Portaria Conjunta SMF/CGM nº 19, de 13 de setembro de 2023.</w:t>
      </w:r>
    </w:p>
    <w:p w14:paraId="27F7D46D" w14:textId="21952B81" w:rsidR="0077172C"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Recebimento do Objeto</w:t>
      </w:r>
    </w:p>
    <w:p w14:paraId="0000010B" w14:textId="2DC0802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0FA28F0" w14:textId="5CBE4C41" w:rsidR="0077172C"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sidR="00086590" w:rsidRPr="000E7470">
        <w:rPr>
          <w:rFonts w:ascii="Times New Roman" w:hAnsi="Times New Roman" w:cs="Times New Roman"/>
          <w:sz w:val="24"/>
          <w:szCs w:val="24"/>
        </w:rPr>
        <w:t xml:space="preserve">03 (três) </w:t>
      </w:r>
      <w:r w:rsidRPr="000E7470">
        <w:rPr>
          <w:rFonts w:ascii="Times New Roman" w:hAnsi="Times New Roman" w:cs="Times New Roman"/>
          <w:sz w:val="24"/>
          <w:szCs w:val="24"/>
        </w:rPr>
        <w:t>dias, a contar da notificação da contratada, às suas custas, sem prejuízo da aplicação das penalidades.</w:t>
      </w:r>
    </w:p>
    <w:p w14:paraId="1E32EE93" w14:textId="77777777" w:rsidR="00566409" w:rsidRPr="000E7470" w:rsidRDefault="00566409"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recebimento definitivo deverá ocorrer no prazo de 10 (dez) dias úteis, a contar do recebimento da nota fiscal ou instrumento de cobrança equivalente pela Administração, após a verificação da qualidade e quantidade do material e consequente aceitação mediante termo detalhado.</w:t>
      </w:r>
    </w:p>
    <w:p w14:paraId="22F74C74" w14:textId="39FF992D" w:rsidR="00566409" w:rsidRPr="000E7470" w:rsidRDefault="00566409"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Nos termos dos </w:t>
      </w:r>
      <w:proofErr w:type="spellStart"/>
      <w:r w:rsidRPr="000E7470">
        <w:rPr>
          <w:rFonts w:ascii="Times New Roman" w:hAnsi="Times New Roman" w:cs="Times New Roman"/>
          <w:sz w:val="24"/>
          <w:szCs w:val="24"/>
        </w:rPr>
        <w:t>arts</w:t>
      </w:r>
      <w:proofErr w:type="spellEnd"/>
      <w:r w:rsidRPr="000E7470">
        <w:rPr>
          <w:rFonts w:ascii="Times New Roman" w:hAnsi="Times New Roman" w:cs="Times New Roman"/>
          <w:sz w:val="24"/>
          <w:szCs w:val="24"/>
        </w:rPr>
        <w:t xml:space="preserve">. 12 e 14 da Instrução Normativa SMF nº 01, de 09 de janeiro de 2024, o órgão contratante (unidade gestora) deverá providenciar toda documentação necessária e atestar o cumprimento do objeto contratual, mediante requisição de liquidação, no prazo máximo de 08 (oito) dias úteis, a fim de que </w:t>
      </w:r>
      <w:r w:rsidR="006E37BB" w:rsidRPr="000E7470">
        <w:rPr>
          <w:rFonts w:ascii="Times New Roman" w:hAnsi="Times New Roman" w:cs="Times New Roman"/>
          <w:sz w:val="24"/>
          <w:szCs w:val="24"/>
        </w:rPr>
        <w:t>o setor competente</w:t>
      </w:r>
      <w:r w:rsidRPr="000E7470">
        <w:rPr>
          <w:rFonts w:ascii="Times New Roman" w:hAnsi="Times New Roman" w:cs="Times New Roman"/>
          <w:sz w:val="24"/>
          <w:szCs w:val="24"/>
        </w:rPr>
        <w:t xml:space="preserve"> adote os trâmites finais para liquidação da despesa, em até 2 (dois) dias úteis.</w:t>
      </w:r>
    </w:p>
    <w:p w14:paraId="0000010E" w14:textId="263288C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Para os itens de contratação cujos valores não ultrapassem o limite de que trata o inciso II do art. 75 da Lei Federal nº 14.133, de 2021, o prazo máximo para o recebimento definitivo será </w:t>
      </w:r>
      <w:r w:rsidR="00566409" w:rsidRPr="000E7470">
        <w:rPr>
          <w:rFonts w:ascii="Times New Roman" w:hAnsi="Times New Roman" w:cs="Times New Roman"/>
          <w:sz w:val="24"/>
          <w:szCs w:val="24"/>
        </w:rPr>
        <w:t>reduzido pela metade</w:t>
      </w:r>
      <w:r w:rsidRPr="000E7470">
        <w:rPr>
          <w:rFonts w:ascii="Times New Roman" w:hAnsi="Times New Roman" w:cs="Times New Roman"/>
          <w:sz w:val="24"/>
          <w:szCs w:val="24"/>
        </w:rPr>
        <w:t>.</w:t>
      </w:r>
    </w:p>
    <w:p w14:paraId="0000010F" w14:textId="29288C03"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698C914E" w14:textId="5C3E02E4" w:rsidR="0077172C"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controvérsia sobre a execução do objeto, quanto à dimensão, qualidade e quantidade, deverá ser observado o teor do art. 143 da Lei Federal nº 14.133, de 2021, comunicando-se à empresa para emissão de Nota Fiscal no que se refere à parcela incontroversa da execução do objeto, para efeito de liquidação e pagamento.</w:t>
      </w:r>
    </w:p>
    <w:p w14:paraId="00000111" w14:textId="1C11C90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000112" w14:textId="715AADE5"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00000113" w14:textId="3ECE108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atividades de montagem, instalação e quaisquer outras necessárias para o funcionamento ou uso do bem, estabelecidas nas normas de execução, correrão por conta do Contratado e são condição para o recebimento do objeto.</w:t>
      </w:r>
    </w:p>
    <w:p w14:paraId="00000114" w14:textId="29F72BD0"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Liquidação</w:t>
      </w:r>
    </w:p>
    <w:p w14:paraId="00000115" w14:textId="0A5894F9"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 xml:space="preserve">Recebida a Nota Fiscal ou documento de cobrança equivalente, correrá o prazo de dez dias úteis para fins de liquidação, na forma desta seção, prorrogáveis por igual período, nos termos do art. 125, § 4º do Decreto Municipal nº 20.154, de 2023. </w:t>
      </w:r>
    </w:p>
    <w:p w14:paraId="0F20DA4D" w14:textId="4B0922CB" w:rsidR="00124D69"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de que trata o item anterior será reduzido à metade, mantendo-se a possibilidade de prorrogação, no caso de contratações decorrentes de despesas cujos valores não ultrapassem o limite de que trata o inciso II do art. 75 da Lei Federal nº 14.133, de 2021.</w:t>
      </w:r>
    </w:p>
    <w:p w14:paraId="00000117" w14:textId="596FEF9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14:paraId="00000118"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 prazo de validade;</w:t>
      </w:r>
    </w:p>
    <w:p w14:paraId="00000119"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a data da emissão; </w:t>
      </w:r>
    </w:p>
    <w:p w14:paraId="0000011A"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os dados do contrato e do órgão contratante; </w:t>
      </w:r>
    </w:p>
    <w:p w14:paraId="0000011B"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 período respectivo de execução do contrato; </w:t>
      </w:r>
    </w:p>
    <w:p w14:paraId="0000011C"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 valor a pagar; e </w:t>
      </w:r>
    </w:p>
    <w:p w14:paraId="66FE295D" w14:textId="47F32B38" w:rsidR="00BE355A"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eventual destaque do valor de retenções tributárias cabíveis.</w:t>
      </w:r>
    </w:p>
    <w:p w14:paraId="5CEF06CF" w14:textId="77777777" w:rsidR="00124D69" w:rsidRPr="000E7470" w:rsidRDefault="00124D69" w:rsidP="000E7470">
      <w:pPr>
        <w:pStyle w:val="PargrafodaLista"/>
        <w:spacing w:before="240" w:after="240" w:line="240" w:lineRule="auto"/>
        <w:ind w:left="0" w:firstLine="2835"/>
        <w:rPr>
          <w:rFonts w:ascii="Times New Roman" w:eastAsia="Arial" w:hAnsi="Times New Roman" w:cs="Times New Roman"/>
          <w:sz w:val="24"/>
          <w:szCs w:val="24"/>
        </w:rPr>
      </w:pPr>
    </w:p>
    <w:p w14:paraId="0000011E" w14:textId="58E52BAF"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05B702C" w14:textId="2709BF79" w:rsidR="00124D69"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Haverá retenção na fonte do imposto de renda – IR, nos termos do Decreto Municipal nº 20.086/2022 e em conformidade com a Instrução Normativa nº 1.234/2012, e suas alterações, da Receita Federal, inclusive no que se refere às isenções.</w:t>
      </w:r>
    </w:p>
    <w:p w14:paraId="00000120" w14:textId="3634E49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notas fiscais deverão ser emitidas em observância às regras de retenção dispostas na Instrução Normativa nº 1</w:t>
      </w:r>
      <w:r w:rsidR="00B62AB3" w:rsidRPr="000E7470">
        <w:rPr>
          <w:rFonts w:ascii="Times New Roman" w:hAnsi="Times New Roman" w:cs="Times New Roman"/>
          <w:sz w:val="24"/>
          <w:szCs w:val="24"/>
        </w:rPr>
        <w:t>.</w:t>
      </w:r>
      <w:r w:rsidRPr="000E7470">
        <w:rPr>
          <w:rFonts w:ascii="Times New Roman" w:hAnsi="Times New Roman" w:cs="Times New Roman"/>
          <w:sz w:val="24"/>
          <w:szCs w:val="24"/>
        </w:rPr>
        <w:t xml:space="preserve">234/2012, e suas alterações, da Receita Federal, conforme dispõe o Decreto Municipal nº 20.086/2022, sob pena de não aceitação por parte do contratante. </w:t>
      </w:r>
    </w:p>
    <w:p w14:paraId="00000121" w14:textId="6B99946A"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contratado regularmente optante pelo Simples Nacional, nos termos da Lei Complementar Federal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000122" w14:textId="7DDF8AE9"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Federal nº 14.133, de 2021. </w:t>
      </w:r>
    </w:p>
    <w:p w14:paraId="00000123" w14:textId="03E0F5C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A Administração deverá realizar consulta ao SICAF, ou, na impossibilidade de acesso ao referido Sistema, mediante consulta aos sítios eletrônicos oficiais,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0000124" w14:textId="68415A69"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Constatando-se, junto ao SICAF, ou, na impossibilidade de acesso ao referido Sistema, mediante consulta aos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000125" w14:textId="2E3651C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0BD5C3" w14:textId="77777777" w:rsidR="001230FF" w:rsidRPr="000E7470" w:rsidRDefault="001230FF"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Persistindo a irregularidade, o contratante deverá adotar as medidas necessárias à aplicação das sanções administrativas cabíveis e, se for o caso, a rescisão contratual nos autos do processo administrativo correspondente, assegurada ao contratado a ampla defesa.</w:t>
      </w:r>
    </w:p>
    <w:p w14:paraId="00000127" w14:textId="3369ACC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 junto ao SICAF.</w:t>
      </w:r>
    </w:p>
    <w:p w14:paraId="00000128" w14:textId="42106941"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Prazo de pagamento</w:t>
      </w:r>
    </w:p>
    <w:p w14:paraId="00000129" w14:textId="59333BC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O pagamento será efetuado no prazo de até 10 (dez) dias úteis contados da finalização da liquidação da despesa e consequente assinatura da ordem de pagamento pela autoridade competente, conforme seção anterior, nos termos do art. 125, inciso II do Decreto Municipal nº </w:t>
      </w:r>
      <w:r w:rsidR="006E37BB" w:rsidRPr="000E7470">
        <w:rPr>
          <w:rFonts w:ascii="Times New Roman" w:hAnsi="Times New Roman" w:cs="Times New Roman"/>
          <w:sz w:val="24"/>
          <w:szCs w:val="24"/>
        </w:rPr>
        <w:t>20.154, de</w:t>
      </w:r>
      <w:r w:rsidRPr="000E7470">
        <w:rPr>
          <w:rFonts w:ascii="Times New Roman" w:hAnsi="Times New Roman" w:cs="Times New Roman"/>
          <w:sz w:val="24"/>
          <w:szCs w:val="24"/>
        </w:rPr>
        <w:t xml:space="preserve"> 2023.</w:t>
      </w:r>
    </w:p>
    <w:p w14:paraId="0000012A" w14:textId="75DC59C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de que trata o item anterior será reduzido à metade, mantendo-se a possibilidade de prorrogação, no caso de contratações decorrentes de despesas cujos valores não ultrapassem o limite de que trata o inciso II do art. 75 da Lei Federal nº 14.133, de 2021.</w:t>
      </w:r>
    </w:p>
    <w:p w14:paraId="0000012B" w14:textId="3D3CE44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00BE355A" w:rsidRPr="000E7470">
        <w:rPr>
          <w:rFonts w:ascii="Times New Roman" w:hAnsi="Times New Roman" w:cs="Times New Roman"/>
          <w:sz w:val="24"/>
          <w:szCs w:val="24"/>
        </w:rPr>
        <w:t>:</w:t>
      </w:r>
    </w:p>
    <w:p w14:paraId="0000012C"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EM = I x N x VP</w:t>
      </w:r>
    </w:p>
    <w:p w14:paraId="0000012D"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sendo:</w:t>
      </w:r>
    </w:p>
    <w:p w14:paraId="0000012E"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I – Índice de Compensação Financeira, capitalizado diariamente em regime de juros simples, à taxa nominal de 6,0% (seis por cento) ao ano, ou de 0,5% (meio por cento) ao mês.</w:t>
      </w:r>
    </w:p>
    <w:p w14:paraId="0000012F"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Cálculo do parâmetro “I” </w:t>
      </w:r>
    </w:p>
    <w:p w14:paraId="00000130"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 = (TX/100) / 365 = (6/100) / 365 = 0,00016438.</w:t>
      </w:r>
    </w:p>
    <w:p w14:paraId="00000131"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TX = 6,0% a.a. </w:t>
      </w:r>
    </w:p>
    <w:p w14:paraId="00000132"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VP =Valor do pagamento, ou da parcela em atraso.</w:t>
      </w:r>
    </w:p>
    <w:p w14:paraId="00000133"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N = Número de dias entre a data prevista para o pagamento e a do efetivo pagamento.</w:t>
      </w:r>
    </w:p>
    <w:p w14:paraId="00000134" w14:textId="1648D9A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Forma de pagamento</w:t>
      </w:r>
    </w:p>
    <w:p w14:paraId="00000135" w14:textId="187E01E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pagamento será realizado por meio de ordem bancária, para crédito em banco, agência e conta corrente indicados pelo contratado.</w:t>
      </w:r>
    </w:p>
    <w:p w14:paraId="00000136" w14:textId="1FD8D615"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Será considerada data do pagamento o dia em que constar como emitida a ordem bancária para pagamento.</w:t>
      </w:r>
    </w:p>
    <w:p w14:paraId="00000137" w14:textId="0051DDA3"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do pagamento, será efetuada a retenção tributária prevista nas legislações aplicáveis e conforme previsto neste documento.</w:t>
      </w:r>
    </w:p>
    <w:p w14:paraId="00000138" w14:textId="5FB0697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00000139" w14:textId="0DCADD5E"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serão retidos os valores correspondentes ao IR, conforme hipóteses do art.4º, IN 1.234/2012.</w:t>
      </w:r>
    </w:p>
    <w:p w14:paraId="1F7193FF" w14:textId="18791FD5" w:rsidR="00403BFB" w:rsidRPr="000E7470" w:rsidRDefault="002225AC"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PRIMEIRA – DA CESSÃO DE CRÉDITO</w:t>
      </w:r>
    </w:p>
    <w:p w14:paraId="3E605A1C" w14:textId="77777777" w:rsidR="009B3788" w:rsidRPr="000E7470" w:rsidRDefault="009B3788"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É admitida a cessão fiduciária de direitos creditícios com instituição financeira, nos termos e de acordo com os procedimentos previstos na Instrução Normativa SEGES/ME nº 53, de 8 de julho de 2020, conforme as regras deste presente tópico. </w:t>
      </w:r>
    </w:p>
    <w:p w14:paraId="174F8988" w14:textId="55E49CCD" w:rsidR="00403BFB" w:rsidRPr="000E7470" w:rsidRDefault="009B3788"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cessões de crédito não abrangidas pela Instrução Normativa SEGES/ME nº 53, de 8 de julho de 2020, dependerão de prévia aprovação do Contratante.</w:t>
      </w:r>
    </w:p>
    <w:p w14:paraId="64C7E02D" w14:textId="7F30AC4D" w:rsidR="009A6787" w:rsidRPr="000E7470" w:rsidRDefault="009A678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eficácia da cessão de crédito não abrangida pela Instrução Normativa SEGES/ME nº 53, de 8 de julho de 2020, em relação à Administração, está condicionada à celebração de termo aditivo ao contrato administrativo.</w:t>
      </w:r>
    </w:p>
    <w:p w14:paraId="5D8FFD8E" w14:textId="77FF10B7" w:rsidR="00310328" w:rsidRPr="000E7470" w:rsidRDefault="009A678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FA3067A" w14:textId="18CBCD4F" w:rsidR="009A6787" w:rsidRPr="000E7470" w:rsidRDefault="009A678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C583271" w14:textId="1BCABBFA" w:rsidR="009A6787" w:rsidRPr="000E7470" w:rsidRDefault="009A678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cessão de crédito não afetará a execução do objeto contratado, que continuará sob a integral responsabilidade do Contratado.</w:t>
      </w:r>
    </w:p>
    <w:p w14:paraId="0000013A" w14:textId="70339280" w:rsidR="000464B0" w:rsidRPr="000E7470" w:rsidRDefault="002225AC"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 xml:space="preserve">SEGUNDA – </w:t>
      </w:r>
      <w:r w:rsidR="00C965C9" w:rsidRPr="000E7470">
        <w:rPr>
          <w:rFonts w:ascii="Times New Roman" w:hAnsi="Times New Roman" w:cs="Times New Roman"/>
          <w:sz w:val="24"/>
        </w:rPr>
        <w:t xml:space="preserve">DO MODELO DE </w:t>
      </w:r>
      <w:r w:rsidRPr="000E7470">
        <w:rPr>
          <w:rFonts w:ascii="Times New Roman" w:hAnsi="Times New Roman" w:cs="Times New Roman"/>
          <w:sz w:val="24"/>
        </w:rPr>
        <w:t>GESTÃO DO CONTRATO</w:t>
      </w:r>
    </w:p>
    <w:p w14:paraId="54DCD10E"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contrato deverá ser executado fielmente pelas partes, de acordo com as cláusulas avençadas e as normas da Lei Federal nº 14.133, de 2021, e cada parte responderá pelas consequências de sua inexecução total ou parcial.</w:t>
      </w:r>
    </w:p>
    <w:p w14:paraId="364CE343"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EB7430D"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17942F07"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órgão ou entidade poderá convocar representante da empresa para adoção de providências que devam ser cumpridas de imediato.</w:t>
      </w:r>
    </w:p>
    <w:p w14:paraId="2ADCE933"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Após a assinatura do contrato ou emissão do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7EB1234"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execução do contrato deverá ser acompanhada pelo(s) gestor(es) e fiscalizada pelo(s) fiscal(</w:t>
      </w:r>
      <w:proofErr w:type="spellStart"/>
      <w:r w:rsidRPr="000E7470">
        <w:rPr>
          <w:rFonts w:ascii="Times New Roman" w:hAnsi="Times New Roman" w:cs="Times New Roman"/>
          <w:sz w:val="24"/>
          <w:szCs w:val="24"/>
        </w:rPr>
        <w:t>is</w:t>
      </w:r>
      <w:proofErr w:type="spellEnd"/>
      <w:r w:rsidRPr="000E7470">
        <w:rPr>
          <w:rFonts w:ascii="Times New Roman" w:hAnsi="Times New Roman" w:cs="Times New Roman"/>
          <w:sz w:val="24"/>
          <w:szCs w:val="24"/>
        </w:rPr>
        <w:t xml:space="preserve">) do contrato, ou pelos respectivos substitutos, designados conforme o Decreto Municipal nº 20.154, de 1º de fevereiro de 2023. </w:t>
      </w:r>
    </w:p>
    <w:p w14:paraId="10265C70" w14:textId="77777777" w:rsidR="00BD3EF6" w:rsidRPr="000E7470" w:rsidRDefault="00BD3EF6"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A fiscalização (administrativa e/ou técnica) de que trata o modelo de gestão do contrato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153CF344" w14:textId="00AB2EAF" w:rsidR="00BD3EF6" w:rsidRPr="000E7470" w:rsidRDefault="00B77447"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Da fiscalização</w:t>
      </w:r>
    </w:p>
    <w:p w14:paraId="392D86A1" w14:textId="77777777" w:rsidR="00FC4888" w:rsidRPr="000E7470" w:rsidRDefault="00FC4888"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execução do contrato deverá ser acompanhada e fiscalizada pelo(s) fiscal(</w:t>
      </w:r>
      <w:proofErr w:type="spellStart"/>
      <w:r w:rsidRPr="000E7470">
        <w:rPr>
          <w:rFonts w:ascii="Times New Roman" w:hAnsi="Times New Roman" w:cs="Times New Roman"/>
          <w:sz w:val="24"/>
          <w:szCs w:val="24"/>
        </w:rPr>
        <w:t>is</w:t>
      </w:r>
      <w:proofErr w:type="spellEnd"/>
      <w:r w:rsidRPr="000E7470">
        <w:rPr>
          <w:rFonts w:ascii="Times New Roman" w:hAnsi="Times New Roman" w:cs="Times New Roman"/>
          <w:sz w:val="24"/>
          <w:szCs w:val="24"/>
        </w:rPr>
        <w:t>) do contrato, ou pelos respectivos substitutos, com observância das competências traçadas no art. 23 do Decreto Municipal nº 20.154, de 2023, e demais disposições deste instrumento.</w:t>
      </w:r>
    </w:p>
    <w:p w14:paraId="229297C5" w14:textId="77777777" w:rsidR="00FC4888" w:rsidRPr="000E7470" w:rsidRDefault="00FC4888"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fiscalização técnica e administrativa poderá ser centralizada em único servidor ou dividida, a interesse do órgão contratante, devendo, neste último caso, constar delimitação de competências no ato de designação.</w:t>
      </w:r>
    </w:p>
    <w:p w14:paraId="7A506949" w14:textId="100879FF" w:rsidR="00B77447" w:rsidRPr="000E7470" w:rsidRDefault="00386EB2"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Fiscalização Técnica</w:t>
      </w:r>
    </w:p>
    <w:p w14:paraId="6DE5E235"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w:t>
      </w:r>
    </w:p>
    <w:p w14:paraId="27240C6F"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2CFDB77F"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w:t>
      </w:r>
    </w:p>
    <w:p w14:paraId="1C754D51"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5B23EF85"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0CA8AC05"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comunicará ao gestor do contrato, em tempo hábil, o término do contrato sob sua responsabilidade, com vistas à tempestiva renovação ou à prorrogação contratual.</w:t>
      </w:r>
    </w:p>
    <w:p w14:paraId="3DDBE21B" w14:textId="77777777" w:rsidR="000B48B7" w:rsidRPr="000E7470" w:rsidRDefault="000B48B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Fiscalização Administrativa</w:t>
      </w:r>
    </w:p>
    <w:p w14:paraId="377DF8AE"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6BA0100"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58C55C60" w14:textId="77777777" w:rsidR="000B48B7" w:rsidRPr="000E7470" w:rsidRDefault="000B48B7" w:rsidP="000E7470">
      <w:pPr>
        <w:pStyle w:val="Ttulo2"/>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Gestão contratual</w:t>
      </w:r>
    </w:p>
    <w:p w14:paraId="2675C6FD" w14:textId="77777777" w:rsidR="000B48B7" w:rsidRPr="000E7470" w:rsidRDefault="000B48B7"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Cabe ao gestor do contrato:</w:t>
      </w:r>
    </w:p>
    <w:p w14:paraId="0F5F91E8"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6D3B62"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98C1117"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14:paraId="6D788E2C"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4F320A0"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E377085"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elaborar relatório final com informações sobre a consecução dos objetivos que tenham justificado a contratação e eventuais condutas a serem adotadas para o aprimoramento das atividades da Administração.</w:t>
      </w:r>
    </w:p>
    <w:p w14:paraId="6FE46259"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enviar a documentação pertinente ao competente para a formalização dos procedimentos de liquidação e pagamento, no valor dimensionado pela fiscalização e gestão nos termos do contrato.</w:t>
      </w:r>
    </w:p>
    <w:p w14:paraId="279DEDD7"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Observar as demais competências estabelecidas no art. 22 do Decreto Municipal nº 20.154, de 2023, aplicáveis à contratação.</w:t>
      </w:r>
    </w:p>
    <w:p w14:paraId="0000014D" w14:textId="33DC3803" w:rsidR="000464B0" w:rsidRPr="000E7470" w:rsidRDefault="002225AC"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TERCEIRA – DA CLÁUSULA ANTICORRUPÇÃO</w:t>
      </w:r>
    </w:p>
    <w:p w14:paraId="0000014E" w14:textId="69F36BE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 xml:space="preserve">A CONTRATADA declara conhecer as normas de prevenção à corrupção previstas na legislação, dentre elas, a Lei Anticorrupção (Lei Federal nº 12.846/2013) e o Decreto Municipal nº 18.389/2019 e se compromete a cumpri-las fielmente, por si e por seus sócios, administradores e colaboradores, bem como exigir o seu cumprimento pelos terceiros por ela contratados. </w:t>
      </w:r>
    </w:p>
    <w:p w14:paraId="0000014F" w14:textId="3A806B05"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Partes declaram que manterão até o final da vigência deste contrato conduta ética, honesta e transparente na execução do objeto do presente instrumento.</w:t>
      </w:r>
    </w:p>
    <w:p w14:paraId="00000150" w14:textId="6B966552"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CONTRATADA se obriga a, no exercício dos direitos e obrigações previstos neste Contrato:</w:t>
      </w:r>
    </w:p>
    <w:p w14:paraId="00000151" w14:textId="263EB3F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w:t>
      </w:r>
    </w:p>
    <w:p w14:paraId="00000152" w14:textId="4E8B8E22"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Adotar as melhores práticas de monitoramento e verificação do cumprimento das leis anticorrupção, com o objetivo de prevenir atos de corrupção, fraude, práticas ilícitas ou lavagem de dinheiro por seus sócios, administradores, colaboradores e/ou terceiros por ela contratados;</w:t>
      </w:r>
    </w:p>
    <w:p w14:paraId="00000153" w14:textId="5AD8820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empregar, direta ou mediante contrato de serviços ou qualquer outro instrumento, trabalho escravo ou infantil, salvo as exceções legalmente admitidas;</w:t>
      </w:r>
    </w:p>
    <w:p w14:paraId="00000154" w14:textId="3F01DC14"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Participar de todos e quaisquer treinamentos eventualmente oferecidos pela CONTRATANTE que sejam relativos a qualquer aspecto que consta da lei anticorrupção ou políticas internas de integridade da CONTRATANTE.</w:t>
      </w:r>
    </w:p>
    <w:p w14:paraId="00000155" w14:textId="48FD25D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CONTRATADA se obriga a comunicar imediatamente a CONTRATANTE, por escrito, caso tome conhecimento de que algum pagamento impróprio tenha sido realizado, direta ou indiretamente, por um de seus sócios, administradores, colaboradores e/ou terceiros por ela contratados.</w:t>
      </w:r>
    </w:p>
    <w:p w14:paraId="00000156" w14:textId="7C9B9AFE" w:rsidR="000464B0" w:rsidRPr="000E7470" w:rsidRDefault="002225AC"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QUARTA – DAS INFRAÇÕES E SANÇÕES ADMINISTRATIVAS</w:t>
      </w:r>
    </w:p>
    <w:p w14:paraId="4430FB41"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Caracteriza infração administrativa, nos termos da Lei Federal nº 14.133, de 2021:</w:t>
      </w:r>
    </w:p>
    <w:p w14:paraId="2623BDEA"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dar causa à inexecução parcial do contrato;</w:t>
      </w:r>
    </w:p>
    <w:p w14:paraId="4439708E"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dar causa à inexecução parcial do contrato que cause grave dano à Administração, ao funcionamento dos serviços públicos ou ao interesse coletivo;</w:t>
      </w:r>
    </w:p>
    <w:p w14:paraId="6A9FDA6A"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dar causa à inexecução total do contrato;</w:t>
      </w:r>
    </w:p>
    <w:p w14:paraId="118B04C1"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deixar de entregar a documentação exigida para o certame;</w:t>
      </w:r>
    </w:p>
    <w:p w14:paraId="1D421756"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lastRenderedPageBreak/>
        <w:t>não manter a proposta, salvo em decorrência de fato superveniente devidamente justificado;</w:t>
      </w:r>
    </w:p>
    <w:p w14:paraId="0B861311"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não celebrar o contrato ou não entregar a documentação exigida para a contratação, quando convocado dentro do prazo de validade de sua proposta;</w:t>
      </w:r>
    </w:p>
    <w:p w14:paraId="319617F7"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ensejar o retardamento da execução ou da entrega do objeto da licitação sem motivo justificado;</w:t>
      </w:r>
    </w:p>
    <w:p w14:paraId="66223FB0"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apresentar declaração ou documentação falsa exigida para o certame ou prestar declaração falsa durante a licitação ou a execução do contrato;</w:t>
      </w:r>
    </w:p>
    <w:p w14:paraId="4AF21E6D"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fraudar a licitação ou praticar ato fraudulento na execução do contrato;</w:t>
      </w:r>
    </w:p>
    <w:p w14:paraId="45860D1F"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comportar-se de modo inidôneo ou cometer fraude de qualquer natureza;</w:t>
      </w:r>
    </w:p>
    <w:p w14:paraId="42B229B7"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praticar atos ilícitos com vistas a frustrar os objetivos da licitação;</w:t>
      </w:r>
    </w:p>
    <w:p w14:paraId="47F727F3"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praticar ato lesivo previsto no art. 5º da Lei nº 12.846, de 1º de agosto de 2013.</w:t>
      </w:r>
    </w:p>
    <w:p w14:paraId="6FC46047"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 licitante ou o contratado será responsabilizado administrativamente pelas infrações descritas no artigo 155 da Lei Federal nº 14.133, de 2021, e, ainda, por qualquer outro descumprimento de cláusula editalícia, contratual ou da legislação referente a licitações e contratações públicas.</w:t>
      </w:r>
    </w:p>
    <w:p w14:paraId="5BAE7D2D"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eastAsia="Arial" w:hAnsi="Times New Roman" w:cs="Times New Roman"/>
          <w:sz w:val="24"/>
          <w:szCs w:val="24"/>
        </w:rPr>
        <w:t>Na aplicação das sanções, além das disposições da Lei Federal nº 14,133, de 2021, deverão ser observados os procedimentos dispostos no Decreto Municipal nº 20.154, de 2023.</w:t>
      </w:r>
    </w:p>
    <w:p w14:paraId="50050B14" w14:textId="0BDB7B81"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Aplica-se o disposto, sobre infrações </w:t>
      </w:r>
      <w:r w:rsidR="00351EAB" w:rsidRPr="000E7470">
        <w:rPr>
          <w:rFonts w:ascii="Times New Roman" w:hAnsi="Times New Roman" w:cs="Times New Roman"/>
          <w:sz w:val="24"/>
          <w:szCs w:val="24"/>
        </w:rPr>
        <w:t>administrativas, às</w:t>
      </w:r>
      <w:r w:rsidRPr="000E7470">
        <w:rPr>
          <w:rFonts w:ascii="Times New Roman" w:hAnsi="Times New Roman" w:cs="Times New Roman"/>
          <w:sz w:val="24"/>
          <w:szCs w:val="24"/>
        </w:rPr>
        <w:t xml:space="preserve"> licitações, às contratações diretas e procedimentos auxiliares, naquilo que for aplicável.</w:t>
      </w:r>
    </w:p>
    <w:p w14:paraId="6C86CF09"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eastAsia="Arial"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0AC18522" w14:textId="61A3C49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Aplica-se o disposto neste </w:t>
      </w:r>
      <w:r w:rsidR="00351EAB" w:rsidRPr="000E7470">
        <w:rPr>
          <w:rFonts w:ascii="Times New Roman" w:hAnsi="Times New Roman" w:cs="Times New Roman"/>
          <w:sz w:val="24"/>
          <w:szCs w:val="24"/>
        </w:rPr>
        <w:t>item às</w:t>
      </w:r>
      <w:r w:rsidRPr="000E7470">
        <w:rPr>
          <w:rFonts w:ascii="Times New Roman" w:hAnsi="Times New Roman" w:cs="Times New Roman"/>
          <w:sz w:val="24"/>
          <w:szCs w:val="24"/>
        </w:rPr>
        <w:t xml:space="preserve"> licitações, contratações diretas e procedimentos auxiliares, naquilo que for aplicável.</w:t>
      </w:r>
    </w:p>
    <w:p w14:paraId="3D1D1C61"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Os licitantes ou contratados que descumprirem total ou parcialmente as normas administrativas ficarão sujeitos às penalidades descritas no artigo 156, da Lei Federal nº 14.133, de 2021, quais sejam:</w:t>
      </w:r>
    </w:p>
    <w:p w14:paraId="20D68377"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lastRenderedPageBreak/>
        <w:t>advertência;</w:t>
      </w:r>
    </w:p>
    <w:p w14:paraId="607E37FB"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multa;</w:t>
      </w:r>
    </w:p>
    <w:p w14:paraId="65368A86"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impedimento de licitar e contratar;</w:t>
      </w:r>
    </w:p>
    <w:p w14:paraId="786D178F"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declaração de inidoneidade para licitar ou contratar.</w:t>
      </w:r>
    </w:p>
    <w:p w14:paraId="0C2DC3D6"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sanção de advertência será aplicada nas seguintes hipóteses:</w:t>
      </w:r>
    </w:p>
    <w:p w14:paraId="52BE980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descumprimento, de pequena relevância, de obrigação legal ou infração à Lei quando não se justificar aplicação de sanção mais grave, tais como, o atraso na entrega de produto, serviços e etapas de obras, e situações de natureza correlatas, independentemente da aplicação da multa;</w:t>
      </w:r>
    </w:p>
    <w:p w14:paraId="74DAE941"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inexecução parcial de obrigação contratual principal ou acessória de pequena relevância, e situações de natureza correlatas, a critério da Administração Pública, quando não se justificar aplicação de sanção mais grave.</w:t>
      </w:r>
    </w:p>
    <w:p w14:paraId="0D3362F8"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Considera-se pequena relevância o descumprimento de obrigações ou deveres instrumentais ou formais que não impactam objetivamente na execução do contrato, bem como não causem prejuízos à Administração Pública.</w:t>
      </w:r>
    </w:p>
    <w:p w14:paraId="07687D6B"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licitante ou contratado que, injustificadamente, descumprir a legislação ou cláusulas editalícias ou contratuais ou der causa a atraso no cumprimento dos prazos previstos nos contratos ou sua inexecução total ou parcial, sujeitar-se-á à aplicação da penalidade de multa, sem prejuízo das demais penalidades legais cabíveis, devendo ser observados, preferencialmente, os seguintes percentuais e diretrizes</w:t>
      </w:r>
      <w:r w:rsidRPr="000E7470">
        <w:rPr>
          <w:rFonts w:ascii="Times New Roman" w:eastAsia="Arial" w:hAnsi="Times New Roman" w:cs="Times New Roman"/>
          <w:sz w:val="24"/>
          <w:szCs w:val="24"/>
        </w:rPr>
        <w:t>:</w:t>
      </w:r>
    </w:p>
    <w:p w14:paraId="4EA0239F"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Multa moratória de 0,33% (zero vírgula trinta e três por cento) por dia de atraso na entrega de bem ou execução de serviços, até o limite de 9,9% (nove vírgula nove por cento), correspondente a até 30 (trinta) dias de atraso, calculado sobre o valor correspondente à parte inadimplente, excluída, quando for o caso, a parcela correspondente aos impostos destacados no documento fiscal;</w:t>
      </w:r>
    </w:p>
    <w:p w14:paraId="70837BFA"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hAnsi="Times New Roman" w:cs="Times New Roman"/>
          <w:sz w:val="24"/>
          <w:szCs w:val="24"/>
        </w:rPr>
        <w:t>A aplicação de multa moratória não impedirá que a autoridade julgadora, mediante ato motivado, a converta em compensatória e promova a extinção unilateral do contrato com a aplicação cumulada de outras sanções previstas neste termo.</w:t>
      </w:r>
    </w:p>
    <w:p w14:paraId="7F381144"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10% (dez por cento) sobre o valor total da adjudicação da licitação ou do valor da contratação direta em caso de recusa do licitante ou futuro contratado em assinar a Ata de Registro de Preços ou contrato, ou recusar-se a aceitar ou retirar o instrumento equivalente.</w:t>
      </w:r>
    </w:p>
    <w:p w14:paraId="24FB49AD"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3% (três por cento) sobre o valor de referência para a licitação ou para a contratação direta, na hipótese de o licitante ou futuro contratado retardar injustificadamente o procedimento de contratação ou descumprir de preceito normativo ou as obrigações assumidas, nos casos seguintes:</w:t>
      </w:r>
    </w:p>
    <w:p w14:paraId="574641F2"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Deixar de entregar documentação exigida para o certame licitatório;</w:t>
      </w:r>
    </w:p>
    <w:p w14:paraId="3D5CC16C"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Desistir da proposta, salvo por motivo justo decorrente de fato superveniente e aceito pela administração;</w:t>
      </w:r>
    </w:p>
    <w:p w14:paraId="2A75244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Tumultuar a sessão pública da licitação;</w:t>
      </w:r>
    </w:p>
    <w:p w14:paraId="6AFD7BAD"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Descumprir requisitos de habilitação na modalidade pregão, a despeito da declaração em sentido contrário;</w:t>
      </w:r>
    </w:p>
    <w:p w14:paraId="197E8B6B"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Propor recursos manifestamente protelatórios em sede de contratação direta ou de licitação;</w:t>
      </w:r>
    </w:p>
    <w:p w14:paraId="26B74D2E"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providenciar o cadastramento da empresa vencedora da licitação ou da contratação direta junto ao cadastro de fornecedores do município, dentro do prazo concedido pela administração pública, salvo por motivo justo decorrente de fato superveniente e aceito pelo respectivo órgão ou entidade da administração pública municipal;</w:t>
      </w:r>
    </w:p>
    <w:p w14:paraId="6118B839"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regularizar os documentos fiscais no prazo concedido, na hipótese de o licitante ou contratado enquadrar-se como microempresa ou empresa de pequeno porte, nos termos da lei complementar federal nº 123, de 14 de dezembro de 2006 e suas alterações;</w:t>
      </w:r>
    </w:p>
    <w:p w14:paraId="0C604CBC"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Propor impugnações ou pedidos de esclarecimentos repetitivos e que já tenham sido respondidos, tumultuando a abertura do processo licitatório; e</w:t>
      </w:r>
    </w:p>
    <w:p w14:paraId="656C7C98"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Outras situações de natureza correlatas.</w:t>
      </w:r>
    </w:p>
    <w:p w14:paraId="0DF4CB2F"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3% (três por cento) sobre o valor total da adjudicação da licitação ou do valor da contratação direta, quando houver o descumprimento das normas jurídicas atinentes ou das obrigações assumidas, tais como:</w:t>
      </w:r>
    </w:p>
    <w:p w14:paraId="03237623"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manter as condições de habilitação durante o prazo do contrato;</w:t>
      </w:r>
    </w:p>
    <w:p w14:paraId="0277C8B4"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Permanecer inadimplente após a aplicação de advertência;</w:t>
      </w:r>
    </w:p>
    <w:p w14:paraId="485B4668"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regularizar, no prazo definido pela administração pública municipal, os documentos exigidos na legislação, para fins de liquidação e pagamento da despesa;</w:t>
      </w:r>
    </w:p>
    <w:p w14:paraId="70A8EA4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complementar o valor da garantia recolhida após solicitação do contratante;</w:t>
      </w:r>
    </w:p>
    <w:p w14:paraId="1B308A93"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Não devolver os valores pagos indevidamente pelo contratante;</w:t>
      </w:r>
    </w:p>
    <w:p w14:paraId="3040E8B8"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Manter funcionário sem qualificação para a execução do objeto do contrato;</w:t>
      </w:r>
    </w:p>
    <w:p w14:paraId="452CA0FA"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Utilizar as dependências do contratante para fins diversos do objeto do contrato;</w:t>
      </w:r>
    </w:p>
    <w:p w14:paraId="5C287142"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Tolerar, no cumprimento do contrato, situação apta a gerar ou causar dano físico, lesão corporal ou consequências letais a qualquer pessoa;</w:t>
      </w:r>
    </w:p>
    <w:p w14:paraId="168DD409"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fornecer equipamento de proteção individual - epi, quando exigido, aos seus empregados ou omitir-se em fiscalizar sua utilização, na hipótese de contratação de serviços de mão de obra;</w:t>
      </w:r>
    </w:p>
    <w:p w14:paraId="5A0C15B0"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substituir empregado cujo comportamento for incompatível com o interesse público, em especial quando solicitado pela administração pública municipal;</w:t>
      </w:r>
    </w:p>
    <w:p w14:paraId="1CA8F88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repor funcionários faltosos;</w:t>
      </w:r>
    </w:p>
    <w:p w14:paraId="195302A0"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controlar a presença de empregados, na hipótese de contratação de serviços de mão de obra;</w:t>
      </w:r>
    </w:p>
    <w:p w14:paraId="209874B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observar a legislação pertinente aplicável ao seu ramo de atividade;</w:t>
      </w:r>
    </w:p>
    <w:p w14:paraId="13C259FD"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Deixar de efetuar o pagamento de salários, </w:t>
      </w:r>
      <w:proofErr w:type="spellStart"/>
      <w:r w:rsidRPr="000E7470">
        <w:rPr>
          <w:rFonts w:ascii="Times New Roman" w:eastAsia="Arial" w:hAnsi="Times New Roman" w:cs="Times New Roman"/>
          <w:sz w:val="24"/>
          <w:szCs w:val="24"/>
        </w:rPr>
        <w:t>vales-transporte</w:t>
      </w:r>
      <w:proofErr w:type="spellEnd"/>
      <w:r w:rsidRPr="000E7470">
        <w:rPr>
          <w:rFonts w:ascii="Times New Roman" w:eastAsia="Arial" w:hAnsi="Times New Roman" w:cs="Times New Roman"/>
          <w:sz w:val="24"/>
          <w:szCs w:val="24"/>
        </w:rPr>
        <w:t xml:space="preserve">, </w:t>
      </w:r>
      <w:proofErr w:type="spellStart"/>
      <w:r w:rsidRPr="000E7470">
        <w:rPr>
          <w:rFonts w:ascii="Times New Roman" w:eastAsia="Arial" w:hAnsi="Times New Roman" w:cs="Times New Roman"/>
          <w:sz w:val="24"/>
          <w:szCs w:val="24"/>
        </w:rPr>
        <w:t>vales-refeição</w:t>
      </w:r>
      <w:proofErr w:type="spellEnd"/>
      <w:r w:rsidRPr="000E7470">
        <w:rPr>
          <w:rFonts w:ascii="Times New Roman" w:eastAsia="Arial" w:hAnsi="Times New Roman" w:cs="Times New Roman"/>
          <w:sz w:val="24"/>
          <w:szCs w:val="24"/>
        </w:rPr>
        <w:t>, seguros, encargos fiscais e sociais, bem como deixar de arcar com quaisquer outras despesas relacionadas à execução do contrato nas datas avençadas;</w:t>
      </w:r>
    </w:p>
    <w:p w14:paraId="2202F9A8"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apresentar, quando solicitado, documentação fiscal, trabalhista e previdenciária regularizada;</w:t>
      </w:r>
    </w:p>
    <w:p w14:paraId="6730651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Outras situações de natureza correlatas.</w:t>
      </w:r>
    </w:p>
    <w:p w14:paraId="46A31300"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5% (cinco por cento) sobre o valor total da adjudicação da licitação ou do valor da contratação direta, na hipótese de o contratado entregar o objeto contratual em desacordo com as especificações, condições e qualidade contratadas e/ou com vício, irregularidade ou defeito oculto que o tornem impróprio para o fim a que se destina;</w:t>
      </w:r>
    </w:p>
    <w:p w14:paraId="791CB333"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prestações continuadas, a multa prevista nesta hipótese será calculada sobre o valor da parcela que eventualmente for descumprida.</w:t>
      </w:r>
    </w:p>
    <w:p w14:paraId="5D13A150"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10% (dez por cento) sobre o valor total do contrato ou da Ata de Registro de Preços, quando o contratado ou fornecedor registrado der causa, respectivamente, à rescisão do contrato ou ao cancelamento da Ata de Registro de Preços.</w:t>
      </w:r>
    </w:p>
    <w:p w14:paraId="55206895"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A multa deverá ser recolhida administrativamente no prazo de até 30 (trinta) dias, a contar da data do envio da notificação do órgão sancionador.</w:t>
      </w:r>
    </w:p>
    <w:p w14:paraId="5758F2E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Os débitos do Contratado para com a Contratante, resultantes das hipóteses de multa previstas neste instrumento, não inscritos em dívida ativa, poderão ser compensados, total ou parcialmente, com os créditos decorrentes de contratos administrativos que o contratado possua com o mesmo órgão ou entidade sancionadora.</w:t>
      </w:r>
    </w:p>
    <w:p w14:paraId="0A6B2212"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pedido de compensação poderá ser formalizado pelo interessado, sem prejuízo da possibilidade de a Administração fazê-lo de ofício, acompanhado da relação dos contratos vigentes que serão objeto de compensação do valor do débito pretendido, e submetido à análise do órgão ou entidade contratante, que, deferindo o pedido, terá caráter definitivo.  </w:t>
      </w:r>
    </w:p>
    <w:p w14:paraId="4B06CF13"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Na hipótese de deixar o licitante ou contratado de pagar a multa aplicada a tempo e o modo devidos, o valor correspondente será executado observando-se os seguintes critérios:</w:t>
      </w:r>
    </w:p>
    <w:p w14:paraId="5F42F121"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Se a multa aplicada for superior ao valor das faturas subsequentes ao mês do inadimplemento, responderá o licitante ou contratado pela sua diferença, devidamente atualizada monetariamente e acrescida de juros e encargos legais, fixados segundo os índices e taxas utilizados na cobrança dos créditos não tributários do Município ou cobrados judicialmente;</w:t>
      </w:r>
    </w:p>
    <w:p w14:paraId="2629680A"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Inexistindo faturas subsequentes ou sendo estas insuficientes, descontar-se-á do valor da garantia;</w:t>
      </w:r>
    </w:p>
    <w:p w14:paraId="1D891470"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Impossibilitado o desconto a que se refere o inciso II do caput deste artigo, será o crédito correspondente inscrito em dívida ativa.</w:t>
      </w:r>
    </w:p>
    <w:p w14:paraId="2EE1C722"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atraso injustificado superior a 30 (trinta) dias contínuos será considerado como inexecução total do Contrato ou da Ata de Registro de Preços, devendo os instrumentos respectivos serem rescindidos, salvo razões de interesse público devidamente motivadas no ato do respectivo órgão ou entidade da Administração Pública Municipal contratante.</w:t>
      </w:r>
    </w:p>
    <w:p w14:paraId="26A130E7"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sanção de impedimento de licitar e contratar será aplicada, quando não se justificar a imposição de penalidade mais grave, àquele que:</w:t>
      </w:r>
    </w:p>
    <w:p w14:paraId="10DDE7AF"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der causa à inexecução parcial do contrato, que cause grave dano à Administração, ao funcionamento dos serviços públicos ou ao interesse coletivo;</w:t>
      </w:r>
    </w:p>
    <w:p w14:paraId="2C0DEF47"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der causa à inexecução total do contrato;</w:t>
      </w:r>
    </w:p>
    <w:p w14:paraId="2DA1544E"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deixar de entregar a documentação exigida para o certame;</w:t>
      </w:r>
    </w:p>
    <w:p w14:paraId="212C0230"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manter a proposta, salvo em decorrência de fato superveniente devidamente justificado;</w:t>
      </w:r>
    </w:p>
    <w:p w14:paraId="305CBAB7"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celebrar o contrato ou não entregar a documentação exigida para a contratação, quando convocado dentro do prazo de validade de sua proposta;</w:t>
      </w:r>
    </w:p>
    <w:p w14:paraId="7073B8B2"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ensejar o retardamento da execução ou da entrega do objeto da licitação sem motivo justificado;</w:t>
      </w:r>
    </w:p>
    <w:p w14:paraId="22818A0A"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outras situações de natureza correlatas.</w:t>
      </w:r>
    </w:p>
    <w:p w14:paraId="5E99616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Considera-se inexecução total do contrato:</w:t>
      </w:r>
    </w:p>
    <w:p w14:paraId="3D3A4FA3"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recusa injustificada de cumprimento integral da obrigação contratualmente determinada; ou</w:t>
      </w:r>
    </w:p>
    <w:p w14:paraId="010DE1EE"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recusa injustificada do adjudicatário em assinar ata de registro de preços, contrato ou em aceitar ou retirar o instrumento equivalente no prazo estabelecido pela Administração Pública.</w:t>
      </w:r>
    </w:p>
    <w:p w14:paraId="0CA12667"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Evidenciada a inexecução total, a inexecução parcial ou o retardamento do cumprimento do encargo contratual, o adjudicatário ou contratado será notificado para apresentar, no prazo de 2 (dois) dias úteis, a contar da publicação ou ciência, a justificativa para o descumprimento do contrato.</w:t>
      </w:r>
    </w:p>
    <w:p w14:paraId="1D4B0713"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justificativa apresentada pelo licitante ou adjudicatário será analisada pelo agente de contratação, pregoeiro ou comissão de licitação; e a apresentada pela contratada será analisada pelo fiscal do contrato que, mediante ato motivado, apresentará manifestação e submeterá à decisão da autoridade superior competente.</w:t>
      </w:r>
    </w:p>
    <w:p w14:paraId="625B381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Rejeitadas as justificativas, o agente público competente submeterá à autoridade máxima do órgão ou entidade para que decida sobre o encaminhamento para a instauração do processo para a apuração de responsabilidade, salvo quando não for ele a autoridade instauradora e julgadora.</w:t>
      </w:r>
    </w:p>
    <w:p w14:paraId="60836D7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Preliminarmente ao encaminhamento à instauração do processo para a apuração de responsabilidade poderá a autoridade máxima do órgão ou entidade conceder prazo máximo de 10 (dez) dias, a contar da publicação ou da ciência, para a adequação da execução contratual ou entrega do objeto.</w:t>
      </w:r>
    </w:p>
    <w:p w14:paraId="2D0B1259"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impedirá o sancionado de licitar ou contratar no âmbito da Administração Pública direta e indireta do município de Uberlândia, pelo prazo máximo de 3 (três) anos a contar da sua inscrição no Cadastro Nacional de Empresas Inidôneas e Suspensas - CEIS.</w:t>
      </w:r>
    </w:p>
    <w:p w14:paraId="1CCBA8F1"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sanção de declaração de inidoneidade para licitar ou contratar será aplicada àquele que:</w:t>
      </w:r>
    </w:p>
    <w:p w14:paraId="4C1CD967"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apresentar declaração ou documentação falsa exigida para o certame ou prestar declaração falsa durante a licitação ou a execução do contrato;</w:t>
      </w:r>
    </w:p>
    <w:p w14:paraId="09CD1292"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fraudar a licitação ou praticar ato fraudulento na execução do contrato;</w:t>
      </w:r>
    </w:p>
    <w:p w14:paraId="1B4E2FD3"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comportar-se de modo inidôneo ou cometer fraude de qualquer natureza;</w:t>
      </w:r>
    </w:p>
    <w:p w14:paraId="218D81C1"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praticar atos ilícitos com vistas a frustrar os objetivos da licitação;</w:t>
      </w:r>
    </w:p>
    <w:p w14:paraId="4CB78342"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praticar ato lesivo previsto no artigo 5º da Lei Federal nº 12.846, de 1º de agosto de 2013;</w:t>
      </w:r>
    </w:p>
    <w:p w14:paraId="37335305"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outras situações de natureza correlatas</w:t>
      </w:r>
    </w:p>
    <w:p w14:paraId="4704AAB4"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autoridade máxima, quando do julgamento, se concluir pela existência de infração criminal ou de ato de improbidade administrativa, dará conhecimento aos órgãos de controle da Administração Pública competentes e, quando couber, à Controladoria-Geral do Município, para atuação no âmbito das respectivas competências.</w:t>
      </w:r>
    </w:p>
    <w:p w14:paraId="19158499"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de inidoneidade aplicada por qualquer ente da Federação, impedirá o responsável de licitar ou contratar no âmbito da Administração Pública direta e indireta do município de Uberlândia, pelo prazo mínimo de 3 (três) anos e máximo de 6 (seis) anos, a contar do trânsito em julgado da decisão administrativa.</w:t>
      </w:r>
    </w:p>
    <w:p w14:paraId="698CA6D0"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apuração de responsabilidade por infrações passíveis das sanções de advertência se dará em processo administrativo sumaríssimo, facultando-se a defesa do licitante ou contratado no prazo de 03 (três) dias úteis, a contar da ciência.</w:t>
      </w:r>
    </w:p>
    <w:p w14:paraId="53E87378"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apuração de responsabilidade por infrações passíveis da sanção de multa, ou advertência e multa, se dará em processo administrativo sumário, facultando-se a defesa do licitante ou contratado no prazo de 15 (quinze) dias úteis, a contar da publicação ou ciência.</w:t>
      </w:r>
    </w:p>
    <w:p w14:paraId="17A2B0BE"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aplicação das sanções impedimento e inidoneidade, conforme o artigo 132 do Decreto Municipal nº 20.154, de 2023, requererá a instauração de processo de responsabilização, de que trata o artigo 158 da Lei Federal nº 14.133, de 2021, a ser conduzido por Comissão Processante, permanente ou designada pela autoridade competente ou pela autoridade máxima do órgão ou entidade da Administração Pública do município de Uberlândia. </w:t>
      </w:r>
    </w:p>
    <w:p w14:paraId="57631CF3"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Instaurado o processo administrativo, a autoridade competente deverá emitir a notificação, para, no prazo de 15 (quinze) dias úteis, contado da data de intimação, apresentarem defesa escrita, sendo facultado apresentar rol de eventuais provas que deseja produzir, de forma fundamentada, para deliberação da Comissão e exercício do direito ao contraditório e à ampla defesa.</w:t>
      </w:r>
    </w:p>
    <w:p w14:paraId="105A6B66" w14:textId="77777777" w:rsidR="005F7EDC" w:rsidRPr="000E7470" w:rsidRDefault="005F7EDC" w:rsidP="009F2E1E">
      <w:pPr>
        <w:pStyle w:val="Ttulo2"/>
        <w:keepLines w:val="0"/>
        <w:widowControl w:val="0"/>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prescrição ocorrerá em 5 (cinco) anos, contados da ciência da infração pela Administração, devendo-se observar as causas de interrupção e suspensão previstas no §4º do artigo 158 da Lei Federal nº 14.133, de 2021.</w:t>
      </w:r>
    </w:p>
    <w:p w14:paraId="77D6E8B7" w14:textId="77777777" w:rsidR="005F7EDC" w:rsidRPr="000E7470" w:rsidRDefault="005F7EDC" w:rsidP="009F2E1E">
      <w:pPr>
        <w:pStyle w:val="Ttulo2"/>
        <w:keepLines w:val="0"/>
        <w:widowControl w:val="0"/>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0E7470">
        <w:rPr>
          <w:rFonts w:ascii="Times New Roman" w:eastAsia="Arial" w:hAnsi="Times New Roman" w:cs="Times New Roman"/>
          <w:sz w:val="24"/>
          <w:szCs w:val="24"/>
        </w:rPr>
        <w:lastRenderedPageBreak/>
        <w:t>prévia.</w:t>
      </w:r>
    </w:p>
    <w:p w14:paraId="0AAAAB52"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Os atos previstos como infrações administrativas na Lei Federal nº 14.133, de 2021, no Decreto Municipal nº 20.154, de 2023,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no Decreto Municipal nº 18.389, de 9 de dezembro de 2019.</w:t>
      </w:r>
    </w:p>
    <w:p w14:paraId="507B1F69"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hAnsi="Times New Roman" w:cs="Times New Roman"/>
          <w:sz w:val="24"/>
          <w:szCs w:val="24"/>
        </w:rPr>
        <w:t>É admitida a reabilitação do condenado perante a própria autoridade que aplicou a penalidade, na forma do art. 163 da Lei Federal nº 14.133, de 2021 e do art. 136 do Decreto Municipal nº 20.154, de 2023</w:t>
      </w:r>
      <w:r w:rsidRPr="000E7470">
        <w:rPr>
          <w:rFonts w:ascii="Times New Roman" w:eastAsia="Arial" w:hAnsi="Times New Roman" w:cs="Times New Roman"/>
          <w:sz w:val="24"/>
          <w:szCs w:val="24"/>
        </w:rPr>
        <w:t>.</w:t>
      </w:r>
    </w:p>
    <w:p w14:paraId="1E70E8F2"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Para a garantia da ampla defesa e contraditório, as notificações serão enviadas eletronicamente para os endereços de e-mail informados na proposta comercial, bem como os cadastrados pela empresa no </w:t>
      </w:r>
      <w:proofErr w:type="spellStart"/>
      <w:r w:rsidRPr="000E7470">
        <w:rPr>
          <w:rFonts w:ascii="Times New Roman" w:eastAsia="Arial" w:hAnsi="Times New Roman" w:cs="Times New Roman"/>
          <w:sz w:val="24"/>
          <w:szCs w:val="24"/>
        </w:rPr>
        <w:t>Sicaf</w:t>
      </w:r>
      <w:proofErr w:type="spellEnd"/>
      <w:r w:rsidRPr="000E7470">
        <w:rPr>
          <w:rFonts w:ascii="Times New Roman" w:eastAsia="Arial" w:hAnsi="Times New Roman" w:cs="Times New Roman"/>
          <w:sz w:val="24"/>
          <w:szCs w:val="24"/>
        </w:rPr>
        <w:t>.</w:t>
      </w:r>
    </w:p>
    <w:p w14:paraId="6CA551AB"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Os endereços de e-mail informados na proposta comercial e/ou cadastrados no </w:t>
      </w:r>
      <w:proofErr w:type="spellStart"/>
      <w:r w:rsidRPr="000E7470">
        <w:rPr>
          <w:rFonts w:ascii="Times New Roman" w:eastAsia="Arial" w:hAnsi="Times New Roman" w:cs="Times New Roman"/>
          <w:sz w:val="24"/>
          <w:szCs w:val="24"/>
        </w:rPr>
        <w:t>Sicaf</w:t>
      </w:r>
      <w:proofErr w:type="spellEnd"/>
      <w:r w:rsidRPr="000E7470">
        <w:rPr>
          <w:rFonts w:ascii="Times New Roman" w:eastAsia="Arial" w:hAnsi="Times New Roman" w:cs="Times New Roman"/>
          <w:sz w:val="24"/>
          <w:szCs w:val="24"/>
        </w:rPr>
        <w:t xml:space="preserve"> serão considerados de uso contínuo da empresa, não cabendo alegação de desconhecimento das comunicações a eles comprovadamente enviadas.</w:t>
      </w:r>
    </w:p>
    <w:p w14:paraId="1D3B1172"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eastAsia="Arial" w:hAnsi="Times New Roman" w:cs="Times New Roman"/>
          <w:sz w:val="24"/>
          <w:szCs w:val="24"/>
        </w:rPr>
        <w:t>Todas as sanções previstas neste Contrato poderão ser aplicadas cumulativamente com a multa e, na hipótese de cumulação, serão concedidos os prazos para recurso aplicáveis à penalidade mais gravosa.</w:t>
      </w:r>
    </w:p>
    <w:p w14:paraId="7E1913B5" w14:textId="6B4EC2CC"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Na aplicação das penalidades serão observadas as circunstâncias previstas no §1º do artigo 156, da Lei Federal nº 14.133, de 2021, </w:t>
      </w:r>
      <w:r w:rsidR="006333FE" w:rsidRPr="000E7470">
        <w:rPr>
          <w:rFonts w:ascii="Times New Roman" w:hAnsi="Times New Roman" w:cs="Times New Roman"/>
          <w:sz w:val="24"/>
          <w:szCs w:val="24"/>
        </w:rPr>
        <w:t>conforme condições</w:t>
      </w:r>
      <w:r w:rsidRPr="000E7470">
        <w:rPr>
          <w:rFonts w:ascii="Times New Roman" w:hAnsi="Times New Roman" w:cs="Times New Roman"/>
          <w:sz w:val="24"/>
          <w:szCs w:val="24"/>
        </w:rPr>
        <w:t xml:space="preserve"> estabelecidas nos artigos 160 a 163 do Decreto Municipal nº 20.154/2023.</w:t>
      </w:r>
    </w:p>
    <w:p w14:paraId="23160A08"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cometimento de mais de uma infração em uma mesma licitação ou relação contratual sujeitará o adjudicatário ou contratado infrator à sanção cabível para a mais grave entre elas, ou se iguais, somente uma delas, sopesando-se, em qualquer caso, as demais infrações como circunstância agravante, sem afastamento da possibilidade de aplicação da pena de multa cumulativamente à sanção mais grave.</w:t>
      </w:r>
    </w:p>
    <w:p w14:paraId="1F8B9160"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shd w:val="clear" w:color="auto" w:fill="FFFFFF"/>
        </w:rPr>
        <w:t>A aplicação das sanções administrativas previstas em Lei não exclui, em nenhuma hipótese, a obrigação de reparação integral do dano causado à Administração Pública.</w:t>
      </w:r>
    </w:p>
    <w:p w14:paraId="4854D9C1"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ou outros que vierem a substituí-los, instituídos no âmbito do Poder Executivo Federal, na forma do art. 178 do Decreto Municipal nº 20.154, de 2023.</w:t>
      </w:r>
    </w:p>
    <w:p w14:paraId="7A329EB2"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As demais regras de sanção estão detalhadas nos artigos 129 a 177 do Decreto Municipal nº 20.154, de 2023 e demais legislações aplicáveis.</w:t>
      </w:r>
    </w:p>
    <w:p w14:paraId="00000198" w14:textId="15096837"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lastRenderedPageBreak/>
        <w:t xml:space="preserve">CLÁUSULA DÉCIMA </w:t>
      </w:r>
      <w:r w:rsidR="002225AC" w:rsidRPr="000E7470">
        <w:rPr>
          <w:rFonts w:ascii="Times New Roman" w:hAnsi="Times New Roman" w:cs="Times New Roman"/>
          <w:sz w:val="24"/>
        </w:rPr>
        <w:t>QUINTA</w:t>
      </w:r>
      <w:r w:rsidRPr="000E7470">
        <w:rPr>
          <w:rFonts w:ascii="Times New Roman" w:hAnsi="Times New Roman" w:cs="Times New Roman"/>
          <w:sz w:val="24"/>
        </w:rPr>
        <w:t xml:space="preserve"> – DA EXTINÇÃO CONTRATUAL </w:t>
      </w:r>
    </w:p>
    <w:p w14:paraId="0000019A" w14:textId="591485E6" w:rsidR="000464B0" w:rsidRPr="000E7470" w:rsidRDefault="00BC0FAD" w:rsidP="000E7470">
      <w:pPr>
        <w:pStyle w:val="Ttulo2"/>
        <w:spacing w:before="240" w:after="240" w:line="240" w:lineRule="auto"/>
        <w:ind w:firstLine="2835"/>
        <w:rPr>
          <w:rFonts w:ascii="Times New Roman" w:hAnsi="Times New Roman" w:cs="Times New Roman"/>
          <w:sz w:val="24"/>
          <w:szCs w:val="24"/>
        </w:rPr>
      </w:pPr>
      <w:r w:rsidRPr="00BC0FAD">
        <w:rPr>
          <w:rFonts w:ascii="Times New Roman" w:hAnsi="Times New Roman" w:cs="Times New Roman"/>
          <w:sz w:val="24"/>
          <w:szCs w:val="24"/>
        </w:rPr>
        <w:t>O contrato se extingue quando vencido o prazo nele estipulado, independentemente de terem sido cumpridas ou não as obrigações de ambas as partes contraentes.</w:t>
      </w:r>
    </w:p>
    <w:p w14:paraId="000001AE" w14:textId="71C74BE5" w:rsidR="000464B0" w:rsidRPr="000E7470" w:rsidRDefault="00BC0FAD" w:rsidP="000E7470">
      <w:pPr>
        <w:pStyle w:val="Ttulo3"/>
        <w:tabs>
          <w:tab w:val="clear" w:pos="1134"/>
        </w:tabs>
        <w:spacing w:before="240" w:after="240" w:line="240" w:lineRule="auto"/>
        <w:ind w:left="0" w:firstLine="2835"/>
        <w:rPr>
          <w:rFonts w:ascii="Times New Roman" w:hAnsi="Times New Roman" w:cs="Times New Roman"/>
          <w:color w:val="auto"/>
          <w:sz w:val="24"/>
          <w:szCs w:val="24"/>
        </w:rPr>
      </w:pPr>
      <w:r w:rsidRPr="00BC0FAD">
        <w:rPr>
          <w:rFonts w:ascii="Times New Roman" w:hAnsi="Times New Roman" w:cs="Times New Roman"/>
          <w:color w:val="auto"/>
          <w:sz w:val="24"/>
          <w:szCs w:val="24"/>
        </w:rPr>
        <w:t>O contrato pode ser extinto antes do prazo nele fixado, sem ônus para o Contratante, quando esta não dispuser de créditos orçamentários para sua continuidade ou quando entender que o contrato não mais lhe oferece vantagem.</w:t>
      </w:r>
    </w:p>
    <w:p w14:paraId="7D637091" w14:textId="77777777" w:rsidR="00BC0FAD" w:rsidRDefault="00BC0FAD" w:rsidP="00BC0FAD">
      <w:pPr>
        <w:pStyle w:val="Ttulo3"/>
        <w:tabs>
          <w:tab w:val="clear" w:pos="1134"/>
        </w:tabs>
        <w:spacing w:before="240" w:after="240" w:line="240" w:lineRule="auto"/>
        <w:ind w:left="0" w:firstLine="2835"/>
        <w:rPr>
          <w:rFonts w:ascii="Times New Roman" w:hAnsi="Times New Roman" w:cs="Times New Roman"/>
          <w:color w:val="auto"/>
          <w:sz w:val="24"/>
          <w:szCs w:val="24"/>
        </w:rPr>
      </w:pPr>
      <w:r w:rsidRPr="00BC0FAD">
        <w:rPr>
          <w:rFonts w:ascii="Times New Roman" w:hAnsi="Times New Roman" w:cs="Times New Roman"/>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93CF5AA" w14:textId="1D2A71BB" w:rsidR="009F2E1E" w:rsidRPr="00BC0FAD" w:rsidRDefault="00BC0FAD" w:rsidP="00BC0FAD">
      <w:pPr>
        <w:pStyle w:val="Ttulo3"/>
        <w:tabs>
          <w:tab w:val="clear" w:pos="1134"/>
        </w:tabs>
        <w:spacing w:before="240" w:after="240" w:line="240" w:lineRule="auto"/>
        <w:ind w:left="0" w:firstLine="2835"/>
        <w:rPr>
          <w:rFonts w:ascii="Times New Roman" w:hAnsi="Times New Roman" w:cs="Times New Roman"/>
          <w:color w:val="auto"/>
          <w:sz w:val="24"/>
          <w:szCs w:val="24"/>
        </w:rPr>
      </w:pPr>
      <w:r w:rsidRPr="00BC0FAD">
        <w:rPr>
          <w:rFonts w:ascii="Times New Roman" w:hAnsi="Times New Roman" w:cs="Times New Roman"/>
          <w:color w:val="auto"/>
          <w:sz w:val="24"/>
          <w:szCs w:val="24"/>
        </w:rPr>
        <w:t>Caso a notificação da não-continuidade do contrato de que trata este subitem ocorra com menos de 2 (dois) meses da data de aniversário, a extinção contratual ocorrerá após 2 (dois) meses da data da comunicação.</w:t>
      </w:r>
      <w:r w:rsidR="009F2E1E" w:rsidRPr="00BC0FAD">
        <w:rPr>
          <w:rFonts w:ascii="Times New Roman" w:hAnsi="Times New Roman" w:cs="Times New Roman"/>
          <w:color w:val="auto"/>
          <w:sz w:val="24"/>
          <w:szCs w:val="24"/>
        </w:rPr>
        <w:t xml:space="preserve">  </w:t>
      </w:r>
    </w:p>
    <w:p w14:paraId="000001B4" w14:textId="3C77425C"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contrato poderá ser extinto antes de cumpridas as obrigações nele estipuladas, ou antes do prazo nele fixado, por algum dos motivos previstos no artigo 137 da Lei Federal nº 14.133, de 2021, bem como amigavelmente, assegurados o contraditório e a ampla defesa.</w:t>
      </w:r>
    </w:p>
    <w:p w14:paraId="000001B6" w14:textId="46399C83"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Nesta hipótese, aplicam-se também os artigos 138 e 139 da mesma Lei.</w:t>
      </w:r>
    </w:p>
    <w:p w14:paraId="000001B8" w14:textId="2D9EB90E"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alteração social ou a modificação da finalidade ou da estrutura da empresa não ensejará a rescisão se não restringir sua capacidade de concluir o contrato.</w:t>
      </w:r>
    </w:p>
    <w:p w14:paraId="000001BA" w14:textId="4E609A4B" w:rsidR="000464B0" w:rsidRPr="000E7470" w:rsidRDefault="0015148A" w:rsidP="000E7470">
      <w:pPr>
        <w:pStyle w:val="Ttulo4"/>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Se a operação implicar mudança da pessoa jurídica contratada, deverá ser formalizado termo aditivo para alteração subjetiva.</w:t>
      </w:r>
    </w:p>
    <w:p w14:paraId="000001BC" w14:textId="266A7849"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termo de rescisão, sempre que possível, será precedido:</w:t>
      </w:r>
    </w:p>
    <w:p w14:paraId="000001BE" w14:textId="40D465C2"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Do balanço dos eventos contratuais já cumpridos ou parcialmente cumpridos;</w:t>
      </w:r>
    </w:p>
    <w:p w14:paraId="000001C0" w14:textId="2F50A542"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Da relação dos pagamentos já efetuados e ainda devidos;</w:t>
      </w:r>
    </w:p>
    <w:p w14:paraId="000001C2" w14:textId="43E0B064"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 indenizações e multas.</w:t>
      </w:r>
    </w:p>
    <w:p w14:paraId="000001C4" w14:textId="395FA864"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 extinção do contrato não configura óbice para o reconhecimento do desequilíbrio econômico-financeiro, hipótese em que será concedida indenização por meio de termo indenizatório, conforme art. 131, </w:t>
      </w:r>
      <w:r w:rsidRPr="000E7470">
        <w:rPr>
          <w:rFonts w:ascii="Times New Roman" w:hAnsi="Times New Roman" w:cs="Times New Roman"/>
          <w:i/>
          <w:sz w:val="24"/>
          <w:szCs w:val="24"/>
        </w:rPr>
        <w:t>caput</w:t>
      </w:r>
      <w:r w:rsidRPr="000E7470">
        <w:rPr>
          <w:rFonts w:ascii="Times New Roman" w:hAnsi="Times New Roman" w:cs="Times New Roman"/>
          <w:sz w:val="24"/>
          <w:szCs w:val="24"/>
        </w:rPr>
        <w:t>, da Lei Federal n.º 14.133, de 2021.</w:t>
      </w:r>
    </w:p>
    <w:p w14:paraId="613F1777" w14:textId="4EC4FB66" w:rsidR="00777881" w:rsidRPr="000E7470" w:rsidRDefault="002225AC" w:rsidP="000E7470">
      <w:pPr>
        <w:pStyle w:val="Ttulo1"/>
        <w:numPr>
          <w:ilvl w:val="0"/>
          <w:numId w:val="8"/>
        </w:numPr>
        <w:spacing w:before="240" w:after="240" w:line="240" w:lineRule="auto"/>
        <w:ind w:firstLine="2835"/>
        <w:rPr>
          <w:rFonts w:ascii="Times New Roman" w:hAnsi="Times New Roman" w:cs="Times New Roman"/>
          <w:sz w:val="24"/>
        </w:rPr>
      </w:pPr>
      <w:bookmarkStart w:id="1" w:name="_Toc187671849"/>
      <w:r w:rsidRPr="000E7470">
        <w:rPr>
          <w:rFonts w:ascii="Times New Roman" w:hAnsi="Times New Roman" w:cs="Times New Roman"/>
          <w:sz w:val="24"/>
        </w:rPr>
        <w:t>CLÁUSULA DÉCIMA</w:t>
      </w:r>
      <w:r w:rsidR="000E4CDB" w:rsidRPr="000E7470">
        <w:rPr>
          <w:rFonts w:ascii="Times New Roman" w:hAnsi="Times New Roman" w:cs="Times New Roman"/>
          <w:sz w:val="24"/>
        </w:rPr>
        <w:t xml:space="preserve"> </w:t>
      </w:r>
      <w:r w:rsidRPr="000E7470">
        <w:rPr>
          <w:rFonts w:ascii="Times New Roman" w:hAnsi="Times New Roman" w:cs="Times New Roman"/>
          <w:sz w:val="24"/>
        </w:rPr>
        <w:t>SEXTA – OBRIGAÇÕES PERTINENTES À LGPD</w:t>
      </w:r>
      <w:bookmarkEnd w:id="1"/>
      <w:r w:rsidRPr="000E7470">
        <w:rPr>
          <w:rFonts w:ascii="Times New Roman" w:hAnsi="Times New Roman" w:cs="Times New Roman"/>
          <w:sz w:val="24"/>
        </w:rPr>
        <w:t xml:space="preserve"> </w:t>
      </w:r>
    </w:p>
    <w:p w14:paraId="4C742B7D" w14:textId="77777777" w:rsidR="00777881" w:rsidRPr="000E7470" w:rsidRDefault="00777881"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As partes deverão cumprir a Lei Federal nº 13.709, de 14 de agosto de 2018 (LGPD), quanto a todos os dados pessoais a que tenham acesso em razão da licitação ou da contratação, a partir da apresentação da proposta no certame, independentemente de declaração ou de aceitação expressa.  </w:t>
      </w:r>
    </w:p>
    <w:p w14:paraId="000001C7" w14:textId="53E87F43"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lastRenderedPageBreak/>
        <w:t xml:space="preserve">CLÁUSULA DÉCIMA </w:t>
      </w:r>
      <w:r w:rsidR="002225AC" w:rsidRPr="000E7470">
        <w:rPr>
          <w:rFonts w:ascii="Times New Roman" w:hAnsi="Times New Roman" w:cs="Times New Roman"/>
          <w:sz w:val="24"/>
        </w:rPr>
        <w:t>SÉTIMA</w:t>
      </w:r>
      <w:r w:rsidRPr="000E7470">
        <w:rPr>
          <w:rFonts w:ascii="Times New Roman" w:hAnsi="Times New Roman" w:cs="Times New Roman"/>
          <w:sz w:val="24"/>
        </w:rPr>
        <w:t xml:space="preserve"> – DOTAÇÃO ORÇAMENTÁRIA </w:t>
      </w:r>
    </w:p>
    <w:p w14:paraId="000001C9" w14:textId="3EEABB20" w:rsidR="000464B0" w:rsidRPr="00BC0FAD" w:rsidRDefault="00FB5EFA" w:rsidP="000E7470">
      <w:pPr>
        <w:pStyle w:val="Ttulo2"/>
        <w:spacing w:before="240" w:after="240" w:line="240" w:lineRule="auto"/>
        <w:ind w:firstLine="2835"/>
        <w:rPr>
          <w:rFonts w:ascii="Times New Roman" w:hAnsi="Times New Roman" w:cs="Times New Roman"/>
          <w:sz w:val="24"/>
          <w:szCs w:val="24"/>
        </w:rPr>
      </w:pPr>
      <w:r w:rsidRPr="00FB5EFA">
        <w:rPr>
          <w:rFonts w:ascii="Times New Roman" w:hAnsi="Times New Roman" w:cs="Times New Roman"/>
          <w:sz w:val="24"/>
          <w:szCs w:val="24"/>
        </w:rPr>
        <w:t>As despesas decorrentes da presente contratação correrão à conta de recursos específicos consignados na Lei Orçamentária Anual deste exercício, na</w:t>
      </w:r>
      <w:r w:rsidR="00BC0FAD">
        <w:rPr>
          <w:rFonts w:ascii="Times New Roman" w:hAnsi="Times New Roman" w:cs="Times New Roman"/>
          <w:sz w:val="24"/>
          <w:szCs w:val="24"/>
        </w:rPr>
        <w:t>s</w:t>
      </w:r>
      <w:r w:rsidRPr="00FB5EFA">
        <w:rPr>
          <w:rFonts w:ascii="Times New Roman" w:hAnsi="Times New Roman" w:cs="Times New Roman"/>
          <w:sz w:val="24"/>
          <w:szCs w:val="24"/>
        </w:rPr>
        <w:t xml:space="preserve"> seguinte</w:t>
      </w:r>
      <w:r w:rsidR="00BC0FAD">
        <w:rPr>
          <w:rFonts w:ascii="Times New Roman" w:hAnsi="Times New Roman" w:cs="Times New Roman"/>
          <w:sz w:val="24"/>
          <w:szCs w:val="24"/>
        </w:rPr>
        <w:t>s</w:t>
      </w:r>
      <w:r w:rsidRPr="00FB5EFA">
        <w:rPr>
          <w:rFonts w:ascii="Times New Roman" w:hAnsi="Times New Roman" w:cs="Times New Roman"/>
          <w:sz w:val="24"/>
          <w:szCs w:val="24"/>
        </w:rPr>
        <w:t xml:space="preserve"> dotaç</w:t>
      </w:r>
      <w:r w:rsidR="00BC0FAD">
        <w:rPr>
          <w:rFonts w:ascii="Times New Roman" w:hAnsi="Times New Roman" w:cs="Times New Roman"/>
          <w:sz w:val="24"/>
          <w:szCs w:val="24"/>
        </w:rPr>
        <w:t>ões</w:t>
      </w:r>
      <w:r w:rsidRPr="00FB5EFA">
        <w:rPr>
          <w:rFonts w:ascii="Times New Roman" w:hAnsi="Times New Roman" w:cs="Times New Roman"/>
          <w:sz w:val="24"/>
          <w:szCs w:val="24"/>
        </w:rPr>
        <w:t xml:space="preserve"> orçamentária</w:t>
      </w:r>
      <w:r w:rsidR="00BC0FAD">
        <w:rPr>
          <w:rFonts w:ascii="Times New Roman" w:hAnsi="Times New Roman" w:cs="Times New Roman"/>
          <w:sz w:val="24"/>
          <w:szCs w:val="24"/>
        </w:rPr>
        <w:t>s</w:t>
      </w:r>
      <w:r w:rsidRPr="00FB5EFA">
        <w:rPr>
          <w:rFonts w:ascii="Times New Roman" w:hAnsi="Times New Roman" w:cs="Times New Roman"/>
          <w:sz w:val="24"/>
          <w:szCs w:val="24"/>
        </w:rPr>
        <w:t xml:space="preserve">: </w:t>
      </w:r>
      <w:bookmarkStart w:id="2" w:name="_Hlk204866996"/>
      <w:r w:rsidR="00BC0FAD" w:rsidRPr="00BC0FAD">
        <w:rPr>
          <w:rFonts w:ascii="Times New Roman" w:hAnsi="Times New Roman" w:cs="Times New Roman"/>
          <w:b/>
          <w:sz w:val="24"/>
          <w:szCs w:val="24"/>
        </w:rPr>
        <w:t xml:space="preserve">17.01.17.122.0018.2.381.3.3.90.39 – Outros Serviços de Terceiros - Diretoria </w:t>
      </w:r>
      <w:bookmarkEnd w:id="2"/>
      <w:r w:rsidR="00BC0FAD" w:rsidRPr="00BC0FAD">
        <w:rPr>
          <w:rFonts w:ascii="Times New Roman" w:hAnsi="Times New Roman" w:cs="Times New Roman"/>
          <w:b/>
          <w:sz w:val="24"/>
          <w:szCs w:val="24"/>
        </w:rPr>
        <w:t>Administrativa</w:t>
      </w:r>
      <w:r w:rsidR="00BC0FAD">
        <w:rPr>
          <w:rFonts w:ascii="Times New Roman" w:hAnsi="Times New Roman" w:cs="Times New Roman"/>
          <w:b/>
          <w:sz w:val="24"/>
          <w:szCs w:val="24"/>
        </w:rPr>
        <w:t xml:space="preserve"> e </w:t>
      </w:r>
      <w:r w:rsidR="00BC0FAD" w:rsidRPr="00BC0FAD">
        <w:rPr>
          <w:rFonts w:ascii="Times New Roman" w:hAnsi="Times New Roman" w:cs="Times New Roman"/>
          <w:b/>
          <w:sz w:val="24"/>
          <w:szCs w:val="24"/>
        </w:rPr>
        <w:t>17.01.17.122.0018.2.381.3.3.90.3</w:t>
      </w:r>
      <w:r w:rsidR="003E6D3E">
        <w:rPr>
          <w:rFonts w:ascii="Times New Roman" w:hAnsi="Times New Roman" w:cs="Times New Roman"/>
          <w:b/>
          <w:sz w:val="24"/>
          <w:szCs w:val="24"/>
        </w:rPr>
        <w:t>0</w:t>
      </w:r>
      <w:r w:rsidR="00BC0FAD" w:rsidRPr="00BC0FAD">
        <w:rPr>
          <w:rFonts w:ascii="Times New Roman" w:hAnsi="Times New Roman" w:cs="Times New Roman"/>
          <w:b/>
          <w:sz w:val="24"/>
          <w:szCs w:val="24"/>
        </w:rPr>
        <w:t xml:space="preserve"> – </w:t>
      </w:r>
      <w:r w:rsidR="003E6D3E">
        <w:rPr>
          <w:rFonts w:ascii="Times New Roman" w:hAnsi="Times New Roman" w:cs="Times New Roman"/>
          <w:b/>
          <w:sz w:val="24"/>
          <w:szCs w:val="24"/>
        </w:rPr>
        <w:t>Material de Consumo</w:t>
      </w:r>
      <w:r w:rsidR="00BC0FAD" w:rsidRPr="00BC0FAD">
        <w:rPr>
          <w:rFonts w:ascii="Times New Roman" w:hAnsi="Times New Roman" w:cs="Times New Roman"/>
          <w:b/>
          <w:sz w:val="24"/>
          <w:szCs w:val="24"/>
        </w:rPr>
        <w:t xml:space="preserve"> - Diretoria Administrativa.</w:t>
      </w:r>
    </w:p>
    <w:p w14:paraId="06999FCA" w14:textId="0E3CC727" w:rsidR="00BC0FAD" w:rsidRPr="000E7470" w:rsidRDefault="00BC0FAD" w:rsidP="000E7470">
      <w:pPr>
        <w:pStyle w:val="Ttulo2"/>
        <w:spacing w:before="240" w:after="240" w:line="240" w:lineRule="auto"/>
        <w:ind w:firstLine="2835"/>
        <w:rPr>
          <w:rFonts w:ascii="Times New Roman" w:hAnsi="Times New Roman" w:cs="Times New Roman"/>
          <w:sz w:val="24"/>
          <w:szCs w:val="24"/>
        </w:rPr>
      </w:pPr>
      <w:r w:rsidRPr="00BC0FAD">
        <w:rPr>
          <w:rFonts w:ascii="Times New Roman" w:hAnsi="Times New Roman" w:cs="Times New Roman"/>
          <w:sz w:val="24"/>
          <w:szCs w:val="24"/>
          <w:lang w:val="pt-PT"/>
        </w:rPr>
        <w:t>A dotação relativa aos exercícios financeiros subsequentes será indicada após aprovação da Lei Orçamentária respectiva e liberação dos créditos correspondentes, mediante apostilamento.</w:t>
      </w:r>
    </w:p>
    <w:p w14:paraId="000001D5" w14:textId="09E02E93"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5D7335" w:rsidRPr="000E7470">
        <w:rPr>
          <w:rFonts w:ascii="Times New Roman" w:hAnsi="Times New Roman" w:cs="Times New Roman"/>
          <w:sz w:val="24"/>
        </w:rPr>
        <w:t>OITAVA</w:t>
      </w:r>
      <w:r w:rsidRPr="000E7470">
        <w:rPr>
          <w:rFonts w:ascii="Times New Roman" w:hAnsi="Times New Roman" w:cs="Times New Roman"/>
          <w:sz w:val="24"/>
        </w:rPr>
        <w:t xml:space="preserve"> – DOS CASOS OMISSOS</w:t>
      </w:r>
    </w:p>
    <w:p w14:paraId="000001D7" w14:textId="639922EF"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Os casos omissos serão decididos pelo contratante, segundo as disposições contidas na Lei Federal nº 14.133, de 2021, no Decreto Municipal nº 20.154, de 20</w:t>
      </w:r>
      <w:r w:rsidR="005A346E">
        <w:rPr>
          <w:rFonts w:ascii="Times New Roman" w:hAnsi="Times New Roman" w:cs="Times New Roman"/>
          <w:sz w:val="24"/>
          <w:szCs w:val="24"/>
        </w:rPr>
        <w:t>2</w:t>
      </w:r>
      <w:r w:rsidRPr="000E7470">
        <w:rPr>
          <w:rFonts w:ascii="Times New Roman" w:hAnsi="Times New Roman" w:cs="Times New Roman"/>
          <w:sz w:val="24"/>
          <w:szCs w:val="24"/>
        </w:rPr>
        <w:t>3 e demais normas aplicáveis e, subsidiariamente, segundo as disposições contidas na Lei Federal nº 8.078, de 1990 – Código de Defesa do Consumidor – e normas e princípios gerais dos contratos.</w:t>
      </w:r>
    </w:p>
    <w:p w14:paraId="000001DA" w14:textId="0A4B88E6"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5D7335" w:rsidRPr="000E7470">
        <w:rPr>
          <w:rFonts w:ascii="Times New Roman" w:hAnsi="Times New Roman" w:cs="Times New Roman"/>
          <w:sz w:val="24"/>
        </w:rPr>
        <w:t>NONA</w:t>
      </w:r>
      <w:r w:rsidRPr="000E7470">
        <w:rPr>
          <w:rFonts w:ascii="Times New Roman" w:hAnsi="Times New Roman" w:cs="Times New Roman"/>
          <w:sz w:val="24"/>
        </w:rPr>
        <w:t xml:space="preserve"> – ALTERAÇÕES</w:t>
      </w:r>
    </w:p>
    <w:p w14:paraId="78040D74"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Eventuais alterações contratuais reger-se-ão pela disciplina dos </w:t>
      </w:r>
      <w:proofErr w:type="spellStart"/>
      <w:r w:rsidRPr="000E7470">
        <w:rPr>
          <w:rFonts w:ascii="Times New Roman" w:hAnsi="Times New Roman" w:cs="Times New Roman"/>
          <w:sz w:val="24"/>
          <w:szCs w:val="24"/>
        </w:rPr>
        <w:t>arts</w:t>
      </w:r>
      <w:proofErr w:type="spellEnd"/>
      <w:r w:rsidRPr="000E7470">
        <w:rPr>
          <w:rFonts w:ascii="Times New Roman" w:hAnsi="Times New Roman" w:cs="Times New Roman"/>
          <w:sz w:val="24"/>
          <w:szCs w:val="24"/>
        </w:rPr>
        <w:t>. 124 e seguintes da Lei Federal nº 14.133, de 2021.</w:t>
      </w:r>
    </w:p>
    <w:p w14:paraId="4E851A98"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da contratação e, no caso de reforma de edifício ou de equipamento, o limite para os acréscimos será de 50% (cinquenta por cento).</w:t>
      </w:r>
    </w:p>
    <w:p w14:paraId="635A1202"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1171B9EF"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2F6CC2E"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Registros que não caracterizam alterações contratuais podem ser realizados por simples apostila, dispensada a celebração de termo aditivo, na forma do art. 136 da Lei Federal nº 14.133, de 2021.</w:t>
      </w:r>
    </w:p>
    <w:p w14:paraId="000001E3" w14:textId="02D38359"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5D7335" w:rsidRPr="000E7470">
        <w:rPr>
          <w:rFonts w:ascii="Times New Roman" w:hAnsi="Times New Roman" w:cs="Times New Roman"/>
          <w:sz w:val="24"/>
        </w:rPr>
        <w:t>VIGÉSIMA</w:t>
      </w:r>
      <w:r w:rsidRPr="000E7470">
        <w:rPr>
          <w:rFonts w:ascii="Times New Roman" w:hAnsi="Times New Roman" w:cs="Times New Roman"/>
          <w:sz w:val="24"/>
        </w:rPr>
        <w:t xml:space="preserve"> – PUBLICAÇÃO</w:t>
      </w:r>
    </w:p>
    <w:p w14:paraId="000001E5" w14:textId="759FEDD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Incumbirá ao Contratante divulgar o presente instrumento no Portal Nacional de Contratações Públicas (PNCP), na forma prevista no art. 94 da Lei Federal nº 14.133, de 2021, bem como no respectivo sítio oficial na Internet, em atenção ao </w:t>
      </w:r>
      <w:r w:rsidR="00495F23" w:rsidRPr="000E7470">
        <w:rPr>
          <w:rFonts w:ascii="Times New Roman" w:hAnsi="Times New Roman" w:cs="Times New Roman"/>
          <w:sz w:val="24"/>
          <w:szCs w:val="24"/>
        </w:rPr>
        <w:t>art. 91, caput</w:t>
      </w:r>
      <w:r w:rsidR="007A1209" w:rsidRPr="000E7470">
        <w:rPr>
          <w:rFonts w:ascii="Times New Roman" w:hAnsi="Times New Roman" w:cs="Times New Roman"/>
          <w:sz w:val="24"/>
          <w:szCs w:val="24"/>
        </w:rPr>
        <w:t xml:space="preserve"> da Lei Federal nº 14.133, de 2021, e ao </w:t>
      </w:r>
      <w:r w:rsidRPr="000E7470">
        <w:rPr>
          <w:rFonts w:ascii="Times New Roman" w:hAnsi="Times New Roman" w:cs="Times New Roman"/>
          <w:sz w:val="24"/>
          <w:szCs w:val="24"/>
        </w:rPr>
        <w:t>art. 8º, §2º, da Lei Federal nº 12.527, de 2011.</w:t>
      </w:r>
    </w:p>
    <w:p w14:paraId="34603695" w14:textId="64EC65DE" w:rsidR="000E7470" w:rsidRPr="000E7470" w:rsidRDefault="000E7470"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lastRenderedPageBreak/>
        <w:t>CLÁUSULA VIGÉSIMA PRIMEIRA – DA ASSINATURA ELETRÔNICA</w:t>
      </w:r>
    </w:p>
    <w:p w14:paraId="0DB9935F" w14:textId="0E6543C2" w:rsidR="000E7470" w:rsidRPr="000E7470" w:rsidRDefault="000E7470"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color w:val="auto"/>
          <w:sz w:val="24"/>
          <w:szCs w:val="24"/>
          <w:lang w:eastAsia="ar-SA"/>
        </w:rPr>
        <w:t xml:space="preserve">As partes expressamente concordam que este contrato poderá ser assinado digitalmente. Nessa hipótese, por força da Lei nº 14.063, de 23 de setembro de 2020 que fica desde já estabelecido que </w:t>
      </w:r>
      <w:r w:rsidRPr="000E7470">
        <w:rPr>
          <w:rFonts w:ascii="Times New Roman" w:hAnsi="Times New Roman" w:cs="Times New Roman"/>
          <w:i/>
          <w:iCs/>
          <w:color w:val="auto"/>
          <w:sz w:val="24"/>
          <w:szCs w:val="24"/>
          <w:lang w:eastAsia="ar-SA"/>
        </w:rPr>
        <w:t>(i)</w:t>
      </w:r>
      <w:r w:rsidRPr="000E7470">
        <w:rPr>
          <w:rFonts w:ascii="Times New Roman" w:hAnsi="Times New Roman" w:cs="Times New Roman"/>
          <w:color w:val="auto"/>
          <w:sz w:val="24"/>
          <w:szCs w:val="24"/>
          <w:lang w:eastAsia="ar-SA"/>
        </w:rPr>
        <w:t xml:space="preserve"> será válida e plenamente eficaz qualquer modalidade de assinatura eletrônica prevista em lei e </w:t>
      </w:r>
      <w:r w:rsidRPr="000E7470">
        <w:rPr>
          <w:rFonts w:ascii="Times New Roman" w:hAnsi="Times New Roman" w:cs="Times New Roman"/>
          <w:i/>
          <w:iCs/>
          <w:color w:val="auto"/>
          <w:sz w:val="24"/>
          <w:szCs w:val="24"/>
          <w:lang w:eastAsia="ar-SA"/>
        </w:rPr>
        <w:t>(</w:t>
      </w:r>
      <w:proofErr w:type="spellStart"/>
      <w:r w:rsidRPr="000E7470">
        <w:rPr>
          <w:rFonts w:ascii="Times New Roman" w:hAnsi="Times New Roman" w:cs="Times New Roman"/>
          <w:i/>
          <w:iCs/>
          <w:color w:val="auto"/>
          <w:sz w:val="24"/>
          <w:szCs w:val="24"/>
          <w:lang w:eastAsia="ar-SA"/>
        </w:rPr>
        <w:t>ii</w:t>
      </w:r>
      <w:proofErr w:type="spellEnd"/>
      <w:r w:rsidRPr="000E7470">
        <w:rPr>
          <w:rFonts w:ascii="Times New Roman" w:hAnsi="Times New Roman" w:cs="Times New Roman"/>
          <w:i/>
          <w:iCs/>
          <w:color w:val="auto"/>
          <w:sz w:val="24"/>
          <w:szCs w:val="24"/>
          <w:lang w:eastAsia="ar-SA"/>
        </w:rPr>
        <w:t xml:space="preserve">) </w:t>
      </w:r>
      <w:r w:rsidRPr="000E7470">
        <w:rPr>
          <w:rFonts w:ascii="Times New Roman" w:hAnsi="Times New Roman" w:cs="Times New Roman"/>
          <w:color w:val="auto"/>
          <w:sz w:val="24"/>
          <w:szCs w:val="24"/>
          <w:lang w:eastAsia="ar-SA"/>
        </w:rPr>
        <w:t>ficam dispensadas as assinaturas das testemunhas quando a integridade das assinaturas das partes for conferida por provedor de assinaturas. A data de assinatura desse documento será a data em que a última assinatura digital ocorrer.</w:t>
      </w:r>
    </w:p>
    <w:p w14:paraId="6AEE1B5A" w14:textId="4DAF4E41" w:rsidR="000E7470" w:rsidRPr="000E7470" w:rsidRDefault="000E7470"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color w:val="auto"/>
          <w:sz w:val="24"/>
          <w:szCs w:val="24"/>
          <w:lang w:eastAsia="ar-SA"/>
        </w:rPr>
        <w:t>E por estarem plenamente acordes com todas as cláusulas e condições assinam as partes este instrumento assinado eletronicamente, para que produzam seus efeitos jurídicos, comprometendo-se a cumprir o presente tão inteira e fielmente como nele se contém.</w:t>
      </w:r>
    </w:p>
    <w:p w14:paraId="000001E8" w14:textId="50C92D5F"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5D7335" w:rsidRPr="000E7470">
        <w:rPr>
          <w:rFonts w:ascii="Times New Roman" w:hAnsi="Times New Roman" w:cs="Times New Roman"/>
          <w:sz w:val="24"/>
        </w:rPr>
        <w:t xml:space="preserve">VIGÉSIMA </w:t>
      </w:r>
      <w:r w:rsidR="000E7470" w:rsidRPr="000E7470">
        <w:rPr>
          <w:rFonts w:ascii="Times New Roman" w:hAnsi="Times New Roman" w:cs="Times New Roman"/>
          <w:sz w:val="24"/>
        </w:rPr>
        <w:t>SEGUNDA</w:t>
      </w:r>
      <w:r w:rsidR="0038206F" w:rsidRPr="000E7470">
        <w:rPr>
          <w:rFonts w:ascii="Times New Roman" w:hAnsi="Times New Roman" w:cs="Times New Roman"/>
          <w:sz w:val="24"/>
        </w:rPr>
        <w:t xml:space="preserve"> </w:t>
      </w:r>
      <w:r w:rsidRPr="000E7470">
        <w:rPr>
          <w:rFonts w:ascii="Times New Roman" w:hAnsi="Times New Roman" w:cs="Times New Roman"/>
          <w:sz w:val="24"/>
        </w:rPr>
        <w:t>– FORO</w:t>
      </w:r>
    </w:p>
    <w:p w14:paraId="000001EA" w14:textId="61443B97"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Fica eleito o Foro deste Município de Uberlândia para dirimir os litígios que decorrerem da execução deste Termo de Contrato que não puderem ser compostos pela conciliação, conforme art. 92, §1º, da Lei Federal nº 14.133, de 2021.</w:t>
      </w:r>
    </w:p>
    <w:p w14:paraId="000001EE" w14:textId="11E82B64" w:rsidR="00F76828" w:rsidRDefault="00E86314" w:rsidP="000E7470">
      <w:p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E </w:t>
      </w:r>
      <w:r w:rsidR="008120E7" w:rsidRPr="000E7470">
        <w:rPr>
          <w:rFonts w:ascii="Times New Roman" w:hAnsi="Times New Roman" w:cs="Times New Roman"/>
          <w:sz w:val="24"/>
          <w:szCs w:val="24"/>
        </w:rPr>
        <w:t xml:space="preserve">por estarem plenamente </w:t>
      </w:r>
      <w:r w:rsidR="006D22CE" w:rsidRPr="000E7470">
        <w:rPr>
          <w:rFonts w:ascii="Times New Roman" w:hAnsi="Times New Roman" w:cs="Times New Roman"/>
          <w:sz w:val="24"/>
          <w:szCs w:val="24"/>
        </w:rPr>
        <w:t>de acordo</w:t>
      </w:r>
      <w:r w:rsidR="008120E7" w:rsidRPr="000E7470">
        <w:rPr>
          <w:rFonts w:ascii="Times New Roman" w:hAnsi="Times New Roman" w:cs="Times New Roman"/>
          <w:sz w:val="24"/>
          <w:szCs w:val="24"/>
        </w:rPr>
        <w:t xml:space="preserve"> com todas as cláusulas e condições assinam as partes este instrumento assinado eletronicamente, para que </w:t>
      </w:r>
      <w:r w:rsidR="009E712E" w:rsidRPr="000E7470">
        <w:rPr>
          <w:rFonts w:ascii="Times New Roman" w:hAnsi="Times New Roman" w:cs="Times New Roman"/>
          <w:sz w:val="24"/>
          <w:szCs w:val="24"/>
        </w:rPr>
        <w:t xml:space="preserve">se </w:t>
      </w:r>
      <w:r w:rsidR="008120E7" w:rsidRPr="000E7470">
        <w:rPr>
          <w:rFonts w:ascii="Times New Roman" w:hAnsi="Times New Roman" w:cs="Times New Roman"/>
          <w:sz w:val="24"/>
          <w:szCs w:val="24"/>
        </w:rPr>
        <w:t>produza</w:t>
      </w:r>
      <w:r w:rsidR="009E712E" w:rsidRPr="000E7470">
        <w:rPr>
          <w:rFonts w:ascii="Times New Roman" w:hAnsi="Times New Roman" w:cs="Times New Roman"/>
          <w:sz w:val="24"/>
          <w:szCs w:val="24"/>
        </w:rPr>
        <w:t>m</w:t>
      </w:r>
      <w:r w:rsidR="008120E7" w:rsidRPr="000E7470">
        <w:rPr>
          <w:rFonts w:ascii="Times New Roman" w:hAnsi="Times New Roman" w:cs="Times New Roman"/>
          <w:sz w:val="24"/>
          <w:szCs w:val="24"/>
        </w:rPr>
        <w:t xml:space="preserve"> seus efeitos jurídicos, comprometendo-se a cumprir o presente tão inteira e fielmente como nele se contém.</w:t>
      </w:r>
    </w:p>
    <w:p w14:paraId="07B6C147" w14:textId="77777777" w:rsidR="000E7470" w:rsidRPr="000E7470" w:rsidRDefault="000E7470" w:rsidP="000E7470">
      <w:pPr>
        <w:spacing w:before="240" w:after="240" w:line="240" w:lineRule="auto"/>
        <w:ind w:firstLine="2835"/>
        <w:rPr>
          <w:rFonts w:ascii="Times New Roman" w:hAnsi="Times New Roman" w:cs="Times New Roman"/>
          <w:sz w:val="24"/>
          <w:szCs w:val="24"/>
        </w:rPr>
      </w:pPr>
    </w:p>
    <w:p w14:paraId="3B169D3A" w14:textId="77777777" w:rsidR="000E7470" w:rsidRPr="000E7470" w:rsidRDefault="000E7470" w:rsidP="000E7470">
      <w:pPr>
        <w:spacing w:before="240" w:after="240" w:line="240" w:lineRule="auto"/>
        <w:ind w:firstLine="2835"/>
        <w:rPr>
          <w:rFonts w:ascii="Times New Roman" w:hAnsi="Times New Roman" w:cs="Times New Roman"/>
          <w:sz w:val="24"/>
          <w:szCs w:val="24"/>
        </w:rPr>
      </w:pPr>
    </w:p>
    <w:sectPr w:rsidR="000E7470" w:rsidRPr="000E7470" w:rsidSect="008E17C7">
      <w:headerReference w:type="even" r:id="rId8"/>
      <w:headerReference w:type="default" r:id="rId9"/>
      <w:footerReference w:type="default" r:id="rId10"/>
      <w:headerReference w:type="first" r:id="rId11"/>
      <w:pgSz w:w="11906" w:h="16838"/>
      <w:pgMar w:top="1417" w:right="849" w:bottom="1417" w:left="1418" w:header="708" w:footer="36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3DE65" w14:textId="77777777" w:rsidR="00B5177B" w:rsidRDefault="00B5177B" w:rsidP="00117F73">
      <w:pPr>
        <w:spacing w:before="0" w:after="0" w:line="240" w:lineRule="auto"/>
      </w:pPr>
      <w:r>
        <w:separator/>
      </w:r>
    </w:p>
  </w:endnote>
  <w:endnote w:type="continuationSeparator" w:id="0">
    <w:p w14:paraId="5DB329EF" w14:textId="77777777" w:rsidR="00B5177B" w:rsidRDefault="00B5177B" w:rsidP="00117F73">
      <w:pPr>
        <w:spacing w:before="0" w:after="0" w:line="240" w:lineRule="auto"/>
      </w:pPr>
      <w:r>
        <w:continuationSeparator/>
      </w:r>
    </w:p>
  </w:endnote>
  <w:endnote w:type="continuationNotice" w:id="1">
    <w:p w14:paraId="23ACB6AC" w14:textId="77777777" w:rsidR="00B5177B" w:rsidRDefault="00B517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358C4" w14:textId="1AF3B9B7" w:rsidR="008E17C7" w:rsidRDefault="008E17C7" w:rsidP="008E17C7">
    <w:pPr>
      <w:suppressAutoHyphens/>
      <w:spacing w:before="0" w:after="0"/>
      <w:jc w:val="center"/>
      <w:textAlignment w:val="auto"/>
      <w:rPr>
        <w:rFonts w:ascii="Calibri" w:hAnsi="Calibri" w:cs="Calibri"/>
        <w:sz w:val="12"/>
        <w:szCs w:val="12"/>
        <w:lang w:val="pt-PT" w:eastAsia="ar-SA"/>
      </w:rPr>
    </w:pPr>
    <w:r>
      <w:rPr>
        <w:rFonts w:ascii="Calibri" w:hAnsi="Calibri" w:cs="Calibri"/>
        <w:sz w:val="12"/>
        <w:szCs w:val="12"/>
        <w:lang w:val="pt-PT" w:eastAsia="ar-SA"/>
      </w:rPr>
      <w:t>_________________________________________________________________________________________________________________________________________________________________</w:t>
    </w:r>
  </w:p>
  <w:p w14:paraId="1A70F1FD" w14:textId="4267E545" w:rsidR="008E17C7" w:rsidRPr="008E17C7" w:rsidRDefault="008E17C7" w:rsidP="008E17C7">
    <w:pPr>
      <w:suppressAutoHyphens/>
      <w:spacing w:before="0" w:after="0"/>
      <w:jc w:val="center"/>
      <w:textAlignment w:val="auto"/>
      <w:rPr>
        <w:rFonts w:ascii="Calibri" w:hAnsi="Calibri" w:cs="Calibri"/>
        <w:sz w:val="12"/>
        <w:szCs w:val="12"/>
        <w:lang w:val="pt-PT" w:eastAsia="ar-SA"/>
      </w:rPr>
    </w:pPr>
    <w:r w:rsidRPr="008E17C7">
      <w:rPr>
        <w:rFonts w:ascii="Calibri" w:hAnsi="Calibri" w:cs="Calibri"/>
        <w:sz w:val="12"/>
        <w:szCs w:val="12"/>
        <w:lang w:val="pt-PT" w:eastAsia="ar-SA"/>
      </w:rPr>
      <w:t xml:space="preserve">DEPARTAMENTO MUNICIPAL DE ÁGUA E ESGOTO - DMAE </w:t>
    </w:r>
  </w:p>
  <w:p w14:paraId="7A00334D" w14:textId="77777777" w:rsidR="008E17C7" w:rsidRPr="008E17C7" w:rsidRDefault="008E17C7" w:rsidP="008E17C7">
    <w:pPr>
      <w:suppressAutoHyphens/>
      <w:spacing w:before="0" w:after="0"/>
      <w:jc w:val="center"/>
      <w:textAlignment w:val="auto"/>
      <w:rPr>
        <w:rFonts w:ascii="Calibri" w:hAnsi="Calibri" w:cs="Calibri"/>
        <w:color w:val="auto"/>
        <w:sz w:val="12"/>
        <w:szCs w:val="12"/>
        <w:lang w:val="pt-PT" w:eastAsia="ar-SA"/>
      </w:rPr>
    </w:pPr>
    <w:r w:rsidRPr="008E17C7">
      <w:rPr>
        <w:rFonts w:ascii="Calibri" w:hAnsi="Calibri" w:cs="Calibri"/>
        <w:sz w:val="12"/>
        <w:szCs w:val="12"/>
        <w:lang w:val="pt-PT" w:eastAsia="ar-SA"/>
      </w:rPr>
      <w:t xml:space="preserve"> </w:t>
    </w:r>
    <w:r w:rsidRPr="008E17C7">
      <w:rPr>
        <w:rFonts w:ascii="Calibri" w:hAnsi="Calibri" w:cs="Calibri"/>
        <w:color w:val="auto"/>
        <w:sz w:val="12"/>
        <w:szCs w:val="12"/>
        <w:lang w:val="pt-PT" w:eastAsia="ar-SA"/>
      </w:rPr>
      <w:t>AUTARQUIA MUNICIPAL, LEI Nº 1.555 DE 23/11/1967 | CNPJ/MF: 25.769.548/0001-21 | ISENTO DE INSCRIÇÃO ESTADUAL</w:t>
    </w:r>
  </w:p>
  <w:p w14:paraId="74BCFA3E" w14:textId="77777777" w:rsidR="008E17C7" w:rsidRPr="008E17C7" w:rsidRDefault="008E17C7" w:rsidP="008E17C7">
    <w:pPr>
      <w:tabs>
        <w:tab w:val="center" w:pos="4252"/>
        <w:tab w:val="right" w:pos="8504"/>
      </w:tabs>
      <w:suppressAutoHyphens/>
      <w:spacing w:before="0" w:after="0"/>
      <w:jc w:val="center"/>
      <w:textAlignment w:val="auto"/>
      <w:rPr>
        <w:rFonts w:ascii="Calibri" w:hAnsi="Calibri" w:cs="Calibri"/>
        <w:sz w:val="12"/>
        <w:szCs w:val="12"/>
        <w:lang w:val="pt-PT" w:eastAsia="ar-SA"/>
      </w:rPr>
    </w:pPr>
    <w:r w:rsidRPr="008E17C7">
      <w:rPr>
        <w:rFonts w:ascii="Calibri" w:hAnsi="Calibri" w:cs="Calibri"/>
        <w:sz w:val="12"/>
        <w:szCs w:val="12"/>
        <w:lang w:val="pt-PT" w:eastAsia="ar-SA"/>
      </w:rPr>
      <w:t xml:space="preserve">AVENIDA RONDON PACHECO, 6400 TEL: (34) 3233 4300 – CEP: 38405-142 – BAIRRO TIBERY - UBERLÂNDIA-MG       </w:t>
    </w:r>
  </w:p>
  <w:p w14:paraId="10B2D297" w14:textId="150122BC" w:rsidR="00117F73" w:rsidRPr="00CE7B85" w:rsidRDefault="008E17C7" w:rsidP="008E17C7">
    <w:pPr>
      <w:tabs>
        <w:tab w:val="center" w:pos="4252"/>
        <w:tab w:val="left" w:pos="4956"/>
      </w:tabs>
      <w:suppressAutoHyphens/>
      <w:spacing w:before="0" w:after="0"/>
      <w:jc w:val="center"/>
      <w:textAlignment w:val="auto"/>
    </w:pPr>
    <w:r w:rsidRPr="008E17C7">
      <w:rPr>
        <w:rFonts w:ascii="Calibri" w:hAnsi="Calibri" w:cs="Calibri"/>
        <w:color w:val="auto"/>
        <w:sz w:val="16"/>
        <w:szCs w:val="16"/>
        <w:lang w:val="pt-PT" w:eastAsia="ar-SA"/>
      </w:rPr>
      <w:t>FL.: 0</w:t>
    </w:r>
    <w:r w:rsidRPr="008E17C7">
      <w:rPr>
        <w:rFonts w:ascii="Calibri" w:hAnsi="Calibri" w:cs="Calibri"/>
        <w:color w:val="auto"/>
        <w:sz w:val="16"/>
        <w:szCs w:val="16"/>
        <w:lang w:val="pt-PT" w:eastAsia="ar-SA"/>
      </w:rPr>
      <w:fldChar w:fldCharType="begin"/>
    </w:r>
    <w:r w:rsidRPr="008E17C7">
      <w:rPr>
        <w:rFonts w:ascii="Calibri" w:hAnsi="Calibri" w:cs="Calibri"/>
        <w:color w:val="auto"/>
        <w:sz w:val="16"/>
        <w:szCs w:val="16"/>
        <w:lang w:val="pt-PT" w:eastAsia="ar-SA"/>
      </w:rPr>
      <w:instrText xml:space="preserve">PAGE  </w:instrText>
    </w:r>
    <w:r w:rsidRPr="008E17C7">
      <w:rPr>
        <w:rFonts w:ascii="Calibri" w:hAnsi="Calibri" w:cs="Calibri"/>
        <w:color w:val="auto"/>
        <w:sz w:val="16"/>
        <w:szCs w:val="16"/>
        <w:lang w:val="pt-PT" w:eastAsia="ar-SA"/>
      </w:rPr>
      <w:fldChar w:fldCharType="separate"/>
    </w:r>
    <w:r w:rsidRPr="008E17C7">
      <w:rPr>
        <w:rFonts w:ascii="Calibri" w:hAnsi="Calibri" w:cs="Calibri"/>
        <w:color w:val="auto"/>
        <w:sz w:val="16"/>
        <w:szCs w:val="16"/>
        <w:lang w:val="pt-PT" w:eastAsia="ar-SA"/>
      </w:rPr>
      <w:t>1</w:t>
    </w:r>
    <w:r w:rsidRPr="008E17C7">
      <w:rPr>
        <w:rFonts w:ascii="Calibri" w:hAnsi="Calibri" w:cs="Calibri"/>
        <w:color w:val="auto"/>
        <w:sz w:val="16"/>
        <w:szCs w:val="16"/>
        <w:lang w:val="pt-PT" w:eastAsia="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15961" w14:textId="77777777" w:rsidR="00B5177B" w:rsidRDefault="00B5177B" w:rsidP="00117F73">
      <w:pPr>
        <w:spacing w:before="0" w:after="0" w:line="240" w:lineRule="auto"/>
      </w:pPr>
      <w:r>
        <w:separator/>
      </w:r>
    </w:p>
  </w:footnote>
  <w:footnote w:type="continuationSeparator" w:id="0">
    <w:p w14:paraId="35B9DF0D" w14:textId="77777777" w:rsidR="00B5177B" w:rsidRDefault="00B5177B" w:rsidP="00117F73">
      <w:pPr>
        <w:spacing w:before="0" w:after="0" w:line="240" w:lineRule="auto"/>
      </w:pPr>
      <w:r>
        <w:continuationSeparator/>
      </w:r>
    </w:p>
  </w:footnote>
  <w:footnote w:type="continuationNotice" w:id="1">
    <w:p w14:paraId="673608D5" w14:textId="77777777" w:rsidR="00B5177B" w:rsidRDefault="00B517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F3" w14:textId="4F429F04" w:rsidR="00117F73" w:rsidRDefault="00FE4635">
    <w:pPr>
      <w:pStyle w:val="Cabealho"/>
    </w:pPr>
    <w:r>
      <w:rPr>
        <w:noProof/>
      </w:rPr>
      <w:pict w14:anchorId="6C0EC0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3838860" o:spid="_x0000_s1027" type="#_x0000_t136" alt="" style="position:absolute;left:0;text-align:left;margin-left:0;margin-top:0;width:544.95pt;height:54.45pt;rotation:315;z-index:-251658237;visibility:visible;mso-wrap-edited:f;mso-width-percent:0;mso-height-percent:0;mso-position-horizontal:center;mso-position-horizontal-relative:margin;mso-position-vertical:center;mso-position-vertical-relative:margin;mso-width-percent:0;mso-height-percent:0" o:allowincell="f" path="m,l21600,m,21600r21600,e" fillcolor="#d9d9d9" stroked="f">
          <v:path o:connectlocs="3397250,0;3397250,421005;3397250,842010;3397250,421005"/>
          <v:textpath style="font-family:&quot;&amp;quot&quot;;font-size:1pt" string="MINUTA L14.133 202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B32" w14:textId="77777777" w:rsidR="00EA20E1" w:rsidRDefault="00EA20E1" w:rsidP="00EA20E1">
    <w:pPr>
      <w:pStyle w:val="Cabealho"/>
      <w:tabs>
        <w:tab w:val="clear" w:pos="8504"/>
        <w:tab w:val="right" w:pos="9781"/>
      </w:tabs>
      <w:spacing w:after="60"/>
      <w:rPr>
        <w:rFonts w:ascii="Times New Roman" w:hAnsi="Times New Roman" w:cs="Times New Roman"/>
        <w:b/>
        <w:sz w:val="18"/>
        <w:szCs w:val="18"/>
      </w:rPr>
    </w:pPr>
    <w:r>
      <w:rPr>
        <w:noProof/>
      </w:rPr>
      <w:drawing>
        <wp:inline distT="0" distB="0" distL="0" distR="0" wp14:anchorId="7DCC8BFE" wp14:editId="2B2384C3">
          <wp:extent cx="2352675" cy="400050"/>
          <wp:effectExtent l="0" t="0" r="9525" b="0"/>
          <wp:docPr id="1338708533" name="Imagem 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400050"/>
                  </a:xfrm>
                  <a:prstGeom prst="rect">
                    <a:avLst/>
                  </a:prstGeom>
                  <a:noFill/>
                  <a:ln>
                    <a:noFill/>
                  </a:ln>
                </pic:spPr>
              </pic:pic>
            </a:graphicData>
          </a:graphic>
        </wp:inline>
      </w:drawing>
    </w:r>
    <w:r>
      <w:rPr>
        <w:b/>
        <w:sz w:val="18"/>
        <w:szCs w:val="18"/>
      </w:rPr>
      <w:t xml:space="preserve">                  </w:t>
    </w:r>
  </w:p>
  <w:p w14:paraId="5FD8088A" w14:textId="566904EA" w:rsidR="00EA20E1" w:rsidRPr="00311F7E" w:rsidRDefault="00EA20E1" w:rsidP="00EA20E1">
    <w:pPr>
      <w:pStyle w:val="Cabealho"/>
      <w:pBdr>
        <w:bottom w:val="single" w:sz="4" w:space="1" w:color="auto"/>
      </w:pBdr>
      <w:tabs>
        <w:tab w:val="clear" w:pos="8504"/>
        <w:tab w:val="right" w:pos="9637"/>
      </w:tabs>
      <w:spacing w:before="20" w:after="20"/>
      <w:jc w:val="right"/>
      <w:rPr>
        <w:rFonts w:ascii="Times New Roman" w:hAnsi="Times New Roman" w:cs="Times New Roman"/>
        <w:color w:val="auto"/>
      </w:rPr>
    </w:pPr>
    <w:r>
      <w:rPr>
        <w:b/>
        <w:sz w:val="18"/>
        <w:szCs w:val="18"/>
      </w:rPr>
      <w:t xml:space="preserve">                                                                      </w:t>
    </w:r>
    <w:r w:rsidR="0010064E">
      <w:rPr>
        <w:rFonts w:ascii="Times New Roman" w:hAnsi="Times New Roman" w:cs="Times New Roman"/>
        <w:b/>
        <w:sz w:val="16"/>
        <w:szCs w:val="16"/>
      </w:rPr>
      <w:t>MINUTA DO CONTRATO ADMINISTRATIVO</w:t>
    </w:r>
    <w:r w:rsidRPr="001C6719">
      <w:rPr>
        <w:rFonts w:ascii="Times New Roman" w:hAnsi="Times New Roman" w:cs="Times New Roman"/>
        <w:b/>
        <w:sz w:val="16"/>
        <w:szCs w:val="16"/>
      </w:rPr>
      <w:t xml:space="preserve"> Nº </w:t>
    </w:r>
    <w:proofErr w:type="spellStart"/>
    <w:r w:rsidR="0010064E" w:rsidRPr="0010064E">
      <w:rPr>
        <w:rFonts w:ascii="Times New Roman" w:hAnsi="Times New Roman" w:cs="Times New Roman"/>
        <w:b/>
        <w:sz w:val="16"/>
        <w:szCs w:val="16"/>
        <w:highlight w:val="yellow"/>
      </w:rPr>
      <w:t>xxx</w:t>
    </w:r>
    <w:proofErr w:type="spellEnd"/>
    <w:r w:rsidRPr="0010064E">
      <w:rPr>
        <w:rFonts w:ascii="Times New Roman" w:hAnsi="Times New Roman" w:cs="Times New Roman"/>
        <w:b/>
        <w:sz w:val="16"/>
        <w:szCs w:val="16"/>
        <w:highlight w:val="yellow"/>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F2" w14:textId="79B8ED2C" w:rsidR="00117F73" w:rsidRDefault="00FE4635">
    <w:pPr>
      <w:pStyle w:val="Cabealho"/>
    </w:pPr>
    <w:r>
      <w:rPr>
        <w:noProof/>
      </w:rPr>
      <w:pict w14:anchorId="6A9154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3838859" o:spid="_x0000_s1025" type="#_x0000_t136" alt="" style="position:absolute;left:0;text-align:left;margin-left:0;margin-top:0;width:544.95pt;height:54.45pt;rotation:315;z-index:-251658238;visibility:visible;mso-wrap-edited:f;mso-width-percent:0;mso-height-percent:0;mso-position-horizontal:center;mso-position-horizontal-relative:margin;mso-position-vertical:center;mso-position-vertical-relative:margin;mso-width-percent:0;mso-height-percent:0" o:allowincell="f" path="m,l21600,m,21600r21600,e" fillcolor="#d9d9d9" stroked="f">
          <v:path o:connectlocs="3397250,0;3397250,421005;3397250,842010;3397250,421005"/>
          <v:textpath style="font-family:&quot;&amp;quot&quot;;font-size:1pt" string="MINUTA L14.133 202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22030"/>
    <w:multiLevelType w:val="multilevel"/>
    <w:tmpl w:val="9D86A704"/>
    <w:styleLink w:val="Listaatual1"/>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432" w:hanging="432"/>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 w15:restartNumberingAfterBreak="0">
    <w:nsid w:val="25AF6855"/>
    <w:multiLevelType w:val="hybridMultilevel"/>
    <w:tmpl w:val="C3A66A4C"/>
    <w:lvl w:ilvl="0" w:tplc="5E96383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2997495F"/>
    <w:multiLevelType w:val="multilevel"/>
    <w:tmpl w:val="DD5A5404"/>
    <w:lvl w:ilvl="0">
      <w:start w:val="2"/>
      <w:numFmt w:val="decimal"/>
      <w:lvlText w:val="%1."/>
      <w:lvlJc w:val="left"/>
      <w:pPr>
        <w:ind w:left="7590"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FD1CB3"/>
    <w:multiLevelType w:val="hybridMultilevel"/>
    <w:tmpl w:val="747C39C6"/>
    <w:lvl w:ilvl="0" w:tplc="04160019">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 w15:restartNumberingAfterBreak="0">
    <w:nsid w:val="3A9E7B7E"/>
    <w:multiLevelType w:val="hybridMultilevel"/>
    <w:tmpl w:val="96583368"/>
    <w:lvl w:ilvl="0" w:tplc="B2285EA0">
      <w:start w:val="1"/>
      <w:numFmt w:val="upperRoman"/>
      <w:pStyle w:val="Ttulo"/>
      <w:lvlText w:val="%1."/>
      <w:lvlJc w:val="right"/>
      <w:pPr>
        <w:ind w:left="720" w:hanging="360"/>
      </w:pPr>
      <w:rPr>
        <w:rFonts w:ascii="Arial" w:hAnsi="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AFD4DEC"/>
    <w:multiLevelType w:val="multilevel"/>
    <w:tmpl w:val="BCC8D538"/>
    <w:styleLink w:val="Listaatual4"/>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6" w15:restartNumberingAfterBreak="0">
    <w:nsid w:val="436237FF"/>
    <w:multiLevelType w:val="multilevel"/>
    <w:tmpl w:val="3850D836"/>
    <w:lvl w:ilvl="0">
      <w:start w:val="1"/>
      <w:numFmt w:val="decimal"/>
      <w:pStyle w:val="Ttulo1"/>
      <w:isLgl/>
      <w:lvlText w:val="%1. "/>
      <w:lvlJc w:val="left"/>
      <w:pPr>
        <w:ind w:left="0" w:hanging="360"/>
      </w:pPr>
      <w:rPr>
        <w:rFonts w:ascii="Times New Roman" w:hAnsi="Times New Roman" w:cs="Times New Roman" w:hint="default"/>
        <w:b/>
        <w:i w:val="0"/>
        <w:sz w:val="24"/>
        <w:szCs w:val="24"/>
      </w:rPr>
    </w:lvl>
    <w:lvl w:ilvl="1">
      <w:start w:val="1"/>
      <w:numFmt w:val="decimal"/>
      <w:pStyle w:val="Ttulo2"/>
      <w:lvlText w:val="%1.%2. "/>
      <w:lvlJc w:val="left"/>
      <w:pPr>
        <w:ind w:left="0" w:firstLine="0"/>
      </w:pPr>
      <w:rPr>
        <w:rFonts w:ascii="Times New Roman" w:hAnsi="Times New Roman" w:cs="Times New Roman" w:hint="default"/>
        <w:b/>
        <w:bCs w:val="0"/>
        <w:i w:val="0"/>
        <w:color w:val="000000" w:themeColor="text1"/>
        <w:sz w:val="24"/>
        <w:szCs w:val="24"/>
      </w:rPr>
    </w:lvl>
    <w:lvl w:ilvl="2">
      <w:start w:val="1"/>
      <w:numFmt w:val="decimal"/>
      <w:pStyle w:val="Ttulo3"/>
      <w:lvlText w:val="%1.%2.%3. "/>
      <w:lvlJc w:val="left"/>
      <w:pPr>
        <w:ind w:left="3686" w:hanging="283"/>
      </w:pPr>
      <w:rPr>
        <w:rFonts w:ascii="Times New Roman" w:hAnsi="Times New Roman" w:cs="Times New Roman" w:hint="default"/>
        <w:b/>
        <w:bCs/>
        <w:i w:val="0"/>
        <w:color w:val="auto"/>
        <w:sz w:val="24"/>
        <w:szCs w:val="24"/>
      </w:rPr>
    </w:lvl>
    <w:lvl w:ilvl="3">
      <w:start w:val="1"/>
      <w:numFmt w:val="decimal"/>
      <w:pStyle w:val="Ttulo4"/>
      <w:lvlText w:val="%1.%2.%3.%4. "/>
      <w:lvlJc w:val="left"/>
      <w:pPr>
        <w:ind w:left="851" w:hanging="284"/>
      </w:pPr>
      <w:rPr>
        <w:rFonts w:ascii="Times New Roman" w:hAnsi="Times New Roman" w:cs="Times New Roman" w:hint="default"/>
        <w:b/>
        <w:bCs/>
        <w:color w:val="auto"/>
        <w:sz w:val="24"/>
        <w:szCs w:val="24"/>
      </w:rPr>
    </w:lvl>
    <w:lvl w:ilvl="4">
      <w:start w:val="1"/>
      <w:numFmt w:val="decimal"/>
      <w:pStyle w:val="Ttulo5"/>
      <w:lvlText w:val="%1.%2.%3.%4.%5. "/>
      <w:lvlJc w:val="left"/>
      <w:pPr>
        <w:ind w:left="1134" w:hanging="283"/>
      </w:pPr>
      <w:rPr>
        <w:rFonts w:hint="default"/>
      </w:rPr>
    </w:lvl>
    <w:lvl w:ilvl="5">
      <w:start w:val="1"/>
      <w:numFmt w:val="decimal"/>
      <w:pStyle w:val="Ttulo6"/>
      <w:lvlText w:val="%1.%2.%3.%4.%5.%6. "/>
      <w:lvlJc w:val="left"/>
      <w:pPr>
        <w:ind w:left="1418" w:hanging="284"/>
      </w:pPr>
      <w:rPr>
        <w:rFonts w:hint="default"/>
      </w:rPr>
    </w:lvl>
    <w:lvl w:ilvl="6">
      <w:start w:val="1"/>
      <w:numFmt w:val="decimal"/>
      <w:pStyle w:val="Ttulo7"/>
      <w:lvlText w:val="%1.%2.%3.%4.%5.%6.%7. "/>
      <w:lvlJc w:val="left"/>
      <w:pPr>
        <w:ind w:left="2880" w:hanging="1080"/>
      </w:pPr>
      <w:rPr>
        <w:rFonts w:hint="default"/>
      </w:rPr>
    </w:lvl>
    <w:lvl w:ilvl="7">
      <w:start w:val="1"/>
      <w:numFmt w:val="decimal"/>
      <w:pStyle w:val="Ttulo8"/>
      <w:lvlText w:val="%1.%2.%3.%4.%5.%6.%7.%8."/>
      <w:lvlJc w:val="left"/>
      <w:pPr>
        <w:ind w:left="3384" w:hanging="1224"/>
      </w:pPr>
      <w:rPr>
        <w:rFonts w:hint="default"/>
      </w:rPr>
    </w:lvl>
    <w:lvl w:ilvl="8">
      <w:start w:val="1"/>
      <w:numFmt w:val="decimal"/>
      <w:pStyle w:val="Ttulo9"/>
      <w:lvlText w:val="%1.%2.%3.%4.%5.%6.%7.%8.%9."/>
      <w:lvlJc w:val="left"/>
      <w:pPr>
        <w:ind w:left="3960" w:hanging="1440"/>
      </w:pPr>
      <w:rPr>
        <w:rFonts w:hint="default"/>
      </w:rPr>
    </w:lvl>
  </w:abstractNum>
  <w:abstractNum w:abstractNumId="7" w15:restartNumberingAfterBreak="0">
    <w:nsid w:val="4C8541A5"/>
    <w:multiLevelType w:val="multilevel"/>
    <w:tmpl w:val="B0C054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52886DFC"/>
    <w:multiLevelType w:val="multilevel"/>
    <w:tmpl w:val="81B4658E"/>
    <w:styleLink w:val="Listaatual2"/>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432" w:hanging="432"/>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9" w15:restartNumberingAfterBreak="0">
    <w:nsid w:val="570E6F3E"/>
    <w:multiLevelType w:val="multilevel"/>
    <w:tmpl w:val="D1F66A76"/>
    <w:styleLink w:val="Listaatual7"/>
    <w:lvl w:ilvl="0">
      <w:start w:val="1"/>
      <w:numFmt w:val="decimal"/>
      <w:isLgl/>
      <w:lvlText w:val="%1. "/>
      <w:lvlJc w:val="left"/>
      <w:pPr>
        <w:ind w:left="0" w:hanging="360"/>
      </w:pPr>
      <w:rPr>
        <w:rFonts w:ascii="Arial" w:hAnsi="Arial" w:hint="default"/>
        <w:b/>
        <w:i w:val="0"/>
        <w:sz w:val="20"/>
      </w:rPr>
    </w:lvl>
    <w:lvl w:ilvl="1">
      <w:start w:val="1"/>
      <w:numFmt w:val="decimal"/>
      <w:lvlText w:val="%1.%2. "/>
      <w:lvlJc w:val="left"/>
      <w:pPr>
        <w:ind w:left="0" w:firstLine="0"/>
      </w:pPr>
      <w:rPr>
        <w:rFonts w:ascii="Arial" w:hAnsi="Arial" w:hint="default"/>
        <w:b w:val="0"/>
        <w:i w:val="0"/>
        <w:color w:val="000000" w:themeColor="text1"/>
        <w:sz w:val="20"/>
      </w:rPr>
    </w:lvl>
    <w:lvl w:ilvl="2">
      <w:start w:val="1"/>
      <w:numFmt w:val="decimal"/>
      <w:lvlText w:val="%1.%2.%3. "/>
      <w:lvlJc w:val="left"/>
      <w:pPr>
        <w:ind w:left="567" w:hanging="283"/>
      </w:pPr>
      <w:rPr>
        <w:rFonts w:ascii="Arial" w:hAnsi="Arial" w:hint="default"/>
        <w:b w:val="0"/>
        <w:i w:val="0"/>
        <w:sz w:val="20"/>
      </w:rPr>
    </w:lvl>
    <w:lvl w:ilvl="3">
      <w:start w:val="1"/>
      <w:numFmt w:val="decimal"/>
      <w:lvlText w:val="%1.%2.%3.%4. "/>
      <w:lvlJc w:val="left"/>
      <w:pPr>
        <w:ind w:left="851" w:hanging="284"/>
      </w:pPr>
      <w:rPr>
        <w:rFonts w:hint="default"/>
      </w:rPr>
    </w:lvl>
    <w:lvl w:ilvl="4">
      <w:start w:val="1"/>
      <w:numFmt w:val="decimal"/>
      <w:lvlText w:val="%1.%2.%3.%4.%5. "/>
      <w:lvlJc w:val="left"/>
      <w:pPr>
        <w:ind w:left="1134" w:hanging="283"/>
      </w:pPr>
      <w:rPr>
        <w:rFonts w:hint="default"/>
      </w:rPr>
    </w:lvl>
    <w:lvl w:ilvl="5">
      <w:start w:val="1"/>
      <w:numFmt w:val="decimal"/>
      <w:lvlText w:val="%1.%2.%3.%4.%5.%6. "/>
      <w:lvlJc w:val="left"/>
      <w:pPr>
        <w:ind w:left="1418" w:hanging="284"/>
      </w:pPr>
      <w:rPr>
        <w:rFonts w:hint="default"/>
      </w:rPr>
    </w:lvl>
    <w:lvl w:ilvl="6">
      <w:start w:val="1"/>
      <w:numFmt w:val="decimal"/>
      <w:lvlText w:val="%1.%2.%3.%4.%5.%6.%7. "/>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0" w15:restartNumberingAfterBreak="0">
    <w:nsid w:val="58CF5774"/>
    <w:multiLevelType w:val="multilevel"/>
    <w:tmpl w:val="DDF21882"/>
    <w:styleLink w:val="Listaatual6"/>
    <w:lvl w:ilvl="0">
      <w:start w:val="1"/>
      <w:numFmt w:val="decimal"/>
      <w:isLgl/>
      <w:lvlText w:val="%1. "/>
      <w:lvlJc w:val="left"/>
      <w:pPr>
        <w:ind w:left="0" w:hanging="360"/>
      </w:pPr>
      <w:rPr>
        <w:rFonts w:ascii="Arial" w:hAnsi="Arial" w:hint="default"/>
        <w:b/>
        <w:i w:val="0"/>
        <w:sz w:val="24"/>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1" w15:restartNumberingAfterBreak="0">
    <w:nsid w:val="58EC0D94"/>
    <w:multiLevelType w:val="multilevel"/>
    <w:tmpl w:val="D0389BD4"/>
    <w:styleLink w:val="Listaatual5"/>
    <w:lvl w:ilvl="0">
      <w:start w:val="1"/>
      <w:numFmt w:val="decimal"/>
      <w:isLgl/>
      <w:lvlText w:val="%1."/>
      <w:lvlJc w:val="left"/>
      <w:pPr>
        <w:ind w:left="0" w:hanging="360"/>
      </w:pPr>
      <w:rPr>
        <w:rFonts w:ascii="Arial" w:hAnsi="Arial" w:hint="default"/>
        <w:b/>
        <w:i w:val="0"/>
        <w:sz w:val="24"/>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2" w15:restartNumberingAfterBreak="0">
    <w:nsid w:val="6634130C"/>
    <w:multiLevelType w:val="multilevel"/>
    <w:tmpl w:val="D67029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Arial" w:hAnsi="Arial" w:cs="Arial" w:hint="default"/>
        <w:i w:val="0"/>
        <w:sz w:val="24"/>
        <w:szCs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823458A"/>
    <w:multiLevelType w:val="hybridMultilevel"/>
    <w:tmpl w:val="FA2606D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A062FD8"/>
    <w:multiLevelType w:val="multilevel"/>
    <w:tmpl w:val="E1ECAD0E"/>
    <w:styleLink w:val="Listaatual3"/>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0" w:firstLine="0"/>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5" w15:restartNumberingAfterBreak="0">
    <w:nsid w:val="705A749B"/>
    <w:multiLevelType w:val="multilevel"/>
    <w:tmpl w:val="77C8A6E4"/>
    <w:styleLink w:val="Listaatual8"/>
    <w:lvl w:ilvl="0">
      <w:start w:val="1"/>
      <w:numFmt w:val="decimal"/>
      <w:isLgl/>
      <w:lvlText w:val="%1. "/>
      <w:lvlJc w:val="left"/>
      <w:pPr>
        <w:ind w:left="0" w:hanging="360"/>
      </w:pPr>
      <w:rPr>
        <w:rFonts w:ascii="Arial" w:hAnsi="Arial" w:hint="default"/>
        <w:b/>
        <w:i w:val="0"/>
        <w:sz w:val="20"/>
      </w:rPr>
    </w:lvl>
    <w:lvl w:ilvl="1">
      <w:start w:val="1"/>
      <w:numFmt w:val="decimal"/>
      <w:lvlText w:val="%1.%2. "/>
      <w:lvlJc w:val="left"/>
      <w:pPr>
        <w:ind w:left="0" w:firstLine="0"/>
      </w:pPr>
      <w:rPr>
        <w:rFonts w:ascii="Arial" w:hAnsi="Arial" w:hint="default"/>
        <w:b w:val="0"/>
        <w:i w:val="0"/>
        <w:color w:val="000000" w:themeColor="text1"/>
        <w:sz w:val="20"/>
      </w:rPr>
    </w:lvl>
    <w:lvl w:ilvl="2">
      <w:start w:val="1"/>
      <w:numFmt w:val="decimal"/>
      <w:lvlText w:val="%1.%2.%3. "/>
      <w:lvlJc w:val="left"/>
      <w:pPr>
        <w:ind w:left="567" w:hanging="283"/>
      </w:pPr>
      <w:rPr>
        <w:rFonts w:ascii="Arial" w:hAnsi="Arial" w:hint="default"/>
        <w:b w:val="0"/>
        <w:i w:val="0"/>
        <w:color w:val="auto"/>
        <w:sz w:val="20"/>
      </w:rPr>
    </w:lvl>
    <w:lvl w:ilvl="3">
      <w:start w:val="1"/>
      <w:numFmt w:val="decimal"/>
      <w:lvlText w:val="%1.%2.%3.%4. "/>
      <w:lvlJc w:val="left"/>
      <w:pPr>
        <w:ind w:left="851" w:hanging="284"/>
      </w:pPr>
      <w:rPr>
        <w:rFonts w:hint="default"/>
      </w:rPr>
    </w:lvl>
    <w:lvl w:ilvl="4">
      <w:start w:val="1"/>
      <w:numFmt w:val="decimal"/>
      <w:lvlText w:val="%1.%2.%3.%4.%5. "/>
      <w:lvlJc w:val="left"/>
      <w:pPr>
        <w:ind w:left="1134" w:hanging="283"/>
      </w:pPr>
      <w:rPr>
        <w:rFonts w:hint="default"/>
      </w:rPr>
    </w:lvl>
    <w:lvl w:ilvl="5">
      <w:start w:val="1"/>
      <w:numFmt w:val="decimal"/>
      <w:lvlText w:val="%1.%2.%3.%4.%5.%6. "/>
      <w:lvlJc w:val="left"/>
      <w:pPr>
        <w:ind w:left="1418" w:hanging="284"/>
      </w:pPr>
      <w:rPr>
        <w:rFonts w:hint="default"/>
      </w:rPr>
    </w:lvl>
    <w:lvl w:ilvl="6">
      <w:start w:val="1"/>
      <w:numFmt w:val="decimal"/>
      <w:lvlText w:val="%1.%2.%3.%4.%5.%6.%7. "/>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6" w15:restartNumberingAfterBreak="0">
    <w:nsid w:val="732D434C"/>
    <w:multiLevelType w:val="multilevel"/>
    <w:tmpl w:val="14207C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75517D48"/>
    <w:multiLevelType w:val="hybridMultilevel"/>
    <w:tmpl w:val="DF623AD0"/>
    <w:lvl w:ilvl="0" w:tplc="8B780136">
      <w:start w:val="1"/>
      <w:numFmt w:val="lowerLetter"/>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507584">
    <w:abstractNumId w:val="2"/>
  </w:num>
  <w:num w:numId="2" w16cid:durableId="1402024590">
    <w:abstractNumId w:val="2"/>
  </w:num>
  <w:num w:numId="3" w16cid:durableId="1832671455">
    <w:abstractNumId w:val="12"/>
  </w:num>
  <w:num w:numId="4" w16cid:durableId="169368913">
    <w:abstractNumId w:val="12"/>
  </w:num>
  <w:num w:numId="5" w16cid:durableId="1477186589">
    <w:abstractNumId w:val="16"/>
  </w:num>
  <w:num w:numId="6" w16cid:durableId="1123839169">
    <w:abstractNumId w:val="7"/>
  </w:num>
  <w:num w:numId="7" w16cid:durableId="1504393377">
    <w:abstractNumId w:val="4"/>
  </w:num>
  <w:num w:numId="8" w16cid:durableId="981233962">
    <w:abstractNumId w:val="6"/>
  </w:num>
  <w:num w:numId="9" w16cid:durableId="306252568">
    <w:abstractNumId w:val="0"/>
  </w:num>
  <w:num w:numId="10" w16cid:durableId="432432319">
    <w:abstractNumId w:val="8"/>
  </w:num>
  <w:num w:numId="11" w16cid:durableId="1050349760">
    <w:abstractNumId w:val="14"/>
  </w:num>
  <w:num w:numId="12" w16cid:durableId="563375967">
    <w:abstractNumId w:val="5"/>
  </w:num>
  <w:num w:numId="13" w16cid:durableId="118423836">
    <w:abstractNumId w:val="3"/>
  </w:num>
  <w:num w:numId="14" w16cid:durableId="1416437012">
    <w:abstractNumId w:val="1"/>
  </w:num>
  <w:num w:numId="15" w16cid:durableId="440489779">
    <w:abstractNumId w:val="11"/>
  </w:num>
  <w:num w:numId="16" w16cid:durableId="900746378">
    <w:abstractNumId w:val="10"/>
  </w:num>
  <w:num w:numId="17" w16cid:durableId="1251743737">
    <w:abstractNumId w:val="13"/>
  </w:num>
  <w:num w:numId="18" w16cid:durableId="809716258">
    <w:abstractNumId w:val="17"/>
  </w:num>
  <w:num w:numId="19" w16cid:durableId="1131283402">
    <w:abstractNumId w:val="4"/>
  </w:num>
  <w:num w:numId="20" w16cid:durableId="2050497473">
    <w:abstractNumId w:val="6"/>
  </w:num>
  <w:num w:numId="21" w16cid:durableId="1852716845">
    <w:abstractNumId w:val="6"/>
  </w:num>
  <w:num w:numId="22" w16cid:durableId="1791051288">
    <w:abstractNumId w:val="6"/>
  </w:num>
  <w:num w:numId="23" w16cid:durableId="1532065449">
    <w:abstractNumId w:val="6"/>
  </w:num>
  <w:num w:numId="24" w16cid:durableId="194927039">
    <w:abstractNumId w:val="6"/>
  </w:num>
  <w:num w:numId="25" w16cid:durableId="898440535">
    <w:abstractNumId w:val="6"/>
  </w:num>
  <w:num w:numId="26" w16cid:durableId="1254315722">
    <w:abstractNumId w:val="6"/>
  </w:num>
  <w:num w:numId="27" w16cid:durableId="1550846186">
    <w:abstractNumId w:val="6"/>
  </w:num>
  <w:num w:numId="28" w16cid:durableId="942541651">
    <w:abstractNumId w:val="6"/>
  </w:num>
  <w:num w:numId="29" w16cid:durableId="1818692733">
    <w:abstractNumId w:val="9"/>
  </w:num>
  <w:num w:numId="30" w16cid:durableId="837690680">
    <w:abstractNumId w:val="15"/>
  </w:num>
  <w:num w:numId="31" w16cid:durableId="1497302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32959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4B0"/>
    <w:rsid w:val="00001194"/>
    <w:rsid w:val="000406A9"/>
    <w:rsid w:val="000464B0"/>
    <w:rsid w:val="00060E97"/>
    <w:rsid w:val="00066EC0"/>
    <w:rsid w:val="00070A69"/>
    <w:rsid w:val="000712D7"/>
    <w:rsid w:val="00077EF5"/>
    <w:rsid w:val="00081EFF"/>
    <w:rsid w:val="00085EAA"/>
    <w:rsid w:val="00086387"/>
    <w:rsid w:val="00086590"/>
    <w:rsid w:val="000A2B5B"/>
    <w:rsid w:val="000A72EE"/>
    <w:rsid w:val="000B48B7"/>
    <w:rsid w:val="000B71BD"/>
    <w:rsid w:val="000C21FE"/>
    <w:rsid w:val="000D109E"/>
    <w:rsid w:val="000D7E12"/>
    <w:rsid w:val="000E149A"/>
    <w:rsid w:val="000E4CDB"/>
    <w:rsid w:val="000E7470"/>
    <w:rsid w:val="000F1A20"/>
    <w:rsid w:val="000F4EEE"/>
    <w:rsid w:val="000F6F38"/>
    <w:rsid w:val="0010064E"/>
    <w:rsid w:val="00103B7B"/>
    <w:rsid w:val="001058F7"/>
    <w:rsid w:val="00117F73"/>
    <w:rsid w:val="001230FF"/>
    <w:rsid w:val="00124757"/>
    <w:rsid w:val="00124D69"/>
    <w:rsid w:val="001322AC"/>
    <w:rsid w:val="001375A8"/>
    <w:rsid w:val="00144DA4"/>
    <w:rsid w:val="001454CB"/>
    <w:rsid w:val="0015148A"/>
    <w:rsid w:val="0015798A"/>
    <w:rsid w:val="001633EE"/>
    <w:rsid w:val="001675C4"/>
    <w:rsid w:val="0016775C"/>
    <w:rsid w:val="0017316B"/>
    <w:rsid w:val="001767D4"/>
    <w:rsid w:val="00177864"/>
    <w:rsid w:val="0018146E"/>
    <w:rsid w:val="00184D5F"/>
    <w:rsid w:val="00190739"/>
    <w:rsid w:val="00194A4F"/>
    <w:rsid w:val="00195865"/>
    <w:rsid w:val="00196351"/>
    <w:rsid w:val="00196CF0"/>
    <w:rsid w:val="001B053E"/>
    <w:rsid w:val="001C01D9"/>
    <w:rsid w:val="001C6719"/>
    <w:rsid w:val="001D136E"/>
    <w:rsid w:val="001D64C0"/>
    <w:rsid w:val="001E5544"/>
    <w:rsid w:val="001E6FC9"/>
    <w:rsid w:val="001F1FB6"/>
    <w:rsid w:val="001F40A6"/>
    <w:rsid w:val="00210094"/>
    <w:rsid w:val="002147C8"/>
    <w:rsid w:val="00217B71"/>
    <w:rsid w:val="0022062F"/>
    <w:rsid w:val="002225AC"/>
    <w:rsid w:val="00232AE6"/>
    <w:rsid w:val="00234465"/>
    <w:rsid w:val="00236E55"/>
    <w:rsid w:val="002557EC"/>
    <w:rsid w:val="0027274D"/>
    <w:rsid w:val="00276760"/>
    <w:rsid w:val="00282D71"/>
    <w:rsid w:val="00283735"/>
    <w:rsid w:val="00283EBA"/>
    <w:rsid w:val="00286D2D"/>
    <w:rsid w:val="00287618"/>
    <w:rsid w:val="002906DE"/>
    <w:rsid w:val="002A1056"/>
    <w:rsid w:val="002A3B8B"/>
    <w:rsid w:val="002B7AA9"/>
    <w:rsid w:val="002C250F"/>
    <w:rsid w:val="002C2836"/>
    <w:rsid w:val="002D7B7A"/>
    <w:rsid w:val="002E2136"/>
    <w:rsid w:val="002F009A"/>
    <w:rsid w:val="002F2B6E"/>
    <w:rsid w:val="003032AC"/>
    <w:rsid w:val="00306CB9"/>
    <w:rsid w:val="00310328"/>
    <w:rsid w:val="00311A60"/>
    <w:rsid w:val="00321F90"/>
    <w:rsid w:val="003267A3"/>
    <w:rsid w:val="00335A8D"/>
    <w:rsid w:val="00351EAB"/>
    <w:rsid w:val="0035285A"/>
    <w:rsid w:val="0036059A"/>
    <w:rsid w:val="00362967"/>
    <w:rsid w:val="00372566"/>
    <w:rsid w:val="00373DCE"/>
    <w:rsid w:val="0038206F"/>
    <w:rsid w:val="00386EB2"/>
    <w:rsid w:val="00393862"/>
    <w:rsid w:val="00395C1A"/>
    <w:rsid w:val="003A0F16"/>
    <w:rsid w:val="003B505D"/>
    <w:rsid w:val="003B5A8E"/>
    <w:rsid w:val="003C48F4"/>
    <w:rsid w:val="003C7DAA"/>
    <w:rsid w:val="003D1F74"/>
    <w:rsid w:val="003D2E29"/>
    <w:rsid w:val="003D5F91"/>
    <w:rsid w:val="003E6D3E"/>
    <w:rsid w:val="003F09F2"/>
    <w:rsid w:val="003F754C"/>
    <w:rsid w:val="003F77EF"/>
    <w:rsid w:val="00401C5C"/>
    <w:rsid w:val="00403BFB"/>
    <w:rsid w:val="00412B01"/>
    <w:rsid w:val="004148BF"/>
    <w:rsid w:val="00416701"/>
    <w:rsid w:val="004168C4"/>
    <w:rsid w:val="00420B81"/>
    <w:rsid w:val="00422224"/>
    <w:rsid w:val="00427AF8"/>
    <w:rsid w:val="004351B1"/>
    <w:rsid w:val="004462F8"/>
    <w:rsid w:val="00446E9B"/>
    <w:rsid w:val="004620A8"/>
    <w:rsid w:val="00463699"/>
    <w:rsid w:val="00480CF1"/>
    <w:rsid w:val="004843C3"/>
    <w:rsid w:val="004908EF"/>
    <w:rsid w:val="00495F23"/>
    <w:rsid w:val="004A1BE8"/>
    <w:rsid w:val="004B6938"/>
    <w:rsid w:val="004D39B8"/>
    <w:rsid w:val="004D42E7"/>
    <w:rsid w:val="004D7F4A"/>
    <w:rsid w:val="004F2E57"/>
    <w:rsid w:val="005048DB"/>
    <w:rsid w:val="00511286"/>
    <w:rsid w:val="005164FB"/>
    <w:rsid w:val="00516A57"/>
    <w:rsid w:val="00527E4C"/>
    <w:rsid w:val="00534FA9"/>
    <w:rsid w:val="00542D70"/>
    <w:rsid w:val="00545C9B"/>
    <w:rsid w:val="00564C37"/>
    <w:rsid w:val="00566409"/>
    <w:rsid w:val="00571164"/>
    <w:rsid w:val="00582EF9"/>
    <w:rsid w:val="00587D46"/>
    <w:rsid w:val="00587EA6"/>
    <w:rsid w:val="00591AA7"/>
    <w:rsid w:val="005A346E"/>
    <w:rsid w:val="005B343B"/>
    <w:rsid w:val="005C0B12"/>
    <w:rsid w:val="005C41B8"/>
    <w:rsid w:val="005D0878"/>
    <w:rsid w:val="005D7335"/>
    <w:rsid w:val="005F0D3A"/>
    <w:rsid w:val="005F39BC"/>
    <w:rsid w:val="005F7EDC"/>
    <w:rsid w:val="00600E88"/>
    <w:rsid w:val="00616B8F"/>
    <w:rsid w:val="00621F90"/>
    <w:rsid w:val="00623991"/>
    <w:rsid w:val="006333FE"/>
    <w:rsid w:val="006350B5"/>
    <w:rsid w:val="00640F35"/>
    <w:rsid w:val="00645A8B"/>
    <w:rsid w:val="00656C48"/>
    <w:rsid w:val="006573AB"/>
    <w:rsid w:val="00657972"/>
    <w:rsid w:val="00664394"/>
    <w:rsid w:val="00671FB4"/>
    <w:rsid w:val="0067416E"/>
    <w:rsid w:val="006825ED"/>
    <w:rsid w:val="0069263E"/>
    <w:rsid w:val="00694121"/>
    <w:rsid w:val="006A53D1"/>
    <w:rsid w:val="006A6900"/>
    <w:rsid w:val="006B3ECD"/>
    <w:rsid w:val="006C100F"/>
    <w:rsid w:val="006C2239"/>
    <w:rsid w:val="006D06E8"/>
    <w:rsid w:val="006D22CE"/>
    <w:rsid w:val="006E37BB"/>
    <w:rsid w:val="0071216C"/>
    <w:rsid w:val="007144DA"/>
    <w:rsid w:val="00726A56"/>
    <w:rsid w:val="007413CA"/>
    <w:rsid w:val="007422B6"/>
    <w:rsid w:val="0074390B"/>
    <w:rsid w:val="00750869"/>
    <w:rsid w:val="00755400"/>
    <w:rsid w:val="00757D0D"/>
    <w:rsid w:val="00763533"/>
    <w:rsid w:val="0077172C"/>
    <w:rsid w:val="00773F44"/>
    <w:rsid w:val="00777881"/>
    <w:rsid w:val="00780CDF"/>
    <w:rsid w:val="00782158"/>
    <w:rsid w:val="00785DBD"/>
    <w:rsid w:val="00786341"/>
    <w:rsid w:val="0079614B"/>
    <w:rsid w:val="007968CE"/>
    <w:rsid w:val="007969E3"/>
    <w:rsid w:val="007A1209"/>
    <w:rsid w:val="007A15B9"/>
    <w:rsid w:val="007A372A"/>
    <w:rsid w:val="007B1772"/>
    <w:rsid w:val="007B1F27"/>
    <w:rsid w:val="007D295B"/>
    <w:rsid w:val="007D3FFC"/>
    <w:rsid w:val="007F7C6B"/>
    <w:rsid w:val="00801DA5"/>
    <w:rsid w:val="008120E7"/>
    <w:rsid w:val="008126D3"/>
    <w:rsid w:val="00831428"/>
    <w:rsid w:val="00832D3E"/>
    <w:rsid w:val="00847652"/>
    <w:rsid w:val="00854613"/>
    <w:rsid w:val="0086324E"/>
    <w:rsid w:val="0088028E"/>
    <w:rsid w:val="0088755F"/>
    <w:rsid w:val="00887AC3"/>
    <w:rsid w:val="008958CE"/>
    <w:rsid w:val="008A3741"/>
    <w:rsid w:val="008B0E82"/>
    <w:rsid w:val="008D7A0E"/>
    <w:rsid w:val="008E17C7"/>
    <w:rsid w:val="008E2A88"/>
    <w:rsid w:val="008E2CD6"/>
    <w:rsid w:val="008E57EA"/>
    <w:rsid w:val="008F1C1E"/>
    <w:rsid w:val="008F3E52"/>
    <w:rsid w:val="0091599E"/>
    <w:rsid w:val="0091646C"/>
    <w:rsid w:val="009257F2"/>
    <w:rsid w:val="00930125"/>
    <w:rsid w:val="00930C45"/>
    <w:rsid w:val="00932C6D"/>
    <w:rsid w:val="009342A3"/>
    <w:rsid w:val="00934E7D"/>
    <w:rsid w:val="00946513"/>
    <w:rsid w:val="009477F9"/>
    <w:rsid w:val="009513C4"/>
    <w:rsid w:val="0096019A"/>
    <w:rsid w:val="0096426B"/>
    <w:rsid w:val="00965EC4"/>
    <w:rsid w:val="0097419F"/>
    <w:rsid w:val="00975D79"/>
    <w:rsid w:val="009776FE"/>
    <w:rsid w:val="0099064A"/>
    <w:rsid w:val="009A276B"/>
    <w:rsid w:val="009A4B29"/>
    <w:rsid w:val="009A6787"/>
    <w:rsid w:val="009B0D9E"/>
    <w:rsid w:val="009B3788"/>
    <w:rsid w:val="009B4269"/>
    <w:rsid w:val="009C01EA"/>
    <w:rsid w:val="009C6E05"/>
    <w:rsid w:val="009E080B"/>
    <w:rsid w:val="009E3B74"/>
    <w:rsid w:val="009E712E"/>
    <w:rsid w:val="009E7633"/>
    <w:rsid w:val="009F2E1E"/>
    <w:rsid w:val="009F380E"/>
    <w:rsid w:val="00A002A8"/>
    <w:rsid w:val="00A0148D"/>
    <w:rsid w:val="00A06594"/>
    <w:rsid w:val="00A117D3"/>
    <w:rsid w:val="00A17E0D"/>
    <w:rsid w:val="00A22CCC"/>
    <w:rsid w:val="00A24DC9"/>
    <w:rsid w:val="00A351CF"/>
    <w:rsid w:val="00A37C28"/>
    <w:rsid w:val="00A42330"/>
    <w:rsid w:val="00A45B00"/>
    <w:rsid w:val="00A55223"/>
    <w:rsid w:val="00A565CC"/>
    <w:rsid w:val="00A646BB"/>
    <w:rsid w:val="00A6654D"/>
    <w:rsid w:val="00A834BC"/>
    <w:rsid w:val="00A91ED9"/>
    <w:rsid w:val="00A92D44"/>
    <w:rsid w:val="00A94C00"/>
    <w:rsid w:val="00A95E68"/>
    <w:rsid w:val="00AA1D05"/>
    <w:rsid w:val="00AA5315"/>
    <w:rsid w:val="00AB20C7"/>
    <w:rsid w:val="00AB25C7"/>
    <w:rsid w:val="00AB3C8C"/>
    <w:rsid w:val="00AB4081"/>
    <w:rsid w:val="00AB46F7"/>
    <w:rsid w:val="00AC1EB5"/>
    <w:rsid w:val="00AD088F"/>
    <w:rsid w:val="00AD2D6A"/>
    <w:rsid w:val="00AD2F1D"/>
    <w:rsid w:val="00AD4497"/>
    <w:rsid w:val="00AE5DEC"/>
    <w:rsid w:val="00AF3495"/>
    <w:rsid w:val="00AF4E37"/>
    <w:rsid w:val="00AF78F6"/>
    <w:rsid w:val="00B05E7C"/>
    <w:rsid w:val="00B0745B"/>
    <w:rsid w:val="00B113FD"/>
    <w:rsid w:val="00B14794"/>
    <w:rsid w:val="00B30DA8"/>
    <w:rsid w:val="00B40E34"/>
    <w:rsid w:val="00B43302"/>
    <w:rsid w:val="00B5177B"/>
    <w:rsid w:val="00B56F75"/>
    <w:rsid w:val="00B62AB3"/>
    <w:rsid w:val="00B62AB8"/>
    <w:rsid w:val="00B77447"/>
    <w:rsid w:val="00BA39F7"/>
    <w:rsid w:val="00BB23EC"/>
    <w:rsid w:val="00BB326F"/>
    <w:rsid w:val="00BB3360"/>
    <w:rsid w:val="00BC0FAD"/>
    <w:rsid w:val="00BC2B21"/>
    <w:rsid w:val="00BD10E4"/>
    <w:rsid w:val="00BD3D46"/>
    <w:rsid w:val="00BD3EF6"/>
    <w:rsid w:val="00BE355A"/>
    <w:rsid w:val="00BF51A1"/>
    <w:rsid w:val="00C06456"/>
    <w:rsid w:val="00C124A7"/>
    <w:rsid w:val="00C2392A"/>
    <w:rsid w:val="00C26822"/>
    <w:rsid w:val="00C33364"/>
    <w:rsid w:val="00C34284"/>
    <w:rsid w:val="00C356DC"/>
    <w:rsid w:val="00C46C29"/>
    <w:rsid w:val="00C4796D"/>
    <w:rsid w:val="00C50376"/>
    <w:rsid w:val="00C53627"/>
    <w:rsid w:val="00C60D7C"/>
    <w:rsid w:val="00C61847"/>
    <w:rsid w:val="00C7598A"/>
    <w:rsid w:val="00C80385"/>
    <w:rsid w:val="00C83788"/>
    <w:rsid w:val="00C95CE1"/>
    <w:rsid w:val="00C965C9"/>
    <w:rsid w:val="00CC733D"/>
    <w:rsid w:val="00CE0666"/>
    <w:rsid w:val="00CE6FF4"/>
    <w:rsid w:val="00CE7B85"/>
    <w:rsid w:val="00D01459"/>
    <w:rsid w:val="00D04DCC"/>
    <w:rsid w:val="00D07A28"/>
    <w:rsid w:val="00D13549"/>
    <w:rsid w:val="00D14F23"/>
    <w:rsid w:val="00D248C4"/>
    <w:rsid w:val="00D24CB0"/>
    <w:rsid w:val="00D31352"/>
    <w:rsid w:val="00D60A1F"/>
    <w:rsid w:val="00D67F59"/>
    <w:rsid w:val="00D70D3F"/>
    <w:rsid w:val="00D72532"/>
    <w:rsid w:val="00D860EC"/>
    <w:rsid w:val="00D90F9D"/>
    <w:rsid w:val="00D94B74"/>
    <w:rsid w:val="00D94BDA"/>
    <w:rsid w:val="00DA78B5"/>
    <w:rsid w:val="00DC48C8"/>
    <w:rsid w:val="00DC522F"/>
    <w:rsid w:val="00DE511A"/>
    <w:rsid w:val="00DE7DEA"/>
    <w:rsid w:val="00DF4BC6"/>
    <w:rsid w:val="00E00DC1"/>
    <w:rsid w:val="00E336A0"/>
    <w:rsid w:val="00E36796"/>
    <w:rsid w:val="00E41B71"/>
    <w:rsid w:val="00E44FF9"/>
    <w:rsid w:val="00E71A04"/>
    <w:rsid w:val="00E7207C"/>
    <w:rsid w:val="00E74356"/>
    <w:rsid w:val="00E84C23"/>
    <w:rsid w:val="00E86314"/>
    <w:rsid w:val="00E91E6C"/>
    <w:rsid w:val="00E95C7B"/>
    <w:rsid w:val="00E96CA5"/>
    <w:rsid w:val="00EA20E1"/>
    <w:rsid w:val="00EA2356"/>
    <w:rsid w:val="00EA5354"/>
    <w:rsid w:val="00EB2877"/>
    <w:rsid w:val="00EB49D0"/>
    <w:rsid w:val="00EC12C1"/>
    <w:rsid w:val="00ED6DE8"/>
    <w:rsid w:val="00EF610E"/>
    <w:rsid w:val="00F172DA"/>
    <w:rsid w:val="00F26A6B"/>
    <w:rsid w:val="00F3770F"/>
    <w:rsid w:val="00F5336B"/>
    <w:rsid w:val="00F55DF5"/>
    <w:rsid w:val="00F73F0C"/>
    <w:rsid w:val="00F7483E"/>
    <w:rsid w:val="00F76828"/>
    <w:rsid w:val="00F907AE"/>
    <w:rsid w:val="00F92223"/>
    <w:rsid w:val="00FB5EFA"/>
    <w:rsid w:val="00FC3006"/>
    <w:rsid w:val="00FC4888"/>
    <w:rsid w:val="00FC7BC3"/>
    <w:rsid w:val="00FD5A8E"/>
    <w:rsid w:val="00FE4635"/>
    <w:rsid w:val="00FE7D31"/>
    <w:rsid w:val="00FE7F80"/>
    <w:rsid w:val="0131F854"/>
    <w:rsid w:val="01D37A86"/>
    <w:rsid w:val="0250C52F"/>
    <w:rsid w:val="0AFC4D97"/>
    <w:rsid w:val="0B70AB55"/>
    <w:rsid w:val="1CE833E8"/>
    <w:rsid w:val="26EA9F8B"/>
    <w:rsid w:val="29ABF42F"/>
    <w:rsid w:val="2BCE21C9"/>
    <w:rsid w:val="2F3596FA"/>
    <w:rsid w:val="3370075A"/>
    <w:rsid w:val="38F69EC5"/>
    <w:rsid w:val="3CA046AE"/>
    <w:rsid w:val="3CB02144"/>
    <w:rsid w:val="48053B54"/>
    <w:rsid w:val="48AE04BC"/>
    <w:rsid w:val="4C13D2A6"/>
    <w:rsid w:val="4CEE36E6"/>
    <w:rsid w:val="4D0B7A9B"/>
    <w:rsid w:val="5090FE12"/>
    <w:rsid w:val="51938058"/>
    <w:rsid w:val="5AA75D97"/>
    <w:rsid w:val="693EBE8B"/>
    <w:rsid w:val="6ACDED80"/>
    <w:rsid w:val="6E84D840"/>
    <w:rsid w:val="757BC2BF"/>
    <w:rsid w:val="7AB06D70"/>
    <w:rsid w:val="7AD77633"/>
    <w:rsid w:val="7B1D1E54"/>
    <w:rsid w:val="7E81558E"/>
    <w:rsid w:val="7FD8DBE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648BF9B"/>
  <w15:chartTrackingRefBased/>
  <w15:docId w15:val="{3F7FF859-F9A9-4975-8572-16DF1754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136"/>
    <w:pPr>
      <w:spacing w:before="120" w:after="288" w:line="360" w:lineRule="auto"/>
      <w:jc w:val="both"/>
      <w:textAlignment w:val="baseline"/>
    </w:pPr>
    <w:rPr>
      <w:rFonts w:ascii="Arial" w:eastAsia="Times New Roman" w:hAnsi="Arial" w:cs="Arial"/>
      <w:color w:val="000000"/>
      <w:sz w:val="20"/>
      <w:szCs w:val="20"/>
    </w:rPr>
  </w:style>
  <w:style w:type="paragraph" w:styleId="Ttulo1">
    <w:name w:val="heading 1"/>
    <w:basedOn w:val="Normal"/>
    <w:next w:val="Ttulo2"/>
    <w:link w:val="Ttulo1Char"/>
    <w:uiPriority w:val="9"/>
    <w:qFormat/>
    <w:rsid w:val="003D2E29"/>
    <w:pPr>
      <w:numPr>
        <w:numId w:val="28"/>
      </w:numPr>
      <w:outlineLvl w:val="0"/>
    </w:pPr>
    <w:rPr>
      <w:b/>
      <w:bCs/>
      <w:szCs w:val="24"/>
    </w:rPr>
  </w:style>
  <w:style w:type="paragraph" w:styleId="Ttulo2">
    <w:name w:val="heading 2"/>
    <w:basedOn w:val="Normal"/>
    <w:link w:val="Ttulo2Char"/>
    <w:uiPriority w:val="9"/>
    <w:qFormat/>
    <w:rsid w:val="003D2E29"/>
    <w:pPr>
      <w:keepLines/>
      <w:numPr>
        <w:ilvl w:val="1"/>
        <w:numId w:val="28"/>
      </w:numPr>
      <w:tabs>
        <w:tab w:val="left" w:pos="1134"/>
      </w:tabs>
      <w:outlineLvl w:val="1"/>
    </w:pPr>
    <w:rPr>
      <w:bCs/>
    </w:rPr>
  </w:style>
  <w:style w:type="paragraph" w:styleId="Ttulo3">
    <w:name w:val="heading 3"/>
    <w:basedOn w:val="Ttulo2"/>
    <w:link w:val="Ttulo3Char"/>
    <w:uiPriority w:val="9"/>
    <w:unhideWhenUsed/>
    <w:qFormat/>
    <w:rsid w:val="003D2E29"/>
    <w:pPr>
      <w:numPr>
        <w:ilvl w:val="2"/>
      </w:numPr>
      <w:ind w:left="567"/>
      <w:outlineLvl w:val="2"/>
    </w:pPr>
    <w:rPr>
      <w:bCs w:val="0"/>
    </w:rPr>
  </w:style>
  <w:style w:type="paragraph" w:styleId="Ttulo4">
    <w:name w:val="heading 4"/>
    <w:basedOn w:val="Ttulo3"/>
    <w:link w:val="Ttulo4Char"/>
    <w:uiPriority w:val="9"/>
    <w:unhideWhenUsed/>
    <w:qFormat/>
    <w:rsid w:val="003D2E29"/>
    <w:pPr>
      <w:numPr>
        <w:ilvl w:val="3"/>
      </w:numPr>
      <w:outlineLvl w:val="3"/>
    </w:pPr>
    <w:rPr>
      <w:color w:val="auto"/>
    </w:rPr>
  </w:style>
  <w:style w:type="paragraph" w:styleId="Ttulo5">
    <w:name w:val="heading 5"/>
    <w:basedOn w:val="Ttulo4"/>
    <w:next w:val="Ttulo3"/>
    <w:link w:val="Ttulo5Char"/>
    <w:uiPriority w:val="9"/>
    <w:unhideWhenUsed/>
    <w:qFormat/>
    <w:rsid w:val="003D2E29"/>
    <w:pPr>
      <w:numPr>
        <w:ilvl w:val="4"/>
      </w:numPr>
      <w:outlineLvl w:val="4"/>
    </w:pPr>
  </w:style>
  <w:style w:type="paragraph" w:styleId="Ttulo6">
    <w:name w:val="heading 6"/>
    <w:basedOn w:val="Ttulo5"/>
    <w:link w:val="Ttulo6Char"/>
    <w:uiPriority w:val="9"/>
    <w:unhideWhenUsed/>
    <w:qFormat/>
    <w:rsid w:val="003D2E29"/>
    <w:pPr>
      <w:keepNext/>
      <w:numPr>
        <w:ilvl w:val="5"/>
      </w:numPr>
      <w:spacing w:before="40" w:after="0"/>
      <w:outlineLvl w:val="5"/>
    </w:pPr>
    <w:rPr>
      <w:rFonts w:eastAsiaTheme="majorEastAsia" w:cstheme="majorBidi"/>
    </w:rPr>
  </w:style>
  <w:style w:type="paragraph" w:styleId="Ttulo7">
    <w:name w:val="heading 7"/>
    <w:basedOn w:val="Normal"/>
    <w:next w:val="Normal"/>
    <w:link w:val="Ttulo7Char"/>
    <w:uiPriority w:val="9"/>
    <w:semiHidden/>
    <w:unhideWhenUsed/>
    <w:qFormat/>
    <w:rsid w:val="003D2E29"/>
    <w:pPr>
      <w:keepNext/>
      <w:keepLines/>
      <w:numPr>
        <w:ilvl w:val="6"/>
        <w:numId w:val="28"/>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3D2E29"/>
    <w:pPr>
      <w:keepNext/>
      <w:keepLines/>
      <w:numPr>
        <w:ilvl w:val="7"/>
        <w:numId w:val="28"/>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3D2E29"/>
    <w:pPr>
      <w:keepNext/>
      <w:keepLines/>
      <w:numPr>
        <w:ilvl w:val="8"/>
        <w:numId w:val="28"/>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rsid w:val="002E2136"/>
    <w:rPr>
      <w:rFonts w:ascii="Arial" w:eastAsia="Times New Roman" w:hAnsi="Arial" w:cs="Arial"/>
      <w:sz w:val="20"/>
      <w:szCs w:val="20"/>
    </w:rPr>
  </w:style>
  <w:style w:type="character" w:customStyle="1" w:styleId="Ttulo3Char">
    <w:name w:val="Título 3 Char"/>
    <w:basedOn w:val="Fontepargpadro"/>
    <w:link w:val="Ttulo3"/>
    <w:uiPriority w:val="9"/>
    <w:rsid w:val="002E2136"/>
    <w:rPr>
      <w:rFonts w:ascii="Arial" w:eastAsia="Times New Roman" w:hAnsi="Arial" w:cs="Arial"/>
      <w:color w:val="000000"/>
      <w:sz w:val="20"/>
      <w:szCs w:val="20"/>
    </w:rPr>
  </w:style>
  <w:style w:type="character" w:customStyle="1" w:styleId="Ttulo1Char">
    <w:name w:val="Título 1 Char"/>
    <w:basedOn w:val="Fontepargpadro"/>
    <w:link w:val="Ttulo1"/>
    <w:uiPriority w:val="9"/>
    <w:rsid w:val="002E2136"/>
    <w:rPr>
      <w:rFonts w:ascii="Arial" w:eastAsia="Times New Roman" w:hAnsi="Arial" w:cs="Arial"/>
      <w:b/>
      <w:bCs/>
      <w:color w:val="000000"/>
      <w:sz w:val="20"/>
      <w:szCs w:val="24"/>
    </w:rPr>
  </w:style>
  <w:style w:type="character" w:customStyle="1" w:styleId="Ttulo2Char">
    <w:name w:val="Título 2 Char"/>
    <w:basedOn w:val="Fontepargpadro"/>
    <w:link w:val="Ttulo2"/>
    <w:uiPriority w:val="9"/>
    <w:rsid w:val="002E2136"/>
    <w:rPr>
      <w:rFonts w:ascii="Arial" w:eastAsia="Times New Roman" w:hAnsi="Arial" w:cs="Arial"/>
      <w:bCs/>
      <w:color w:val="000000"/>
      <w:sz w:val="20"/>
      <w:szCs w:val="20"/>
    </w:rPr>
  </w:style>
  <w:style w:type="character" w:customStyle="1" w:styleId="Ttulo5Char">
    <w:name w:val="Título 5 Char"/>
    <w:basedOn w:val="Fontepargpadro"/>
    <w:link w:val="Ttulo5"/>
    <w:uiPriority w:val="9"/>
    <w:rsid w:val="002E2136"/>
    <w:rPr>
      <w:rFonts w:ascii="Arial" w:eastAsia="Times New Roman" w:hAnsi="Arial" w:cs="Arial"/>
      <w:sz w:val="20"/>
      <w:szCs w:val="20"/>
    </w:rPr>
  </w:style>
  <w:style w:type="character" w:customStyle="1" w:styleId="Ttulo6Char">
    <w:name w:val="Título 6 Char"/>
    <w:basedOn w:val="Fontepargpadro"/>
    <w:link w:val="Ttulo6"/>
    <w:uiPriority w:val="9"/>
    <w:rsid w:val="002E2136"/>
    <w:rPr>
      <w:rFonts w:ascii="Arial" w:eastAsiaTheme="majorEastAsia" w:hAnsi="Arial" w:cstheme="majorBidi"/>
      <w:sz w:val="20"/>
      <w:szCs w:val="20"/>
    </w:rPr>
  </w:style>
  <w:style w:type="character" w:customStyle="1" w:styleId="Ttulo7Char">
    <w:name w:val="Título 7 Char"/>
    <w:basedOn w:val="Fontepargpadro"/>
    <w:link w:val="Ttulo7"/>
    <w:uiPriority w:val="9"/>
    <w:semiHidden/>
    <w:rsid w:val="002E2136"/>
    <w:rPr>
      <w:rFonts w:asciiTheme="majorHAnsi" w:eastAsiaTheme="majorEastAsia" w:hAnsiTheme="majorHAnsi" w:cstheme="majorBidi"/>
      <w:i/>
      <w:iCs/>
      <w:color w:val="1F3763" w:themeColor="accent1" w:themeShade="7F"/>
      <w:sz w:val="20"/>
      <w:szCs w:val="20"/>
    </w:rPr>
  </w:style>
  <w:style w:type="character" w:customStyle="1" w:styleId="Ttulo8Char">
    <w:name w:val="Título 8 Char"/>
    <w:basedOn w:val="Fontepargpadro"/>
    <w:link w:val="Ttulo8"/>
    <w:uiPriority w:val="9"/>
    <w:semiHidden/>
    <w:rsid w:val="002E2136"/>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2E2136"/>
    <w:rPr>
      <w:rFonts w:asciiTheme="majorHAnsi" w:eastAsiaTheme="majorEastAsia" w:hAnsiTheme="majorHAnsi" w:cstheme="majorBidi"/>
      <w:i/>
      <w:iCs/>
      <w:color w:val="272727" w:themeColor="text1" w:themeTint="D8"/>
      <w:sz w:val="21"/>
      <w:szCs w:val="21"/>
    </w:rPr>
  </w:style>
  <w:style w:type="paragraph" w:styleId="Ttulo">
    <w:name w:val="Title"/>
    <w:basedOn w:val="Normal"/>
    <w:next w:val="Ttulo1"/>
    <w:link w:val="TtuloChar"/>
    <w:uiPriority w:val="10"/>
    <w:qFormat/>
    <w:rsid w:val="002E2136"/>
    <w:pPr>
      <w:numPr>
        <w:numId w:val="19"/>
      </w:numPr>
    </w:pPr>
    <w:rPr>
      <w:b/>
      <w:sz w:val="24"/>
    </w:rPr>
  </w:style>
  <w:style w:type="character" w:customStyle="1" w:styleId="TtuloChar">
    <w:name w:val="Título Char"/>
    <w:basedOn w:val="Fontepargpadro"/>
    <w:link w:val="Ttulo"/>
    <w:uiPriority w:val="10"/>
    <w:rsid w:val="002E2136"/>
    <w:rPr>
      <w:rFonts w:ascii="Arial" w:eastAsia="Times New Roman" w:hAnsi="Arial" w:cs="Arial"/>
      <w:b/>
      <w:color w:val="000000"/>
      <w:sz w:val="24"/>
      <w:szCs w:val="20"/>
    </w:rPr>
  </w:style>
  <w:style w:type="paragraph" w:styleId="PargrafodaLista">
    <w:name w:val="List Paragraph"/>
    <w:basedOn w:val="Normal"/>
    <w:uiPriority w:val="34"/>
    <w:qFormat/>
    <w:rsid w:val="00480CF1"/>
    <w:pPr>
      <w:ind w:left="720"/>
      <w:contextualSpacing/>
    </w:pPr>
  </w:style>
  <w:style w:type="paragraph" w:styleId="Cabealho">
    <w:name w:val="header"/>
    <w:aliases w:val="Cabeçalho superior,Heading 1a"/>
    <w:basedOn w:val="Normal"/>
    <w:link w:val="CabealhoChar"/>
    <w:uiPriority w:val="99"/>
    <w:unhideWhenUsed/>
    <w:rsid w:val="00117F73"/>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uiPriority w:val="99"/>
    <w:rsid w:val="00117F73"/>
  </w:style>
  <w:style w:type="paragraph" w:styleId="Rodap">
    <w:name w:val="footer"/>
    <w:basedOn w:val="Normal"/>
    <w:link w:val="RodapChar"/>
    <w:uiPriority w:val="99"/>
    <w:unhideWhenUsed/>
    <w:rsid w:val="00117F73"/>
    <w:pPr>
      <w:tabs>
        <w:tab w:val="center" w:pos="4252"/>
        <w:tab w:val="right" w:pos="8504"/>
      </w:tabs>
      <w:spacing w:after="0" w:line="240" w:lineRule="auto"/>
    </w:pPr>
  </w:style>
  <w:style w:type="character" w:customStyle="1" w:styleId="RodapChar">
    <w:name w:val="Rodapé Char"/>
    <w:basedOn w:val="Fontepargpadro"/>
    <w:link w:val="Rodap"/>
    <w:uiPriority w:val="99"/>
    <w:rsid w:val="00117F73"/>
  </w:style>
  <w:style w:type="paragraph" w:styleId="Reviso">
    <w:name w:val="Revision"/>
    <w:hidden/>
    <w:uiPriority w:val="99"/>
    <w:semiHidden/>
    <w:rsid w:val="00117F73"/>
    <w:pPr>
      <w:spacing w:after="0" w:line="240" w:lineRule="auto"/>
    </w:pPr>
    <w:rPr>
      <w:rFonts w:ascii="Arial" w:hAnsi="Arial"/>
      <w:sz w:val="20"/>
    </w:rPr>
  </w:style>
  <w:style w:type="table" w:customStyle="1" w:styleId="TableNormal3">
    <w:name w:val="Table Normal3"/>
    <w:rsid w:val="00117F73"/>
    <w:tblPr>
      <w:tblCellMar>
        <w:top w:w="0" w:type="dxa"/>
        <w:left w:w="0" w:type="dxa"/>
        <w:bottom w:w="0" w:type="dxa"/>
        <w:right w:w="0" w:type="dxa"/>
      </w:tblCellMar>
    </w:tblPr>
  </w:style>
  <w:style w:type="paragraph" w:styleId="NormalWeb">
    <w:name w:val="Normal (Web)"/>
    <w:basedOn w:val="Normal"/>
    <w:uiPriority w:val="99"/>
    <w:semiHidden/>
    <w:unhideWhenUsed/>
    <w:rsid w:val="00117F73"/>
    <w:pPr>
      <w:spacing w:before="100" w:beforeAutospacing="1" w:after="100" w:afterAutospacing="1" w:line="240" w:lineRule="auto"/>
    </w:pPr>
    <w:rPr>
      <w:rFonts w:ascii="Times New Roman" w:hAnsi="Times New Roman" w:cs="Times New Roman"/>
    </w:rPr>
  </w:style>
  <w:style w:type="paragraph" w:customStyle="1" w:styleId="WW-Corpodotexto">
    <w:name w:val="WW-Corpo do texto"/>
    <w:basedOn w:val="Normal"/>
    <w:rsid w:val="00117F73"/>
    <w:pPr>
      <w:tabs>
        <w:tab w:val="left" w:pos="1134"/>
        <w:tab w:val="left" w:pos="2268"/>
      </w:tabs>
      <w:suppressAutoHyphens/>
      <w:spacing w:after="0" w:line="240" w:lineRule="auto"/>
    </w:pPr>
    <w:rPr>
      <w:rFonts w:ascii="Times New Roman" w:hAnsi="Times New Roman" w:cs="Times New Roman"/>
      <w:sz w:val="25"/>
      <w:lang w:eastAsia="zh-CN"/>
    </w:rPr>
  </w:style>
  <w:style w:type="paragraph" w:customStyle="1" w:styleId="western">
    <w:name w:val="western"/>
    <w:basedOn w:val="Normal"/>
    <w:rsid w:val="00117F73"/>
    <w:pPr>
      <w:widowControl w:val="0"/>
      <w:suppressAutoHyphens/>
      <w:spacing w:before="280" w:after="119" w:line="240" w:lineRule="auto"/>
    </w:pPr>
    <w:rPr>
      <w:rFonts w:ascii="Times New Roman" w:hAnsi="Times New Roman" w:cs="Times New Roman"/>
      <w:lang w:val="pt-PT" w:eastAsia="zh-CN"/>
    </w:rPr>
  </w:style>
  <w:style w:type="paragraph" w:styleId="Textodecomentrio">
    <w:name w:val="annotation text"/>
    <w:basedOn w:val="Normal"/>
    <w:link w:val="TextodecomentrioChar"/>
    <w:uiPriority w:val="99"/>
    <w:semiHidden/>
    <w:unhideWhenUsed/>
    <w:rsid w:val="00117F73"/>
    <w:pPr>
      <w:spacing w:line="240" w:lineRule="auto"/>
    </w:pPr>
  </w:style>
  <w:style w:type="character" w:customStyle="1" w:styleId="TextodecomentrioChar">
    <w:name w:val="Texto de comentário Char"/>
    <w:basedOn w:val="Fontepargpadro"/>
    <w:link w:val="Textodecomentrio"/>
    <w:uiPriority w:val="99"/>
    <w:semiHidden/>
    <w:rsid w:val="00117F73"/>
    <w:rPr>
      <w:rFonts w:ascii="Arial" w:hAnsi="Arial"/>
      <w:sz w:val="20"/>
      <w:szCs w:val="20"/>
    </w:rPr>
  </w:style>
  <w:style w:type="character" w:styleId="Refdecomentrio">
    <w:name w:val="annotation reference"/>
    <w:basedOn w:val="Fontepargpadro"/>
    <w:uiPriority w:val="99"/>
    <w:semiHidden/>
    <w:unhideWhenUsed/>
    <w:rsid w:val="00117F73"/>
    <w:rPr>
      <w:sz w:val="16"/>
      <w:szCs w:val="16"/>
    </w:rPr>
  </w:style>
  <w:style w:type="numbering" w:customStyle="1" w:styleId="Listaatual1">
    <w:name w:val="Lista atual1"/>
    <w:uiPriority w:val="99"/>
    <w:rsid w:val="00117F73"/>
    <w:pPr>
      <w:numPr>
        <w:numId w:val="9"/>
      </w:numPr>
    </w:pPr>
  </w:style>
  <w:style w:type="numbering" w:customStyle="1" w:styleId="Listaatual2">
    <w:name w:val="Lista atual2"/>
    <w:uiPriority w:val="99"/>
    <w:rsid w:val="00117F73"/>
    <w:pPr>
      <w:numPr>
        <w:numId w:val="10"/>
      </w:numPr>
    </w:pPr>
  </w:style>
  <w:style w:type="numbering" w:customStyle="1" w:styleId="Listaatual3">
    <w:name w:val="Lista atual3"/>
    <w:uiPriority w:val="99"/>
    <w:rsid w:val="00117F73"/>
    <w:pPr>
      <w:numPr>
        <w:numId w:val="11"/>
      </w:numPr>
    </w:pPr>
  </w:style>
  <w:style w:type="numbering" w:customStyle="1" w:styleId="Listaatual4">
    <w:name w:val="Lista atual4"/>
    <w:uiPriority w:val="99"/>
    <w:rsid w:val="00117F73"/>
    <w:pPr>
      <w:numPr>
        <w:numId w:val="12"/>
      </w:numPr>
    </w:pPr>
  </w:style>
  <w:style w:type="paragraph" w:styleId="Assuntodocomentrio">
    <w:name w:val="annotation subject"/>
    <w:basedOn w:val="Textodecomentrio"/>
    <w:next w:val="Textodecomentrio"/>
    <w:link w:val="AssuntodocomentrioChar"/>
    <w:uiPriority w:val="99"/>
    <w:semiHidden/>
    <w:unhideWhenUsed/>
    <w:rsid w:val="00117F73"/>
    <w:rPr>
      <w:b/>
      <w:bCs/>
    </w:rPr>
  </w:style>
  <w:style w:type="character" w:customStyle="1" w:styleId="AssuntodocomentrioChar">
    <w:name w:val="Assunto do comentário Char"/>
    <w:basedOn w:val="TextodecomentrioChar"/>
    <w:link w:val="Assuntodocomentrio"/>
    <w:uiPriority w:val="99"/>
    <w:semiHidden/>
    <w:rsid w:val="00117F73"/>
    <w:rPr>
      <w:rFonts w:ascii="Arial" w:hAnsi="Arial"/>
      <w:b/>
      <w:bCs/>
      <w:sz w:val="20"/>
      <w:szCs w:val="20"/>
    </w:rPr>
  </w:style>
  <w:style w:type="numbering" w:customStyle="1" w:styleId="Listaatual5">
    <w:name w:val="Lista atual5"/>
    <w:uiPriority w:val="99"/>
    <w:rsid w:val="00117F73"/>
    <w:pPr>
      <w:numPr>
        <w:numId w:val="15"/>
      </w:numPr>
    </w:pPr>
  </w:style>
  <w:style w:type="numbering" w:customStyle="1" w:styleId="Listaatual6">
    <w:name w:val="Lista atual6"/>
    <w:uiPriority w:val="99"/>
    <w:rsid w:val="00117F73"/>
    <w:pPr>
      <w:numPr>
        <w:numId w:val="16"/>
      </w:numPr>
    </w:pPr>
  </w:style>
  <w:style w:type="table" w:customStyle="1" w:styleId="TableNormal1">
    <w:name w:val="Table Normal1"/>
    <w:rsid w:val="00117F73"/>
    <w:tblPr>
      <w:tblCellMar>
        <w:top w:w="0" w:type="dxa"/>
        <w:left w:w="0" w:type="dxa"/>
        <w:bottom w:w="0" w:type="dxa"/>
        <w:right w:w="0" w:type="dxa"/>
      </w:tblCellMar>
    </w:tblPr>
  </w:style>
  <w:style w:type="table" w:customStyle="1" w:styleId="TableNormal2">
    <w:name w:val="Table Normal2"/>
    <w:rsid w:val="00117F73"/>
    <w:tblPr>
      <w:tblCellMar>
        <w:top w:w="0" w:type="dxa"/>
        <w:left w:w="0" w:type="dxa"/>
        <w:bottom w:w="0" w:type="dxa"/>
        <w:right w:w="0" w:type="dxa"/>
      </w:tblCellMar>
    </w:tblPr>
  </w:style>
  <w:style w:type="numbering" w:customStyle="1" w:styleId="Listaatual7">
    <w:name w:val="Lista atual7"/>
    <w:uiPriority w:val="99"/>
    <w:rsid w:val="003D2E29"/>
    <w:pPr>
      <w:numPr>
        <w:numId w:val="29"/>
      </w:numPr>
    </w:pPr>
  </w:style>
  <w:style w:type="numbering" w:customStyle="1" w:styleId="Listaatual8">
    <w:name w:val="Lista atual8"/>
    <w:uiPriority w:val="99"/>
    <w:rsid w:val="003D2E29"/>
    <w:pPr>
      <w:numPr>
        <w:numId w:val="30"/>
      </w:numPr>
    </w:pPr>
  </w:style>
  <w:style w:type="character" w:styleId="Hyperlink">
    <w:name w:val="Hyperlink"/>
    <w:basedOn w:val="Fontepargpadro"/>
    <w:uiPriority w:val="99"/>
    <w:unhideWhenUsed/>
    <w:rsid w:val="005F7EDC"/>
    <w:rPr>
      <w:color w:val="0000FF"/>
      <w:u w:val="single"/>
    </w:rPr>
  </w:style>
  <w:style w:type="table" w:styleId="Tabelacomgrade">
    <w:name w:val="Table Grid"/>
    <w:basedOn w:val="Tabelanormal"/>
    <w:uiPriority w:val="39"/>
    <w:rsid w:val="00640F3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qFormat/>
    <w:rsid w:val="000406A9"/>
    <w:pPr>
      <w:suppressAutoHyphens/>
      <w:spacing w:before="0" w:after="0" w:line="240" w:lineRule="auto"/>
      <w:textAlignment w:val="auto"/>
    </w:pPr>
    <w:rPr>
      <w:rFonts w:ascii="Times New Roman" w:hAnsi="Times New Roman" w:cs="Times New Roman"/>
      <w:color w:val="auto"/>
      <w:sz w:val="28"/>
      <w:lang w:eastAsia="ar-SA"/>
    </w:rPr>
  </w:style>
  <w:style w:type="character" w:customStyle="1" w:styleId="CorpodetextoChar">
    <w:name w:val="Corpo de texto Char"/>
    <w:basedOn w:val="Fontepargpadro"/>
    <w:link w:val="Corpodetexto"/>
    <w:uiPriority w:val="99"/>
    <w:rsid w:val="000406A9"/>
    <w:rPr>
      <w:rFonts w:ascii="Times New Roman" w:eastAsia="Times New Roman" w:hAnsi="Times New Roman"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35504">
      <w:bodyDiv w:val="1"/>
      <w:marLeft w:val="0"/>
      <w:marRight w:val="0"/>
      <w:marTop w:val="0"/>
      <w:marBottom w:val="0"/>
      <w:divBdr>
        <w:top w:val="none" w:sz="0" w:space="0" w:color="auto"/>
        <w:left w:val="none" w:sz="0" w:space="0" w:color="auto"/>
        <w:bottom w:val="none" w:sz="0" w:space="0" w:color="auto"/>
        <w:right w:val="none" w:sz="0" w:space="0" w:color="auto"/>
      </w:divBdr>
    </w:div>
    <w:div w:id="313802014">
      <w:bodyDiv w:val="1"/>
      <w:marLeft w:val="0"/>
      <w:marRight w:val="0"/>
      <w:marTop w:val="0"/>
      <w:marBottom w:val="0"/>
      <w:divBdr>
        <w:top w:val="none" w:sz="0" w:space="0" w:color="auto"/>
        <w:left w:val="none" w:sz="0" w:space="0" w:color="auto"/>
        <w:bottom w:val="none" w:sz="0" w:space="0" w:color="auto"/>
        <w:right w:val="none" w:sz="0" w:space="0" w:color="auto"/>
      </w:divBdr>
    </w:div>
    <w:div w:id="459811780">
      <w:bodyDiv w:val="1"/>
      <w:marLeft w:val="0"/>
      <w:marRight w:val="0"/>
      <w:marTop w:val="0"/>
      <w:marBottom w:val="0"/>
      <w:divBdr>
        <w:top w:val="none" w:sz="0" w:space="0" w:color="auto"/>
        <w:left w:val="none" w:sz="0" w:space="0" w:color="auto"/>
        <w:bottom w:val="none" w:sz="0" w:space="0" w:color="auto"/>
        <w:right w:val="none" w:sz="0" w:space="0" w:color="auto"/>
      </w:divBdr>
    </w:div>
    <w:div w:id="750007042">
      <w:bodyDiv w:val="1"/>
      <w:marLeft w:val="0"/>
      <w:marRight w:val="0"/>
      <w:marTop w:val="0"/>
      <w:marBottom w:val="0"/>
      <w:divBdr>
        <w:top w:val="none" w:sz="0" w:space="0" w:color="auto"/>
        <w:left w:val="none" w:sz="0" w:space="0" w:color="auto"/>
        <w:bottom w:val="none" w:sz="0" w:space="0" w:color="auto"/>
        <w:right w:val="none" w:sz="0" w:space="0" w:color="auto"/>
      </w:divBdr>
    </w:div>
    <w:div w:id="1166700639">
      <w:bodyDiv w:val="1"/>
      <w:marLeft w:val="0"/>
      <w:marRight w:val="0"/>
      <w:marTop w:val="0"/>
      <w:marBottom w:val="0"/>
      <w:divBdr>
        <w:top w:val="none" w:sz="0" w:space="0" w:color="auto"/>
        <w:left w:val="none" w:sz="0" w:space="0" w:color="auto"/>
        <w:bottom w:val="none" w:sz="0" w:space="0" w:color="auto"/>
        <w:right w:val="none" w:sz="0" w:space="0" w:color="auto"/>
      </w:divBdr>
    </w:div>
    <w:div w:id="1290168866">
      <w:bodyDiv w:val="1"/>
      <w:marLeft w:val="0"/>
      <w:marRight w:val="0"/>
      <w:marTop w:val="0"/>
      <w:marBottom w:val="0"/>
      <w:divBdr>
        <w:top w:val="none" w:sz="0" w:space="0" w:color="auto"/>
        <w:left w:val="none" w:sz="0" w:space="0" w:color="auto"/>
        <w:bottom w:val="none" w:sz="0" w:space="0" w:color="auto"/>
        <w:right w:val="none" w:sz="0" w:space="0" w:color="auto"/>
      </w:divBdr>
    </w:div>
    <w:div w:id="1293168304">
      <w:bodyDiv w:val="1"/>
      <w:marLeft w:val="0"/>
      <w:marRight w:val="0"/>
      <w:marTop w:val="0"/>
      <w:marBottom w:val="0"/>
      <w:divBdr>
        <w:top w:val="none" w:sz="0" w:space="0" w:color="auto"/>
        <w:left w:val="none" w:sz="0" w:space="0" w:color="auto"/>
        <w:bottom w:val="none" w:sz="0" w:space="0" w:color="auto"/>
        <w:right w:val="none" w:sz="0" w:space="0" w:color="auto"/>
      </w:divBdr>
    </w:div>
    <w:div w:id="1336035222">
      <w:bodyDiv w:val="1"/>
      <w:marLeft w:val="0"/>
      <w:marRight w:val="0"/>
      <w:marTop w:val="0"/>
      <w:marBottom w:val="0"/>
      <w:divBdr>
        <w:top w:val="none" w:sz="0" w:space="0" w:color="auto"/>
        <w:left w:val="none" w:sz="0" w:space="0" w:color="auto"/>
        <w:bottom w:val="none" w:sz="0" w:space="0" w:color="auto"/>
        <w:right w:val="none" w:sz="0" w:space="0" w:color="auto"/>
      </w:divBdr>
    </w:div>
    <w:div w:id="1439525148">
      <w:bodyDiv w:val="1"/>
      <w:marLeft w:val="0"/>
      <w:marRight w:val="0"/>
      <w:marTop w:val="0"/>
      <w:marBottom w:val="0"/>
      <w:divBdr>
        <w:top w:val="none" w:sz="0" w:space="0" w:color="auto"/>
        <w:left w:val="none" w:sz="0" w:space="0" w:color="auto"/>
        <w:bottom w:val="none" w:sz="0" w:space="0" w:color="auto"/>
        <w:right w:val="none" w:sz="0" w:space="0" w:color="auto"/>
      </w:divBdr>
    </w:div>
    <w:div w:id="1462578073">
      <w:bodyDiv w:val="1"/>
      <w:marLeft w:val="0"/>
      <w:marRight w:val="0"/>
      <w:marTop w:val="0"/>
      <w:marBottom w:val="0"/>
      <w:divBdr>
        <w:top w:val="none" w:sz="0" w:space="0" w:color="auto"/>
        <w:left w:val="none" w:sz="0" w:space="0" w:color="auto"/>
        <w:bottom w:val="none" w:sz="0" w:space="0" w:color="auto"/>
        <w:right w:val="none" w:sz="0" w:space="0" w:color="auto"/>
      </w:divBdr>
    </w:div>
    <w:div w:id="1919554045">
      <w:bodyDiv w:val="1"/>
      <w:marLeft w:val="0"/>
      <w:marRight w:val="0"/>
      <w:marTop w:val="0"/>
      <w:marBottom w:val="0"/>
      <w:divBdr>
        <w:top w:val="none" w:sz="0" w:space="0" w:color="auto"/>
        <w:left w:val="none" w:sz="0" w:space="0" w:color="auto"/>
        <w:bottom w:val="none" w:sz="0" w:space="0" w:color="auto"/>
        <w:right w:val="none" w:sz="0" w:space="0" w:color="auto"/>
      </w:divBdr>
    </w:div>
    <w:div w:id="1943759611">
      <w:bodyDiv w:val="1"/>
      <w:marLeft w:val="0"/>
      <w:marRight w:val="0"/>
      <w:marTop w:val="0"/>
      <w:marBottom w:val="0"/>
      <w:divBdr>
        <w:top w:val="none" w:sz="0" w:space="0" w:color="auto"/>
        <w:left w:val="none" w:sz="0" w:space="0" w:color="auto"/>
        <w:bottom w:val="none" w:sz="0" w:space="0" w:color="auto"/>
        <w:right w:val="none" w:sz="0" w:space="0" w:color="auto"/>
      </w:divBdr>
    </w:div>
    <w:div w:id="213236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mpZ8oYR8Cfoj+ROBFLZs7ZTjKA==">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9650</Words>
  <Characters>52113</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claudiana aparecida</dc:creator>
  <cp:keywords/>
  <dc:description/>
  <cp:lastModifiedBy>Fabio Afonso Souza Borges</cp:lastModifiedBy>
  <cp:revision>2</cp:revision>
  <cp:lastPrinted>2026-04-07T17:54:00Z</cp:lastPrinted>
  <dcterms:created xsi:type="dcterms:W3CDTF">2026-05-12T12:40:00Z</dcterms:created>
  <dcterms:modified xsi:type="dcterms:W3CDTF">2026-05-12T12:40:00Z</dcterms:modified>
</cp:coreProperties>
</file>