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B17D91" w14:textId="77777777" w:rsidR="00CF2C97" w:rsidRDefault="00CF2C97">
      <w:pPr>
        <w:suppressAutoHyphens w:val="0"/>
      </w:pPr>
    </w:p>
    <w:p w14:paraId="2E2AEF0E" w14:textId="77777777" w:rsidR="00CF2C97" w:rsidRDefault="00E072BA">
      <w:pPr>
        <w:pStyle w:val="Standard"/>
        <w:spacing w:after="0" w:line="360" w:lineRule="auto"/>
        <w:ind w:left="0" w:right="0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3DC7563" wp14:editId="5B902364">
            <wp:simplePos x="0" y="0"/>
            <wp:positionH relativeFrom="column">
              <wp:posOffset>2760482</wp:posOffset>
            </wp:positionH>
            <wp:positionV relativeFrom="paragraph">
              <wp:posOffset>143999</wp:posOffset>
            </wp:positionV>
            <wp:extent cx="541077" cy="499683"/>
            <wp:effectExtent l="0" t="0" r="0" b="0"/>
            <wp:wrapTight wrapText="bothSides">
              <wp:wrapPolygon edited="0">
                <wp:start x="0" y="0"/>
                <wp:lineTo x="0" y="20611"/>
                <wp:lineTo x="20535" y="20611"/>
                <wp:lineTo x="20535" y="0"/>
                <wp:lineTo x="0" y="0"/>
              </wp:wrapPolygon>
            </wp:wrapTight>
            <wp:docPr id="1287980428" name="drawingObject13" descr="Desenho de personagem de desenhos animados com texto preto sobre fundo branco&#10;&#10;Descrição gerada automaticamente com confiança médi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1077" cy="49968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4021BB96" w14:textId="77777777" w:rsidR="00CF2C97" w:rsidRDefault="00CF2C97">
      <w:pPr>
        <w:spacing w:line="336" w:lineRule="auto"/>
        <w:ind w:left="2728" w:right="2738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14:paraId="6926389D" w14:textId="77777777" w:rsidR="00CF2C97" w:rsidRDefault="00CF2C97">
      <w:pPr>
        <w:spacing w:line="336" w:lineRule="auto"/>
        <w:ind w:left="2728" w:right="2738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14:paraId="7A56D80B" w14:textId="77777777" w:rsidR="00CF2C97" w:rsidRDefault="00CF2C97">
      <w:pPr>
        <w:spacing w:line="336" w:lineRule="auto"/>
        <w:ind w:left="2728" w:right="2738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14:paraId="70AB053F" w14:textId="77777777" w:rsidR="00CF2C97" w:rsidRDefault="00E072BA">
      <w:pPr>
        <w:spacing w:line="336" w:lineRule="auto"/>
        <w:ind w:left="2268" w:right="1796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MINISTÉRIO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PÚBL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CO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DA</w:t>
      </w:r>
      <w:r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</w:rPr>
        <w:t xml:space="preserve"> U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NIÃO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NIST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É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PÚBLI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 DO TRABALHO</w:t>
      </w:r>
    </w:p>
    <w:p w14:paraId="6BF5276A" w14:textId="77777777" w:rsidR="00CF2C97" w:rsidRDefault="00E072BA">
      <w:pPr>
        <w:spacing w:line="336" w:lineRule="auto"/>
        <w:ind w:left="2268" w:right="1655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urado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ia Regional do Trabalho da 3ª Região</w:t>
      </w:r>
    </w:p>
    <w:p w14:paraId="36F5EC25" w14:textId="77777777" w:rsidR="00CF2C97" w:rsidRDefault="00CF2C97">
      <w:pPr>
        <w:spacing w:line="336" w:lineRule="auto"/>
        <w:ind w:left="2268" w:right="1796"/>
        <w:jc w:val="center"/>
      </w:pPr>
    </w:p>
    <w:p w14:paraId="13710ACE" w14:textId="77777777" w:rsidR="00CF2C97" w:rsidRDefault="00CF2C97">
      <w:pPr>
        <w:pStyle w:val="Standard"/>
        <w:spacing w:after="0" w:line="360" w:lineRule="auto"/>
        <w:ind w:left="0" w:right="0" w:firstLine="0"/>
        <w:rPr>
          <w:rFonts w:ascii="Times New Roman" w:hAnsi="Times New Roman" w:cs="Times New Roman"/>
          <w:szCs w:val="24"/>
        </w:rPr>
      </w:pPr>
    </w:p>
    <w:p w14:paraId="72B83FA0" w14:textId="77777777" w:rsidR="00CF2C97" w:rsidRDefault="00E072BA">
      <w:pPr>
        <w:spacing w:line="360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TERMO DE REFERÊNCIA</w:t>
      </w:r>
    </w:p>
    <w:p w14:paraId="216DBF35" w14:textId="77777777" w:rsidR="00CF2C97" w:rsidRDefault="00CF2C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A4D2541" w14:textId="77777777" w:rsidR="00CF2C97" w:rsidRDefault="00E072BA">
      <w:pPr>
        <w:spacing w:line="360" w:lineRule="auto"/>
      </w:pPr>
      <w:r>
        <w:rPr>
          <w:rFonts w:ascii="Times New Roman" w:hAnsi="Times New Roman" w:cs="Times New Roman"/>
          <w:b/>
          <w:sz w:val="24"/>
          <w:szCs w:val="24"/>
        </w:rPr>
        <w:t xml:space="preserve">1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– DEFINIÇÃO DO OBJETO</w:t>
      </w:r>
    </w:p>
    <w:p w14:paraId="4C9AEFA7" w14:textId="77777777" w:rsidR="00CF2C97" w:rsidRDefault="00CF2C9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EE8A69E" w14:textId="77777777" w:rsidR="00CF2C97" w:rsidRDefault="00E072BA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1.1 Contratação de empresa especializada em serviços de manutenção preventiva e corretiva para os sistemas de Combate a Incêndio do Edifício Sede da Procuradoria Regional do Trabalho da 3ª Região (PRT3), com fornecimento de peças, compreendendo o seguinte item: teste de mangueiras.</w:t>
      </w:r>
    </w:p>
    <w:p w14:paraId="6E4CEA24" w14:textId="77777777" w:rsidR="00CF2C97" w:rsidRDefault="00CF2C97">
      <w:pPr>
        <w:pStyle w:val="PargrafodaLista"/>
        <w:widowControl w:val="0"/>
        <w:suppressAutoHyphens/>
        <w:autoSpaceDE w:val="0"/>
        <w:spacing w:line="360" w:lineRule="auto"/>
        <w:jc w:val="both"/>
        <w:textAlignment w:val="baseline"/>
        <w:rPr>
          <w:rFonts w:ascii="Times New Roman" w:hAnsi="Times New Roman" w:cs="Times New Roman"/>
          <w:b/>
          <w:bCs/>
        </w:rPr>
      </w:pPr>
    </w:p>
    <w:p w14:paraId="17BF52E7" w14:textId="77777777" w:rsidR="00CF2C97" w:rsidRDefault="00E072B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– FUNDAMENTAÇÃO DA CONTRATAÇÃO</w:t>
      </w:r>
    </w:p>
    <w:p w14:paraId="21DC2A15" w14:textId="77777777" w:rsidR="00CF2C97" w:rsidRDefault="00CF2C9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6472A05" w14:textId="77777777" w:rsidR="00CF2C97" w:rsidRDefault="00E072BA">
      <w:pPr>
        <w:spacing w:line="360" w:lineRule="auto"/>
        <w:jc w:val="both"/>
      </w:pPr>
      <w:r>
        <w:t>2.1 Considerando a obrigação da PRT3 de garantir a segurança dos membros, servidores, terceirizados e do público em geral, bem como de preservar o patrimônio público, o serviço de manutenção descrito torna-se essencial para manter os equipamentos em pleno estado de funcionamento, aptos ao combate de princípios de incêndio de forma eficaz e segura. Além disso, é necessária a obtenção do AVCB (Auto de Vistoria do Corpo de Bombeiros) emitido pelo Corpo de Bombeiros Militar de Minas Gerais, uma medida urgente para o regular funcionamento do prédio. Dessa forma, é imprescindível que as mangueiras estejam em condições ideais de uso, o que demanda manutenção anual ordinária e extraordinária em casos de avarias imprevistas.</w:t>
      </w:r>
    </w:p>
    <w:p w14:paraId="4323B2BF" w14:textId="77777777" w:rsidR="00CF2C97" w:rsidRDefault="00E072BA">
      <w:pPr>
        <w:pStyle w:val="PargrafodaLista"/>
        <w:numPr>
          <w:ilvl w:val="1"/>
          <w:numId w:val="21"/>
        </w:numPr>
        <w:spacing w:line="360" w:lineRule="auto"/>
        <w:ind w:left="0" w:firstLine="0"/>
        <w:jc w:val="both"/>
        <w:rPr>
          <w:rFonts w:ascii="Calibri" w:eastAsia="Segoe UI" w:hAnsi="Calibri" w:cs="Tahoma"/>
          <w:sz w:val="22"/>
          <w:szCs w:val="22"/>
        </w:rPr>
      </w:pPr>
      <w:r>
        <w:rPr>
          <w:rFonts w:ascii="Calibri" w:eastAsia="Segoe UI" w:hAnsi="Calibri" w:cs="Tahoma"/>
          <w:sz w:val="22"/>
          <w:szCs w:val="22"/>
        </w:rPr>
        <w:t>Por fim, considerando que a PRT3 não dispõe de servidores ou equipe com qualificação suficiente para realizar o referido serviço, faz-se necessária a contratação de uma empresa especializada, em observância ao Princípio da Eficiência, conforme o caput do artigo 37 da Constituição Federal.</w:t>
      </w:r>
    </w:p>
    <w:p w14:paraId="4B8D1451" w14:textId="77777777" w:rsidR="00CF2C97" w:rsidRDefault="00CF2C97">
      <w:pPr>
        <w:autoSpaceDE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513379" w14:textId="77777777" w:rsidR="00CF2C97" w:rsidRDefault="00E072BA">
      <w:pPr>
        <w:pStyle w:val="PargrafodaLista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– DESCRIÇÃO DA SOLUÇÃO COMO UM TODO</w:t>
      </w:r>
    </w:p>
    <w:p w14:paraId="0C30B72D" w14:textId="77777777" w:rsidR="00CF2C97" w:rsidRDefault="00CF2C97">
      <w:pPr>
        <w:pStyle w:val="PargrafodaLista"/>
        <w:spacing w:line="360" w:lineRule="auto"/>
        <w:ind w:left="360"/>
        <w:rPr>
          <w:rFonts w:ascii="Times New Roman" w:hAnsi="Times New Roman" w:cs="Times New Roman"/>
          <w:b/>
          <w:bCs/>
        </w:rPr>
      </w:pPr>
    </w:p>
    <w:p w14:paraId="43EFE388" w14:textId="77777777" w:rsidR="00CF2C97" w:rsidRDefault="00E072BA">
      <w:pPr>
        <w:autoSpaceDE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 Detalhamento do objeto:</w:t>
      </w:r>
    </w:p>
    <w:tbl>
      <w:tblPr>
        <w:tblW w:w="850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2693"/>
        <w:gridCol w:w="2127"/>
        <w:gridCol w:w="1842"/>
      </w:tblGrid>
      <w:tr w:rsidR="00CF2C97" w14:paraId="6D46BFF2" w14:textId="77777777" w:rsidTr="008F391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E5A1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F8BC5C" w14:textId="77777777" w:rsidR="00CF2C97" w:rsidRPr="008F391E" w:rsidRDefault="00E072BA">
            <w:pPr>
              <w:autoSpaceDE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39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E5A1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5EFB1A" w14:textId="77777777" w:rsidR="00CF2C97" w:rsidRPr="008F391E" w:rsidRDefault="00E072BA">
            <w:pPr>
              <w:autoSpaceDE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39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E5A1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D3DA95" w14:textId="77777777" w:rsidR="00CF2C97" w:rsidRPr="008F391E" w:rsidRDefault="00E072BA">
            <w:pPr>
              <w:autoSpaceDE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39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Quantidade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E5A1" w:themeFill="accent6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753A34" w14:textId="77777777" w:rsidR="00CF2C97" w:rsidRPr="008F391E" w:rsidRDefault="00E072BA">
            <w:pPr>
              <w:autoSpaceDE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39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Preço Unitário</w:t>
            </w:r>
          </w:p>
        </w:tc>
      </w:tr>
      <w:tr w:rsidR="00CF2C97" w14:paraId="708CE9D1" w14:textId="77777777" w:rsidTr="008F391E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3E85B3" w14:textId="77777777" w:rsidR="00CF2C97" w:rsidRDefault="00E072BA">
            <w:pPr>
              <w:autoSpaceDE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9BF553" w14:textId="25A18917" w:rsidR="00CF2C97" w:rsidRDefault="00E072BA" w:rsidP="00E072BA">
            <w:pPr>
              <w:autoSpaceDE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Manutenção Preventiva e Corretiva de MANGUEIRAS</w:t>
            </w:r>
            <w:r w:rsidRPr="00E072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E072BA">
              <w:rPr>
                <w:rFonts w:ascii="Times New Roman" w:hAnsi="Times New Roman" w:cs="Times New Roman"/>
                <w:sz w:val="24"/>
                <w:szCs w:val="24"/>
              </w:rPr>
              <w:t>38mm, com comprimento de 30 metros (2x15m)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E072BA">
              <w:rPr>
                <w:rFonts w:ascii="Times New Roman" w:hAnsi="Times New Roman" w:cs="Times New Roman"/>
                <w:sz w:val="24"/>
                <w:szCs w:val="24"/>
              </w:rPr>
              <w:t xml:space="preserve"> edificação possui tubulação em ferro galvanizado e Hidrantes do tipo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1F4E11" w14:textId="73DBA4BD" w:rsidR="00CF2C97" w:rsidRDefault="00E072BA">
            <w:pPr>
              <w:autoSpaceDE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270758">
              <w:rPr>
                <w:rFonts w:ascii="Times New Roman" w:hAnsi="Times New Roman" w:cs="Times New Roman"/>
                <w:sz w:val="24"/>
                <w:szCs w:val="24"/>
              </w:rPr>
              <w:t xml:space="preserve"> x 2 = 44</w:t>
            </w:r>
            <w:r w:rsidR="00E148F3">
              <w:rPr>
                <w:rFonts w:ascii="Times New Roman" w:hAnsi="Times New Roman" w:cs="Times New Roman"/>
                <w:sz w:val="24"/>
                <w:szCs w:val="24"/>
              </w:rPr>
              <w:t xml:space="preserve"> mangueiras de 15 metros.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5029EA5" w14:textId="5BFE2F4A" w:rsidR="00CF2C97" w:rsidRDefault="008F391E">
            <w:pPr>
              <w:autoSpaceDE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RS </w:t>
            </w:r>
            <w:r w:rsidRPr="008F39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F391E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CF2C97" w14:paraId="2D6E8130" w14:textId="77777777" w:rsidTr="008F391E">
        <w:tc>
          <w:tcPr>
            <w:tcW w:w="66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E5A1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F2FADF" w14:textId="77777777" w:rsidR="00CF2C97" w:rsidRPr="008F391E" w:rsidRDefault="00E072BA">
            <w:pPr>
              <w:autoSpaceDE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39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Preço total do Serviço de Manutenção Corretiva e Preventiva: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E5A1" w:themeFill="accent6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8F3845" w14:textId="7EB954A4" w:rsidR="00CF2C97" w:rsidRPr="008F391E" w:rsidRDefault="008F391E">
            <w:pPr>
              <w:autoSpaceDE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39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R$ 440,00</w:t>
            </w:r>
          </w:p>
        </w:tc>
      </w:tr>
    </w:tbl>
    <w:p w14:paraId="035EEB47" w14:textId="77777777" w:rsidR="00CF2C97" w:rsidRDefault="00E072BA">
      <w:pPr>
        <w:autoSpaceDE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91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60"/>
        <w:gridCol w:w="3060"/>
        <w:gridCol w:w="3060"/>
      </w:tblGrid>
      <w:tr w:rsidR="00CF2C97" w14:paraId="6DC9085E" w14:textId="77777777" w:rsidTr="002818F2"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E5A1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74B84A" w14:textId="77777777" w:rsidR="00CF2C97" w:rsidRPr="002818F2" w:rsidRDefault="00E072BA" w:rsidP="008F391E">
            <w:pPr>
              <w:autoSpaceDE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18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 - ITEM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E5A1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CEE33E" w14:textId="326E7852" w:rsidR="00CF2C97" w:rsidRPr="002818F2" w:rsidRDefault="00C95929" w:rsidP="008F391E">
            <w:pPr>
              <w:autoSpaceDE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18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Quantidade</w:t>
            </w:r>
            <w:r w:rsidR="008F391E" w:rsidRPr="002818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Total Existente no Prédio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E5A1" w:themeFill="accent6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F0C52C" w14:textId="1E3369BB" w:rsidR="00CF2C97" w:rsidRPr="002818F2" w:rsidRDefault="00E072BA" w:rsidP="008F391E">
            <w:pPr>
              <w:autoSpaceDE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18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Preço </w:t>
            </w:r>
            <w:r w:rsidR="008F391E" w:rsidRPr="002818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Unitário da </w:t>
            </w:r>
            <w:r w:rsidRPr="002818F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Peça</w:t>
            </w:r>
          </w:p>
        </w:tc>
      </w:tr>
      <w:tr w:rsidR="00CF2C97" w14:paraId="17F0C345" w14:textId="77777777" w:rsidTr="002818F2"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2E0C1" w14:textId="71D218CB" w:rsidR="00CF2C97" w:rsidRDefault="00E072BA" w:rsidP="002818F2">
            <w:pPr>
              <w:autoSpaceDE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7C2DE9">
              <w:rPr>
                <w:rFonts w:ascii="Times New Roman" w:hAnsi="Times New Roman" w:cs="Times New Roman"/>
                <w:sz w:val="24"/>
                <w:szCs w:val="24"/>
              </w:rPr>
              <w:t xml:space="preserve"> - MANGUEIRAS</w:t>
            </w:r>
            <w:r w:rsidR="007C2DE9" w:rsidRPr="00E072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2DE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7C2DE9" w:rsidRPr="00E072BA">
              <w:rPr>
                <w:rFonts w:ascii="Times New Roman" w:hAnsi="Times New Roman" w:cs="Times New Roman"/>
                <w:sz w:val="24"/>
                <w:szCs w:val="24"/>
              </w:rPr>
              <w:t xml:space="preserve">38mm, com comprimento de </w:t>
            </w:r>
            <w:r w:rsidR="00C9592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7C2DE9" w:rsidRPr="00E072BA">
              <w:rPr>
                <w:rFonts w:ascii="Times New Roman" w:hAnsi="Times New Roman" w:cs="Times New Roman"/>
                <w:sz w:val="24"/>
                <w:szCs w:val="24"/>
              </w:rPr>
              <w:t xml:space="preserve"> metros</w:t>
            </w:r>
            <w:r w:rsidR="00C9592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852774" w14:textId="362C8BEB" w:rsidR="00CF2C97" w:rsidRDefault="00F301D9" w:rsidP="002818F2">
            <w:pPr>
              <w:autoSpaceDE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44 </w:t>
            </w:r>
            <w:r w:rsidR="00B90556">
              <w:rPr>
                <w:rFonts w:ascii="Times New Roman" w:hAnsi="Times New Roman" w:cs="Times New Roman"/>
                <w:sz w:val="24"/>
                <w:szCs w:val="24"/>
              </w:rPr>
              <w:t>unidades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750BA" w14:textId="4BF7C63E" w:rsidR="00CF2C97" w:rsidRDefault="008F391E" w:rsidP="002818F2">
            <w:pPr>
              <w:autoSpaceDE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R$ 80,00</w:t>
            </w:r>
          </w:p>
        </w:tc>
      </w:tr>
      <w:tr w:rsidR="00CF2C97" w14:paraId="270D002A" w14:textId="77777777" w:rsidTr="002818F2"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7FDD6D" w14:textId="0AA4B427" w:rsidR="00CF2C97" w:rsidRDefault="00E072BA" w:rsidP="002818F2">
            <w:pPr>
              <w:autoSpaceDE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  <w:r w:rsidR="00F301D9">
              <w:rPr>
                <w:rFonts w:ascii="Times New Roman" w:hAnsi="Times New Roman" w:cs="Times New Roman"/>
                <w:sz w:val="24"/>
                <w:szCs w:val="24"/>
              </w:rPr>
              <w:t xml:space="preserve"> – Conexões entre as mangueiras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5E4A47" w14:textId="7FCEC0EF" w:rsidR="00CF2C97" w:rsidRDefault="00B90556" w:rsidP="002818F2">
            <w:pPr>
              <w:autoSpaceDE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 unidades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548206" w14:textId="5FCCB547" w:rsidR="00CF2C97" w:rsidRDefault="008F391E" w:rsidP="002818F2">
            <w:pPr>
              <w:autoSpaceDE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R$ 50,00</w:t>
            </w:r>
          </w:p>
        </w:tc>
      </w:tr>
      <w:tr w:rsidR="00CF2C97" w14:paraId="15296C0A" w14:textId="77777777" w:rsidTr="002818F2">
        <w:trPr>
          <w:trHeight w:val="5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CC18E2" w14:textId="0D26809D" w:rsidR="00CF2C97" w:rsidRDefault="00E072BA" w:rsidP="002818F2">
            <w:pPr>
              <w:autoSpaceDE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  <w:r w:rsidR="00B90556">
              <w:rPr>
                <w:rFonts w:ascii="Times New Roman" w:hAnsi="Times New Roman" w:cs="Times New Roman"/>
                <w:sz w:val="24"/>
                <w:szCs w:val="24"/>
              </w:rPr>
              <w:t xml:space="preserve"> bicos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E376D6" w14:textId="236E582F" w:rsidR="00CF2C97" w:rsidRDefault="00B90556" w:rsidP="002818F2">
            <w:pPr>
              <w:autoSpaceDE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 unidades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52B654" w14:textId="7C90E9C6" w:rsidR="00CF2C97" w:rsidRDefault="008F391E" w:rsidP="002818F2">
            <w:pPr>
              <w:autoSpaceDE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R$ 15,00</w:t>
            </w:r>
          </w:p>
        </w:tc>
      </w:tr>
      <w:tr w:rsidR="00CF2C97" w14:paraId="44A9B4DD" w14:textId="77777777" w:rsidTr="002818F2"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2285F6" w14:textId="62925294" w:rsidR="00CF2C97" w:rsidRDefault="00E072BA" w:rsidP="002818F2">
            <w:pPr>
              <w:autoSpaceDE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  <w:r w:rsidR="00B90556">
              <w:rPr>
                <w:rFonts w:ascii="Times New Roman" w:hAnsi="Times New Roman" w:cs="Times New Roman"/>
                <w:sz w:val="24"/>
                <w:szCs w:val="24"/>
              </w:rPr>
              <w:t xml:space="preserve"> Chaves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A0F66" w14:textId="73C682BE" w:rsidR="00CF2C97" w:rsidRDefault="00B90556" w:rsidP="002818F2">
            <w:pPr>
              <w:autoSpaceDE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 unidades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AD9E95" w14:textId="51FF3FCA" w:rsidR="00CF2C97" w:rsidRDefault="002818F2" w:rsidP="002818F2">
            <w:pPr>
              <w:autoSpaceDE w:val="0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  <w:r w:rsidR="008F391E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</w:tr>
    </w:tbl>
    <w:p w14:paraId="3D8C49FE" w14:textId="1920B425" w:rsidR="00CF2C97" w:rsidRPr="002818F2" w:rsidRDefault="00E072BA">
      <w:pPr>
        <w:pStyle w:val="PargrafodaLista"/>
        <w:numPr>
          <w:ilvl w:val="0"/>
          <w:numId w:val="22"/>
        </w:numPr>
        <w:autoSpaceDE w:val="0"/>
        <w:spacing w:line="360" w:lineRule="auto"/>
        <w:jc w:val="both"/>
      </w:pPr>
      <w:r>
        <w:rPr>
          <w:rFonts w:ascii="Times New Roman" w:hAnsi="Times New Roman" w:cs="Times New Roman"/>
        </w:rPr>
        <w:t xml:space="preserve">Tabela com material comumente realizada na troca de manutenção, em caso de não haver na tabela acima será utilizado o critério </w:t>
      </w:r>
      <w:r>
        <w:rPr>
          <w:rFonts w:ascii="Times New Roman" w:hAnsi="Times New Roman" w:cs="Times New Roman"/>
          <w:b/>
          <w:bCs/>
        </w:rPr>
        <w:t>3.5 do Termo de Referência.</w:t>
      </w:r>
    </w:p>
    <w:p w14:paraId="0CB8A7C9" w14:textId="77777777" w:rsidR="002818F2" w:rsidRDefault="002818F2" w:rsidP="002818F2">
      <w:pPr>
        <w:pStyle w:val="PargrafodaLista"/>
        <w:autoSpaceDE w:val="0"/>
        <w:spacing w:line="360" w:lineRule="auto"/>
        <w:jc w:val="both"/>
      </w:pPr>
    </w:p>
    <w:p w14:paraId="665C6875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3.2. </w:t>
      </w:r>
      <w:r>
        <w:rPr>
          <w:rFonts w:ascii="Times New Roman" w:hAnsi="Times New Roman" w:cs="Times New Roman"/>
          <w:sz w:val="24"/>
          <w:szCs w:val="24"/>
        </w:rPr>
        <w:t>A manutenção preventiva destina-se a manter o sistema de combate a incêndio em condições normais de funcionamento, prevenindo a ocorrência de quaisquer problemas. Ela deverá ocorrer de acordo com o estipulado neste Termo de Referência ou conforme solicitado pelo fiscal do contrato, respeitando a periodicidade legalmente exigida para cada item ou equipamento.</w:t>
      </w:r>
    </w:p>
    <w:p w14:paraId="02203729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3.3. </w:t>
      </w:r>
      <w:r>
        <w:rPr>
          <w:rFonts w:ascii="Times New Roman" w:hAnsi="Times New Roman" w:cs="Times New Roman"/>
          <w:sz w:val="24"/>
          <w:szCs w:val="24"/>
        </w:rPr>
        <w:t>A manutenção corretiva dos sistemas e equipamentos consiste na ação imediata após a ocorrência de defeitos, desgaste de materiais e imprevistos, com o objetivo de corrigir esses problemas.</w:t>
      </w:r>
    </w:p>
    <w:p w14:paraId="28F0CD87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3.4. </w:t>
      </w:r>
      <w:r>
        <w:rPr>
          <w:rFonts w:ascii="Times New Roman" w:hAnsi="Times New Roman" w:cs="Times New Roman"/>
          <w:sz w:val="24"/>
          <w:szCs w:val="24"/>
        </w:rPr>
        <w:t xml:space="preserve">Para a realização das manutenções preventivas e corretivas do objeto descrito neste item, a contratada deverá fornecer mão de obra especializada, ferramentas, todos os materiais de </w:t>
      </w:r>
      <w:r>
        <w:rPr>
          <w:rFonts w:ascii="Times New Roman" w:hAnsi="Times New Roman" w:cs="Times New Roman"/>
          <w:sz w:val="24"/>
          <w:szCs w:val="24"/>
        </w:rPr>
        <w:lastRenderedPageBreak/>
        <w:t>consumo, bem como quaisquer peças e equipamentos necessários para a execução dos serviços, seguindo as especificações dos fabricantes, as recomendações do CBMMG, as Normas ABNT pertinentes ao objeto, o Decreto nº 897, de 21/09/1976 (Código de Segurança Contra Incêndio e Pânico) e demais legislações vigentes.</w:t>
      </w:r>
    </w:p>
    <w:p w14:paraId="39097F46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3.5. </w:t>
      </w:r>
      <w:r>
        <w:rPr>
          <w:rFonts w:ascii="Times New Roman" w:hAnsi="Times New Roman" w:cs="Times New Roman"/>
          <w:sz w:val="24"/>
          <w:szCs w:val="24"/>
        </w:rPr>
        <w:t>Caso algum material necessário para a manutenção não esteja disponível na planilha de material comum, a empresa deverá apresentar orçamento de material de qualidade comprovada. Com esse orçamento, será composto o custo do serviço, que será verificado quanto a sobrepreço em pesquisa no Banco de Preço Público ou outro meio de pesquisa valido.</w:t>
      </w:r>
    </w:p>
    <w:p w14:paraId="3C6478FF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3.6. </w:t>
      </w:r>
      <w:r>
        <w:rPr>
          <w:rFonts w:ascii="Times New Roman" w:hAnsi="Times New Roman" w:cs="Times New Roman"/>
          <w:sz w:val="24"/>
          <w:szCs w:val="24"/>
        </w:rPr>
        <w:t>Em seguida, será solicitada a autorização para a compra do material para reposição, conforme a disponibilidade orçamentária.</w:t>
      </w:r>
    </w:p>
    <w:p w14:paraId="75829CEF" w14:textId="77777777" w:rsidR="00CF2C97" w:rsidRPr="008F391E" w:rsidRDefault="00E072BA">
      <w:pPr>
        <w:autoSpaceDE w:val="0"/>
        <w:spacing w:line="360" w:lineRule="auto"/>
        <w:jc w:val="both"/>
        <w:rPr>
          <w:b/>
          <w:bCs/>
        </w:rPr>
      </w:pPr>
      <w:r w:rsidRPr="008F391E">
        <w:rPr>
          <w:rFonts w:ascii="Times New Roman" w:hAnsi="Times New Roman" w:cs="Times New Roman"/>
          <w:b/>
          <w:bCs/>
          <w:sz w:val="24"/>
          <w:szCs w:val="24"/>
        </w:rPr>
        <w:t xml:space="preserve">3.7. Em todas as hipóteses o serviço só será realizado com a autorização da Procuradoria Regional do trabalho. </w:t>
      </w:r>
    </w:p>
    <w:p w14:paraId="2ECB75E9" w14:textId="77777777" w:rsidR="00CF2C97" w:rsidRDefault="00CF2C97">
      <w:pPr>
        <w:autoSpaceDE w:val="0"/>
        <w:spacing w:line="360" w:lineRule="auto"/>
        <w:jc w:val="both"/>
      </w:pPr>
    </w:p>
    <w:p w14:paraId="4E773380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3.8.</w:t>
      </w:r>
      <w:r>
        <w:rPr>
          <w:rFonts w:ascii="Times New Roman" w:hAnsi="Times New Roman" w:cs="Times New Roman"/>
          <w:sz w:val="24"/>
          <w:szCs w:val="24"/>
        </w:rPr>
        <w:t xml:space="preserve"> MANGUEIRAS:</w:t>
      </w:r>
    </w:p>
    <w:p w14:paraId="4DFF96C2" w14:textId="5B23B5BE" w:rsidR="00CF2C97" w:rsidRDefault="00E072BA">
      <w:pPr>
        <w:autoSpaceDE w:val="0"/>
        <w:spacing w:line="360" w:lineRule="auto"/>
        <w:ind w:left="567"/>
        <w:jc w:val="both"/>
      </w:pPr>
      <w:r w:rsidRPr="33148B3D">
        <w:rPr>
          <w:rFonts w:ascii="Times New Roman" w:hAnsi="Times New Roman" w:cs="Times New Roman"/>
          <w:b/>
          <w:bCs/>
          <w:sz w:val="24"/>
          <w:szCs w:val="24"/>
        </w:rPr>
        <w:t>3.8.1.</w:t>
      </w:r>
      <w:r w:rsidRPr="33148B3D">
        <w:rPr>
          <w:rFonts w:ascii="Times New Roman" w:hAnsi="Times New Roman" w:cs="Times New Roman"/>
          <w:sz w:val="24"/>
          <w:szCs w:val="24"/>
        </w:rPr>
        <w:t xml:space="preserve"> Manutenção das mangueiras (válvulas, adaptadores, </w:t>
      </w:r>
      <w:r w:rsidR="0BDB01A7" w:rsidRPr="33148B3D">
        <w:rPr>
          <w:rFonts w:ascii="Times New Roman" w:hAnsi="Times New Roman" w:cs="Times New Roman"/>
          <w:sz w:val="24"/>
          <w:szCs w:val="24"/>
        </w:rPr>
        <w:t>mangueiras etc.</w:t>
      </w:r>
      <w:r w:rsidRPr="33148B3D">
        <w:rPr>
          <w:rFonts w:ascii="Times New Roman" w:hAnsi="Times New Roman" w:cs="Times New Roman"/>
          <w:sz w:val="24"/>
          <w:szCs w:val="24"/>
        </w:rPr>
        <w:t>) para verificação de possíveis vazamentos, substituindo todas as peças e componentes do sistema quando necessário, efetuando as adequações ao sistema.</w:t>
      </w:r>
    </w:p>
    <w:p w14:paraId="61476179" w14:textId="77777777" w:rsidR="00CF2C97" w:rsidRDefault="00E072BA">
      <w:pPr>
        <w:autoSpaceDE w:val="0"/>
        <w:spacing w:line="360" w:lineRule="auto"/>
        <w:ind w:left="567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3.8.2.</w:t>
      </w:r>
      <w:r>
        <w:rPr>
          <w:rFonts w:ascii="Times New Roman" w:hAnsi="Times New Roman" w:cs="Times New Roman"/>
          <w:sz w:val="24"/>
          <w:szCs w:val="24"/>
        </w:rPr>
        <w:t xml:space="preserve"> Demais verificações e reparos não elencados acima necessários ao perfeito funcionamento da rede das mangueiras. </w:t>
      </w:r>
    </w:p>
    <w:p w14:paraId="0A73465D" w14:textId="77777777" w:rsidR="00CF2C97" w:rsidRDefault="00E072BA">
      <w:pPr>
        <w:autoSpaceDE w:val="0"/>
        <w:spacing w:line="360" w:lineRule="auto"/>
        <w:ind w:left="567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3.8.3.</w:t>
      </w:r>
      <w:r>
        <w:rPr>
          <w:rFonts w:ascii="Times New Roman" w:hAnsi="Times New Roman" w:cs="Times New Roman"/>
          <w:sz w:val="24"/>
          <w:szCs w:val="24"/>
        </w:rPr>
        <w:t xml:space="preserve"> Emissão de laudo técnico e Certificado de Garantia e Responsabilidade após o término do serviço pelo período de 12 (doze) meses.</w:t>
      </w:r>
    </w:p>
    <w:p w14:paraId="035F0461" w14:textId="77777777" w:rsidR="00CF2C97" w:rsidRDefault="00CF2C97">
      <w:pPr>
        <w:autoSpaceDE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379F41" w14:textId="77777777" w:rsidR="00CF2C97" w:rsidRDefault="00CF2C97">
      <w:pPr>
        <w:autoSpaceDE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E56C49" w14:textId="77777777" w:rsidR="00CF2C97" w:rsidRDefault="00E072BA">
      <w:pPr>
        <w:autoSpaceDE w:val="0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 – REQUISITOS DA CONTRATAÇÃO</w:t>
      </w:r>
    </w:p>
    <w:p w14:paraId="5378071B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 xml:space="preserve"> Na proposta deverão estar incluídos todos os custos referentes ao serviço com mão-de-obra especializada, despesas com frete, ferramentas, todos os materiais de consumo, quaisquer peças e equipamentos necessários à sua execução, e que deverão seguir as especificações dos fabricantes, recomendações do CBMMG, Normas ABNT pertinentes ao objeto, Decreto nº 897 de 21/09/1976 (Código de Segurança Contra Incêndio e Pânico) e demais legislações vigentes. </w:t>
      </w:r>
    </w:p>
    <w:p w14:paraId="3EB587CD" w14:textId="77777777" w:rsidR="00CF2C97" w:rsidRDefault="00E072BA">
      <w:pPr>
        <w:autoSpaceDE w:val="0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Subcontratação</w:t>
      </w:r>
    </w:p>
    <w:p w14:paraId="55279A04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4.2.</w:t>
      </w:r>
      <w:r>
        <w:rPr>
          <w:rFonts w:ascii="Times New Roman" w:hAnsi="Times New Roman" w:cs="Times New Roman"/>
          <w:sz w:val="24"/>
          <w:szCs w:val="24"/>
        </w:rPr>
        <w:t xml:space="preserve"> Não é admitida a subcontratação do objeto contratual.</w:t>
      </w:r>
    </w:p>
    <w:p w14:paraId="6B4C5D6C" w14:textId="77777777" w:rsidR="00CF2C97" w:rsidRDefault="00CF2C97">
      <w:pPr>
        <w:autoSpaceDE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A8ED7F" w14:textId="77777777" w:rsidR="00CF2C97" w:rsidRDefault="00CF2C97">
      <w:pPr>
        <w:autoSpaceDE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AC0551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5 – EXECUÇÃO DO OBJETO</w:t>
      </w:r>
    </w:p>
    <w:p w14:paraId="4454C8B8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5.1.</w:t>
      </w:r>
      <w:r>
        <w:rPr>
          <w:rFonts w:ascii="Times New Roman" w:hAnsi="Times New Roman" w:cs="Times New Roman"/>
          <w:iCs/>
          <w:sz w:val="24"/>
          <w:szCs w:val="24"/>
        </w:rPr>
        <w:t xml:space="preserve"> O prazo de execução do serviço é de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15 dias corridos</w:t>
      </w:r>
      <w:r>
        <w:rPr>
          <w:rFonts w:ascii="Times New Roman" w:hAnsi="Times New Roman" w:cs="Times New Roman"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podendo ser prorrogado a critério da administração e justificativa enviada três dias antes do vencimento</w:t>
      </w:r>
      <w:r>
        <w:rPr>
          <w:rFonts w:ascii="Times New Roman" w:hAnsi="Times New Roman" w:cs="Times New Roman"/>
          <w:iCs/>
          <w:sz w:val="24"/>
          <w:szCs w:val="24"/>
        </w:rPr>
        <w:t xml:space="preserve">, contados da Ordem de Fornecimento, em remessa única. </w:t>
      </w:r>
    </w:p>
    <w:p w14:paraId="03A521F3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5.2.</w:t>
      </w:r>
      <w:r>
        <w:rPr>
          <w:rFonts w:ascii="Times New Roman" w:hAnsi="Times New Roman" w:cs="Times New Roman"/>
          <w:iCs/>
          <w:sz w:val="24"/>
          <w:szCs w:val="24"/>
        </w:rPr>
        <w:t xml:space="preserve"> Os serviços deverão ser executados endereço(s) abaixo:</w:t>
      </w:r>
    </w:p>
    <w:p w14:paraId="7114185A" w14:textId="77777777" w:rsidR="00CF2C97" w:rsidRDefault="00E072BA">
      <w:pPr>
        <w:pStyle w:val="PargrafodaLista"/>
        <w:numPr>
          <w:ilvl w:val="0"/>
          <w:numId w:val="23"/>
        </w:numPr>
        <w:autoSpaceDE w:val="0"/>
        <w:spacing w:line="360" w:lineRule="auto"/>
        <w:jc w:val="both"/>
        <w:rPr>
          <w:rFonts w:ascii="Times New Roman" w:eastAsia="Segoe UI" w:hAnsi="Times New Roman" w:cs="Times New Roman"/>
          <w:b/>
          <w:bCs/>
          <w:iCs/>
        </w:rPr>
      </w:pPr>
      <w:r>
        <w:rPr>
          <w:rFonts w:ascii="Times New Roman" w:eastAsia="Segoe UI" w:hAnsi="Times New Roman" w:cs="Times New Roman"/>
          <w:b/>
          <w:bCs/>
          <w:iCs/>
        </w:rPr>
        <w:t>PROCURADORIA REGIONAL DO TRABALHO EM BELO HORIZONTE: Rua Bernardo Guimarães, nº 1615 - Funcionários, CEP 30140-082 - (31) 3279-3185.</w:t>
      </w:r>
    </w:p>
    <w:p w14:paraId="2AF733ED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5.3.</w:t>
      </w:r>
      <w:r>
        <w:rPr>
          <w:rFonts w:ascii="Times New Roman" w:hAnsi="Times New Roman" w:cs="Times New Roman"/>
          <w:iCs/>
          <w:sz w:val="24"/>
          <w:szCs w:val="24"/>
        </w:rPr>
        <w:t xml:space="preserve"> Para a perfeita execução dos serviços, a CONTRATADA deverá disponibilizar os materiais, equipamentos, ferramentas e utensílios necessários, para atender todas as condições deste instrumento.</w:t>
      </w:r>
    </w:p>
    <w:p w14:paraId="688FCF0E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5.4.</w:t>
      </w:r>
      <w:r>
        <w:rPr>
          <w:rFonts w:ascii="Times New Roman" w:hAnsi="Times New Roman" w:cs="Times New Roman"/>
          <w:iCs/>
          <w:sz w:val="24"/>
          <w:szCs w:val="24"/>
        </w:rPr>
        <w:t xml:space="preserve"> Será emitido laudo técnico e Certificado de Garantia e Responsabilidade após o término do serviço pelo período de 12 (doze) meses.</w:t>
      </w:r>
    </w:p>
    <w:p w14:paraId="7007429F" w14:textId="77777777" w:rsidR="00CF2C97" w:rsidRDefault="00CF2C97">
      <w:pPr>
        <w:autoSpaceDE w:val="0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193B53C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6 – GESTÃO DO CONTRATO</w:t>
      </w:r>
    </w:p>
    <w:p w14:paraId="7A9CB927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6.1.</w:t>
      </w:r>
      <w:r>
        <w:rPr>
          <w:rFonts w:ascii="Times New Roman" w:hAnsi="Times New Roman" w:cs="Times New Roman"/>
          <w:sz w:val="24"/>
          <w:szCs w:val="24"/>
        </w:rPr>
        <w:t xml:space="preserve"> O contrato deverá ser executado fielmente pelas partes, de acordo com as cláusulas avençadas e as normas da Lei nº 14.133, de 2021, e cada parte responderá pelas consequências de sua inexecução total ou parcial.</w:t>
      </w:r>
    </w:p>
    <w:p w14:paraId="6977FEC2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6.2.</w:t>
      </w:r>
      <w:r>
        <w:rPr>
          <w:rFonts w:ascii="Times New Roman" w:hAnsi="Times New Roman" w:cs="Times New Roman"/>
          <w:sz w:val="24"/>
          <w:szCs w:val="24"/>
        </w:rPr>
        <w:t xml:space="preserve"> As comunicações entre o órgão ou entidade e a contratada devem ser realizadas por escrito sempre que o ato exigir tal formalidade, admitindo-se o uso de mensagem eletrônica para esse fim.</w:t>
      </w:r>
    </w:p>
    <w:p w14:paraId="3B754067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6.3.</w:t>
      </w:r>
      <w:r>
        <w:rPr>
          <w:rFonts w:ascii="Times New Roman" w:hAnsi="Times New Roman" w:cs="Times New Roman"/>
          <w:sz w:val="24"/>
          <w:szCs w:val="24"/>
        </w:rPr>
        <w:t xml:space="preserve"> O CONTRATANTE poderá convocar representante da empresa para adoção de providências que devam ser cumpridas de imediato.</w:t>
      </w:r>
    </w:p>
    <w:p w14:paraId="1C3486C9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6.4.</w:t>
      </w:r>
      <w:r>
        <w:rPr>
          <w:rFonts w:ascii="Times New Roman" w:hAnsi="Times New Roman" w:cs="Times New Roman"/>
          <w:sz w:val="24"/>
          <w:szCs w:val="24"/>
        </w:rPr>
        <w:t xml:space="preserve"> A execução do contrato deverá ser acompanhada e fiscalizada pelo(s) fiscal(is) do contrato, ou pelos respectivos substitutos (Lei nº 14.133, de 2021, art. 117, caput).</w:t>
      </w:r>
    </w:p>
    <w:p w14:paraId="26239EEB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6.5.</w:t>
      </w:r>
      <w:r>
        <w:rPr>
          <w:rFonts w:ascii="Times New Roman" w:hAnsi="Times New Roman" w:cs="Times New Roman"/>
          <w:sz w:val="24"/>
          <w:szCs w:val="24"/>
        </w:rPr>
        <w:t xml:space="preserve"> O fiscal técnico do contrato acompanhará a execução do contrato, para que sejam cumpridas todas as condições estabelecidas no contrato, de modo a assegurar os melhores resultados para a Administração. (Decreto nº 11.246, de 2022, art. 22, VI);</w:t>
      </w:r>
    </w:p>
    <w:p w14:paraId="3F94654D" w14:textId="77777777" w:rsidR="00CF2C97" w:rsidRDefault="00E072BA">
      <w:pPr>
        <w:autoSpaceDE w:val="0"/>
        <w:spacing w:line="360" w:lineRule="auto"/>
        <w:ind w:left="426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6.5.1.</w:t>
      </w:r>
      <w:r>
        <w:rPr>
          <w:rFonts w:ascii="Times New Roman" w:hAnsi="Times New Roman" w:cs="Times New Roman"/>
          <w:sz w:val="24"/>
          <w:szCs w:val="24"/>
        </w:rPr>
        <w:t xml:space="preserve"> O fiscal técnico do contrato anotará no histórico de gerenciamento do contrato todas as ocorrências relacionadas à execução do contrato, com a descrição do que for necessário para a regularização das faltas ou dos defeitos observados. (Lei nº 14.133, de 2021, art. 117, §1º, e Decreto nº 11.246, de 2022, art. 22, II);</w:t>
      </w:r>
    </w:p>
    <w:p w14:paraId="3AFF2333" w14:textId="77777777" w:rsidR="00CF2C97" w:rsidRDefault="00E072BA">
      <w:pPr>
        <w:autoSpaceDE w:val="0"/>
        <w:spacing w:line="360" w:lineRule="auto"/>
        <w:ind w:left="426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6.5.2.</w:t>
      </w:r>
      <w:r>
        <w:rPr>
          <w:rFonts w:ascii="Times New Roman" w:hAnsi="Times New Roman" w:cs="Times New Roman"/>
          <w:sz w:val="24"/>
          <w:szCs w:val="24"/>
        </w:rPr>
        <w:t xml:space="preserve"> Identificada qualquer inexatidão ou irregularidade, o fiscal técnico do contrato emitirá notificações para a correção da execução do contrato, determinando prazo para a correção. (Decreto nº 11.246, de 2022, art. 22, III);</w:t>
      </w:r>
    </w:p>
    <w:p w14:paraId="68F62867" w14:textId="77777777" w:rsidR="00CF2C97" w:rsidRDefault="00E072BA">
      <w:pPr>
        <w:autoSpaceDE w:val="0"/>
        <w:spacing w:line="360" w:lineRule="auto"/>
        <w:ind w:left="426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6.5.3.</w:t>
      </w:r>
      <w:r>
        <w:rPr>
          <w:rFonts w:ascii="Times New Roman" w:hAnsi="Times New Roman" w:cs="Times New Roman"/>
          <w:sz w:val="24"/>
          <w:szCs w:val="24"/>
        </w:rPr>
        <w:t xml:space="preserve"> O fiscal técnico do contrato informará ao gestor do contato, em tempo hábil, a situação que demandar decisão ou adoção de medidas que ultrapassem sua competência, para que adote as medidas necessárias e saneadoras, se for o caso. (Decreto nº 11.246, de 2022, art. 22, IV);</w:t>
      </w:r>
    </w:p>
    <w:p w14:paraId="4678DF32" w14:textId="77777777" w:rsidR="00CF2C97" w:rsidRDefault="00E072BA">
      <w:pPr>
        <w:autoSpaceDE w:val="0"/>
        <w:spacing w:line="360" w:lineRule="auto"/>
        <w:ind w:left="426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6.5.4.</w:t>
      </w:r>
      <w:r>
        <w:rPr>
          <w:rFonts w:ascii="Times New Roman" w:hAnsi="Times New Roman" w:cs="Times New Roman"/>
          <w:sz w:val="24"/>
          <w:szCs w:val="24"/>
        </w:rPr>
        <w:t xml:space="preserve"> O gestor do contrato acompanhará os registros realizados pelos fiscais do contrato, de todas as ocorrências relacionadas à execução do contrato e as medidas adotadas, informando, se for o caso, à autoridade superior àquelas que ultrapassarem a sua competência. (Decreto nº 11.246, de 2022, art. 21, II).</w:t>
      </w:r>
    </w:p>
    <w:p w14:paraId="26174A98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6.6.</w:t>
      </w:r>
      <w:r>
        <w:rPr>
          <w:rFonts w:ascii="Times New Roman" w:hAnsi="Times New Roman" w:cs="Times New Roman"/>
          <w:sz w:val="24"/>
          <w:szCs w:val="24"/>
        </w:rPr>
        <w:t xml:space="preserve"> O fiscal administrativo do contrato verificará a manutenção das condições de habilitação da contratada, acompanhará o empenho, o pagamento, as garantias, as glosas e a formalização de apostilamento e termos aditivos, solicitando quaisquer documentos comprobatórios pertinentes, caso necessário (Art. 23, I e II, do Decreto nº 11.246, de 2022).</w:t>
      </w:r>
    </w:p>
    <w:p w14:paraId="6695835B" w14:textId="77777777" w:rsidR="00CF2C97" w:rsidRDefault="00E072BA">
      <w:pPr>
        <w:autoSpaceDE w:val="0"/>
        <w:spacing w:line="360" w:lineRule="auto"/>
        <w:ind w:left="426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6.6.1.</w:t>
      </w:r>
      <w:r>
        <w:rPr>
          <w:rFonts w:ascii="Times New Roman" w:hAnsi="Times New Roman" w:cs="Times New Roman"/>
          <w:sz w:val="24"/>
          <w:szCs w:val="24"/>
        </w:rPr>
        <w:t xml:space="preserve"> Caso ocorram descumprimento das obrigações contratuais, o fiscal administrativo do contrato atuará tempestivamente na solução do problema, reportando ao gestor do contrato para que tome as providências cabíveis, quando ultrapassar a sua competência; (Decreto nº 11.246, de 2022, art. 23, IV).</w:t>
      </w:r>
    </w:p>
    <w:p w14:paraId="10DD279B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6.7.</w:t>
      </w:r>
      <w:r>
        <w:rPr>
          <w:rFonts w:ascii="Times New Roman" w:hAnsi="Times New Roman" w:cs="Times New Roman"/>
          <w:sz w:val="24"/>
          <w:szCs w:val="24"/>
        </w:rPr>
        <w:t xml:space="preserve"> O gestor do contrato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contratuais, elaborando relatório com vistas à verificação da necessidade de adequações do contrato para fins de atendimento da finalidade da administração. (Decreto nº 11.246, de 2022, art. 21, IV).</w:t>
      </w:r>
    </w:p>
    <w:p w14:paraId="0F452E38" w14:textId="77777777" w:rsidR="00CF2C97" w:rsidRDefault="00E072BA">
      <w:pPr>
        <w:autoSpaceDE w:val="0"/>
        <w:spacing w:line="360" w:lineRule="auto"/>
        <w:ind w:left="567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6.7.1.</w:t>
      </w:r>
      <w:r>
        <w:rPr>
          <w:rFonts w:ascii="Times New Roman" w:hAnsi="Times New Roman" w:cs="Times New Roman"/>
          <w:sz w:val="24"/>
          <w:szCs w:val="24"/>
        </w:rPr>
        <w:t xml:space="preserve"> O gestor do contrato acompanhará a manutenção das condições de habilitação da contratada, para fins de empenho de despesa e pagamento, e anotará os problemas que obstem o fluxo normal da liquidação e do pagamento da despesa no relatório de riscos eventuais. (Decreto nº 11.246, de 2022, art. 21, III).</w:t>
      </w:r>
    </w:p>
    <w:p w14:paraId="6C0AC3B4" w14:textId="77777777" w:rsidR="00CF2C97" w:rsidRDefault="00E072BA">
      <w:pPr>
        <w:autoSpaceDE w:val="0"/>
        <w:spacing w:line="360" w:lineRule="auto"/>
        <w:ind w:left="567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6.7.2.</w:t>
      </w:r>
      <w:r>
        <w:rPr>
          <w:rFonts w:ascii="Times New Roman" w:hAnsi="Times New Roman" w:cs="Times New Roman"/>
          <w:sz w:val="24"/>
          <w:szCs w:val="24"/>
        </w:rPr>
        <w:t xml:space="preserve"> O gestor do contrato emitirá documento comprobatório da avaliação realizada pelos fiscais técnico, administrativo e setorial quanto ao cumprimento de obrigações assumidas pelo contratado, com menção ao seu desempenho na execução contratual, baseado nos indicadores objetivamente definidos e aferidos, e a eventuais penalidades aplicadas, devendo constar do cadastro de atesto de cumprimento de obrigações. (Decreto nº 11.246, de 2022, art. 21, VIII).</w:t>
      </w:r>
    </w:p>
    <w:p w14:paraId="7402B46B" w14:textId="77777777" w:rsidR="00CF2C97" w:rsidRDefault="00E072BA">
      <w:pPr>
        <w:tabs>
          <w:tab w:val="left" w:pos="567"/>
        </w:tabs>
        <w:autoSpaceDE w:val="0"/>
        <w:spacing w:line="360" w:lineRule="auto"/>
        <w:ind w:left="567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6.7.3.</w:t>
      </w:r>
      <w:r>
        <w:rPr>
          <w:rFonts w:ascii="Times New Roman" w:hAnsi="Times New Roman" w:cs="Times New Roman"/>
          <w:sz w:val="24"/>
          <w:szCs w:val="24"/>
        </w:rPr>
        <w:t xml:space="preserve"> O gestor do contrato tomará providências para a formalização de processo administrativo de responsabilização para fins de aplicação de sanções, a ser conduzido pela comissão de que trata o art. 158 da Lei nº 14.133, de 2021, ou pelo agente ou pelo setor com competência para tal, conforme o caso. (Decreto nº 11.246, de 2022, art. 21, X).</w:t>
      </w:r>
    </w:p>
    <w:p w14:paraId="26D05998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6.8.</w:t>
      </w:r>
      <w:r>
        <w:rPr>
          <w:rFonts w:ascii="Times New Roman" w:hAnsi="Times New Roman" w:cs="Times New Roman"/>
          <w:sz w:val="24"/>
          <w:szCs w:val="24"/>
        </w:rPr>
        <w:t xml:space="preserve"> O gestor do contrato deverá elaborar relatório final com informações sobre a consecução dos objetivos que tenham justificado a contratação e eventuais condutas a serem adotadas para o aprimoramento das atividades da Administração. (Decreto nº 11.246, de 2022, art. 21, VI).</w:t>
      </w:r>
    </w:p>
    <w:p w14:paraId="2209E547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6.9.</w:t>
      </w:r>
      <w:r>
        <w:rPr>
          <w:rFonts w:ascii="Times New Roman" w:hAnsi="Times New Roman" w:cs="Times New Roman"/>
          <w:sz w:val="24"/>
          <w:szCs w:val="24"/>
        </w:rPr>
        <w:t xml:space="preserve"> O gestor do contrato deverá enviar a documentação pertinente para a formalização dos procedimentos de liquidação e pagamento, no valor dimensionado pela fiscalização e gestão nos termos do contrato.</w:t>
      </w:r>
    </w:p>
    <w:p w14:paraId="70AD8C16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6.10.</w:t>
      </w:r>
      <w:r>
        <w:rPr>
          <w:rFonts w:ascii="Times New Roman" w:hAnsi="Times New Roman" w:cs="Times New Roman"/>
          <w:sz w:val="24"/>
          <w:szCs w:val="24"/>
        </w:rPr>
        <w:t xml:space="preserve"> A CONTRATADA deverá manter preposto para representá-la na execução do contrato.</w:t>
      </w:r>
    </w:p>
    <w:p w14:paraId="4CE42A24" w14:textId="77777777" w:rsidR="00CF2C97" w:rsidRDefault="00E072BA">
      <w:pPr>
        <w:autoSpaceDE w:val="0"/>
        <w:spacing w:line="360" w:lineRule="auto"/>
        <w:ind w:left="426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6.10.1.</w:t>
      </w:r>
      <w:r>
        <w:rPr>
          <w:rFonts w:ascii="Times New Roman" w:hAnsi="Times New Roman" w:cs="Times New Roman"/>
          <w:sz w:val="24"/>
          <w:szCs w:val="24"/>
        </w:rPr>
        <w:t xml:space="preserve"> A indicação ou a manutenção do preposto da empresa poderá ser recusada pelo órgão ou entidade, desde que devidamente justificada, devendo a empresa designar outro para o exercício da atividade.</w:t>
      </w:r>
    </w:p>
    <w:p w14:paraId="6831948C" w14:textId="77777777" w:rsidR="00CF2C97" w:rsidRDefault="00CF2C97">
      <w:pPr>
        <w:autoSpaceDE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1CA729" w14:textId="77777777" w:rsidR="00CF2C97" w:rsidRDefault="00E072BA">
      <w:pPr>
        <w:autoSpaceDE w:val="0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 – MEDIÇÃO E PAGAMENTO</w:t>
      </w:r>
    </w:p>
    <w:p w14:paraId="5345A3BD" w14:textId="77777777" w:rsidR="00CF2C97" w:rsidRDefault="00E072BA">
      <w:pPr>
        <w:autoSpaceDE w:val="0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Recebimento</w:t>
      </w:r>
    </w:p>
    <w:p w14:paraId="31A76D51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7.1.</w:t>
      </w:r>
      <w:r>
        <w:rPr>
          <w:rFonts w:ascii="Times New Roman" w:hAnsi="Times New Roman" w:cs="Times New Roman"/>
          <w:bCs/>
          <w:sz w:val="24"/>
          <w:szCs w:val="24"/>
        </w:rPr>
        <w:t xml:space="preserve"> Os serviços serão recebidos provisoriamente, de forma sumária, no ato da prestação do serviço, juntamente com a nota fiscal ou instrumento de cobrança equivalente, pelo(a) responsável pelo acompanhamento e fiscalização do contrato, para efeito de posterior verificação de sua conformidade com as especificações constantes no Termo de Referência e na proposta.</w:t>
      </w:r>
    </w:p>
    <w:p w14:paraId="7F19863A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7.2.</w:t>
      </w:r>
      <w:r>
        <w:rPr>
          <w:rFonts w:ascii="Times New Roman" w:hAnsi="Times New Roman" w:cs="Times New Roman"/>
          <w:bCs/>
          <w:sz w:val="24"/>
          <w:szCs w:val="24"/>
        </w:rPr>
        <w:t xml:space="preserve"> Os serviços poderão ser rejeitados, no todo ou em parte, inclusive antes do recebimento provisório, quando em desacordo com as especificações constantes no Termo de Referência e na proposta, devendo ser substituídos executados no prazo de </w:t>
      </w:r>
      <w:r>
        <w:rPr>
          <w:rFonts w:ascii="Times New Roman" w:hAnsi="Times New Roman" w:cs="Times New Roman"/>
          <w:b/>
          <w:bCs/>
          <w:sz w:val="24"/>
          <w:szCs w:val="24"/>
        </w:rPr>
        <w:t>15 (quinze) dias</w:t>
      </w:r>
      <w:r>
        <w:rPr>
          <w:rFonts w:ascii="Times New Roman" w:hAnsi="Times New Roman" w:cs="Times New Roman"/>
          <w:bCs/>
          <w:sz w:val="24"/>
          <w:szCs w:val="24"/>
        </w:rPr>
        <w:t>, a contar da notificação da contratada, às suas custas, sem prejuízo da aplicação das penalidades.</w:t>
      </w:r>
    </w:p>
    <w:p w14:paraId="113F5C0E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7.3.</w:t>
      </w:r>
      <w:r>
        <w:rPr>
          <w:rFonts w:ascii="Times New Roman" w:hAnsi="Times New Roman" w:cs="Times New Roman"/>
          <w:bCs/>
          <w:sz w:val="24"/>
          <w:szCs w:val="24"/>
        </w:rPr>
        <w:t xml:space="preserve"> O recebimento definitivo ocorrerá no prazo de </w:t>
      </w:r>
      <w:r>
        <w:rPr>
          <w:rFonts w:ascii="Times New Roman" w:hAnsi="Times New Roman" w:cs="Times New Roman"/>
          <w:b/>
          <w:bCs/>
          <w:sz w:val="24"/>
          <w:szCs w:val="24"/>
        </w:rPr>
        <w:t>10 (dez) dias corridos</w:t>
      </w:r>
      <w:r>
        <w:rPr>
          <w:rFonts w:ascii="Times New Roman" w:hAnsi="Times New Roman" w:cs="Times New Roman"/>
          <w:bCs/>
          <w:sz w:val="24"/>
          <w:szCs w:val="24"/>
        </w:rPr>
        <w:t>, a contar do recebimento da nota fiscal ou instrumento de cobrança equivalente pela Administração, após a verificação da qualidade e quantidade do material e consequente aceitação mediante termo detalhado.</w:t>
      </w:r>
    </w:p>
    <w:p w14:paraId="46BB37AA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7.4.</w:t>
      </w:r>
      <w:r>
        <w:rPr>
          <w:rFonts w:ascii="Times New Roman" w:hAnsi="Times New Roman" w:cs="Times New Roman"/>
          <w:bCs/>
          <w:sz w:val="24"/>
          <w:szCs w:val="24"/>
        </w:rPr>
        <w:t xml:space="preserve"> O prazo para recebimento definitivo poderá ser excepcionalmente prorrogado, de forma justificada, por igual período, quando houver necessidade de diligências para a aferição do atendimento das exigências contratuais.</w:t>
      </w:r>
    </w:p>
    <w:p w14:paraId="17533F8A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7.5.</w:t>
      </w:r>
      <w:r>
        <w:rPr>
          <w:rFonts w:ascii="Times New Roman" w:hAnsi="Times New Roman" w:cs="Times New Roman"/>
          <w:bCs/>
          <w:sz w:val="24"/>
          <w:szCs w:val="24"/>
        </w:rPr>
        <w:t xml:space="preserve"> No caso de controvérsia sobre a execução do objeto, quanto à qualidade e quantidade, deverá ser observado o teor do </w:t>
      </w:r>
      <w:hyperlink r:id="rId8" w:anchor="art143" w:history="1">
        <w:r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art. 143 da Lei nº 14.133, de 2021</w:t>
        </w:r>
      </w:hyperlink>
      <w:r>
        <w:rPr>
          <w:rFonts w:ascii="Times New Roman" w:hAnsi="Times New Roman" w:cs="Times New Roman"/>
          <w:bCs/>
          <w:sz w:val="24"/>
          <w:szCs w:val="24"/>
        </w:rPr>
        <w:t>, comunicando-se à empresa para emissão de Nota Fiscal no que pertine à parcela incontroversa da execução do objeto, para efeito de liquidação e pagamento.</w:t>
      </w:r>
    </w:p>
    <w:p w14:paraId="6FB94F3F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7.6.</w:t>
      </w:r>
      <w:r>
        <w:rPr>
          <w:rFonts w:ascii="Times New Roman" w:hAnsi="Times New Roman" w:cs="Times New Roman"/>
          <w:bCs/>
          <w:sz w:val="24"/>
          <w:szCs w:val="24"/>
        </w:rPr>
        <w:t xml:space="preserve"> 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 w14:paraId="332213FB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7.7.</w:t>
      </w:r>
      <w:r>
        <w:rPr>
          <w:rFonts w:ascii="Times New Roman" w:hAnsi="Times New Roman" w:cs="Times New Roman"/>
          <w:bCs/>
          <w:sz w:val="24"/>
          <w:szCs w:val="24"/>
        </w:rPr>
        <w:t xml:space="preserve"> O recebimento provisório ou definitivo não excluirá a responsabilidade civil pela solidez e pela segurança dos bens nem a responsabilidade ético-profissional pela perfeita execução do contrato.</w:t>
      </w:r>
    </w:p>
    <w:p w14:paraId="3D6553D5" w14:textId="77777777" w:rsidR="00CF2C97" w:rsidRDefault="00E072BA">
      <w:pPr>
        <w:autoSpaceDE w:val="0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Liquidação</w:t>
      </w:r>
    </w:p>
    <w:p w14:paraId="734DEF70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7.8.</w:t>
      </w:r>
      <w:r>
        <w:rPr>
          <w:rFonts w:ascii="Times New Roman" w:hAnsi="Times New Roman" w:cs="Times New Roman"/>
          <w:bCs/>
          <w:sz w:val="24"/>
          <w:szCs w:val="24"/>
        </w:rPr>
        <w:t xml:space="preserve"> Recebida a Nota Fiscal ou documento de cobrança equivalente, correrá o prazo de </w:t>
      </w:r>
      <w:r>
        <w:rPr>
          <w:rFonts w:ascii="Times New Roman" w:hAnsi="Times New Roman" w:cs="Times New Roman"/>
          <w:b/>
          <w:bCs/>
          <w:sz w:val="24"/>
          <w:szCs w:val="24"/>
        </w:rPr>
        <w:t>dez dias úteis</w:t>
      </w:r>
      <w:r>
        <w:rPr>
          <w:rFonts w:ascii="Times New Roman" w:hAnsi="Times New Roman" w:cs="Times New Roman"/>
          <w:bCs/>
          <w:sz w:val="24"/>
          <w:szCs w:val="24"/>
        </w:rPr>
        <w:t xml:space="preserve"> para fins de liquidação, na forma desta seção, prorrogáveis por igual período.</w:t>
      </w:r>
    </w:p>
    <w:p w14:paraId="0FE78C75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7.9.</w:t>
      </w:r>
      <w:r>
        <w:rPr>
          <w:rFonts w:ascii="Times New Roman" w:hAnsi="Times New Roman" w:cs="Times New Roman"/>
          <w:bCs/>
          <w:sz w:val="24"/>
          <w:szCs w:val="24"/>
        </w:rPr>
        <w:t xml:space="preserve"> O prazo de que trata o item anterior será reduzido à metade, mantendo-se a possibilidade de prorrogação, no caso de contratações decorrentes de despesas cujos valores não ultrapassem o limite de que trata o </w:t>
      </w:r>
      <w:hyperlink r:id="rId9" w:anchor="art75" w:history="1">
        <w:r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inciso II do art. 75 da Lei nº 14.133, de 2021</w:t>
        </w:r>
      </w:hyperlink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41042637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7.10. </w:t>
      </w:r>
      <w:r>
        <w:rPr>
          <w:rFonts w:ascii="Times New Roman" w:hAnsi="Times New Roman" w:cs="Times New Roman"/>
          <w:bCs/>
          <w:sz w:val="24"/>
          <w:szCs w:val="24"/>
        </w:rPr>
        <w:t xml:space="preserve">Para fins de liquidação, o setor competente deverá verificar se a nota fiscal ou instrumento de cobrança equivalente apresentado expressa os elementos necessários e essenciais do documento, tais como: </w:t>
      </w:r>
    </w:p>
    <w:p w14:paraId="573AF148" w14:textId="77777777" w:rsidR="00CF2C97" w:rsidRDefault="00E072BA">
      <w:pPr>
        <w:autoSpaceDE w:val="0"/>
        <w:spacing w:line="360" w:lineRule="auto"/>
        <w:ind w:left="567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a)</w:t>
      </w:r>
      <w:r>
        <w:rPr>
          <w:rFonts w:ascii="Times New Roman" w:hAnsi="Times New Roman" w:cs="Times New Roman"/>
          <w:bCs/>
          <w:sz w:val="24"/>
          <w:szCs w:val="24"/>
        </w:rPr>
        <w:t xml:space="preserve"> o prazo de validade;</w:t>
      </w:r>
    </w:p>
    <w:p w14:paraId="0B47472D" w14:textId="77777777" w:rsidR="00CF2C97" w:rsidRDefault="00E072BA">
      <w:pPr>
        <w:autoSpaceDE w:val="0"/>
        <w:spacing w:line="360" w:lineRule="auto"/>
        <w:ind w:left="567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b)</w:t>
      </w:r>
      <w:r>
        <w:rPr>
          <w:rFonts w:ascii="Times New Roman" w:hAnsi="Times New Roman" w:cs="Times New Roman"/>
          <w:bCs/>
          <w:sz w:val="24"/>
          <w:szCs w:val="24"/>
        </w:rPr>
        <w:t xml:space="preserve"> a data da emissão; </w:t>
      </w:r>
    </w:p>
    <w:p w14:paraId="48825207" w14:textId="77777777" w:rsidR="00CF2C97" w:rsidRDefault="00E072BA">
      <w:pPr>
        <w:autoSpaceDE w:val="0"/>
        <w:spacing w:line="360" w:lineRule="auto"/>
        <w:ind w:left="567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c)</w:t>
      </w:r>
      <w:r>
        <w:rPr>
          <w:rFonts w:ascii="Times New Roman" w:hAnsi="Times New Roman" w:cs="Times New Roman"/>
          <w:bCs/>
          <w:sz w:val="24"/>
          <w:szCs w:val="24"/>
        </w:rPr>
        <w:t xml:space="preserve"> os dados do contrato e do órgão contratante; </w:t>
      </w:r>
    </w:p>
    <w:p w14:paraId="4A91B7BA" w14:textId="77777777" w:rsidR="00CF2C97" w:rsidRDefault="00E072BA">
      <w:pPr>
        <w:autoSpaceDE w:val="0"/>
        <w:spacing w:line="360" w:lineRule="auto"/>
        <w:ind w:left="567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d)</w:t>
      </w:r>
      <w:r>
        <w:rPr>
          <w:rFonts w:ascii="Times New Roman" w:hAnsi="Times New Roman" w:cs="Times New Roman"/>
          <w:bCs/>
          <w:sz w:val="24"/>
          <w:szCs w:val="24"/>
        </w:rPr>
        <w:t xml:space="preserve"> o período respectivo de execução do contrato; </w:t>
      </w:r>
    </w:p>
    <w:p w14:paraId="53422499" w14:textId="77777777" w:rsidR="00CF2C97" w:rsidRDefault="00E072BA">
      <w:pPr>
        <w:autoSpaceDE w:val="0"/>
        <w:spacing w:line="360" w:lineRule="auto"/>
        <w:ind w:left="567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e)</w:t>
      </w:r>
      <w:r>
        <w:rPr>
          <w:rFonts w:ascii="Times New Roman" w:hAnsi="Times New Roman" w:cs="Times New Roman"/>
          <w:bCs/>
          <w:sz w:val="24"/>
          <w:szCs w:val="24"/>
        </w:rPr>
        <w:t xml:space="preserve"> o valor a pagar; e </w:t>
      </w:r>
    </w:p>
    <w:p w14:paraId="2B82ED1B" w14:textId="77777777" w:rsidR="00CF2C97" w:rsidRDefault="00E072BA">
      <w:pPr>
        <w:autoSpaceDE w:val="0"/>
        <w:spacing w:line="360" w:lineRule="auto"/>
        <w:ind w:left="567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f)</w:t>
      </w:r>
      <w:r>
        <w:rPr>
          <w:rFonts w:ascii="Times New Roman" w:hAnsi="Times New Roman" w:cs="Times New Roman"/>
          <w:bCs/>
          <w:sz w:val="24"/>
          <w:szCs w:val="24"/>
        </w:rPr>
        <w:t xml:space="preserve"> eventual destaque do valor de retenções tributárias cabíveis.</w:t>
      </w:r>
    </w:p>
    <w:p w14:paraId="58CEF162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7.11. </w:t>
      </w:r>
      <w:r>
        <w:rPr>
          <w:rFonts w:ascii="Times New Roman" w:hAnsi="Times New Roman" w:cs="Times New Roman"/>
          <w:bCs/>
          <w:sz w:val="24"/>
          <w:szCs w:val="24"/>
        </w:rPr>
        <w:t>Havendo erro na apresentação da nota fiscal ou instrumento de cobrança equivalente, ou circunstância que impeça a liquidação da despesa, esta ficará sobrestada até que o contratado providencie as medidas saneadoras, reiniciando-se o prazo após a comprovação da regularização da situação, sem ônus ao contratante;</w:t>
      </w:r>
    </w:p>
    <w:p w14:paraId="160F2EDF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7.12. </w:t>
      </w:r>
      <w:r>
        <w:rPr>
          <w:rFonts w:ascii="Times New Roman" w:hAnsi="Times New Roman" w:cs="Times New Roman"/>
          <w:bCs/>
          <w:sz w:val="24"/>
          <w:szCs w:val="24"/>
        </w:rPr>
        <w:t xml:space="preserve">A nota fiscal ou instrumento de cobrança equivalente deverá ser obrigatoriamente acompanhado da comprovação da regularidade fiscal, constatada por meio de consulta 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on-line</w:t>
      </w:r>
      <w:r>
        <w:rPr>
          <w:rFonts w:ascii="Times New Roman" w:hAnsi="Times New Roman" w:cs="Times New Roman"/>
          <w:bCs/>
          <w:sz w:val="24"/>
          <w:szCs w:val="24"/>
        </w:rPr>
        <w:t xml:space="preserve"> ao SICAF ou, na impossibilidade de acesso ao referido Sistema, mediante consulta aos sítios eletrônicos oficiais ou à documentação mencionada no </w:t>
      </w:r>
      <w:hyperlink r:id="rId10" w:anchor="art68" w:history="1">
        <w:r>
          <w:rPr>
            <w:rStyle w:val="Hyperlink"/>
            <w:rFonts w:ascii="Times New Roman" w:hAnsi="Times New Roman" w:cs="Times New Roman"/>
            <w:bCs/>
            <w:sz w:val="24"/>
            <w:szCs w:val="24"/>
          </w:rPr>
          <w:t xml:space="preserve">art. 68 da Lei nº 14.133, de 2021.  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F85D490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7.13. </w:t>
      </w:r>
      <w:r>
        <w:rPr>
          <w:rFonts w:ascii="Times New Roman" w:hAnsi="Times New Roman" w:cs="Times New Roman"/>
          <w:bCs/>
          <w:sz w:val="24"/>
          <w:szCs w:val="24"/>
        </w:rPr>
        <w:t>A Administração deverá realizar consulta ao SICAF para: a) verificar a manutenção das condições de habilitação exigidas; b) identificar possível razão que impeça a contratação no âmbito do órgão ou entidade, tais como a proibição de contratar com a Administração ou com o Poder Público, bem como ocorrências impeditivas indiretas.</w:t>
      </w:r>
    </w:p>
    <w:p w14:paraId="2C3870F4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7.14.</w:t>
      </w:r>
      <w:r>
        <w:rPr>
          <w:rFonts w:ascii="Times New Roman" w:hAnsi="Times New Roman" w:cs="Times New Roman"/>
          <w:bCs/>
          <w:sz w:val="24"/>
          <w:szCs w:val="24"/>
        </w:rPr>
        <w:t xml:space="preserve"> Constatando-se, junto ao SICAF, a situação de irregularidade do contratado, será providenciada sua notificação, por escrito, para que, no prazo de 5 (cinco) dias úteis, regularize sua situação ou, no mesmo prazo, apresente sua defesa. O prazo poderá ser prorrogado uma vez, por igual período, a critério do contratante.</w:t>
      </w:r>
    </w:p>
    <w:p w14:paraId="0C5215EA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7.16. </w:t>
      </w:r>
      <w:r>
        <w:rPr>
          <w:rFonts w:ascii="Times New Roman" w:hAnsi="Times New Roman" w:cs="Times New Roman"/>
          <w:bCs/>
          <w:sz w:val="24"/>
          <w:szCs w:val="24"/>
        </w:rPr>
        <w:t xml:space="preserve">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 </w:t>
      </w:r>
    </w:p>
    <w:p w14:paraId="441F5A3F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7.17. </w:t>
      </w:r>
      <w:r>
        <w:rPr>
          <w:rFonts w:ascii="Times New Roman" w:hAnsi="Times New Roman" w:cs="Times New Roman"/>
          <w:bCs/>
          <w:sz w:val="24"/>
          <w:szCs w:val="24"/>
        </w:rPr>
        <w:t xml:space="preserve">Persistindo a irregularidade, o contratante deverá adotar as medidas necessárias à rescisão contratual nos autos do processo administrativo correspondente, assegurada ao contratado a ampla defesa. </w:t>
      </w:r>
    </w:p>
    <w:p w14:paraId="01D5EB1F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7.18. </w:t>
      </w:r>
      <w:r>
        <w:rPr>
          <w:rFonts w:ascii="Times New Roman" w:hAnsi="Times New Roman" w:cs="Times New Roman"/>
          <w:bCs/>
          <w:sz w:val="24"/>
          <w:szCs w:val="24"/>
        </w:rPr>
        <w:t xml:space="preserve">Havendo a efetiva execução do objeto, os pagamentos serão realizados normalmente, até que se decida pela rescisão do contrato, caso o contratado não regularize sua situação junto ao SICAF.  </w:t>
      </w:r>
    </w:p>
    <w:p w14:paraId="06A9BBA3" w14:textId="77777777" w:rsidR="00CF2C97" w:rsidRDefault="00E072BA">
      <w:pPr>
        <w:autoSpaceDE w:val="0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Prazo de pagamento</w:t>
      </w:r>
    </w:p>
    <w:p w14:paraId="3890189C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7.19. </w:t>
      </w:r>
      <w:r>
        <w:rPr>
          <w:rFonts w:ascii="Times New Roman" w:hAnsi="Times New Roman" w:cs="Times New Roman"/>
          <w:bCs/>
          <w:sz w:val="24"/>
          <w:szCs w:val="24"/>
        </w:rPr>
        <w:t xml:space="preserve">O pagamento será efetuado no prazo de até </w:t>
      </w:r>
      <w:r>
        <w:rPr>
          <w:rFonts w:ascii="Times New Roman" w:hAnsi="Times New Roman" w:cs="Times New Roman"/>
          <w:b/>
          <w:bCs/>
          <w:sz w:val="24"/>
          <w:szCs w:val="24"/>
        </w:rPr>
        <w:t>10 (dez) dias úteis</w:t>
      </w:r>
      <w:r>
        <w:rPr>
          <w:rFonts w:ascii="Times New Roman" w:hAnsi="Times New Roman" w:cs="Times New Roman"/>
          <w:bCs/>
          <w:sz w:val="24"/>
          <w:szCs w:val="24"/>
        </w:rPr>
        <w:t xml:space="preserve"> contados da finalização da liquidação da despesa, conforme seção anterior.</w:t>
      </w:r>
    </w:p>
    <w:p w14:paraId="0B0CF294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7.20. </w:t>
      </w:r>
      <w:r>
        <w:rPr>
          <w:rFonts w:ascii="Times New Roman" w:hAnsi="Times New Roman" w:cs="Times New Roman"/>
          <w:bCs/>
          <w:sz w:val="24"/>
          <w:szCs w:val="24"/>
        </w:rPr>
        <w:t>No caso de atraso pelo Contratante, os valores devidos ao contratado serão atualizados monetariamente entre o termo final do prazo de pagamento até a data de sua efetiva realização, mediante aplicação do IPCA (Índice Nacional de Preços ao Consumidor Amplo).</w:t>
      </w:r>
    </w:p>
    <w:p w14:paraId="0AC2E120" w14:textId="77777777" w:rsidR="00CF2C97" w:rsidRDefault="00E072BA">
      <w:pPr>
        <w:autoSpaceDE w:val="0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Forma de pagamento</w:t>
      </w:r>
    </w:p>
    <w:p w14:paraId="7143356E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7.21.</w:t>
      </w:r>
      <w:r>
        <w:rPr>
          <w:rFonts w:ascii="Times New Roman" w:hAnsi="Times New Roman" w:cs="Times New Roman"/>
          <w:bCs/>
          <w:sz w:val="24"/>
          <w:szCs w:val="24"/>
        </w:rPr>
        <w:t xml:space="preserve"> O pagamento será realizado por meio de ordem bancária, para crédito em banco, agência e conta corrente indicados pelo contratado.</w:t>
      </w:r>
    </w:p>
    <w:p w14:paraId="3A65AEA1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7.22.</w:t>
      </w:r>
      <w:r>
        <w:rPr>
          <w:rFonts w:ascii="Times New Roman" w:hAnsi="Times New Roman" w:cs="Times New Roman"/>
          <w:bCs/>
          <w:sz w:val="24"/>
          <w:szCs w:val="24"/>
        </w:rPr>
        <w:t xml:space="preserve"> Será considerada data do pagamento o dia em que constar como emitida a ordem bancária para pagamento.</w:t>
      </w:r>
    </w:p>
    <w:p w14:paraId="69E91F17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7.23.</w:t>
      </w:r>
      <w:r>
        <w:rPr>
          <w:rFonts w:ascii="Times New Roman" w:hAnsi="Times New Roman" w:cs="Times New Roman"/>
          <w:bCs/>
          <w:sz w:val="24"/>
          <w:szCs w:val="24"/>
        </w:rPr>
        <w:t xml:space="preserve"> Quando do pagamento, será efetuada a retenção tributária prevista na legislação aplicável.</w:t>
      </w:r>
    </w:p>
    <w:p w14:paraId="2F5AB5EF" w14:textId="77777777" w:rsidR="00CF2C97" w:rsidRDefault="00E072BA">
      <w:pPr>
        <w:autoSpaceDE w:val="0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Independentemente do percentual de tributo inserido na planilha, quando houver, serão retidos na fonte, quando da realização do pagamento, os percentuais estabelecidos na legislação vigente.</w:t>
      </w:r>
    </w:p>
    <w:p w14:paraId="46025FF9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Cs/>
          <w:sz w:val="24"/>
          <w:szCs w:val="24"/>
        </w:rPr>
        <w:t xml:space="preserve">7.24. O contratado regularmente optante pelo Simples Nacional, nos termos da </w:t>
      </w:r>
      <w:hyperlink r:id="rId11" w:history="1">
        <w:r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Lei Complementar nº 123, de 2006</w:t>
        </w:r>
      </w:hyperlink>
      <w:r>
        <w:rPr>
          <w:rFonts w:ascii="Times New Roman" w:hAnsi="Times New Roman" w:cs="Times New Roman"/>
          <w:bCs/>
          <w:sz w:val="24"/>
          <w:szCs w:val="24"/>
        </w:rPr>
        <w:t>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6428BE9A" w14:textId="77777777" w:rsidR="00CF2C97" w:rsidRDefault="00CF2C97">
      <w:pPr>
        <w:autoSpaceDE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251069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8 – SELEÇÃO DO FORNECEDOR</w:t>
      </w:r>
    </w:p>
    <w:p w14:paraId="4AF3464A" w14:textId="77777777" w:rsidR="00CF2C97" w:rsidRDefault="00E072BA">
      <w:pPr>
        <w:autoSpaceDE w:val="0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Forma de seleção e critério de julgamento da proposta</w:t>
      </w:r>
    </w:p>
    <w:p w14:paraId="71DC5CEC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8.1.</w:t>
      </w:r>
      <w:r>
        <w:rPr>
          <w:rFonts w:ascii="Times New Roman" w:hAnsi="Times New Roman" w:cs="Times New Roman"/>
          <w:bCs/>
          <w:sz w:val="24"/>
          <w:szCs w:val="24"/>
        </w:rPr>
        <w:t xml:space="preserve"> O fornecedor será selecionado por meio de procedimento de CONTRATAÇÃO DIRETA, por dispensa de licitação, sob a forma NÃO ELETRÔNICA, adotando-se o critério de julgamento pelo MENOR PREÇO.</w:t>
      </w:r>
    </w:p>
    <w:p w14:paraId="2DE5B3FC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8.2.</w:t>
      </w:r>
      <w:r>
        <w:rPr>
          <w:rFonts w:ascii="Times New Roman" w:hAnsi="Times New Roman" w:cs="Times New Roman"/>
          <w:bCs/>
          <w:sz w:val="24"/>
          <w:szCs w:val="24"/>
        </w:rPr>
        <w:t xml:space="preserve"> Devido ao fim do ano e à possibilidade de que o serviço não seja realizado dentro do prazo do exercício atual, torna-se necessária a contratação de uma empresa local.</w:t>
      </w:r>
    </w:p>
    <w:p w14:paraId="603693E6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8.3.</w:t>
      </w:r>
      <w:r>
        <w:rPr>
          <w:rFonts w:ascii="Times New Roman" w:hAnsi="Times New Roman" w:cs="Times New Roman"/>
          <w:bCs/>
          <w:sz w:val="24"/>
          <w:szCs w:val="24"/>
        </w:rPr>
        <w:t xml:space="preserve"> Ademais, existe a urgência para o pleno funcionamento do prédio da PRT3, sendo imprescindível a emissão do AVCB, após a fiscalização do CBMMG. O atual AVCB encontra-se vencido, representando um risco real à integridade dos Membros, Servidores, Terceirizados e do público em geral.</w:t>
      </w:r>
    </w:p>
    <w:p w14:paraId="28D4D817" w14:textId="77777777" w:rsidR="00CF2C97" w:rsidRDefault="00CF2C97">
      <w:pPr>
        <w:autoSpaceDE w:val="0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872B5AA" w14:textId="77777777" w:rsidR="00CF2C97" w:rsidRDefault="00E072BA">
      <w:pPr>
        <w:autoSpaceDE w:val="0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Exigências de habilitação fiscal, social e trabalhista</w:t>
      </w:r>
    </w:p>
    <w:p w14:paraId="33AFDCED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8.3</w:t>
      </w:r>
      <w:r>
        <w:rPr>
          <w:rFonts w:ascii="Times New Roman" w:hAnsi="Times New Roman" w:cs="Times New Roman"/>
          <w:bCs/>
          <w:sz w:val="24"/>
          <w:szCs w:val="24"/>
        </w:rPr>
        <w:t xml:space="preserve"> Para fins de habilitação jurídica, fiscal, social e trabalhista, deverão ser observados os seguintes requisitos:</w:t>
      </w:r>
    </w:p>
    <w:p w14:paraId="7CBB4357" w14:textId="77777777" w:rsidR="00CF2C97" w:rsidRDefault="00E072BA">
      <w:pPr>
        <w:autoSpaceDE w:val="0"/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8.4</w:t>
      </w:r>
      <w:r>
        <w:rPr>
          <w:rFonts w:ascii="Times New Roman" w:hAnsi="Times New Roman" w:cs="Times New Roman"/>
          <w:bCs/>
          <w:sz w:val="24"/>
          <w:szCs w:val="24"/>
        </w:rPr>
        <w:t xml:space="preserve"> Regularidade fiscal federal, trabalhista e do FGTS da empresa participante, bem como a ausência de impedimento para contratação pública na esfera federal.</w:t>
      </w:r>
    </w:p>
    <w:p w14:paraId="3713593E" w14:textId="77777777" w:rsidR="00CF2C97" w:rsidRDefault="00CF2C97">
      <w:pPr>
        <w:autoSpaceDE w:val="0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C536414" w14:textId="77777777" w:rsidR="00CF2C97" w:rsidRDefault="00E072BA">
      <w:pPr>
        <w:autoSpaceDE w:val="0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 – ESTIMATIVA DO PREÇO</w:t>
      </w:r>
    </w:p>
    <w:p w14:paraId="26335B30" w14:textId="77777777" w:rsidR="00CF2C97" w:rsidRDefault="00CF2C97">
      <w:pPr>
        <w:autoSpaceDE w:val="0"/>
        <w:spacing w:line="360" w:lineRule="auto"/>
        <w:jc w:val="both"/>
      </w:pPr>
    </w:p>
    <w:p w14:paraId="1B3E0719" w14:textId="56991F4D" w:rsidR="00CF2C97" w:rsidRDefault="00E072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9.1. O custo estimado total da contratação é de R$ </w:t>
      </w:r>
      <w:r w:rsidR="008F391E" w:rsidRPr="008F391E">
        <w:rPr>
          <w:rFonts w:ascii="Times New Roman" w:hAnsi="Times New Roman" w:cs="Times New Roman"/>
          <w:sz w:val="24"/>
          <w:szCs w:val="24"/>
        </w:rPr>
        <w:t>440</w:t>
      </w:r>
      <w:r w:rsidR="008F391E">
        <w:rPr>
          <w:rFonts w:ascii="Times New Roman" w:hAnsi="Times New Roman" w:cs="Times New Roman"/>
          <w:sz w:val="24"/>
          <w:szCs w:val="24"/>
        </w:rPr>
        <w:t>,</w:t>
      </w:r>
      <w:r w:rsidR="008F391E" w:rsidRPr="008F391E">
        <w:rPr>
          <w:rFonts w:ascii="Times New Roman" w:hAnsi="Times New Roman" w:cs="Times New Roman"/>
          <w:sz w:val="24"/>
          <w:szCs w:val="24"/>
        </w:rPr>
        <w:t>00</w:t>
      </w:r>
      <w:r w:rsidR="008F391E">
        <w:rPr>
          <w:rFonts w:ascii="Times New Roman" w:hAnsi="Times New Roman" w:cs="Times New Roman"/>
          <w:sz w:val="24"/>
          <w:szCs w:val="24"/>
        </w:rPr>
        <w:t xml:space="preserve"> (quatrocentos e quarenta reais</w:t>
      </w:r>
      <w:r>
        <w:rPr>
          <w:rFonts w:ascii="Times New Roman" w:hAnsi="Times New Roman" w:cs="Times New Roman"/>
          <w:sz w:val="24"/>
          <w:szCs w:val="24"/>
        </w:rPr>
        <w:t>), conforme mapa de apuração.</w:t>
      </w:r>
    </w:p>
    <w:p w14:paraId="3DFE74EB" w14:textId="5B3BFD62" w:rsidR="008F391E" w:rsidRDefault="008F391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9.2 O valor final da contratação dependerá da corretiva, pois pelo tempo sem manutenção não podemos ter com precisão o que será necessário reparar. Por isso foi realizado a cotação do material, levando em conta a necessidade, no qual só será realizado com a autorização da instituição.</w:t>
      </w:r>
    </w:p>
    <w:p w14:paraId="4728691E" w14:textId="77777777" w:rsidR="008F391E" w:rsidRDefault="008F391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A8CB59C" w14:textId="28FB2E35" w:rsidR="00CF2C97" w:rsidRDefault="00E072BA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 – ADEQUAÇÃO ORÇAMENTÁRIA</w:t>
      </w:r>
    </w:p>
    <w:p w14:paraId="13200315" w14:textId="77777777" w:rsidR="00CF2C97" w:rsidRDefault="00E072BA">
      <w:pPr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10.1. </w:t>
      </w:r>
      <w:r>
        <w:rPr>
          <w:rFonts w:ascii="Times New Roman" w:hAnsi="Times New Roman" w:cs="Times New Roman"/>
          <w:sz w:val="24"/>
          <w:szCs w:val="24"/>
        </w:rPr>
        <w:t>As despesas decorrentes da presente contratação correrão à conta de recursos específicos consignados no Orçamento Geral da União.</w:t>
      </w:r>
    </w:p>
    <w:p w14:paraId="4E22F533" w14:textId="77777777" w:rsidR="00CF2C97" w:rsidRDefault="00E072BA">
      <w:pPr>
        <w:spacing w:line="36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10.2. </w:t>
      </w:r>
      <w:r>
        <w:rPr>
          <w:rFonts w:ascii="Times New Roman" w:hAnsi="Times New Roman" w:cs="Times New Roman"/>
          <w:sz w:val="24"/>
          <w:szCs w:val="24"/>
        </w:rPr>
        <w:t>A indicação da dotação orçamentária fica postergada para o momento da Certidão de Disponibilidade Orçamentária a ser firmada pela Seção de Planejamento e Execução Orçamentária.</w:t>
      </w:r>
    </w:p>
    <w:p w14:paraId="2E2584B0" w14:textId="77777777" w:rsidR="00CF2C97" w:rsidRDefault="00CF2C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6021A3" w14:textId="77777777" w:rsidR="00CF2C97" w:rsidRDefault="00E072B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Belo Horizonte, data da assinatura eletrônica.</w:t>
      </w:r>
    </w:p>
    <w:p w14:paraId="05F2094A" w14:textId="77777777" w:rsidR="00843943" w:rsidRDefault="0084394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E41DF4E" w14:textId="4530B8E2" w:rsidR="00843943" w:rsidRPr="00843943" w:rsidRDefault="00843943" w:rsidP="0084394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43943">
        <w:rPr>
          <w:rFonts w:ascii="Times New Roman" w:hAnsi="Times New Roman" w:cs="Times New Roman"/>
          <w:sz w:val="24"/>
          <w:szCs w:val="24"/>
        </w:rPr>
        <w:t>Helbert Lelis Pedra</w:t>
      </w:r>
    </w:p>
    <w:p w14:paraId="2020987E" w14:textId="77777777" w:rsidR="00843943" w:rsidRPr="00843943" w:rsidRDefault="00843943" w:rsidP="0084394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43943">
        <w:rPr>
          <w:rFonts w:ascii="Times New Roman" w:hAnsi="Times New Roman" w:cs="Times New Roman"/>
          <w:sz w:val="24"/>
          <w:szCs w:val="24"/>
        </w:rPr>
        <w:t>Técnico(a) do MPU/segurança Institucional e Transporte - SRSI</w:t>
      </w:r>
    </w:p>
    <w:p w14:paraId="30A5A89A" w14:textId="77777777" w:rsidR="00843943" w:rsidRDefault="0084394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80BE8C3" w14:textId="77777777" w:rsidR="00843943" w:rsidRDefault="0084394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2F751EB" w14:textId="77777777" w:rsidR="00CF2C97" w:rsidRDefault="00CF2C9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50E66D5" w14:textId="77777777" w:rsidR="00CF2C97" w:rsidRDefault="00CF2C9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8BD7A4" w14:textId="77777777" w:rsidR="00CF2C97" w:rsidRDefault="00CF2C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F2C97">
      <w:pgSz w:w="11906" w:h="16838"/>
      <w:pgMar w:top="1440" w:right="1440" w:bottom="1440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D97098" w14:textId="77777777" w:rsidR="00656C4D" w:rsidRDefault="00656C4D">
      <w:r>
        <w:separator/>
      </w:r>
    </w:p>
  </w:endnote>
  <w:endnote w:type="continuationSeparator" w:id="0">
    <w:p w14:paraId="347507F3" w14:textId="77777777" w:rsidR="00656C4D" w:rsidRDefault="0065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cofont_Spranq_eco_Sans">
    <w:altName w:val="Cambria"/>
    <w:charset w:val="00"/>
    <w:family w:val="roman"/>
    <w:pitch w:val="variable"/>
  </w:font>
  <w:font w:name="OpenSymbol">
    <w:charset w:val="00"/>
    <w:family w:val="auto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9B269E" w14:textId="77777777" w:rsidR="00656C4D" w:rsidRDefault="00656C4D">
      <w:r>
        <w:rPr>
          <w:color w:val="000000"/>
        </w:rPr>
        <w:separator/>
      </w:r>
    </w:p>
  </w:footnote>
  <w:footnote w:type="continuationSeparator" w:id="0">
    <w:p w14:paraId="18A5E975" w14:textId="77777777" w:rsidR="00656C4D" w:rsidRDefault="00656C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E52FF1"/>
    <w:multiLevelType w:val="multilevel"/>
    <w:tmpl w:val="D826A500"/>
    <w:styleLink w:val="WWOutlineListStyl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141361D9"/>
    <w:multiLevelType w:val="multilevel"/>
    <w:tmpl w:val="0C10381A"/>
    <w:lvl w:ilvl="0">
      <w:numFmt w:val="bullet"/>
      <w:lvlText w:val=""/>
      <w:lvlJc w:val="left"/>
      <w:pPr>
        <w:ind w:left="720" w:hanging="360"/>
      </w:pPr>
      <w:rPr>
        <w:rFonts w:ascii="Symbol" w:eastAsia="Segoe UI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BD26CC8"/>
    <w:multiLevelType w:val="multilevel"/>
    <w:tmpl w:val="0FB8459C"/>
    <w:styleLink w:val="WWNum6"/>
    <w:lvl w:ilvl="0">
      <w:numFmt w:val="bullet"/>
      <w:lvlText w:val="-"/>
      <w:lvlJc w:val="left"/>
      <w:pPr>
        <w:ind w:left="12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numFmt w:val="bullet"/>
      <w:lvlText w:val="o"/>
      <w:lvlJc w:val="left"/>
      <w:pPr>
        <w:ind w:left="113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pPr>
        <w:ind w:left="185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pPr>
        <w:ind w:left="257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pPr>
        <w:ind w:left="329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pPr>
        <w:ind w:left="401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pPr>
        <w:ind w:left="473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pPr>
        <w:ind w:left="545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pPr>
        <w:ind w:left="617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3" w15:restartNumberingAfterBreak="0">
    <w:nsid w:val="1E4911A3"/>
    <w:multiLevelType w:val="multilevel"/>
    <w:tmpl w:val="897AA118"/>
    <w:styleLink w:val="WWNum7"/>
    <w:lvl w:ilvl="0">
      <w:numFmt w:val="bullet"/>
      <w:lvlText w:val="-"/>
      <w:lvlJc w:val="left"/>
      <w:pPr>
        <w:ind w:left="12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numFmt w:val="bullet"/>
      <w:lvlText w:val="o"/>
      <w:lvlJc w:val="left"/>
      <w:pPr>
        <w:ind w:left="113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pPr>
        <w:ind w:left="185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pPr>
        <w:ind w:left="257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pPr>
        <w:ind w:left="329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pPr>
        <w:ind w:left="401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pPr>
        <w:ind w:left="473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pPr>
        <w:ind w:left="545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pPr>
        <w:ind w:left="617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4" w15:restartNumberingAfterBreak="0">
    <w:nsid w:val="238D04CA"/>
    <w:multiLevelType w:val="multilevel"/>
    <w:tmpl w:val="EDD6DCFC"/>
    <w:styleLink w:val="WWNum9"/>
    <w:lvl w:ilvl="0">
      <w:start w:val="1"/>
      <w:numFmt w:val="lowerLetter"/>
      <w:lvlText w:val="%1"/>
      <w:lvlJc w:val="left"/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pPr>
        <w:ind w:left="1151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pPr>
        <w:ind w:left="1871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pPr>
        <w:ind w:left="2591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pPr>
        <w:ind w:left="3311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pPr>
        <w:ind w:left="4031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pPr>
        <w:ind w:left="4751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pPr>
        <w:ind w:left="5471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pPr>
        <w:ind w:left="6191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</w:abstractNum>
  <w:abstractNum w:abstractNumId="5" w15:restartNumberingAfterBreak="0">
    <w:nsid w:val="288C464A"/>
    <w:multiLevelType w:val="multilevel"/>
    <w:tmpl w:val="732CD5EA"/>
    <w:styleLink w:val="WWNum1"/>
    <w:lvl w:ilvl="0">
      <w:start w:val="1"/>
      <w:numFmt w:val="upperRoman"/>
      <w:lvlText w:val="%1"/>
      <w:lvlJc w:val="left"/>
      <w:pPr>
        <w:ind w:left="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</w:abstractNum>
  <w:abstractNum w:abstractNumId="6" w15:restartNumberingAfterBreak="0">
    <w:nsid w:val="291709C8"/>
    <w:multiLevelType w:val="multilevel"/>
    <w:tmpl w:val="E90E67A8"/>
    <w:styleLink w:val="WWNum4"/>
    <w:lvl w:ilvl="0">
      <w:start w:val="1"/>
      <w:numFmt w:val="lowerLetter"/>
      <w:lvlText w:val="%1"/>
      <w:lvlJc w:val="left"/>
      <w:pPr>
        <w:ind w:left="386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pPr>
        <w:ind w:left="468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pPr>
        <w:ind w:left="540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pPr>
        <w:ind w:left="612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pPr>
        <w:ind w:left="684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pPr>
        <w:ind w:left="756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pPr>
        <w:ind w:left="828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pPr>
        <w:ind w:left="900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pPr>
        <w:ind w:left="972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</w:abstractNum>
  <w:abstractNum w:abstractNumId="7" w15:restartNumberingAfterBreak="0">
    <w:nsid w:val="302B26B3"/>
    <w:multiLevelType w:val="multilevel"/>
    <w:tmpl w:val="B5E49444"/>
    <w:styleLink w:val="LFO16"/>
    <w:lvl w:ilvl="0">
      <w:start w:val="1"/>
      <w:numFmt w:val="decimal"/>
      <w:pStyle w:val="Nivel5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97872F8"/>
    <w:multiLevelType w:val="multilevel"/>
    <w:tmpl w:val="AE06B032"/>
    <w:styleLink w:val="WWNum2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)"/>
      <w:lvlJc w:val="left"/>
      <w:pPr>
        <w:ind w:left="1224" w:hanging="504"/>
      </w:pPr>
      <w:rPr>
        <w:b w:val="0"/>
        <w:i w:val="0"/>
        <w:iCs/>
        <w:color w:val="00000A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99D02F9"/>
    <w:multiLevelType w:val="multilevel"/>
    <w:tmpl w:val="944EDCD0"/>
    <w:styleLink w:val="Outlin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" w15:restartNumberingAfterBreak="0">
    <w:nsid w:val="3C6C4AAE"/>
    <w:multiLevelType w:val="multilevel"/>
    <w:tmpl w:val="65F6ECCA"/>
    <w:styleLink w:val="WWNum2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Arial"/>
        <w:b w:val="0"/>
        <w:i w:val="0"/>
        <w:iCs/>
        <w:color w:val="00000A"/>
      </w:rPr>
    </w:lvl>
    <w:lvl w:ilvl="3">
      <w:start w:val="1"/>
      <w:numFmt w:val="lowerLetter"/>
      <w:lvlText w:val="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11338BE"/>
    <w:multiLevelType w:val="multilevel"/>
    <w:tmpl w:val="3F866B14"/>
    <w:styleLink w:val="WWOutlineListStyle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2" w15:restartNumberingAfterBreak="0">
    <w:nsid w:val="42FA4531"/>
    <w:multiLevelType w:val="multilevel"/>
    <w:tmpl w:val="660A2282"/>
    <w:styleLink w:val="LFO15"/>
    <w:lvl w:ilvl="0">
      <w:start w:val="1"/>
      <w:numFmt w:val="decimal"/>
      <w:pStyle w:val="Estilo1"/>
      <w:lvlText w:val="%1."/>
      <w:lvlJc w:val="left"/>
      <w:pPr>
        <w:ind w:left="720" w:hanging="360"/>
      </w:pPr>
      <w:rPr>
        <w:rFonts w:cs="Times New Roman"/>
        <w:b/>
        <w:bCs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1072" w:hanging="363"/>
      </w:pPr>
      <w:rPr>
        <w:rFonts w:cs="Times New Roman"/>
        <w:b/>
        <w:bCs/>
        <w:strike w:val="0"/>
        <w:dstrike w:val="0"/>
        <w:color w:val="auto"/>
      </w:rPr>
    </w:lvl>
    <w:lvl w:ilvl="2">
      <w:start w:val="1"/>
      <w:numFmt w:val="decimal"/>
      <w:suff w:val="space"/>
      <w:lvlText w:val=" %1.%2.%3."/>
      <w:lvlJc w:val="left"/>
      <w:pPr>
        <w:ind w:left="1440" w:hanging="360"/>
      </w:pPr>
      <w:rPr>
        <w:rFonts w:cs="Times New Roman"/>
        <w:b/>
        <w:bCs/>
      </w:rPr>
    </w:lvl>
    <w:lvl w:ilvl="3">
      <w:start w:val="1"/>
      <w:numFmt w:val="decimal"/>
      <w:suff w:val="space"/>
      <w:lvlText w:val=" %1.%2.%3.%4."/>
      <w:lvlJc w:val="left"/>
      <w:pPr>
        <w:ind w:left="1920" w:hanging="360"/>
      </w:pPr>
      <w:rPr>
        <w:rFonts w:cs="Times New Roman"/>
        <w:sz w:val="24"/>
        <w:szCs w:val="24"/>
      </w:rPr>
    </w:lvl>
    <w:lvl w:ilvl="4">
      <w:start w:val="1"/>
      <w:numFmt w:val="decimal"/>
      <w:suff w:val="space"/>
      <w:lvlText w:val=" %1.%2.%3.%4.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 %1.%2.%3.%4.%5.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 %1.%2.%3.%4.%5.%6.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 %1.%2.%3.%4.%5.%6.%7.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 %1.%2.%3.%4.%5.%6.%7.%8.%9."/>
      <w:lvlJc w:val="left"/>
      <w:pPr>
        <w:ind w:left="3600" w:hanging="360"/>
      </w:pPr>
      <w:rPr>
        <w:rFonts w:cs="Times New Roman"/>
      </w:rPr>
    </w:lvl>
  </w:abstractNum>
  <w:abstractNum w:abstractNumId="13" w15:restartNumberingAfterBreak="0">
    <w:nsid w:val="44582611"/>
    <w:multiLevelType w:val="multilevel"/>
    <w:tmpl w:val="27F8D286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4" w15:restartNumberingAfterBreak="0">
    <w:nsid w:val="46EF7AF1"/>
    <w:multiLevelType w:val="multilevel"/>
    <w:tmpl w:val="644E89AE"/>
    <w:styleLink w:val="WWOutlineListStyle3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5" w15:restartNumberingAfterBreak="0">
    <w:nsid w:val="48D12FA0"/>
    <w:multiLevelType w:val="multilevel"/>
    <w:tmpl w:val="6F78E840"/>
    <w:styleLink w:val="WWNum2"/>
    <w:lvl w:ilvl="0">
      <w:start w:val="1"/>
      <w:numFmt w:val="upperRoman"/>
      <w:lvlText w:val="%1"/>
      <w:lvlJc w:val="left"/>
      <w:pPr>
        <w:ind w:left="2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0"/>
        <w:szCs w:val="20"/>
        <w:u w:val="none"/>
        <w:shd w:val="clear" w:color="auto" w:fill="auto"/>
        <w:vertAlign w:val="baseline"/>
      </w:rPr>
    </w:lvl>
  </w:abstractNum>
  <w:abstractNum w:abstractNumId="16" w15:restartNumberingAfterBreak="0">
    <w:nsid w:val="49306FED"/>
    <w:multiLevelType w:val="multilevel"/>
    <w:tmpl w:val="5532F496"/>
    <w:styleLink w:val="WWOutlineListStyle1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7" w15:restartNumberingAfterBreak="0">
    <w:nsid w:val="4AB37618"/>
    <w:multiLevelType w:val="multilevel"/>
    <w:tmpl w:val="AB16D5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58F441C5"/>
    <w:multiLevelType w:val="multilevel"/>
    <w:tmpl w:val="ED7094D0"/>
    <w:styleLink w:val="WWOutlineListStyle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9" w15:restartNumberingAfterBreak="0">
    <w:nsid w:val="5C947045"/>
    <w:multiLevelType w:val="multilevel"/>
    <w:tmpl w:val="C3F2B7E6"/>
    <w:styleLink w:val="WWNum3"/>
    <w:lvl w:ilvl="0">
      <w:start w:val="2"/>
      <w:numFmt w:val="lowerLetter"/>
      <w:lvlText w:val="%1"/>
      <w:lvlJc w:val="left"/>
      <w:pPr>
        <w:ind w:left="216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pPr>
        <w:ind w:left="324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pPr>
        <w:ind w:left="396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pPr>
        <w:ind w:left="468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pPr>
        <w:ind w:left="540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pPr>
        <w:ind w:left="612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pPr>
        <w:ind w:left="684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pPr>
        <w:ind w:left="756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pPr>
        <w:ind w:left="8280" w:firstLine="0"/>
      </w:pPr>
      <w:rPr>
        <w:rFonts w:ascii="Liberation Serif" w:eastAsia="Liberation Serif" w:hAnsi="Liberation Serif" w:cs="Liberation Serif"/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auto"/>
        <w:vertAlign w:val="baseline"/>
      </w:rPr>
    </w:lvl>
  </w:abstractNum>
  <w:abstractNum w:abstractNumId="20" w15:restartNumberingAfterBreak="0">
    <w:nsid w:val="5D997A57"/>
    <w:multiLevelType w:val="multilevel"/>
    <w:tmpl w:val="46106B46"/>
    <w:styleLink w:val="WWNum8"/>
    <w:lvl w:ilvl="0">
      <w:start w:val="1"/>
      <w:numFmt w:val="lowerLetter"/>
      <w:lvlText w:val="%1"/>
      <w:lvlJc w:val="left"/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1">
      <w:start w:val="1"/>
      <w:numFmt w:val="lowerLetter"/>
      <w:lvlText w:val="%1.%2"/>
      <w:lvlJc w:val="left"/>
      <w:pPr>
        <w:ind w:left="1136" w:firstLine="0"/>
      </w:pPr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2">
      <w:start w:val="1"/>
      <w:numFmt w:val="lowerRoman"/>
      <w:lvlText w:val="%1.%2.%3"/>
      <w:lvlJc w:val="left"/>
      <w:pPr>
        <w:ind w:left="1856" w:firstLine="0"/>
      </w:pPr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3">
      <w:start w:val="1"/>
      <w:numFmt w:val="decimal"/>
      <w:lvlText w:val="%1.%2.%3.%4"/>
      <w:lvlJc w:val="left"/>
      <w:pPr>
        <w:ind w:left="2576" w:firstLine="0"/>
      </w:pPr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4">
      <w:start w:val="1"/>
      <w:numFmt w:val="lowerLetter"/>
      <w:lvlText w:val="%1.%2.%3.%4.%5"/>
      <w:lvlJc w:val="left"/>
      <w:pPr>
        <w:ind w:left="3296" w:firstLine="0"/>
      </w:pPr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5">
      <w:start w:val="1"/>
      <w:numFmt w:val="lowerRoman"/>
      <w:lvlText w:val="%1.%2.%3.%4.%5.%6"/>
      <w:lvlJc w:val="left"/>
      <w:pPr>
        <w:ind w:left="4016" w:firstLine="0"/>
      </w:pPr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6">
      <w:start w:val="1"/>
      <w:numFmt w:val="decimal"/>
      <w:lvlText w:val="%1.%2.%3.%4.%5.%6.%7"/>
      <w:lvlJc w:val="left"/>
      <w:pPr>
        <w:ind w:left="4736" w:firstLine="0"/>
      </w:pPr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7">
      <w:start w:val="1"/>
      <w:numFmt w:val="lowerLetter"/>
      <w:lvlText w:val="%1.%2.%3.%4.%5.%6.%7.%8"/>
      <w:lvlJc w:val="left"/>
      <w:pPr>
        <w:ind w:left="5456" w:firstLine="0"/>
      </w:pPr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  <w:lvl w:ilvl="8">
      <w:start w:val="1"/>
      <w:numFmt w:val="lowerRoman"/>
      <w:lvlText w:val="%1.%2.%3.%4.%5.%6.%7.%8.%9"/>
      <w:lvlJc w:val="left"/>
      <w:pPr>
        <w:ind w:left="6176" w:firstLine="0"/>
      </w:pPr>
      <w:rPr>
        <w:rFonts w:ascii="Liberation Serif" w:eastAsia="Liberation Serif" w:hAnsi="Liberation Serif" w:cs="Liberation Serif"/>
        <w:b/>
        <w:bCs/>
        <w:i w:val="0"/>
        <w:strike w:val="0"/>
        <w:dstrike w:val="0"/>
        <w:color w:val="000000"/>
        <w:position w:val="0"/>
        <w:sz w:val="21"/>
        <w:szCs w:val="21"/>
        <w:u w:val="none"/>
        <w:shd w:val="clear" w:color="auto" w:fill="auto"/>
        <w:vertAlign w:val="baseline"/>
      </w:rPr>
    </w:lvl>
  </w:abstractNum>
  <w:abstractNum w:abstractNumId="21" w15:restartNumberingAfterBreak="0">
    <w:nsid w:val="601E213D"/>
    <w:multiLevelType w:val="multilevel"/>
    <w:tmpl w:val="A060F4AA"/>
    <w:styleLink w:val="WWNum5"/>
    <w:lvl w:ilvl="0">
      <w:numFmt w:val="bullet"/>
      <w:lvlText w:val="-"/>
      <w:lvlJc w:val="left"/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1">
      <w:numFmt w:val="bullet"/>
      <w:lvlText w:val="o"/>
      <w:lvlJc w:val="left"/>
      <w:pPr>
        <w:ind w:left="113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2">
      <w:numFmt w:val="bullet"/>
      <w:lvlText w:val="▪"/>
      <w:lvlJc w:val="left"/>
      <w:pPr>
        <w:ind w:left="185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3">
      <w:numFmt w:val="bullet"/>
      <w:lvlText w:val="•"/>
      <w:lvlJc w:val="left"/>
      <w:pPr>
        <w:ind w:left="257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4">
      <w:numFmt w:val="bullet"/>
      <w:lvlText w:val="o"/>
      <w:lvlJc w:val="left"/>
      <w:pPr>
        <w:ind w:left="329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5">
      <w:numFmt w:val="bullet"/>
      <w:lvlText w:val="▪"/>
      <w:lvlJc w:val="left"/>
      <w:pPr>
        <w:ind w:left="401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6">
      <w:numFmt w:val="bullet"/>
      <w:lvlText w:val="•"/>
      <w:lvlJc w:val="left"/>
      <w:pPr>
        <w:ind w:left="473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7">
      <w:numFmt w:val="bullet"/>
      <w:lvlText w:val="o"/>
      <w:lvlJc w:val="left"/>
      <w:pPr>
        <w:ind w:left="545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  <w:lvl w:ilvl="8">
      <w:numFmt w:val="bullet"/>
      <w:lvlText w:val="▪"/>
      <w:lvlJc w:val="left"/>
      <w:pPr>
        <w:ind w:left="6178" w:firstLine="0"/>
      </w:pPr>
      <w:rPr>
        <w:rFonts w:ascii="Times New Roman" w:eastAsia="Liberation Serif" w:hAnsi="Times New Roman" w:cs="Liberation Serif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</w:rPr>
    </w:lvl>
  </w:abstractNum>
  <w:abstractNum w:abstractNumId="22" w15:restartNumberingAfterBreak="0">
    <w:nsid w:val="662564DC"/>
    <w:multiLevelType w:val="multilevel"/>
    <w:tmpl w:val="1F04307C"/>
    <w:styleLink w:val="Semlista1"/>
    <w:lvl w:ilvl="0">
      <w:start w:val="1"/>
      <w:numFmt w:val="none"/>
      <w:pStyle w:val="Nvel2-Red"/>
      <w:lvlText w:val="%1."/>
      <w:lvlJc w:val="left"/>
      <w:pPr>
        <w:ind w:left="720" w:hanging="360"/>
      </w:pPr>
    </w:lvl>
    <w:lvl w:ilvl="1">
      <w:start w:val="1"/>
      <w:numFmt w:val="none"/>
      <w:lvlText w:val="."/>
      <w:lvlJc w:val="left"/>
      <w:pPr>
        <w:ind w:left="1080" w:hanging="360"/>
      </w:pPr>
    </w:lvl>
    <w:lvl w:ilvl="2">
      <w:start w:val="1"/>
      <w:numFmt w:val="none"/>
      <w:lvlText w:val="."/>
      <w:lvlJc w:val="left"/>
      <w:pPr>
        <w:ind w:left="1440" w:hanging="360"/>
      </w:pPr>
    </w:lvl>
    <w:lvl w:ilvl="3">
      <w:start w:val="1"/>
      <w:numFmt w:val="none"/>
      <w:lvlText w:val="."/>
      <w:lvlJc w:val="left"/>
      <w:pPr>
        <w:ind w:left="1800" w:hanging="360"/>
      </w:pPr>
    </w:lvl>
    <w:lvl w:ilvl="4">
      <w:start w:val="1"/>
      <w:numFmt w:val="none"/>
      <w:lvlText w:val="."/>
      <w:lvlJc w:val="left"/>
      <w:pPr>
        <w:ind w:left="2160" w:hanging="360"/>
      </w:pPr>
    </w:lvl>
    <w:lvl w:ilvl="5">
      <w:start w:val="1"/>
      <w:numFmt w:val="none"/>
      <w:lvlText w:val="."/>
      <w:lvlJc w:val="left"/>
      <w:pPr>
        <w:ind w:left="2520" w:hanging="360"/>
      </w:pPr>
    </w:lvl>
    <w:lvl w:ilvl="6">
      <w:start w:val="1"/>
      <w:numFmt w:val="none"/>
      <w:lvlText w:val="."/>
      <w:lvlJc w:val="left"/>
      <w:pPr>
        <w:ind w:left="2880" w:hanging="360"/>
      </w:pPr>
    </w:lvl>
    <w:lvl w:ilvl="7">
      <w:start w:val="1"/>
      <w:numFmt w:val="none"/>
      <w:lvlText w:val="."/>
      <w:lvlJc w:val="left"/>
      <w:pPr>
        <w:ind w:left="3240" w:hanging="360"/>
      </w:pPr>
    </w:lvl>
    <w:lvl w:ilvl="8">
      <w:start w:val="1"/>
      <w:numFmt w:val="none"/>
      <w:lvlText w:val="."/>
      <w:lvlJc w:val="left"/>
      <w:pPr>
        <w:ind w:left="3600" w:hanging="360"/>
      </w:pPr>
    </w:lvl>
  </w:abstractNum>
  <w:num w:numId="1" w16cid:durableId="807209429">
    <w:abstractNumId w:val="11"/>
  </w:num>
  <w:num w:numId="2" w16cid:durableId="1330019581">
    <w:abstractNumId w:val="18"/>
  </w:num>
  <w:num w:numId="3" w16cid:durableId="1805003243">
    <w:abstractNumId w:val="9"/>
  </w:num>
  <w:num w:numId="4" w16cid:durableId="680351170">
    <w:abstractNumId w:val="22"/>
  </w:num>
  <w:num w:numId="5" w16cid:durableId="1585142706">
    <w:abstractNumId w:val="16"/>
  </w:num>
  <w:num w:numId="6" w16cid:durableId="800686060">
    <w:abstractNumId w:val="0"/>
  </w:num>
  <w:num w:numId="7" w16cid:durableId="1087071112">
    <w:abstractNumId w:val="14"/>
  </w:num>
  <w:num w:numId="8" w16cid:durableId="14573859">
    <w:abstractNumId w:val="5"/>
  </w:num>
  <w:num w:numId="9" w16cid:durableId="812328057">
    <w:abstractNumId w:val="15"/>
  </w:num>
  <w:num w:numId="10" w16cid:durableId="1195651372">
    <w:abstractNumId w:val="19"/>
  </w:num>
  <w:num w:numId="11" w16cid:durableId="2116289548">
    <w:abstractNumId w:val="6"/>
  </w:num>
  <w:num w:numId="12" w16cid:durableId="1848910193">
    <w:abstractNumId w:val="21"/>
  </w:num>
  <w:num w:numId="13" w16cid:durableId="2027126172">
    <w:abstractNumId w:val="2"/>
  </w:num>
  <w:num w:numId="14" w16cid:durableId="1577590841">
    <w:abstractNumId w:val="3"/>
  </w:num>
  <w:num w:numId="15" w16cid:durableId="1866793100">
    <w:abstractNumId w:val="20"/>
  </w:num>
  <w:num w:numId="16" w16cid:durableId="452134863">
    <w:abstractNumId w:val="4"/>
  </w:num>
  <w:num w:numId="17" w16cid:durableId="1066761689">
    <w:abstractNumId w:val="10"/>
  </w:num>
  <w:num w:numId="18" w16cid:durableId="271471823">
    <w:abstractNumId w:val="8"/>
  </w:num>
  <w:num w:numId="19" w16cid:durableId="553471629">
    <w:abstractNumId w:val="12"/>
  </w:num>
  <w:num w:numId="20" w16cid:durableId="1067455943">
    <w:abstractNumId w:val="7"/>
  </w:num>
  <w:num w:numId="21" w16cid:durableId="1824734986">
    <w:abstractNumId w:val="13"/>
  </w:num>
  <w:num w:numId="22" w16cid:durableId="1634825265">
    <w:abstractNumId w:val="1"/>
  </w:num>
  <w:num w:numId="23" w16cid:durableId="11889064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C97"/>
    <w:rsid w:val="000342F5"/>
    <w:rsid w:val="00160F8F"/>
    <w:rsid w:val="00270758"/>
    <w:rsid w:val="002818F2"/>
    <w:rsid w:val="00411B02"/>
    <w:rsid w:val="004C0F7D"/>
    <w:rsid w:val="005754A0"/>
    <w:rsid w:val="00656C4D"/>
    <w:rsid w:val="00706F19"/>
    <w:rsid w:val="007C2DE9"/>
    <w:rsid w:val="00843943"/>
    <w:rsid w:val="008F391E"/>
    <w:rsid w:val="00A72F17"/>
    <w:rsid w:val="00B36928"/>
    <w:rsid w:val="00B90556"/>
    <w:rsid w:val="00C95929"/>
    <w:rsid w:val="00CF2C97"/>
    <w:rsid w:val="00D171A5"/>
    <w:rsid w:val="00E072BA"/>
    <w:rsid w:val="00E148F3"/>
    <w:rsid w:val="00F301D9"/>
    <w:rsid w:val="0BDB01A7"/>
    <w:rsid w:val="33148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85F09"/>
  <w15:docId w15:val="{6E28CFFB-68C8-48AF-9C10-9C9613AF6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egoe UI" w:hAnsi="Calibri" w:cs="Tahoma"/>
        <w:sz w:val="22"/>
        <w:szCs w:val="22"/>
        <w:lang w:val="pt-BR" w:eastAsia="pt-BR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next w:val="Standard"/>
    <w:uiPriority w:val="9"/>
    <w:qFormat/>
    <w:pPr>
      <w:keepNext/>
      <w:keepLines/>
      <w:widowControl/>
      <w:suppressAutoHyphens/>
      <w:spacing w:after="543" w:line="360" w:lineRule="auto"/>
      <w:ind w:left="32" w:right="88" w:hanging="10"/>
      <w:outlineLvl w:val="0"/>
    </w:pPr>
    <w:rPr>
      <w:rFonts w:ascii="Liberation Serif" w:eastAsia="Liberation Serif" w:hAnsi="Liberation Serif" w:cs="Liberation Serif"/>
      <w:b/>
      <w:color w:val="000000"/>
      <w:sz w:val="24"/>
    </w:rPr>
  </w:style>
  <w:style w:type="paragraph" w:styleId="Ttulo2">
    <w:name w:val="heading 2"/>
    <w:next w:val="Standard"/>
    <w:uiPriority w:val="9"/>
    <w:semiHidden/>
    <w:unhideWhenUsed/>
    <w:qFormat/>
    <w:pPr>
      <w:keepNext/>
      <w:keepLines/>
      <w:widowControl/>
      <w:suppressAutoHyphens/>
      <w:spacing w:after="543" w:line="360" w:lineRule="auto"/>
      <w:ind w:left="32" w:right="88" w:hanging="10"/>
      <w:outlineLvl w:val="1"/>
    </w:pPr>
    <w:rPr>
      <w:rFonts w:ascii="Liberation Serif" w:eastAsia="Liberation Serif" w:hAnsi="Liberation Serif" w:cs="Liberation Serif"/>
      <w:b/>
      <w:color w:val="000000"/>
      <w:sz w:val="24"/>
    </w:rPr>
  </w:style>
  <w:style w:type="paragraph" w:styleId="Ttulo7">
    <w:name w:val="heading 7"/>
    <w:basedOn w:val="Normal"/>
    <w:next w:val="Normal"/>
    <w:pPr>
      <w:keepNext/>
      <w:keepLines/>
      <w:spacing w:before="40"/>
      <w:outlineLvl w:val="6"/>
    </w:pPr>
    <w:rPr>
      <w:rFonts w:ascii="Calibri Light" w:eastAsia="Times New Roman" w:hAnsi="Calibri Light" w:cs="Times New Roman"/>
      <w:i/>
      <w:iCs/>
      <w:color w:val="1F376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WWOutlineListStyle4">
    <w:name w:val="WW_OutlineListStyle_4"/>
    <w:basedOn w:val="Semlista"/>
    <w:pPr>
      <w:numPr>
        <w:numId w:val="1"/>
      </w:numPr>
    </w:pPr>
  </w:style>
  <w:style w:type="paragraph" w:customStyle="1" w:styleId="Nivel01">
    <w:name w:val="Nivel 01"/>
    <w:basedOn w:val="Ttulo1"/>
    <w:next w:val="Normal"/>
    <w:pPr>
      <w:numPr>
        <w:numId w:val="1"/>
      </w:numPr>
      <w:tabs>
        <w:tab w:val="left" w:pos="-1105"/>
      </w:tabs>
      <w:suppressAutoHyphens w:val="0"/>
      <w:spacing w:before="240" w:after="0" w:line="240" w:lineRule="auto"/>
      <w:ind w:right="0"/>
      <w:jc w:val="both"/>
      <w:textAlignment w:val="auto"/>
    </w:pPr>
    <w:rPr>
      <w:rFonts w:ascii="Arial" w:eastAsia="Times New Roman" w:hAnsi="Arial" w:cs="Arial"/>
      <w:bCs/>
      <w:color w:val="auto"/>
      <w:sz w:val="20"/>
      <w:szCs w:val="20"/>
    </w:rPr>
  </w:style>
  <w:style w:type="paragraph" w:customStyle="1" w:styleId="Standard">
    <w:name w:val="Standard"/>
    <w:pPr>
      <w:widowControl/>
      <w:suppressAutoHyphens/>
      <w:spacing w:after="62" w:line="348" w:lineRule="auto"/>
      <w:ind w:left="10" w:right="16" w:hanging="10"/>
      <w:jc w:val="both"/>
    </w:pPr>
    <w:rPr>
      <w:rFonts w:ascii="Liberation Serif" w:eastAsia="Liberation Serif" w:hAnsi="Liberation Serif" w:cs="Liberation Serif"/>
      <w:color w:val="000000"/>
      <w:sz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footnotedescription">
    <w:name w:val="footnote description"/>
    <w:next w:val="Standard"/>
    <w:pPr>
      <w:widowControl/>
      <w:suppressAutoHyphens/>
      <w:ind w:left="170" w:right="9" w:hanging="170"/>
      <w:jc w:val="both"/>
    </w:pPr>
    <w:rPr>
      <w:rFonts w:ascii="Liberation Serif" w:eastAsia="Liberation Serif" w:hAnsi="Liberation Serif" w:cs="Liberation Serif"/>
      <w:color w:val="000000"/>
      <w:sz w:val="16"/>
    </w:rPr>
  </w:style>
  <w:style w:type="paragraph" w:customStyle="1" w:styleId="Footnote">
    <w:name w:val="Footnote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pPr>
      <w:suppressLineNumbers/>
      <w:tabs>
        <w:tab w:val="center" w:pos="4829"/>
        <w:tab w:val="right" w:pos="964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Estilo1">
    <w:name w:val="Estilo1"/>
    <w:basedOn w:val="Cabealho"/>
    <w:pPr>
      <w:numPr>
        <w:numId w:val="19"/>
      </w:numPr>
      <w:tabs>
        <w:tab w:val="clear" w:pos="4252"/>
        <w:tab w:val="clear" w:pos="8504"/>
        <w:tab w:val="left" w:pos="-5760"/>
      </w:tabs>
      <w:spacing w:before="360" w:after="120" w:line="100" w:lineRule="atLeast"/>
      <w:jc w:val="both"/>
      <w:textAlignment w:val="auto"/>
    </w:pPr>
    <w:rPr>
      <w:rFonts w:ascii="Times New Roman" w:eastAsia="SimSun" w:hAnsi="Times New Roman" w:cs="Times New Roman"/>
      <w:b/>
      <w:bCs/>
      <w:kern w:val="3"/>
      <w:sz w:val="24"/>
      <w:szCs w:val="24"/>
      <w:lang w:eastAsia="zh-CN"/>
    </w:rPr>
  </w:style>
  <w:style w:type="paragraph" w:styleId="NormalWeb">
    <w:name w:val="Normal (Web)"/>
    <w:basedOn w:val="Normal"/>
    <w:pPr>
      <w:widowControl/>
      <w:suppressAutoHyphens w:val="0"/>
      <w:spacing w:before="100" w:after="100"/>
      <w:textAlignment w:val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pPr>
      <w:widowControl/>
      <w:autoSpaceDE w:val="0"/>
      <w:textAlignment w:val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pPr>
      <w:widowControl/>
      <w:suppressAutoHyphens w:val="0"/>
      <w:ind w:left="720"/>
      <w:textAlignment w:val="auto"/>
    </w:pPr>
    <w:rPr>
      <w:rFonts w:ascii="Ecofont_Spranq_eco_Sans" w:eastAsia="Times New Roman" w:hAnsi="Ecofont_Spranq_eco_Sans" w:cs="Ecofont_Spranq_eco_Sans"/>
      <w:sz w:val="24"/>
      <w:szCs w:val="24"/>
    </w:rPr>
  </w:style>
  <w:style w:type="paragraph" w:styleId="Textodecomentrio">
    <w:name w:val="annotation text"/>
    <w:basedOn w:val="Normal"/>
    <w:pPr>
      <w:widowControl/>
      <w:suppressAutoHyphens w:val="0"/>
      <w:textAlignment w:val="auto"/>
    </w:pPr>
    <w:rPr>
      <w:rFonts w:ascii="Ecofont_Spranq_eco_Sans" w:eastAsia="Times New Roman" w:hAnsi="Ecofont_Spranq_eco_Sans" w:cs="Ecofont_Spranq_eco_Sans"/>
      <w:sz w:val="20"/>
      <w:szCs w:val="20"/>
    </w:rPr>
  </w:style>
  <w:style w:type="paragraph" w:customStyle="1" w:styleId="Nivel2">
    <w:name w:val="Nivel 2"/>
    <w:basedOn w:val="Normal"/>
    <w:pPr>
      <w:widowControl/>
      <w:suppressAutoHyphens w:val="0"/>
      <w:spacing w:before="120" w:after="120" w:line="276" w:lineRule="auto"/>
      <w:jc w:val="both"/>
      <w:textAlignment w:val="auto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pPr>
      <w:widowControl/>
      <w:suppressAutoHyphens w:val="0"/>
      <w:spacing w:before="120" w:after="120" w:line="276" w:lineRule="auto"/>
      <w:jc w:val="both"/>
      <w:textAlignment w:val="auto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pPr>
      <w:ind w:left="851"/>
    </w:pPr>
    <w:rPr>
      <w:color w:val="auto"/>
    </w:rPr>
  </w:style>
  <w:style w:type="paragraph" w:customStyle="1" w:styleId="Nivel5">
    <w:name w:val="Nivel 5"/>
    <w:basedOn w:val="Nivel4"/>
    <w:pPr>
      <w:numPr>
        <w:numId w:val="20"/>
      </w:numPr>
    </w:p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paragraph" w:styleId="Assuntodocomentrio">
    <w:name w:val="annotation subject"/>
    <w:basedOn w:val="Textodecomentrio"/>
    <w:next w:val="Textodecomentrio"/>
    <w:pPr>
      <w:widowControl w:val="0"/>
      <w:suppressAutoHyphens/>
      <w:textAlignment w:val="baseline"/>
    </w:pPr>
    <w:rPr>
      <w:rFonts w:ascii="Calibri" w:eastAsia="Segoe UI" w:hAnsi="Calibri" w:cs="Calibri"/>
      <w:b/>
      <w:bCs/>
    </w:rPr>
  </w:style>
  <w:style w:type="paragraph" w:customStyle="1" w:styleId="Nvel2-Red">
    <w:name w:val="Nível 2 -Red"/>
    <w:basedOn w:val="Nivel2"/>
    <w:pPr>
      <w:numPr>
        <w:numId w:val="4"/>
      </w:numPr>
    </w:pPr>
    <w:rPr>
      <w:i/>
      <w:iCs/>
      <w:color w:val="FF0000"/>
    </w:rPr>
  </w:style>
  <w:style w:type="paragraph" w:customStyle="1" w:styleId="Padro">
    <w:name w:val="Padro"/>
    <w:pPr>
      <w:widowControl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 w:bidi="hi-IN"/>
    </w:rPr>
  </w:style>
  <w:style w:type="paragraph" w:customStyle="1" w:styleId="Padro0">
    <w:name w:val="Padrão"/>
    <w:pPr>
      <w:suppressAutoHyphens/>
    </w:pPr>
    <w:rPr>
      <w:rFonts w:ascii="Times New Roman" w:eastAsia="SimSun" w:hAnsi="Times New Roman" w:cs="Times New Roman"/>
      <w:color w:val="00000A"/>
      <w:sz w:val="24"/>
      <w:szCs w:val="24"/>
      <w:lang w:eastAsia="zh-CN" w:bidi="hi-IN"/>
    </w:rPr>
  </w:style>
  <w:style w:type="paragraph" w:customStyle="1" w:styleId="11-Subitens-Alt2">
    <w:name w:val="1.1. - Subitens - Alt + 2"/>
    <w:pPr>
      <w:widowControl/>
      <w:suppressAutoHyphens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  <w:style w:type="character" w:customStyle="1" w:styleId="Ttulo1Char">
    <w:name w:val="Título 1 Char"/>
    <w:rPr>
      <w:rFonts w:ascii="Liberation Serif" w:eastAsia="Liberation Serif" w:hAnsi="Liberation Serif" w:cs="Liberation Serif"/>
      <w:b/>
      <w:color w:val="000000"/>
      <w:sz w:val="24"/>
    </w:rPr>
  </w:style>
  <w:style w:type="character" w:customStyle="1" w:styleId="footnotedescriptionChar">
    <w:name w:val="footnote description Char"/>
    <w:rPr>
      <w:rFonts w:ascii="Liberation Serif" w:eastAsia="Liberation Serif" w:hAnsi="Liberation Serif" w:cs="Liberation Serif"/>
      <w:color w:val="000000"/>
      <w:sz w:val="16"/>
    </w:rPr>
  </w:style>
  <w:style w:type="character" w:customStyle="1" w:styleId="Ttulo2Char">
    <w:name w:val="Título 2 Char"/>
    <w:rPr>
      <w:rFonts w:ascii="Liberation Serif" w:eastAsia="Liberation Serif" w:hAnsi="Liberation Serif" w:cs="Liberation Serif"/>
      <w:b/>
      <w:color w:val="000000"/>
      <w:sz w:val="24"/>
    </w:rPr>
  </w:style>
  <w:style w:type="character" w:customStyle="1" w:styleId="footnotemark">
    <w:name w:val="footnote mark"/>
    <w:rPr>
      <w:rFonts w:ascii="Liberation Serif" w:eastAsia="Liberation Serif" w:hAnsi="Liberation Serif" w:cs="Liberation Serif"/>
      <w:color w:val="000000"/>
      <w:position w:val="0"/>
      <w:sz w:val="16"/>
      <w:vertAlign w:val="superscript"/>
    </w:rPr>
  </w:style>
  <w:style w:type="character" w:customStyle="1" w:styleId="ListLabel1">
    <w:name w:val="ListLabel 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2">
    <w:name w:val="ListLabel 2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3">
    <w:name w:val="ListLabel 3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4">
    <w:name w:val="ListLabel 4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5">
    <w:name w:val="ListLabel 5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6">
    <w:name w:val="ListLabel 6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7">
    <w:name w:val="ListLabel 7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8">
    <w:name w:val="ListLabel 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9">
    <w:name w:val="ListLabel 9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0">
    <w:name w:val="ListLabel 10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1">
    <w:name w:val="ListLabel 11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2">
    <w:name w:val="ListLabel 12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3">
    <w:name w:val="ListLabel 13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4">
    <w:name w:val="ListLabel 14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5">
    <w:name w:val="ListLabel 15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6">
    <w:name w:val="ListLabel 16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7">
    <w:name w:val="ListLabel 17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8">
    <w:name w:val="ListLabel 18"/>
    <w:rPr>
      <w:rFonts w:ascii="Times New Roman" w:eastAsia="Times New Roman" w:hAnsi="Times New Roman" w:cs="Times New Roman"/>
      <w:b w:val="0"/>
      <w:i w:val="0"/>
      <w:strike w:val="0"/>
      <w:dstrike w:val="0"/>
      <w:color w:val="000000"/>
      <w:position w:val="0"/>
      <w:sz w:val="20"/>
      <w:szCs w:val="20"/>
      <w:u w:val="none"/>
      <w:shd w:val="clear" w:color="auto" w:fill="auto"/>
      <w:vertAlign w:val="baseline"/>
    </w:rPr>
  </w:style>
  <w:style w:type="character" w:customStyle="1" w:styleId="ListLabel19">
    <w:name w:val="ListLabel 19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0">
    <w:name w:val="ListLabel 20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1">
    <w:name w:val="ListLabel 21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2">
    <w:name w:val="ListLabel 22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3">
    <w:name w:val="ListLabel 23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4">
    <w:name w:val="ListLabel 24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5">
    <w:name w:val="ListLabel 25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6">
    <w:name w:val="ListLabel 26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7">
    <w:name w:val="ListLabel 27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8">
    <w:name w:val="ListLabel 2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29">
    <w:name w:val="ListLabel 29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0">
    <w:name w:val="ListLabel 30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1">
    <w:name w:val="ListLabel 31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2">
    <w:name w:val="ListLabel 32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3">
    <w:name w:val="ListLabel 33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4">
    <w:name w:val="ListLabel 34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5">
    <w:name w:val="ListLabel 35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6">
    <w:name w:val="ListLabel 36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ListLabel37">
    <w:name w:val="ListLabel 37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8">
    <w:name w:val="ListLabel 3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39">
    <w:name w:val="ListLabel 39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0">
    <w:name w:val="ListLabel 40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1">
    <w:name w:val="ListLabel 41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2">
    <w:name w:val="ListLabel 42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3">
    <w:name w:val="ListLabel 43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4">
    <w:name w:val="ListLabel 44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5">
    <w:name w:val="ListLabel 45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6">
    <w:name w:val="ListLabel 46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7">
    <w:name w:val="ListLabel 47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8">
    <w:name w:val="ListLabel 4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49">
    <w:name w:val="ListLabel 49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0">
    <w:name w:val="ListLabel 50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1">
    <w:name w:val="ListLabel 51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2">
    <w:name w:val="ListLabel 52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3">
    <w:name w:val="ListLabel 53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4">
    <w:name w:val="ListLabel 54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5">
    <w:name w:val="ListLabel 55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6">
    <w:name w:val="ListLabel 56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7">
    <w:name w:val="ListLabel 57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8">
    <w:name w:val="ListLabel 58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59">
    <w:name w:val="ListLabel 59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0">
    <w:name w:val="ListLabel 60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1">
    <w:name w:val="ListLabel 61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2">
    <w:name w:val="ListLabel 62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3">
    <w:name w:val="ListLabel 63"/>
    <w:rPr>
      <w:rFonts w:eastAsia="Liberation Serif" w:cs="Liberation Serif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</w:rPr>
  </w:style>
  <w:style w:type="character" w:customStyle="1" w:styleId="ListLabel64">
    <w:name w:val="ListLabel 64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5">
    <w:name w:val="ListLabel 65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6">
    <w:name w:val="ListLabel 66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7">
    <w:name w:val="ListLabel 67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8">
    <w:name w:val="ListLabel 68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69">
    <w:name w:val="ListLabel 69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0">
    <w:name w:val="ListLabel 70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1">
    <w:name w:val="ListLabel 71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2">
    <w:name w:val="ListLabel 72"/>
    <w:rPr>
      <w:rFonts w:ascii="Liberation Serif" w:eastAsia="Liberation Serif" w:hAnsi="Liberation Serif" w:cs="Liberation Serif"/>
      <w:b/>
      <w:bCs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3">
    <w:name w:val="ListLabel 73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4">
    <w:name w:val="ListLabel 74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5">
    <w:name w:val="ListLabel 75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6">
    <w:name w:val="ListLabel 76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7">
    <w:name w:val="ListLabel 77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8">
    <w:name w:val="ListLabel 78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79">
    <w:name w:val="ListLabel 79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80">
    <w:name w:val="ListLabel 80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ListLabel81">
    <w:name w:val="ListLabel 81"/>
    <w:rPr>
      <w:rFonts w:ascii="Liberation Serif" w:eastAsia="Liberation Serif" w:hAnsi="Liberation Serif" w:cs="Liberation Serif"/>
      <w:b w:val="0"/>
      <w:i w:val="0"/>
      <w:strike w:val="0"/>
      <w:dstrike w:val="0"/>
      <w:color w:val="000000"/>
      <w:position w:val="0"/>
      <w:sz w:val="21"/>
      <w:szCs w:val="21"/>
      <w:u w:val="none"/>
      <w:shd w:val="clear" w:color="auto" w:fill="auto"/>
      <w:vertAlign w:val="baseline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Refdenotaderodap">
    <w:name w:val="footnote reference"/>
    <w:basedOn w:val="Fontepargpadro"/>
    <w:rPr>
      <w:position w:val="0"/>
      <w:vertAlign w:val="superscript"/>
    </w:r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Ttulo7Char">
    <w:name w:val="Título 7 Char"/>
    <w:basedOn w:val="Fontepargpadro"/>
    <w:rPr>
      <w:rFonts w:ascii="Calibri Light" w:eastAsia="Times New Roman" w:hAnsi="Calibri Light" w:cs="Times New Roman"/>
      <w:i/>
      <w:iCs/>
      <w:color w:val="1F3763"/>
    </w:rPr>
  </w:style>
  <w:style w:type="character" w:customStyle="1" w:styleId="go">
    <w:name w:val="go"/>
    <w:basedOn w:val="Fontepargpadro"/>
  </w:style>
  <w:style w:type="character" w:styleId="Forte">
    <w:name w:val="Strong"/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character" w:styleId="Refdecomentrio">
    <w:name w:val="annotation reference"/>
    <w:basedOn w:val="Fontepargpadro"/>
    <w:rPr>
      <w:sz w:val="16"/>
      <w:szCs w:val="16"/>
    </w:rPr>
  </w:style>
  <w:style w:type="character" w:customStyle="1" w:styleId="TextodecomentrioChar">
    <w:name w:val="Texto de comentário Char"/>
    <w:basedOn w:val="Fontepargpadro"/>
    <w:rPr>
      <w:rFonts w:ascii="Ecofont_Spranq_eco_Sans" w:eastAsia="Times New Roman" w:hAnsi="Ecofont_Spranq_eco_Sans" w:cs="Ecofont_Spranq_eco_Sans"/>
      <w:sz w:val="20"/>
      <w:szCs w:val="20"/>
    </w:rPr>
  </w:style>
  <w:style w:type="character" w:customStyle="1" w:styleId="PargrafodaListaChar">
    <w:name w:val="Parágrafo da Lista Char"/>
    <w:basedOn w:val="Fontepargpadro"/>
    <w:rPr>
      <w:rFonts w:ascii="Ecofont_Spranq_eco_Sans" w:eastAsia="Times New Roman" w:hAnsi="Ecofont_Spranq_eco_Sans" w:cs="Ecofont_Spranq_eco_Sans"/>
      <w:sz w:val="24"/>
      <w:szCs w:val="24"/>
    </w:rPr>
  </w:style>
  <w:style w:type="character" w:customStyle="1" w:styleId="Nivel2Char">
    <w:name w:val="Nivel 2 Char"/>
    <w:basedOn w:val="Fontepargpadro"/>
    <w:rPr>
      <w:rFonts w:ascii="Arial" w:eastAsia="Times New Roman" w:hAnsi="Arial" w:cs="Arial"/>
      <w:color w:val="000000"/>
      <w:sz w:val="20"/>
      <w:szCs w:val="20"/>
    </w:rPr>
  </w:style>
  <w:style w:type="character" w:customStyle="1" w:styleId="Nivel3Char">
    <w:name w:val="Nivel 3 Char"/>
    <w:basedOn w:val="Fontepargpadro"/>
    <w:rPr>
      <w:rFonts w:ascii="Arial" w:eastAsia="Times New Roman" w:hAnsi="Arial" w:cs="Arial"/>
      <w:color w:val="000000"/>
      <w:sz w:val="20"/>
      <w:szCs w:val="20"/>
    </w:rPr>
  </w:style>
  <w:style w:type="character" w:customStyle="1" w:styleId="TextodebaloChar">
    <w:name w:val="Texto de balão Char"/>
    <w:basedOn w:val="Fontepargpadro"/>
    <w:rPr>
      <w:rFonts w:ascii="Segoe UI" w:eastAsia="Segoe UI" w:hAnsi="Segoe UI" w:cs="Segoe UI"/>
      <w:sz w:val="18"/>
      <w:szCs w:val="18"/>
    </w:rPr>
  </w:style>
  <w:style w:type="character" w:customStyle="1" w:styleId="AssuntodocomentrioChar">
    <w:name w:val="Assunto do comentário Char"/>
    <w:basedOn w:val="TextodecomentrioChar"/>
    <w:rPr>
      <w:rFonts w:ascii="Ecofont_Spranq_eco_Sans" w:eastAsia="Times New Roman" w:hAnsi="Ecofont_Spranq_eco_Sans" w:cs="Ecofont_Spranq_eco_Sans"/>
      <w:b/>
      <w:bCs/>
      <w:sz w:val="20"/>
      <w:szCs w:val="20"/>
    </w:rPr>
  </w:style>
  <w:style w:type="character" w:customStyle="1" w:styleId="Nvel2-RedChar">
    <w:name w:val="Nível 2 -Red Char"/>
    <w:basedOn w:val="Nivel2Char"/>
    <w:rPr>
      <w:rFonts w:ascii="Arial" w:eastAsia="Times New Roman" w:hAnsi="Arial" w:cs="Arial"/>
      <w:i/>
      <w:iCs/>
      <w:color w:val="FF0000"/>
      <w:sz w:val="20"/>
      <w:szCs w:val="20"/>
    </w:rPr>
  </w:style>
  <w:style w:type="character" w:styleId="MenoPendente">
    <w:name w:val="Unresolved Mention"/>
    <w:basedOn w:val="Fontepargpadro"/>
    <w:rPr>
      <w:color w:val="605E5C"/>
      <w:shd w:val="clear" w:color="auto" w:fill="E1DFDD"/>
    </w:rPr>
  </w:style>
  <w:style w:type="numbering" w:customStyle="1" w:styleId="WWOutlineListStyle2">
    <w:name w:val="WW_OutlineListStyle_2"/>
    <w:basedOn w:val="Semlista"/>
    <w:pPr>
      <w:numPr>
        <w:numId w:val="2"/>
      </w:numPr>
    </w:pPr>
  </w:style>
  <w:style w:type="numbering" w:customStyle="1" w:styleId="Outline">
    <w:name w:val="Outline"/>
    <w:basedOn w:val="Semlista"/>
    <w:pPr>
      <w:numPr>
        <w:numId w:val="3"/>
      </w:numPr>
    </w:pPr>
  </w:style>
  <w:style w:type="numbering" w:customStyle="1" w:styleId="Semlista1">
    <w:name w:val="Sem lista1"/>
    <w:basedOn w:val="Semlista"/>
    <w:pPr>
      <w:numPr>
        <w:numId w:val="4"/>
      </w:numPr>
    </w:pPr>
  </w:style>
  <w:style w:type="numbering" w:customStyle="1" w:styleId="WWOutlineListStyle1">
    <w:name w:val="WW_OutlineListStyle_1"/>
    <w:basedOn w:val="Semlista"/>
    <w:pPr>
      <w:numPr>
        <w:numId w:val="5"/>
      </w:numPr>
    </w:pPr>
  </w:style>
  <w:style w:type="numbering" w:customStyle="1" w:styleId="WWOutlineListStyle">
    <w:name w:val="WW_OutlineListStyle"/>
    <w:basedOn w:val="Semlista"/>
    <w:pPr>
      <w:numPr>
        <w:numId w:val="6"/>
      </w:numPr>
    </w:pPr>
  </w:style>
  <w:style w:type="numbering" w:customStyle="1" w:styleId="WWOutlineListStyle3">
    <w:name w:val="WW_OutlineListStyle_3"/>
    <w:basedOn w:val="Semlista"/>
    <w:pPr>
      <w:numPr>
        <w:numId w:val="7"/>
      </w:numPr>
    </w:pPr>
  </w:style>
  <w:style w:type="numbering" w:customStyle="1" w:styleId="WWNum1">
    <w:name w:val="WWNum1"/>
    <w:basedOn w:val="Semlista"/>
    <w:pPr>
      <w:numPr>
        <w:numId w:val="8"/>
      </w:numPr>
    </w:pPr>
  </w:style>
  <w:style w:type="numbering" w:customStyle="1" w:styleId="WWNum2">
    <w:name w:val="WWNum2"/>
    <w:basedOn w:val="Semlista"/>
    <w:pPr>
      <w:numPr>
        <w:numId w:val="9"/>
      </w:numPr>
    </w:pPr>
  </w:style>
  <w:style w:type="numbering" w:customStyle="1" w:styleId="WWNum3">
    <w:name w:val="WWNum3"/>
    <w:basedOn w:val="Semlista"/>
    <w:pPr>
      <w:numPr>
        <w:numId w:val="10"/>
      </w:numPr>
    </w:pPr>
  </w:style>
  <w:style w:type="numbering" w:customStyle="1" w:styleId="WWNum4">
    <w:name w:val="WWNum4"/>
    <w:basedOn w:val="Semlista"/>
    <w:pPr>
      <w:numPr>
        <w:numId w:val="11"/>
      </w:numPr>
    </w:pPr>
  </w:style>
  <w:style w:type="numbering" w:customStyle="1" w:styleId="WWNum5">
    <w:name w:val="WWNum5"/>
    <w:basedOn w:val="Semlista"/>
    <w:pPr>
      <w:numPr>
        <w:numId w:val="12"/>
      </w:numPr>
    </w:pPr>
  </w:style>
  <w:style w:type="numbering" w:customStyle="1" w:styleId="WWNum6">
    <w:name w:val="WWNum6"/>
    <w:basedOn w:val="Semlista"/>
    <w:pPr>
      <w:numPr>
        <w:numId w:val="13"/>
      </w:numPr>
    </w:pPr>
  </w:style>
  <w:style w:type="numbering" w:customStyle="1" w:styleId="WWNum7">
    <w:name w:val="WWNum7"/>
    <w:basedOn w:val="Semlista"/>
    <w:pPr>
      <w:numPr>
        <w:numId w:val="14"/>
      </w:numPr>
    </w:pPr>
  </w:style>
  <w:style w:type="numbering" w:customStyle="1" w:styleId="WWNum8">
    <w:name w:val="WWNum8"/>
    <w:basedOn w:val="Semlista"/>
    <w:pPr>
      <w:numPr>
        <w:numId w:val="15"/>
      </w:numPr>
    </w:pPr>
  </w:style>
  <w:style w:type="numbering" w:customStyle="1" w:styleId="WWNum9">
    <w:name w:val="WWNum9"/>
    <w:basedOn w:val="Semlista"/>
    <w:pPr>
      <w:numPr>
        <w:numId w:val="16"/>
      </w:numPr>
    </w:pPr>
  </w:style>
  <w:style w:type="numbering" w:customStyle="1" w:styleId="WWNum22">
    <w:name w:val="WWNum22"/>
    <w:basedOn w:val="Semlista"/>
    <w:pPr>
      <w:numPr>
        <w:numId w:val="17"/>
      </w:numPr>
    </w:pPr>
  </w:style>
  <w:style w:type="numbering" w:customStyle="1" w:styleId="WWNum24">
    <w:name w:val="WWNum24"/>
    <w:basedOn w:val="Semlista"/>
    <w:pPr>
      <w:numPr>
        <w:numId w:val="18"/>
      </w:numPr>
    </w:pPr>
  </w:style>
  <w:style w:type="numbering" w:customStyle="1" w:styleId="LFO15">
    <w:name w:val="LFO15"/>
    <w:basedOn w:val="Semlista"/>
    <w:pPr>
      <w:numPr>
        <w:numId w:val="19"/>
      </w:numPr>
    </w:pPr>
  </w:style>
  <w:style w:type="numbering" w:customStyle="1" w:styleId="LFO16">
    <w:name w:val="LFO16"/>
    <w:basedOn w:val="Semlista"/>
    <w:pPr>
      <w:numPr>
        <w:numId w:val="2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4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_ato2019-2022/2021/lei/L14133.ht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d511aacd-8b6e-4fe1-8773-9724e26e88a3}" enabled="0" method="" siteId="{d511aacd-8b6e-4fe1-8773-9724e26e88a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3087</Words>
  <Characters>16674</Characters>
  <Application>Microsoft Office Word</Application>
  <DocSecurity>0</DocSecurity>
  <Lines>138</Lines>
  <Paragraphs>39</Paragraphs>
  <ScaleCrop>false</ScaleCrop>
  <Company/>
  <LinksUpToDate>false</LinksUpToDate>
  <CharactersWithSpaces>19722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Customer</dc:creator>
  <cp:lastModifiedBy>Goncalo Ribeiro de Oliveira Junior</cp:lastModifiedBy>
  <cp:revision>2</cp:revision>
  <dcterms:created xsi:type="dcterms:W3CDTF">2024-12-03T11:54:00Z</dcterms:created>
  <dcterms:modified xsi:type="dcterms:W3CDTF">2024-12-03T11:54:00Z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Procuradoria Geral da República</vt:lpwstr>
  </property>
  <property fmtid="{D5CDD505-2E9C-101B-9397-08002B2CF9AE}" pid="4" name="Mendeley Recent Style Id 0_1">
    <vt:lpwstr>http://www.zotero.org/styles/american-medical-association</vt:lpwstr>
  </property>
  <property fmtid="{D5CDD505-2E9C-101B-9397-08002B2CF9AE}" pid="5" name="Mendeley Recent Style Id 1_1">
    <vt:lpwstr>http://www.zotero.org/styles/american-political-science-association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Id 3_1">
    <vt:lpwstr>http://www.zotero.org/styles/american-sociological-association</vt:lpwstr>
  </property>
  <property fmtid="{D5CDD505-2E9C-101B-9397-08002B2CF9AE}" pid="8" name="Mendeley Recent Style Id 4_1">
    <vt:lpwstr>http://www.zotero.org/styles/chicago-author-date</vt:lpwstr>
  </property>
  <property fmtid="{D5CDD505-2E9C-101B-9397-08002B2CF9AE}" pid="9" name="Mendeley Recent Style Id 5_1">
    <vt:lpwstr>http://www.zotero.org/styles/harvard-cite-them-right</vt:lpwstr>
  </property>
  <property fmtid="{D5CDD505-2E9C-101B-9397-08002B2CF9AE}" pid="10" name="Mendeley Recent Style Id 6_1">
    <vt:lpwstr>http://www.zotero.org/styles/ieee</vt:lpwstr>
  </property>
  <property fmtid="{D5CDD505-2E9C-101B-9397-08002B2CF9AE}" pid="11" name="Mendeley Recent Style Id 7_1">
    <vt:lpwstr>http://www.zotero.org/styles/modern-humanities-research-association</vt:lpwstr>
  </property>
  <property fmtid="{D5CDD505-2E9C-101B-9397-08002B2CF9AE}" pid="12" name="Mendeley Recent Style Id 8_1">
    <vt:lpwstr>http://www.zotero.org/styles/modern-language-association</vt:lpwstr>
  </property>
  <property fmtid="{D5CDD505-2E9C-101B-9397-08002B2CF9AE}" pid="13" name="Mendeley Recent Style Id 9_1">
    <vt:lpwstr>http://www.zotero.org/styles/nature</vt:lpwstr>
  </property>
  <property fmtid="{D5CDD505-2E9C-101B-9397-08002B2CF9AE}" pid="14" name="Mendeley Recent Style Name 0_1">
    <vt:lpwstr>American Medical Association 11th edition</vt:lpwstr>
  </property>
  <property fmtid="{D5CDD505-2E9C-101B-9397-08002B2CF9AE}" pid="15" name="Mendeley Recent Style Name 1_1">
    <vt:lpwstr>American Political Science Association</vt:lpwstr>
  </property>
  <property fmtid="{D5CDD505-2E9C-101B-9397-08002B2CF9AE}" pid="16" name="Mendeley Recent Style Name 2_1">
    <vt:lpwstr>American Psychological Association 7th edition</vt:lpwstr>
  </property>
  <property fmtid="{D5CDD505-2E9C-101B-9397-08002B2CF9AE}" pid="17" name="Mendeley Recent Style Name 3_1">
    <vt:lpwstr>American Sociological Association 6th edition</vt:lpwstr>
  </property>
  <property fmtid="{D5CDD505-2E9C-101B-9397-08002B2CF9AE}" pid="18" name="Mendeley Recent Style Name 4_1">
    <vt:lpwstr>Chicago Manual of Style 17th edition (author-date)</vt:lpwstr>
  </property>
  <property fmtid="{D5CDD505-2E9C-101B-9397-08002B2CF9AE}" pid="19" name="Mendeley Recent Style Name 5_1">
    <vt:lpwstr>Cite Them Right 10th edition - Harvard</vt:lpwstr>
  </property>
  <property fmtid="{D5CDD505-2E9C-101B-9397-08002B2CF9AE}" pid="20" name="Mendeley Recent Style Name 6_1">
    <vt:lpwstr>IEEE</vt:lpwstr>
  </property>
  <property fmtid="{D5CDD505-2E9C-101B-9397-08002B2CF9AE}" pid="21" name="Mendeley Recent Style Name 7_1">
    <vt:lpwstr>Modern Humanities Research Association 3rd edition (note with bibliography)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Name 9_1">
    <vt:lpwstr>Nature</vt:lpwstr>
  </property>
</Properties>
</file>