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eastAsia="Calibri" w:cs="Times New Roman"/>
          <w:sz w:val="28"/>
          <w:szCs w:val="28"/>
        </w:rPr>
      </w:pPr>
      <w:r>
        <w:rPr>
          <w:rFonts w:eastAsia="Calibri" w:cs="Times New Roman" w:ascii="Times New Roman" w:hAnsi="Times New Roman"/>
          <w:b/>
          <w:sz w:val="28"/>
          <w:szCs w:val="28"/>
        </w:rPr>
        <w:t>AVISO DE CONTRATAÇÃO DIRETA Nº 200053-24/2026</w:t>
      </w:r>
    </w:p>
    <w:p>
      <w:pPr>
        <w:pStyle w:val="Normal"/>
        <w:jc w:val="center"/>
        <w:rPr>
          <w:rFonts w:ascii="Times New Roman" w:hAnsi="Times New Roman" w:eastAsia="Calibri" w:cs="Times New Roman"/>
          <w:sz w:val="28"/>
          <w:szCs w:val="28"/>
        </w:rPr>
      </w:pPr>
      <w:bookmarkStart w:id="0" w:name="_GoBack"/>
      <w:bookmarkEnd w:id="0"/>
      <w:r>
        <w:rPr>
          <w:rFonts w:eastAsia="Calibri" w:cs="Times New Roman" w:ascii="Times New Roman" w:hAnsi="Times New Roman"/>
          <w:b/>
          <w:sz w:val="28"/>
          <w:szCs w:val="28"/>
        </w:rPr>
        <w:t>ANEXO I – TERMO DE REFERÊNCIA</w:t>
      </w:r>
    </w:p>
    <w:p>
      <w:pPr>
        <w:pStyle w:val="Normal"/>
        <w:ind w:hanging="283" w:left="283"/>
        <w:jc w:val="center"/>
        <w:rPr>
          <w:rFonts w:ascii="Times New Roman" w:hAnsi="Times New Roman" w:eastAsia="Calibri" w:cs="Times New Roman"/>
          <w:b/>
          <w:sz w:val="26"/>
          <w:szCs w:val="26"/>
        </w:rPr>
      </w:pPr>
      <w:r>
        <w:rPr>
          <w:rFonts w:eastAsia="Calibri" w:cs="Times New Roman" w:ascii="Times New Roman" w:hAnsi="Times New Roman"/>
          <w:b/>
          <w:sz w:val="26"/>
          <w:szCs w:val="26"/>
        </w:rPr>
        <w:t>PG</w:t>
      </w:r>
      <w:r>
        <w:rPr>
          <w:rFonts w:eastAsia="Calibri" w:cs="Times New Roman" w:ascii="Times New Roman" w:hAnsi="Times New Roman"/>
          <w:b/>
          <w:sz w:val="26"/>
          <w:szCs w:val="26"/>
          <w:shd w:fill="auto" w:val="clear"/>
        </w:rPr>
        <w:t>EA Nº 1.25.000.006646/2025-32</w:t>
      </w:r>
    </w:p>
    <w:p>
      <w:pPr>
        <w:pStyle w:val="Normal"/>
        <w:ind w:hanging="283" w:left="283"/>
        <w:jc w:val="center"/>
        <w:rPr>
          <w:rFonts w:ascii="Times New Roman" w:hAnsi="Times New Roman" w:eastAsia="Calibri" w:cs="Times New Roman"/>
          <w:b/>
          <w:sz w:val="26"/>
          <w:szCs w:val="26"/>
        </w:rPr>
      </w:pPr>
      <w:r>
        <w:rPr>
          <w:rFonts w:eastAsia="Calibri" w:cs="Times New Roman" w:ascii="Times New Roman" w:hAnsi="Times New Roman"/>
          <w:b/>
          <w:sz w:val="26"/>
          <w:szCs w:val="26"/>
        </w:rPr>
      </w:r>
    </w:p>
    <w:p>
      <w:pPr>
        <w:pStyle w:val="Normal"/>
        <w:ind w:hanging="283" w:left="283"/>
        <w:jc w:val="center"/>
        <w:rPr>
          <w:rFonts w:ascii="Times New Roman" w:hAnsi="Times New Roman" w:eastAsia="Calibri" w:cs="Times New Roman"/>
          <w:b/>
          <w:smallCaps/>
          <w:sz w:val="24"/>
          <w:szCs w:val="22"/>
          <w:shd w:fill="FFFFFF" w:val="clear"/>
        </w:rPr>
      </w:pPr>
      <w:r>
        <w:rPr>
          <w:rFonts w:eastAsia="Calibri" w:cs="Times New Roman" w:ascii="Times New Roman" w:hAnsi="Times New Roman"/>
          <w:b/>
          <w:smallCaps/>
          <w:sz w:val="24"/>
          <w:szCs w:val="22"/>
          <w:shd w:fill="FFFFFF" w:val="clear"/>
        </w:rPr>
        <w:t>SUMÁRIO</w:t>
      </w:r>
    </w:p>
    <w:p>
      <w:pPr>
        <w:pStyle w:val="Normal"/>
        <w:ind w:hanging="283" w:left="283"/>
        <w:jc w:val="center"/>
        <w:rPr>
          <w:rFonts w:ascii="Times New Roman" w:hAnsi="Times New Roman" w:eastAsia="Calibri" w:cs="Times New Roman"/>
          <w:smallCaps/>
          <w:sz w:val="28"/>
          <w:szCs w:val="22"/>
          <w:shd w:fill="FFFFFF" w:val="clear"/>
        </w:rPr>
      </w:pPr>
      <w:r>
        <w:rPr>
          <w:rFonts w:eastAsia="Calibri" w:cs="Times New Roman" w:ascii="Times New Roman" w:hAnsi="Times New Roman"/>
          <w:smallCaps/>
          <w:sz w:val="28"/>
          <w:szCs w:val="22"/>
          <w:shd w:fill="FFFFFF" w:val="clear"/>
        </w:rPr>
      </w:r>
    </w:p>
    <w:sdt>
      <w:sdtPr>
        <w:docPartObj>
          <w:docPartGallery w:val="Table of Contents"/>
          <w:docPartUnique w:val="true"/>
        </w:docPartObj>
      </w:sdtPr>
      <w:sdtContent>
        <w:p>
          <w:pPr>
            <w:pStyle w:val="Normal"/>
            <w:rPr/>
          </w:pPr>
          <w:r>
            <w:fldChar w:fldCharType="begin"/>
          </w:r>
          <w:r>
            <w:rPr>
              <w:webHidden/>
              <w:rStyle w:val="Vnculodendice"/>
            </w:rPr>
            <w:instrText xml:space="preserve"> TOC \z \o "1-4" \u \h</w:instrText>
          </w:r>
          <w:r>
            <w:rPr>
              <w:webHidden/>
              <w:rStyle w:val="Vnculodendice"/>
            </w:rPr>
            <w:fldChar w:fldCharType="separate"/>
          </w:r>
          <w:hyperlink w:anchor="__RefHeading___Toc11691_612072703">
            <w:r>
              <w:rPr>
                <w:webHidden/>
                <w:rStyle w:val="Vnculodendice"/>
              </w:rPr>
              <w:t>1. CONDIÇÕES GERAIS DA CONTRATAÇÃO</w:t>
              <w:tab/>
              <w:t>1</w:t>
            </w:r>
          </w:hyperlink>
        </w:p>
        <w:p>
          <w:pPr>
            <w:pStyle w:val="Normal"/>
            <w:rPr/>
          </w:pPr>
          <w:hyperlink w:anchor="__RefHeading___Toc11693_612072703">
            <w:r>
              <w:rPr>
                <w:webHidden/>
                <w:rStyle w:val="Vnculodendice"/>
              </w:rPr>
              <w:t>2. FUNDAMENTAÇÃO E JUSTIFICATIVA DA NECESSIDADE DA CONTRATAÇÃO</w:t>
              <w:tab/>
              <w:t>4</w:t>
            </w:r>
          </w:hyperlink>
        </w:p>
        <w:p>
          <w:pPr>
            <w:pStyle w:val="Normal"/>
            <w:rPr/>
          </w:pPr>
          <w:hyperlink w:anchor="__RefHeading___Toc11695_612072703">
            <w:r>
              <w:rPr>
                <w:webHidden/>
                <w:rStyle w:val="Vnculodendice"/>
              </w:rPr>
              <w:t>3. FORMA E CRITÉRIOS DE SELEÇÃO DO FORNECEDOR</w:t>
              <w:tab/>
              <w:t>7</w:t>
            </w:r>
          </w:hyperlink>
        </w:p>
        <w:p>
          <w:pPr>
            <w:pStyle w:val="Normal"/>
            <w:rPr/>
          </w:pPr>
          <w:hyperlink w:anchor="__RefHeading___Toc11697_612072703">
            <w:r>
              <w:rPr>
                <w:webHidden/>
                <w:rStyle w:val="Vnculodendice"/>
              </w:rPr>
              <w:t>4. DESCRIÇÃO DA SOLUÇÃO COMO UM TODO</w:t>
              <w:tab/>
              <w:t>9</w:t>
            </w:r>
          </w:hyperlink>
        </w:p>
        <w:p>
          <w:pPr>
            <w:pStyle w:val="Normal"/>
            <w:tabs>
              <w:tab w:val="clear" w:pos="8671"/>
              <w:tab w:val="right" w:pos="8954" w:leader="dot"/>
            </w:tabs>
            <w:rPr/>
          </w:pPr>
          <w:hyperlink w:anchor="__RefHeading___Toc11699_612072703">
            <w:r>
              <w:rPr>
                <w:webHidden/>
                <w:rStyle w:val="Vnculodendice"/>
              </w:rPr>
              <w:t>5. REQUISITOS DA CONTRATAÇÃO</w:t>
              <w:tab/>
              <w:t>12</w:t>
            </w:r>
          </w:hyperlink>
        </w:p>
        <w:p>
          <w:pPr>
            <w:pStyle w:val="Normal"/>
            <w:rPr/>
          </w:pPr>
          <w:hyperlink w:anchor="__RefHeading___Toc11701_612072703">
            <w:r>
              <w:rPr>
                <w:webHidden/>
                <w:rStyle w:val="Vnculodendice"/>
              </w:rPr>
              <w:t>6.  MODELO DE GESTÃO E FISCALIZAÇÃO</w:t>
              <w:tab/>
              <w:t>15</w:t>
            </w:r>
          </w:hyperlink>
        </w:p>
        <w:p>
          <w:pPr>
            <w:pStyle w:val="Normal"/>
            <w:tabs>
              <w:tab w:val="clear" w:pos="8671"/>
              <w:tab w:val="right" w:pos="8954" w:leader="dot"/>
            </w:tabs>
            <w:rPr/>
          </w:pPr>
          <w:hyperlink w:anchor="__RefHeading___Toc11703_612072703">
            <w:r>
              <w:rPr>
                <w:webHidden/>
                <w:rStyle w:val="Vnculodendice"/>
              </w:rPr>
              <w:t>7. RECEBIMENTO DO OBJETO DA CONTRATAÇÃO</w:t>
              <w:tab/>
              <w:t>15</w:t>
            </w:r>
          </w:hyperlink>
        </w:p>
        <w:p>
          <w:pPr>
            <w:pStyle w:val="Normal"/>
            <w:rPr/>
          </w:pPr>
          <w:hyperlink w:anchor="__RefHeading___Toc11705_612072703">
            <w:r>
              <w:rPr>
                <w:webHidden/>
                <w:rStyle w:val="Vnculodendice"/>
              </w:rPr>
              <w:t>8. DAS OBRIGAÇÕES DAS PARTES</w:t>
              <w:tab/>
              <w:t>16</w:t>
            </w:r>
          </w:hyperlink>
        </w:p>
        <w:p>
          <w:pPr>
            <w:pStyle w:val="Normal"/>
            <w:tabs>
              <w:tab w:val="clear" w:pos="8671"/>
              <w:tab w:val="right" w:pos="8954" w:leader="dot"/>
            </w:tabs>
            <w:rPr/>
          </w:pPr>
          <w:hyperlink w:anchor="__RefHeading___Toc11707_612072703">
            <w:r>
              <w:rPr>
                <w:webHidden/>
                <w:rStyle w:val="Vnculodendice"/>
              </w:rPr>
              <w:t>OBRIGAÇÕES DO CONTRATANTE</w:t>
              <w:tab/>
              <w:t>16</w:t>
            </w:r>
          </w:hyperlink>
        </w:p>
        <w:p>
          <w:pPr>
            <w:pStyle w:val="Normal"/>
            <w:tabs>
              <w:tab w:val="clear" w:pos="8671"/>
              <w:tab w:val="right" w:pos="8954" w:leader="dot"/>
            </w:tabs>
            <w:rPr/>
          </w:pPr>
          <w:hyperlink w:anchor="__RefHeading___Toc11709_612072703">
            <w:r>
              <w:rPr>
                <w:webHidden/>
                <w:rStyle w:val="Vnculodendice"/>
              </w:rPr>
              <w:t>OBRIGAÇÕES DA CONTRATADA</w:t>
              <w:tab/>
              <w:t>16</w:t>
            </w:r>
          </w:hyperlink>
        </w:p>
        <w:p>
          <w:pPr>
            <w:pStyle w:val="Normal"/>
            <w:rPr/>
          </w:pPr>
          <w:hyperlink w:anchor="__RefHeading___Toc11711_612072703">
            <w:r>
              <w:rPr>
                <w:webHidden/>
                <w:rStyle w:val="Vnculodendice"/>
              </w:rPr>
              <w:t>10. CRITÉRIOS DE MEDIÇÃO E PAGAMENTO</w:t>
              <w:tab/>
              <w:t>20</w:t>
            </w:r>
          </w:hyperlink>
        </w:p>
        <w:p>
          <w:pPr>
            <w:pStyle w:val="Normal"/>
            <w:rPr/>
          </w:pPr>
          <w:hyperlink w:anchor="__RefHeading___Toc11713_612072703">
            <w:r>
              <w:rPr>
                <w:webHidden/>
                <w:rStyle w:val="Vnculodendice"/>
              </w:rPr>
              <w:t>11. ADEQUAÇÃO ORÇAMENTÁRIA</w:t>
              <w:tab/>
              <w:t>22</w:t>
            </w:r>
          </w:hyperlink>
        </w:p>
        <w:p>
          <w:pPr>
            <w:pStyle w:val="Normal"/>
            <w:rPr/>
          </w:pPr>
          <w:hyperlink w:anchor="__RefHeading___Toc11715_612072703">
            <w:r>
              <w:rPr>
                <w:webHidden/>
                <w:rStyle w:val="Vnculodendice"/>
              </w:rPr>
              <w:t>12. CONSIDERAÇÕES FINAIS</w:t>
              <w:tab/>
              <w:t>23</w:t>
            </w:r>
          </w:hyperlink>
        </w:p>
        <w:p>
          <w:pPr>
            <w:pStyle w:val="Normal"/>
            <w:rPr/>
          </w:pPr>
          <w:hyperlink w:anchor="__RefHeading___Toc11717_612072703">
            <w:r>
              <w:rPr>
                <w:webHidden/>
                <w:rStyle w:val="Vnculodendice"/>
              </w:rPr>
              <w:t>APÊNDICE A – CADERNO DE ESPECIFICAÇÕES E ENCARGOS</w:t>
              <w:tab/>
              <w:t>25</w:t>
            </w:r>
          </w:hyperlink>
        </w:p>
        <w:p>
          <w:pPr>
            <w:pStyle w:val="Normal"/>
            <w:rPr/>
          </w:pPr>
          <w:hyperlink w:anchor="__RefHeading___Toc11719_612072703">
            <w:r>
              <w:rPr>
                <w:webHidden/>
                <w:rStyle w:val="Vnculodendice"/>
              </w:rPr>
              <w:t>APÊNDICE B – DECLARAÇÃO DE VISTORIA</w:t>
              <w:tab/>
              <w:t>26</w:t>
            </w:r>
          </w:hyperlink>
        </w:p>
        <w:p>
          <w:pPr>
            <w:pStyle w:val="Normal"/>
            <w:rPr/>
          </w:pPr>
          <w:hyperlink w:anchor="__RefHeading___Toc11721_612072703">
            <w:r>
              <w:rPr>
                <w:webHidden/>
                <w:rStyle w:val="Vnculodendice"/>
              </w:rPr>
              <w:t>APÊNDICE C – DECLARAÇÃO DE CONHECIMENTO DAS CONDIÇÕES INERENTES À NATUREZA DOS SERVIÇOS</w:t>
              <w:tab/>
              <w:t>27</w:t>
            </w:r>
          </w:hyperlink>
        </w:p>
        <w:p>
          <w:pPr>
            <w:pStyle w:val="Normal"/>
            <w:rPr/>
          </w:pPr>
          <w:hyperlink w:anchor="__RefHeading___Toc11723_612072703">
            <w:r>
              <w:rPr>
                <w:webHidden/>
                <w:rStyle w:val="Vnculodendice"/>
              </w:rPr>
              <w:t>APÊNDICE D – ORÇAMENTO</w:t>
              <w:tab/>
              <w:t>28</w:t>
            </w:r>
          </w:hyperlink>
        </w:p>
        <w:p>
          <w:pPr>
            <w:pStyle w:val="Normal"/>
            <w:rPr/>
          </w:pPr>
          <w:hyperlink w:anchor="__RefHeading___Toc11723_612072703_Copia_">
            <w:r>
              <w:rPr>
                <w:webHidden/>
                <w:rStyle w:val="Vnculodendice"/>
              </w:rPr>
              <w:t>APÊNDICE E – LAYOUT</w:t>
              <w:tab/>
              <w:t>29</w:t>
            </w:r>
          </w:hyperlink>
          <w:r>
            <w:rPr>
              <w:rStyle w:val="Vnculodendice"/>
            </w:rPr>
            <w:fldChar w:fldCharType="end"/>
          </w:r>
        </w:p>
      </w:sdtContent>
    </w:sdt>
    <w:p>
      <w:pPr>
        <w:pStyle w:val="Normal"/>
        <w:tabs>
          <w:tab w:val="clear" w:pos="720"/>
          <w:tab w:val="right" w:pos="8954" w:leader="dot"/>
        </w:tabs>
        <w:rPr/>
      </w:pPr>
      <w:r>
        <w:rPr/>
      </w:r>
    </w:p>
    <w:p>
      <w:pPr>
        <w:pStyle w:val="Normal"/>
        <w:ind w:hanging="283" w:left="283"/>
        <w:jc w:val="both"/>
        <w:rPr>
          <w:rFonts w:ascii="Times New Roman" w:hAnsi="Times New Roman" w:eastAsia="Calibri" w:cs="Times New Roman"/>
          <w:smallCaps/>
          <w:sz w:val="24"/>
          <w:szCs w:val="24"/>
          <w:shd w:fill="FFFFFF" w:val="clear"/>
        </w:rPr>
      </w:pPr>
      <w:r>
        <w:rPr>
          <w:rFonts w:eastAsia="Calibri" w:cs="Times New Roman" w:ascii="Times New Roman" w:hAnsi="Times New Roman"/>
          <w:smallCaps/>
          <w:sz w:val="24"/>
          <w:szCs w:val="24"/>
          <w:shd w:fill="FFFFFF" w:val="clear"/>
        </w:rPr>
      </w:r>
    </w:p>
    <w:p>
      <w:pPr>
        <w:pStyle w:val="Heading1"/>
        <w:numPr>
          <w:ilvl w:val="0"/>
          <w:numId w:val="244"/>
        </w:numPr>
        <w:shd w:val="clear" w:color="auto" w:fill="9CC2E5"/>
        <w:tabs>
          <w:tab w:val="clear" w:pos="720"/>
          <w:tab w:val="left" w:pos="-357" w:leader="none"/>
        </w:tabs>
        <w:spacing w:before="0" w:after="113"/>
        <w:jc w:val="both"/>
        <w:rPr>
          <w:rFonts w:ascii="Times New Roman" w:hAnsi="Times New Roman"/>
          <w:sz w:val="24"/>
          <w:szCs w:val="24"/>
        </w:rPr>
      </w:pPr>
      <w:bookmarkStart w:id="1" w:name="__RefHeading___Toc11691_612072703"/>
      <w:bookmarkStart w:id="2" w:name="_Toc202882167"/>
      <w:bookmarkStart w:id="3" w:name="_Toc202369831"/>
      <w:bookmarkStart w:id="4" w:name="_djj9sbemq7z6"/>
      <w:bookmarkEnd w:id="1"/>
      <w:bookmarkEnd w:id="4"/>
      <w:r>
        <w:rPr>
          <w:rFonts w:cs="Times New Roman" w:ascii="Times New Roman" w:hAnsi="Times New Roman"/>
          <w:b/>
          <w:bCs/>
          <w:color w:val="auto"/>
          <w:sz w:val="24"/>
          <w:szCs w:val="24"/>
        </w:rPr>
        <w:t>CONDIÇÕES GERAIS DA CONTRATAÇÃO</w:t>
      </w:r>
      <w:bookmarkEnd w:id="2"/>
      <w:bookmarkEnd w:id="3"/>
    </w:p>
    <w:p>
      <w:pPr>
        <w:pStyle w:val="Normal"/>
        <w:numPr>
          <w:ilvl w:val="1"/>
          <w:numId w:val="245"/>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Contratação de pessoa jurídica e</w:t>
      </w:r>
      <w:r>
        <w:rPr>
          <w:rFonts w:eastAsia="Calibri" w:cs="Times New Roman" w:ascii="Times New Roman" w:hAnsi="Times New Roman"/>
          <w:sz w:val="24"/>
          <w:szCs w:val="24"/>
          <w:shd w:fill="auto" w:val="clear"/>
        </w:rPr>
        <w:t>specializada, neste documento denominada CONTRATADA, para o fornecimento, instalação e comissionamento de sistema de climatização (tipo Split Hi-Wall Inverter), incluindo a execução de infraestrutura frigorígena e elétrica completa, visando adequação de um ambiente nas dependências da Procuradoria da República no Município de Londrina/PR, unidade jurisdicionada da Procuradoria da República no Estado do Paraná, neste documento denominada CONTRATANTE, conforme condições e exigências estabelecidas neste inst</w:t>
      </w:r>
      <w:r>
        <w:rPr>
          <w:rFonts w:eastAsia="Calibri" w:cs="Times New Roman" w:ascii="Times New Roman" w:hAnsi="Times New Roman"/>
          <w:sz w:val="24"/>
          <w:szCs w:val="24"/>
        </w:rPr>
        <w:t>rumento e seus apêndices.</w:t>
      </w:r>
    </w:p>
    <w:p>
      <w:pPr>
        <w:pStyle w:val="Normal"/>
        <w:numPr>
          <w:ilvl w:val="2"/>
          <w:numId w:val="246"/>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Os serviços incluem, mas não se limitam a:</w:t>
      </w:r>
    </w:p>
    <w:p>
      <w:pPr>
        <w:pStyle w:val="Normal"/>
        <w:numPr>
          <w:ilvl w:val="0"/>
          <w:numId w:val="3"/>
        </w:numPr>
        <w:spacing w:lineRule="atLeast" w:line="300" w:before="0" w:after="120"/>
        <w:jc w:val="both"/>
        <w:rPr>
          <w:rFonts w:ascii="Times New Roman" w:hAnsi="Times New Roman"/>
          <w:sz w:val="24"/>
          <w:szCs w:val="24"/>
        </w:rPr>
      </w:pPr>
      <w:r>
        <w:rPr>
          <w:rFonts w:cs="Times New Roman" w:ascii="Times New Roman" w:hAnsi="Times New Roman"/>
          <w:sz w:val="24"/>
          <w:szCs w:val="24"/>
        </w:rPr>
        <w:t>Fornecimento e instalação de unidade evaporadora e condensadora (Tecnologia Inverter, fluido R32);</w:t>
      </w:r>
    </w:p>
    <w:p>
      <w:pPr>
        <w:pStyle w:val="Normal"/>
        <w:numPr>
          <w:ilvl w:val="0"/>
          <w:numId w:val="3"/>
        </w:numPr>
        <w:spacing w:lineRule="atLeast" w:line="300" w:before="0" w:after="120"/>
        <w:jc w:val="both"/>
        <w:rPr>
          <w:rFonts w:ascii="Times New Roman" w:hAnsi="Times New Roman"/>
          <w:sz w:val="24"/>
          <w:szCs w:val="24"/>
        </w:rPr>
      </w:pPr>
      <w:r>
        <w:rPr>
          <w:rFonts w:cs="Times New Roman" w:ascii="Times New Roman" w:hAnsi="Times New Roman"/>
          <w:sz w:val="24"/>
          <w:szCs w:val="24"/>
        </w:rPr>
        <w:t>Execução de infraestrutura frigorígena;</w:t>
      </w:r>
    </w:p>
    <w:p>
      <w:pPr>
        <w:pStyle w:val="Normal"/>
        <w:numPr>
          <w:ilvl w:val="0"/>
          <w:numId w:val="3"/>
        </w:numPr>
        <w:spacing w:lineRule="atLeast" w:line="300" w:before="0" w:after="120"/>
        <w:jc w:val="both"/>
        <w:rPr>
          <w:rFonts w:ascii="Times New Roman" w:hAnsi="Times New Roman"/>
          <w:sz w:val="24"/>
          <w:szCs w:val="24"/>
        </w:rPr>
      </w:pPr>
      <w:r>
        <w:rPr>
          <w:rFonts w:cs="Times New Roman" w:ascii="Times New Roman" w:hAnsi="Times New Roman"/>
          <w:sz w:val="24"/>
          <w:szCs w:val="24"/>
        </w:rPr>
        <w:t>Instalação elétrica dedicada;</w:t>
      </w:r>
    </w:p>
    <w:p>
      <w:pPr>
        <w:pStyle w:val="Normal"/>
        <w:numPr>
          <w:ilvl w:val="0"/>
          <w:numId w:val="3"/>
        </w:numPr>
        <w:spacing w:lineRule="atLeast" w:line="300" w:before="0" w:after="120"/>
        <w:jc w:val="both"/>
        <w:rPr>
          <w:rFonts w:ascii="Times New Roman" w:hAnsi="Times New Roman"/>
          <w:sz w:val="24"/>
          <w:szCs w:val="24"/>
        </w:rPr>
      </w:pPr>
      <w:r>
        <w:rPr>
          <w:rFonts w:cs="Times New Roman" w:ascii="Times New Roman" w:hAnsi="Times New Roman"/>
          <w:sz w:val="24"/>
          <w:szCs w:val="24"/>
        </w:rPr>
        <w:t>Sistema de drenagem;</w:t>
      </w:r>
    </w:p>
    <w:p>
      <w:pPr>
        <w:pStyle w:val="Normal"/>
        <w:numPr>
          <w:ilvl w:val="0"/>
          <w:numId w:val="3"/>
        </w:numPr>
        <w:spacing w:lineRule="atLeast" w:line="300" w:before="0" w:after="120"/>
        <w:jc w:val="both"/>
        <w:rPr>
          <w:rFonts w:ascii="Times New Roman" w:hAnsi="Times New Roman"/>
          <w:sz w:val="24"/>
          <w:szCs w:val="24"/>
        </w:rPr>
      </w:pPr>
      <w:r>
        <w:rPr>
          <w:rFonts w:cs="Times New Roman" w:ascii="Times New Roman" w:hAnsi="Times New Roman"/>
          <w:sz w:val="24"/>
          <w:szCs w:val="24"/>
        </w:rPr>
        <w:t>Comissionamento técnico (Startup);</w:t>
      </w:r>
    </w:p>
    <w:p>
      <w:pPr>
        <w:pStyle w:val="Normal"/>
        <w:numPr>
          <w:ilvl w:val="0"/>
          <w:numId w:val="3"/>
        </w:numPr>
        <w:spacing w:lineRule="atLeast" w:line="300" w:before="0" w:after="120"/>
        <w:jc w:val="both"/>
        <w:rPr>
          <w:rFonts w:ascii="Times New Roman" w:hAnsi="Times New Roman"/>
          <w:sz w:val="24"/>
          <w:szCs w:val="24"/>
        </w:rPr>
      </w:pPr>
      <w:r>
        <w:rPr>
          <w:rFonts w:cs="Times New Roman" w:ascii="Times New Roman" w:hAnsi="Times New Roman"/>
          <w:sz w:val="24"/>
          <w:szCs w:val="24"/>
        </w:rPr>
        <w:t>Emissão de ART ou RRT (Anotação ou Registro de Responsabilidade Técnica) específica para os serviços de instalação;</w:t>
      </w:r>
    </w:p>
    <w:p>
      <w:pPr>
        <w:pStyle w:val="Normal"/>
        <w:numPr>
          <w:ilvl w:val="2"/>
          <w:numId w:val="247"/>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auto" w:val="clear"/>
        </w:rPr>
        <w:t>O Ramo de Atividade predominante desta contratação, com base no catálogo de serviços – CATSER, é 2020 – Ar Condicionado - Instalação/Montagem/Desmontagem/Remoção - (Parede / Sistemas).</w:t>
      </w:r>
    </w:p>
    <w:p>
      <w:pPr>
        <w:pStyle w:val="Normal"/>
        <w:numPr>
          <w:ilvl w:val="3"/>
          <w:numId w:val="248"/>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auto" w:val="clear"/>
        </w:rPr>
        <w:t>O(s) item(ns) objeto desta contratação não consta(m) no Catálogo Eletrônico de Padronização do Portal do Compras do Governo Federal (PNCP).</w:t>
      </w:r>
    </w:p>
    <w:p>
      <w:pPr>
        <w:pStyle w:val="Normal"/>
        <w:numPr>
          <w:ilvl w:val="1"/>
          <w:numId w:val="249"/>
        </w:numPr>
        <w:spacing w:lineRule="atLeast" w:line="300" w:before="0" w:after="120"/>
        <w:jc w:val="both"/>
        <w:rPr>
          <w:rFonts w:ascii="Times New Roman" w:hAnsi="Times New Roman"/>
          <w:sz w:val="24"/>
          <w:szCs w:val="24"/>
          <w:highlight w:val="none"/>
          <w:shd w:fill="auto" w:val="clear"/>
        </w:rPr>
      </w:pPr>
      <w:r>
        <w:rPr>
          <w:rFonts w:eastAsia="Calibri" w:cs="Times New Roman" w:ascii="Times New Roman" w:hAnsi="Times New Roman"/>
          <w:sz w:val="24"/>
          <w:szCs w:val="24"/>
          <w:shd w:fill="auto" w:val="clear"/>
        </w:rPr>
        <w:t>Os fornecedores interessados participarão desta contratação sob o regime de Item  Único, compreendendo o fornecimento do equipamento e a execução integral dos serviços descritos neste Termo de Referência.</w:t>
      </w:r>
    </w:p>
    <w:p>
      <w:pPr>
        <w:pStyle w:val="Normal"/>
        <w:numPr>
          <w:ilvl w:val="1"/>
          <w:numId w:val="250"/>
        </w:numPr>
        <w:spacing w:before="0" w:after="120"/>
        <w:jc w:val="both"/>
        <w:rPr>
          <w:rFonts w:ascii="Times New Roman" w:hAnsi="Times New Roman"/>
          <w:sz w:val="24"/>
          <w:szCs w:val="24"/>
        </w:rPr>
      </w:pPr>
      <w:r>
        <w:rPr>
          <w:rFonts w:eastAsia="Calibri" w:cs="Times New Roman" w:ascii="Times New Roman" w:hAnsi="Times New Roman"/>
          <w:caps/>
          <w:sz w:val="24"/>
          <w:szCs w:val="24"/>
          <w:u w:val="single"/>
        </w:rPr>
        <w:t>Forma e critérios de seleção do fornecedor</w:t>
      </w:r>
      <w:r>
        <w:rPr>
          <w:rFonts w:eastAsia="Calibri" w:cs="Times New Roman" w:ascii="Times New Roman" w:hAnsi="Times New Roman"/>
          <w:sz w:val="24"/>
          <w:szCs w:val="24"/>
        </w:rPr>
        <w:t>: conforme disposto no Capítulo 3 deste Termo de Referência.</w:t>
      </w:r>
    </w:p>
    <w:p>
      <w:pPr>
        <w:pStyle w:val="Normal"/>
        <w:numPr>
          <w:ilvl w:val="1"/>
          <w:numId w:val="251"/>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 xml:space="preserve">VALOR ESTIMADO DA CONTRATAÇÃO – o </w:t>
      </w:r>
      <w:r>
        <w:rPr>
          <w:rFonts w:eastAsia="Calibri" w:cs="Times New Roman" w:ascii="Times New Roman" w:hAnsi="Times New Roman"/>
          <w:b/>
          <w:bCs/>
          <w:sz w:val="24"/>
          <w:szCs w:val="24"/>
        </w:rPr>
        <w:t>v</w:t>
      </w:r>
      <w:r>
        <w:rPr>
          <w:rFonts w:eastAsia="Calibri" w:cs="Times New Roman" w:ascii="Times New Roman" w:hAnsi="Times New Roman"/>
          <w:b/>
          <w:sz w:val="24"/>
          <w:szCs w:val="24"/>
        </w:rPr>
        <w:t xml:space="preserve">alor total máximo estimado </w:t>
      </w:r>
      <w:r>
        <w:rPr>
          <w:rFonts w:eastAsia="Calibri" w:cs="Times New Roman" w:ascii="Times New Roman" w:hAnsi="Times New Roman"/>
          <w:sz w:val="24"/>
          <w:szCs w:val="24"/>
        </w:rPr>
        <w:t xml:space="preserve">desta contratação e para a aceitação da proposta está previsto na tabela abaixo, devendo o fornecedor vencedor apresentar sua proposta ajustando seu valor ao máximo aceitável, </w:t>
      </w:r>
      <w:r>
        <w:rPr>
          <w:rFonts w:eastAsia="Calibri" w:cs="Times New Roman" w:ascii="Times New Roman" w:hAnsi="Times New Roman"/>
          <w:sz w:val="24"/>
          <w:szCs w:val="24"/>
          <w:u w:val="single"/>
        </w:rPr>
        <w:t>sob pena de desclassificação</w:t>
      </w:r>
      <w:r>
        <w:rPr>
          <w:rFonts w:eastAsia="Calibri" w:cs="Times New Roman" w:ascii="Times New Roman" w:hAnsi="Times New Roman"/>
          <w:sz w:val="24"/>
          <w:szCs w:val="24"/>
        </w:rPr>
        <w:t>, caso não adéque sua proposta</w:t>
      </w:r>
      <w:r>
        <w:rPr>
          <w:rFonts w:eastAsia="Calibri" w:cs="Times New Roman" w:ascii="Times New Roman" w:hAnsi="Times New Roman"/>
          <w:sz w:val="24"/>
          <w:szCs w:val="24"/>
          <w:shd w:fill="FFFFFF" w:val="clear"/>
        </w:rPr>
        <w:t>.</w:t>
      </w:r>
    </w:p>
    <w:p>
      <w:pPr>
        <w:pStyle w:val="Normal"/>
        <w:numPr>
          <w:ilvl w:val="2"/>
          <w:numId w:val="252"/>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ORÇAMENTO disponível no APÊNDICE D deste Termo de Referência contendo as seguintes planilhas de custos e formação de preços: sintética, analítica, analíticas auxiliares, insumos, BDI, cronograma e leis sociais.</w:t>
      </w:r>
    </w:p>
    <w:p>
      <w:pPr>
        <w:pStyle w:val="Normal"/>
        <w:numPr>
          <w:ilvl w:val="1"/>
          <w:numId w:val="253"/>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O preço ofertado deverá ser final e nele deverão estar compreendidos todos os custos e despesas que, direta ou indiretamente, decorram do cumprimento pleno e integral do objeto, tais como e sem se limitar a: tributos; embalagem; frete; mão de obra, materiais e equipamentos; passagens; diárias; refeições; salários; honorários; encargos sociais, trabalhistas, previdenciários, fiscais e comerciais incidentes, bem como taxas de licenciamento, administração, frete, seguro e lucro.</w:t>
      </w:r>
    </w:p>
    <w:p>
      <w:pPr>
        <w:pStyle w:val="Normal"/>
        <w:numPr>
          <w:ilvl w:val="1"/>
          <w:numId w:val="254"/>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Em caso de divergência entre as especificações dos materiais/serviços indicados no Sistema Compras.gov e as constantes neste Termo de Referên</w:t>
      </w:r>
      <w:r>
        <w:rPr>
          <w:rFonts w:eastAsia="Calibri" w:cs="Times New Roman" w:ascii="Times New Roman" w:hAnsi="Times New Roman"/>
          <w:sz w:val="24"/>
          <w:szCs w:val="24"/>
          <w:shd w:fill="auto" w:val="clear"/>
        </w:rPr>
        <w:t>cia e seus apêndices,</w:t>
      </w:r>
      <w:r>
        <w:rPr>
          <w:rFonts w:eastAsia="Calibri" w:cs="Times New Roman" w:ascii="Times New Roman" w:hAnsi="Times New Roman"/>
          <w:sz w:val="24"/>
          <w:szCs w:val="24"/>
        </w:rPr>
        <w:t xml:space="preserve"> prevalecerá estas últimas.</w:t>
      </w:r>
    </w:p>
    <w:p>
      <w:pPr>
        <w:pStyle w:val="Normal"/>
        <w:numPr>
          <w:ilvl w:val="1"/>
          <w:numId w:val="255"/>
        </w:numPr>
        <w:spacing w:lineRule="atLeast" w:line="300" w:before="0" w:after="120"/>
        <w:jc w:val="both"/>
        <w:rPr>
          <w:rFonts w:ascii="Times New Roman" w:hAnsi="Times New Roman"/>
          <w:sz w:val="24"/>
          <w:szCs w:val="24"/>
        </w:rPr>
      </w:pPr>
      <w:r>
        <w:rPr>
          <w:rFonts w:cs="Times New Roman" w:ascii="Times New Roman" w:hAnsi="Times New Roman"/>
          <w:sz w:val="24"/>
          <w:szCs w:val="24"/>
          <w:shd w:fill="FFFFFF" w:val="clear"/>
        </w:rPr>
        <w:t>Possíveis inconsistências, falhas ou incorreções na especificação do objeto deverão ser alegadas no momento oportuno, não podendo constituir pretexto para a fornecedora cobrar valores extras e/ou alterar a composição de preço.</w:t>
      </w:r>
    </w:p>
    <w:p>
      <w:pPr>
        <w:pStyle w:val="Normal"/>
        <w:numPr>
          <w:ilvl w:val="1"/>
          <w:numId w:val="256"/>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FFFFFF" w:val="clear"/>
        </w:rPr>
        <w:t xml:space="preserve">VALIDADE DA PROPOSTA – toda proposta apresentada será considerada com </w:t>
      </w:r>
      <w:r>
        <w:rPr>
          <w:rFonts w:eastAsia="Calibri" w:cs="Times New Roman" w:ascii="Times New Roman" w:hAnsi="Times New Roman"/>
          <w:sz w:val="24"/>
          <w:szCs w:val="24"/>
          <w:u w:val="single"/>
          <w:shd w:fill="FFFFFF" w:val="clear"/>
        </w:rPr>
        <w:t>prazo de validade não inferior a 60 (sessenta) dias, a contar da data de sua apresentação</w:t>
      </w:r>
      <w:r>
        <w:rPr>
          <w:rFonts w:eastAsia="Calibri" w:cs="Times New Roman" w:ascii="Times New Roman" w:hAnsi="Times New Roman"/>
          <w:sz w:val="24"/>
          <w:szCs w:val="24"/>
          <w:shd w:fill="FFFFFF" w:val="clear"/>
        </w:rPr>
        <w:t>, salvo se da mesma constar prazo superior, que prevalecerá.</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r>
    </w:p>
    <w:tbl>
      <w:tblPr>
        <w:tblW w:w="8948" w:type="dxa"/>
        <w:jc w:val="left"/>
        <w:tblInd w:w="-4" w:type="dxa"/>
        <w:tblLayout w:type="fixed"/>
        <w:tblCellMar>
          <w:top w:w="0" w:type="dxa"/>
          <w:left w:w="108" w:type="dxa"/>
          <w:bottom w:w="0" w:type="dxa"/>
          <w:right w:w="108" w:type="dxa"/>
        </w:tblCellMar>
        <w:tblLook w:firstRow="0" w:noVBand="0" w:lastRow="0" w:firstColumn="0" w:lastColumn="0" w:noHBand="0" w:val="0000"/>
      </w:tblPr>
      <w:tblGrid>
        <w:gridCol w:w="704"/>
        <w:gridCol w:w="4790"/>
        <w:gridCol w:w="791"/>
        <w:gridCol w:w="1310"/>
        <w:gridCol w:w="1353"/>
      </w:tblGrid>
      <w:tr>
        <w:trPr>
          <w:tblHeader w:val="true"/>
        </w:trPr>
        <w:tc>
          <w:tcPr>
            <w:tcW w:w="8948" w:type="dxa"/>
            <w:gridSpan w:val="5"/>
            <w:tcBorders>
              <w:top w:val="single" w:sz="4" w:space="0" w:color="000000"/>
              <w:left w:val="single" w:sz="4" w:space="0" w:color="000000"/>
              <w:bottom w:val="single" w:sz="4" w:space="0" w:color="000000"/>
              <w:right w:val="single" w:sz="4" w:space="0" w:color="000000"/>
            </w:tcBorders>
            <w:shd w:color="auto" w:fill="DDDDDD" w:val="clear"/>
          </w:tcPr>
          <w:p>
            <w:pPr>
              <w:pStyle w:val="Normal"/>
              <w:widowControl w:val="false"/>
              <w:spacing w:lineRule="atLeast" w:line="300" w:before="0" w:after="120"/>
              <w:jc w:val="center"/>
              <w:rPr>
                <w:rFonts w:ascii="Times New Roman" w:hAnsi="Times New Roman"/>
                <w:sz w:val="24"/>
                <w:szCs w:val="24"/>
              </w:rPr>
            </w:pPr>
            <w:r>
              <w:rPr>
                <w:rFonts w:cs="Times New Roman" w:ascii="Times New Roman" w:hAnsi="Times New Roman"/>
                <w:b/>
                <w:bCs/>
                <w:sz w:val="24"/>
                <w:szCs w:val="24"/>
              </w:rPr>
              <w:t>ITEM 1</w:t>
            </w:r>
          </w:p>
        </w:tc>
      </w:tr>
      <w:tr>
        <w:trPr>
          <w:tblHeader w:val="true"/>
        </w:trPr>
        <w:tc>
          <w:tcPr>
            <w:tcW w:w="8948" w:type="dxa"/>
            <w:gridSpan w:val="5"/>
            <w:tcBorders>
              <w:left w:val="single" w:sz="4" w:space="0" w:color="000000"/>
              <w:bottom w:val="single" w:sz="4" w:space="0" w:color="000000"/>
              <w:right w:val="single" w:sz="4" w:space="0" w:color="000000"/>
            </w:tcBorders>
            <w:shd w:color="auto" w:fill="DDDDDD" w:val="clear"/>
          </w:tcPr>
          <w:p>
            <w:pPr>
              <w:pStyle w:val="Normal"/>
              <w:widowControl w:val="false"/>
              <w:spacing w:lineRule="atLeast" w:line="300" w:before="0" w:after="120"/>
              <w:jc w:val="center"/>
              <w:rPr>
                <w:rFonts w:ascii="Times New Roman" w:hAnsi="Times New Roman"/>
                <w:sz w:val="24"/>
                <w:szCs w:val="24"/>
              </w:rPr>
            </w:pPr>
            <w:r>
              <w:rPr>
                <w:rFonts w:eastAsia="Calibri" w:cs="Times New Roman" w:ascii="Times New Roman" w:hAnsi="Times New Roman"/>
                <w:b/>
                <w:sz w:val="24"/>
                <w:szCs w:val="24"/>
              </w:rPr>
              <w:t>PROCURADORIA DA REPÚBLICA NO MUNICÍPIO DE LONDRINA/PARANÁ</w:t>
            </w:r>
          </w:p>
        </w:tc>
      </w:tr>
      <w:tr>
        <w:trPr>
          <w:tblHeader w:val="true"/>
        </w:trPr>
        <w:tc>
          <w:tcPr>
            <w:tcW w:w="8948" w:type="dxa"/>
            <w:gridSpan w:val="5"/>
            <w:tcBorders>
              <w:left w:val="single" w:sz="4" w:space="0" w:color="000000"/>
              <w:bottom w:val="single" w:sz="4" w:space="0" w:color="000000"/>
              <w:right w:val="single" w:sz="4" w:space="0" w:color="000000"/>
            </w:tcBorders>
            <w:shd w:color="auto" w:fill="DDDDDD" w:val="clear"/>
          </w:tcPr>
          <w:p>
            <w:pPr>
              <w:pStyle w:val="Normal"/>
              <w:widowControl w:val="false"/>
              <w:spacing w:before="0" w:after="113"/>
              <w:rPr>
                <w:rFonts w:ascii="Times New Roman" w:hAnsi="Times New Roman"/>
                <w:sz w:val="24"/>
                <w:szCs w:val="24"/>
              </w:rPr>
            </w:pPr>
            <w:r>
              <w:rPr>
                <w:rFonts w:eastAsia="Calibri" w:cs="Times New Roman" w:ascii="Times New Roman" w:hAnsi="Times New Roman"/>
                <w:sz w:val="24"/>
                <w:szCs w:val="24"/>
              </w:rPr>
              <w:t>Av. Ayrton Senna da Silva, 550, Sala 904 - Gleba Palhano - Londrina/PR CEP 86.050-460</w:t>
            </w:r>
          </w:p>
          <w:p>
            <w:pPr>
              <w:pStyle w:val="Normal"/>
              <w:widowControl w:val="false"/>
              <w:spacing w:before="0" w:after="113"/>
              <w:rPr>
                <w:rFonts w:ascii="Times New Roman" w:hAnsi="Times New Roman"/>
                <w:sz w:val="24"/>
                <w:szCs w:val="24"/>
              </w:rPr>
            </w:pPr>
            <w:r>
              <w:rPr>
                <w:rFonts w:eastAsia="Calibri" w:cs="Times New Roman" w:ascii="Times New Roman" w:hAnsi="Times New Roman"/>
                <w:sz w:val="24"/>
                <w:szCs w:val="24"/>
              </w:rPr>
              <w:t xml:space="preserve">Tel. (43) 3294-1200 – </w:t>
            </w:r>
            <w:r>
              <w:rPr>
                <w:rFonts w:ascii="Times New Roman" w:hAnsi="Times New Roman"/>
                <w:sz w:val="24"/>
                <w:szCs w:val="24"/>
              </w:rPr>
              <w:t>prpr-londrina@mpf.mp.br</w:t>
            </w:r>
          </w:p>
        </w:tc>
      </w:tr>
      <w:tr>
        <w:trPr>
          <w:tblHeader w:val="true"/>
        </w:trPr>
        <w:tc>
          <w:tcPr>
            <w:tcW w:w="704" w:type="dxa"/>
            <w:tcBorders>
              <w:left w:val="single" w:sz="4" w:space="0" w:color="000000"/>
              <w:bottom w:val="single" w:sz="4" w:space="0" w:color="000000"/>
            </w:tcBorders>
            <w:vAlign w:val="center"/>
          </w:tcPr>
          <w:p>
            <w:pPr>
              <w:pStyle w:val="Normal"/>
              <w:widowControl w:val="false"/>
              <w:spacing w:lineRule="atLeast" w:line="300" w:before="0" w:after="120"/>
              <w:jc w:val="both"/>
              <w:rPr>
                <w:rFonts w:ascii="Times New Roman" w:hAnsi="Times New Roman"/>
                <w:sz w:val="24"/>
                <w:szCs w:val="24"/>
              </w:rPr>
            </w:pPr>
            <w:r>
              <w:rPr>
                <w:rFonts w:cs="Times New Roman" w:ascii="Times New Roman" w:hAnsi="Times New Roman"/>
                <w:b/>
                <w:bCs/>
                <w:caps/>
                <w:sz w:val="24"/>
                <w:szCs w:val="24"/>
              </w:rPr>
              <w:t>Sub-item</w:t>
            </w:r>
          </w:p>
        </w:tc>
        <w:tc>
          <w:tcPr>
            <w:tcW w:w="4790" w:type="dxa"/>
            <w:tcBorders>
              <w:left w:val="single" w:sz="4" w:space="0" w:color="000000"/>
              <w:bottom w:val="single" w:sz="4" w:space="0" w:color="000000"/>
            </w:tcBorders>
            <w:vAlign w:val="center"/>
          </w:tcPr>
          <w:p>
            <w:pPr>
              <w:pStyle w:val="Normal"/>
              <w:widowControl w:val="false"/>
              <w:spacing w:lineRule="atLeast" w:line="300" w:before="0" w:after="120"/>
              <w:jc w:val="both"/>
              <w:rPr>
                <w:rFonts w:ascii="Times New Roman" w:hAnsi="Times New Roman"/>
                <w:sz w:val="24"/>
                <w:szCs w:val="24"/>
              </w:rPr>
            </w:pPr>
            <w:r>
              <w:rPr>
                <w:rFonts w:cs="Times New Roman" w:ascii="Times New Roman" w:hAnsi="Times New Roman"/>
                <w:b/>
                <w:bCs/>
                <w:caps/>
                <w:sz w:val="24"/>
                <w:szCs w:val="24"/>
                <w:shd w:fill="auto" w:val="clear"/>
              </w:rPr>
              <w:t>Especificação</w:t>
            </w:r>
          </w:p>
          <w:p>
            <w:pPr>
              <w:pStyle w:val="Normal"/>
              <w:widowControl w:val="false"/>
              <w:spacing w:lineRule="atLeast" w:line="300" w:before="0" w:after="120"/>
              <w:ind w:left="57"/>
              <w:jc w:val="both"/>
              <w:rPr>
                <w:rFonts w:ascii="Times New Roman" w:hAnsi="Times New Roman"/>
                <w:sz w:val="24"/>
                <w:szCs w:val="24"/>
              </w:rPr>
            </w:pPr>
            <w:r>
              <w:rPr>
                <w:rFonts w:cs="Times New Roman" w:ascii="Times New Roman" w:hAnsi="Times New Roman"/>
                <w:sz w:val="24"/>
                <w:szCs w:val="24"/>
                <w:shd w:fill="auto" w:val="clear"/>
              </w:rPr>
              <w:t>CATSER: 2020 – Ar Condicionado - Instalação/Montagem/Desmontagem/Remoção - (Parede / Sistemas)</w:t>
            </w:r>
          </w:p>
        </w:tc>
        <w:tc>
          <w:tcPr>
            <w:tcW w:w="791" w:type="dxa"/>
            <w:tcBorders>
              <w:left w:val="single" w:sz="4" w:space="0" w:color="000000"/>
              <w:bottom w:val="single" w:sz="4" w:space="0" w:color="000000"/>
            </w:tcBorders>
            <w:vAlign w:val="center"/>
          </w:tcPr>
          <w:p>
            <w:pPr>
              <w:pStyle w:val="Normal"/>
              <w:widowControl w:val="false"/>
              <w:spacing w:lineRule="atLeast" w:line="300" w:before="0" w:after="120"/>
              <w:jc w:val="both"/>
              <w:rPr>
                <w:rFonts w:ascii="Times New Roman" w:hAnsi="Times New Roman"/>
                <w:sz w:val="24"/>
                <w:szCs w:val="24"/>
              </w:rPr>
            </w:pPr>
            <w:r>
              <w:rPr>
                <w:rFonts w:cs="Times New Roman" w:ascii="Times New Roman" w:hAnsi="Times New Roman"/>
                <w:b/>
                <w:bCs/>
                <w:caps/>
                <w:sz w:val="24"/>
                <w:szCs w:val="24"/>
              </w:rPr>
              <w:t>qtde</w:t>
            </w:r>
          </w:p>
        </w:tc>
        <w:tc>
          <w:tcPr>
            <w:tcW w:w="1310" w:type="dxa"/>
            <w:tcBorders>
              <w:left w:val="single" w:sz="4" w:space="0" w:color="000000"/>
              <w:bottom w:val="single" w:sz="4" w:space="0" w:color="000000"/>
            </w:tcBorders>
            <w:vAlign w:val="center"/>
          </w:tcPr>
          <w:p>
            <w:pPr>
              <w:pStyle w:val="Normal"/>
              <w:widowControl w:val="false"/>
              <w:spacing w:lineRule="atLeast" w:line="300" w:before="0" w:after="120"/>
              <w:jc w:val="center"/>
              <w:rPr>
                <w:rFonts w:ascii="Times New Roman" w:hAnsi="Times New Roman"/>
                <w:sz w:val="24"/>
                <w:szCs w:val="24"/>
              </w:rPr>
            </w:pPr>
            <w:r>
              <w:rPr>
                <w:rFonts w:cs="Times New Roman" w:ascii="Times New Roman" w:hAnsi="Times New Roman"/>
                <w:b/>
                <w:bCs/>
                <w:caps/>
                <w:sz w:val="24"/>
                <w:szCs w:val="24"/>
              </w:rPr>
              <w:t>Valor Unitário MÁXIMO</w:t>
            </w:r>
          </w:p>
          <w:p>
            <w:pPr>
              <w:pStyle w:val="Normal"/>
              <w:widowControl w:val="false"/>
              <w:spacing w:lineRule="atLeast" w:line="300" w:before="0" w:after="120"/>
              <w:jc w:val="center"/>
              <w:rPr>
                <w:rFonts w:ascii="Times New Roman" w:hAnsi="Times New Roman"/>
                <w:sz w:val="24"/>
                <w:szCs w:val="24"/>
              </w:rPr>
            </w:pPr>
            <w:r>
              <w:rPr>
                <w:rFonts w:cs="Times New Roman" w:ascii="Times New Roman" w:hAnsi="Times New Roman"/>
                <w:b/>
                <w:bCs/>
                <w:caps/>
                <w:sz w:val="24"/>
                <w:szCs w:val="24"/>
              </w:rPr>
              <w:t>(R$)</w:t>
            </w:r>
          </w:p>
        </w:tc>
        <w:tc>
          <w:tcPr>
            <w:tcW w:w="1353" w:type="dxa"/>
            <w:tcBorders>
              <w:left w:val="single" w:sz="4" w:space="0" w:color="000000"/>
              <w:bottom w:val="single" w:sz="4" w:space="0" w:color="000000"/>
              <w:right w:val="single" w:sz="4" w:space="0" w:color="000000"/>
            </w:tcBorders>
            <w:vAlign w:val="center"/>
          </w:tcPr>
          <w:p>
            <w:pPr>
              <w:pStyle w:val="Normal"/>
              <w:widowControl w:val="false"/>
              <w:spacing w:lineRule="atLeast" w:line="300" w:before="0" w:after="120"/>
              <w:jc w:val="center"/>
              <w:rPr>
                <w:rFonts w:ascii="Times New Roman" w:hAnsi="Times New Roman"/>
                <w:sz w:val="24"/>
                <w:szCs w:val="24"/>
              </w:rPr>
            </w:pPr>
            <w:r>
              <w:rPr>
                <w:rFonts w:cs="Times New Roman" w:ascii="Times New Roman" w:hAnsi="Times New Roman"/>
                <w:b/>
                <w:bCs/>
                <w:caps/>
                <w:sz w:val="24"/>
                <w:szCs w:val="24"/>
              </w:rPr>
              <w:t>Valor Total MÁXIMO ESTIMADO</w:t>
            </w:r>
          </w:p>
          <w:p>
            <w:pPr>
              <w:pStyle w:val="Normal"/>
              <w:widowControl w:val="false"/>
              <w:spacing w:lineRule="atLeast" w:line="300" w:before="0" w:after="120"/>
              <w:jc w:val="center"/>
              <w:rPr>
                <w:rFonts w:ascii="Times New Roman" w:hAnsi="Times New Roman"/>
                <w:sz w:val="24"/>
                <w:szCs w:val="24"/>
              </w:rPr>
            </w:pPr>
            <w:r>
              <w:rPr>
                <w:rFonts w:cs="Times New Roman" w:ascii="Times New Roman" w:hAnsi="Times New Roman"/>
                <w:b/>
                <w:bCs/>
                <w:caps/>
                <w:sz w:val="24"/>
                <w:szCs w:val="24"/>
              </w:rPr>
              <w:t xml:space="preserve"> </w:t>
            </w:r>
            <w:r>
              <w:rPr>
                <w:rFonts w:cs="Times New Roman" w:ascii="Times New Roman" w:hAnsi="Times New Roman"/>
                <w:b/>
                <w:bCs/>
                <w:caps/>
                <w:sz w:val="24"/>
                <w:szCs w:val="24"/>
              </w:rPr>
              <w:t>(R$)</w:t>
            </w:r>
          </w:p>
        </w:tc>
      </w:tr>
      <w:tr>
        <w:trPr>
          <w:tblHeader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300" w:before="0" w:after="120"/>
              <w:jc w:val="both"/>
              <w:rPr>
                <w:rFonts w:ascii="Times New Roman" w:hAnsi="Times New Roman"/>
                <w:sz w:val="24"/>
                <w:szCs w:val="24"/>
              </w:rPr>
            </w:pPr>
            <w:r>
              <w:rPr>
                <w:rFonts w:cs="Times New Roman" w:ascii="Times New Roman" w:hAnsi="Times New Roman"/>
                <w:b/>
                <w:bCs/>
                <w:sz w:val="24"/>
                <w:szCs w:val="24"/>
              </w:rPr>
              <w:t>1.1</w:t>
            </w:r>
          </w:p>
        </w:tc>
        <w:tc>
          <w:tcPr>
            <w:tcW w:w="47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300" w:before="0" w:after="120"/>
              <w:jc w:val="both"/>
              <w:rPr>
                <w:rFonts w:ascii="Times New Roman" w:hAnsi="Times New Roman"/>
                <w:sz w:val="24"/>
                <w:szCs w:val="24"/>
              </w:rPr>
            </w:pPr>
            <w:r>
              <w:rPr>
                <w:rFonts w:cs="Times New Roman" w:ascii="Times New Roman" w:hAnsi="Times New Roman"/>
                <w:sz w:val="24"/>
                <w:szCs w:val="24"/>
                <w:shd w:fill="FFFFFF" w:val="clear"/>
              </w:rPr>
              <w:t>Prestação de serviços de fornecimento, instalação e comissionamento de sistema de climatização (tipo Split Hi-Wall Inverter), incluindo a execução de infraestrutura frigorígena e elétrica completa na Procuradoria da República no Município de Londrina/PR, unidade jurisdidionada da Procuradoria da República no Estado do Paraná.</w:t>
            </w:r>
          </w:p>
        </w:tc>
        <w:tc>
          <w:tcPr>
            <w:tcW w:w="7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300" w:before="0" w:after="120"/>
              <w:jc w:val="center"/>
              <w:rPr>
                <w:rFonts w:ascii="Times New Roman" w:hAnsi="Times New Roman"/>
                <w:sz w:val="24"/>
                <w:szCs w:val="24"/>
              </w:rPr>
            </w:pPr>
            <w:r>
              <w:rPr>
                <w:rFonts w:cs="Times New Roman" w:ascii="Times New Roman" w:hAnsi="Times New Roman"/>
                <w:sz w:val="24"/>
                <w:szCs w:val="24"/>
                <w:shd w:fill="FFFFFF" w:val="clear"/>
              </w:rPr>
              <w:t>1</w:t>
            </w:r>
          </w:p>
        </w:tc>
        <w:tc>
          <w:tcPr>
            <w:tcW w:w="13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300" w:before="0" w:after="120"/>
              <w:jc w:val="center"/>
              <w:rPr>
                <w:rFonts w:ascii="Times New Roman" w:hAnsi="Times New Roman"/>
                <w:sz w:val="24"/>
                <w:szCs w:val="24"/>
              </w:rPr>
            </w:pPr>
            <w:r>
              <w:rPr>
                <w:rFonts w:cs="Times New Roman" w:ascii="Times New Roman" w:hAnsi="Times New Roman"/>
                <w:sz w:val="24"/>
                <w:szCs w:val="24"/>
                <w:shd w:fill="FFFFFF" w:val="clear"/>
              </w:rPr>
              <w:t>12.461,73</w:t>
            </w:r>
          </w:p>
        </w:tc>
        <w:tc>
          <w:tcPr>
            <w:tcW w:w="13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300" w:before="0" w:after="120"/>
              <w:jc w:val="center"/>
              <w:rPr>
                <w:rFonts w:ascii="Times New Roman" w:hAnsi="Times New Roman"/>
                <w:sz w:val="24"/>
                <w:szCs w:val="24"/>
              </w:rPr>
            </w:pPr>
            <w:r>
              <w:rPr>
                <w:rFonts w:cs="Times New Roman" w:ascii="Times New Roman" w:hAnsi="Times New Roman"/>
                <w:sz w:val="24"/>
                <w:szCs w:val="24"/>
                <w:shd w:fill="FFFFFF" w:val="clear"/>
              </w:rPr>
              <w:t>12.461,73</w:t>
            </w:r>
          </w:p>
        </w:tc>
      </w:tr>
      <w:tr>
        <w:trPr/>
        <w:tc>
          <w:tcPr>
            <w:tcW w:w="7595" w:type="dxa"/>
            <w:gridSpan w:val="4"/>
            <w:tcBorders>
              <w:top w:val="single" w:sz="4" w:space="0" w:color="000000"/>
              <w:left w:val="single" w:sz="4" w:space="0" w:color="000000"/>
              <w:bottom w:val="single" w:sz="4" w:space="0" w:color="000000"/>
            </w:tcBorders>
            <w:shd w:color="auto" w:fill="DDDDDD" w:val="clear"/>
          </w:tcPr>
          <w:p>
            <w:pPr>
              <w:pStyle w:val="Normal"/>
              <w:widowControl w:val="false"/>
              <w:spacing w:lineRule="atLeast" w:line="300" w:before="0" w:after="120"/>
              <w:jc w:val="right"/>
              <w:rPr>
                <w:rFonts w:ascii="Times New Roman" w:hAnsi="Times New Roman"/>
                <w:sz w:val="24"/>
                <w:szCs w:val="24"/>
              </w:rPr>
            </w:pPr>
            <w:r>
              <w:rPr>
                <w:rFonts w:eastAsia="Calibri" w:cs="Times New Roman" w:ascii="Times New Roman" w:hAnsi="Times New Roman"/>
                <w:b/>
                <w:bCs/>
                <w:sz w:val="24"/>
                <w:szCs w:val="24"/>
              </w:rPr>
              <w:t>VALOR TOTAL ESTIMADO MÁXIMO  =&gt;</w:t>
            </w:r>
          </w:p>
        </w:tc>
        <w:tc>
          <w:tcPr>
            <w:tcW w:w="1353" w:type="dxa"/>
            <w:tcBorders>
              <w:top w:val="single" w:sz="4" w:space="0" w:color="000000"/>
              <w:left w:val="single" w:sz="4" w:space="0" w:color="000000"/>
              <w:bottom w:val="single" w:sz="4" w:space="0" w:color="000000"/>
              <w:right w:val="single" w:sz="4" w:space="0" w:color="000000"/>
            </w:tcBorders>
            <w:shd w:color="auto" w:fill="DDDDDD" w:val="clear"/>
          </w:tcPr>
          <w:p>
            <w:pPr>
              <w:pStyle w:val="Normal"/>
              <w:widowControl w:val="false"/>
              <w:spacing w:lineRule="atLeast" w:line="300" w:before="0" w:after="120"/>
              <w:jc w:val="center"/>
              <w:rPr>
                <w:rFonts w:ascii="Times New Roman" w:hAnsi="Times New Roman"/>
                <w:sz w:val="24"/>
                <w:szCs w:val="24"/>
              </w:rPr>
            </w:pPr>
            <w:r>
              <w:rPr>
                <w:rFonts w:cs="Times New Roman" w:ascii="Times New Roman" w:hAnsi="Times New Roman"/>
                <w:b/>
                <w:bCs/>
                <w:sz w:val="24"/>
                <w:szCs w:val="24"/>
              </w:rPr>
              <w:t>12.461,73</w:t>
            </w:r>
          </w:p>
        </w:tc>
      </w:tr>
    </w:tbl>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numPr>
          <w:ilvl w:val="1"/>
          <w:numId w:val="257"/>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FFFFFF" w:val="clear"/>
        </w:rPr>
        <w:t xml:space="preserve">O </w:t>
      </w:r>
      <w:r>
        <w:rPr>
          <w:rFonts w:eastAsia="Calibri" w:cs="Times New Roman" w:ascii="Times New Roman" w:hAnsi="Times New Roman"/>
          <w:sz w:val="24"/>
          <w:szCs w:val="24"/>
          <w:shd w:fill="EEEEEE" w:val="clear"/>
        </w:rPr>
        <w:t>PRAZO DE VIGÊNCIA da CONTRATAÇÃO</w:t>
      </w:r>
      <w:r>
        <w:rPr>
          <w:rFonts w:eastAsia="Calibri" w:cs="Times New Roman" w:ascii="Times New Roman" w:hAnsi="Times New Roman"/>
          <w:sz w:val="24"/>
          <w:szCs w:val="24"/>
          <w:shd w:fill="FFFFFF" w:val="clear"/>
        </w:rPr>
        <w:t xml:space="preserve"> é de </w:t>
      </w:r>
      <w:r>
        <w:rPr>
          <w:rFonts w:eastAsia="Calibri" w:cs="Times New Roman" w:ascii="Times New Roman" w:hAnsi="Times New Roman"/>
          <w:sz w:val="24"/>
          <w:szCs w:val="24"/>
          <w:u w:val="single"/>
          <w:shd w:fill="FFFFFF" w:val="clear"/>
        </w:rPr>
        <w:t>06 (seis) meses contados do recebimento da nota de empenho</w:t>
      </w:r>
      <w:r>
        <w:rPr>
          <w:rFonts w:eastAsia="Calibri" w:cs="Times New Roman" w:ascii="Times New Roman" w:hAnsi="Times New Roman"/>
          <w:sz w:val="24"/>
          <w:szCs w:val="24"/>
          <w:shd w:fill="FFFFFF" w:val="clear"/>
        </w:rPr>
        <w:t>.</w:t>
      </w:r>
    </w:p>
    <w:p>
      <w:pPr>
        <w:pStyle w:val="Normal"/>
        <w:numPr>
          <w:ilvl w:val="2"/>
          <w:numId w:val="258"/>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FFFFFF" w:val="clear"/>
        </w:rPr>
        <w:t>O prazo de vigência da contratação será automaticamente prorrogado quando seu objeto não for concluído no período firmado na contratação, nos termos do art. 111 da Lei nº 14.133/2021.</w:t>
      </w:r>
    </w:p>
    <w:p>
      <w:pPr>
        <w:pStyle w:val="Normal"/>
        <w:numPr>
          <w:ilvl w:val="2"/>
          <w:numId w:val="259"/>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FFFFFF" w:val="clear"/>
        </w:rPr>
        <w:t>Quando a não conclusão decorrer de culpa da CONTRATADA:</w:t>
      </w:r>
    </w:p>
    <w:p>
      <w:pPr>
        <w:pStyle w:val="Normal"/>
        <w:numPr>
          <w:ilvl w:val="3"/>
          <w:numId w:val="2"/>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FFFFFF" w:val="clear"/>
        </w:rPr>
        <w:t>a CONTRATADA será constituída em mora, aplicáveis a ela as respectivas sanções administrativas;</w:t>
      </w:r>
    </w:p>
    <w:p>
      <w:pPr>
        <w:pStyle w:val="Normal"/>
        <w:numPr>
          <w:ilvl w:val="3"/>
          <w:numId w:val="2"/>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FFFFFF" w:val="clear"/>
        </w:rPr>
        <w:t>a Administração poderá optar pela extinção do contrato e, nesse caso, adotará as medidas admitidas em lei para a continuidade da execução contratual.</w:t>
      </w:r>
    </w:p>
    <w:p>
      <w:pPr>
        <w:pStyle w:val="Normal"/>
        <w:numPr>
          <w:ilvl w:val="1"/>
          <w:numId w:val="260"/>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EEEEEE" w:val="clear"/>
        </w:rPr>
        <w:t xml:space="preserve"> </w:t>
      </w:r>
      <w:r>
        <w:rPr>
          <w:rFonts w:eastAsia="Calibri" w:cs="Times New Roman" w:ascii="Times New Roman" w:hAnsi="Times New Roman"/>
          <w:sz w:val="24"/>
          <w:szCs w:val="24"/>
          <w:shd w:fill="EEEEEE" w:val="clear"/>
        </w:rPr>
        <w:t>PRAZO DE EXECUÇÃO DO SERVIÇO</w:t>
      </w:r>
      <w:r>
        <w:rPr>
          <w:rFonts w:eastAsia="Calibri" w:cs="Times New Roman" w:ascii="Times New Roman" w:hAnsi="Times New Roman"/>
          <w:sz w:val="24"/>
          <w:szCs w:val="24"/>
        </w:rPr>
        <w:t xml:space="preserve"> – o serviço deverá ser executado no </w:t>
      </w:r>
      <w:r>
        <w:rPr>
          <w:rFonts w:eastAsia="Calibri" w:cs="Times New Roman" w:ascii="Times New Roman" w:hAnsi="Times New Roman"/>
          <w:b/>
          <w:bCs/>
          <w:sz w:val="24"/>
          <w:szCs w:val="24"/>
        </w:rPr>
        <w:t>prazo máximo</w:t>
      </w:r>
      <w:r>
        <w:rPr>
          <w:rFonts w:eastAsia="Calibri" w:cs="Times New Roman" w:ascii="Times New Roman" w:hAnsi="Times New Roman"/>
          <w:sz w:val="24"/>
          <w:szCs w:val="24"/>
        </w:rPr>
        <w:t xml:space="preserve"> de 30 (trinta) </w:t>
      </w:r>
      <w:r>
        <w:rPr>
          <w:rFonts w:eastAsia="Calibri" w:cs="Times New Roman" w:ascii="Times New Roman" w:hAnsi="Times New Roman"/>
          <w:b/>
          <w:bCs/>
          <w:sz w:val="24"/>
          <w:szCs w:val="24"/>
        </w:rPr>
        <w:t>dias</w:t>
      </w:r>
      <w:r>
        <w:rPr>
          <w:rFonts w:eastAsia="Calibri" w:cs="Times New Roman" w:ascii="Times New Roman" w:hAnsi="Times New Roman"/>
          <w:sz w:val="24"/>
          <w:szCs w:val="24"/>
        </w:rPr>
        <w:t xml:space="preserve"> a</w:t>
      </w:r>
      <w:r>
        <w:rPr>
          <w:rFonts w:eastAsia="Calibri" w:cs="Times New Roman" w:ascii="Times New Roman" w:hAnsi="Times New Roman"/>
          <w:b/>
          <w:bCs/>
          <w:sz w:val="24"/>
          <w:szCs w:val="24"/>
        </w:rPr>
        <w:t xml:space="preserve"> partir da data indicada em ORDE</w:t>
      </w:r>
      <w:r>
        <w:rPr>
          <w:rFonts w:eastAsia="Calibri" w:cs="Times New Roman" w:ascii="Times New Roman" w:hAnsi="Times New Roman"/>
          <w:b/>
          <w:bCs/>
          <w:sz w:val="24"/>
          <w:szCs w:val="24"/>
          <w:shd w:fill="auto" w:val="clear"/>
        </w:rPr>
        <w:t>M DE INÍCIO DE</w:t>
      </w:r>
      <w:r>
        <w:rPr>
          <w:rFonts w:eastAsia="Calibri" w:cs="Times New Roman" w:ascii="Times New Roman" w:hAnsi="Times New Roman"/>
          <w:b/>
          <w:bCs/>
          <w:sz w:val="24"/>
          <w:szCs w:val="24"/>
        </w:rPr>
        <w:t xml:space="preserve"> SERVIÇO emitida pela CONTRATANTE e encaminhada ao e-mail indicado na proposta da empresa vencedora</w:t>
      </w:r>
      <w:r>
        <w:rPr>
          <w:rFonts w:eastAsia="Calibri" w:cs="Times New Roman" w:ascii="Times New Roman" w:hAnsi="Times New Roman"/>
          <w:sz w:val="24"/>
          <w:szCs w:val="24"/>
        </w:rPr>
        <w:t>, com exceção de situações devidamente justificadas pela CONTRATADA e aceitas pela CONTRATANTE.</w:t>
      </w:r>
    </w:p>
    <w:p>
      <w:pPr>
        <w:pStyle w:val="Normal"/>
        <w:numPr>
          <w:ilvl w:val="2"/>
          <w:numId w:val="261"/>
        </w:numPr>
        <w:spacing w:lineRule="atLeast" w:line="300" w:before="0" w:after="120"/>
        <w:jc w:val="both"/>
        <w:rPr>
          <w:rFonts w:ascii="Times New Roman" w:hAnsi="Times New Roman"/>
          <w:sz w:val="24"/>
          <w:szCs w:val="24"/>
        </w:rPr>
      </w:pPr>
      <w:r>
        <w:rPr>
          <w:rFonts w:eastAsia="Calibri" w:cs="Times New Roman" w:ascii="Times New Roman" w:hAnsi="Times New Roman"/>
          <w:color w:val="000000"/>
          <w:sz w:val="24"/>
          <w:szCs w:val="24"/>
        </w:rPr>
        <w:t>O serviço deverá ser agendado, previamente, com a unidade, de s</w:t>
      </w:r>
      <w:r>
        <w:rPr>
          <w:rFonts w:eastAsia="Calibri" w:cs="Times New Roman" w:ascii="Times New Roman" w:hAnsi="Times New Roman"/>
          <w:color w:val="000000"/>
          <w:sz w:val="24"/>
          <w:szCs w:val="24"/>
          <w:u w:val="single"/>
        </w:rPr>
        <w:t>egunda a sexta-feira, das 09h às 17h</w:t>
      </w:r>
      <w:r>
        <w:rPr>
          <w:rFonts w:eastAsia="Calibri" w:cs="Times New Roman" w:ascii="Times New Roman" w:hAnsi="Times New Roman"/>
          <w:color w:val="000000"/>
          <w:sz w:val="24"/>
          <w:szCs w:val="24"/>
        </w:rPr>
        <w:t>, horário de Brasília, por meio dos e-mails ou telefones indicados nas tabelas acima;</w:t>
      </w:r>
    </w:p>
    <w:p>
      <w:pPr>
        <w:pStyle w:val="Normal"/>
        <w:numPr>
          <w:ilvl w:val="2"/>
          <w:numId w:val="262"/>
        </w:numPr>
        <w:spacing w:lineRule="atLeast" w:line="300" w:before="0" w:after="120"/>
        <w:jc w:val="both"/>
        <w:rPr>
          <w:rFonts w:ascii="Times New Roman" w:hAnsi="Times New Roman"/>
          <w:sz w:val="24"/>
          <w:szCs w:val="24"/>
        </w:rPr>
      </w:pPr>
      <w:r>
        <w:rPr>
          <w:rFonts w:eastAsia="Calibri" w:cs="Times New Roman" w:ascii="Times New Roman" w:hAnsi="Times New Roman"/>
          <w:color w:val="000000"/>
          <w:sz w:val="24"/>
          <w:szCs w:val="24"/>
        </w:rPr>
        <w:t>LOCAL DE EXECUÇÃO: os serviços serão executados na sala antes ocupada pela biblioteca na Procuradoria da República no Município de Londrina/PR, Av. Ayrton Senna da Silva, 550, Sala 904 - Gleba Palhano - Londrina/PR CEP 86.050-460.</w:t>
      </w:r>
    </w:p>
    <w:p>
      <w:pPr>
        <w:pStyle w:val="Heading1"/>
        <w:numPr>
          <w:ilvl w:val="0"/>
          <w:numId w:val="263"/>
        </w:numPr>
        <w:shd w:val="clear" w:color="auto" w:fill="9CC2E5"/>
        <w:spacing w:before="0" w:after="113"/>
        <w:jc w:val="both"/>
        <w:rPr>
          <w:rFonts w:ascii="Times New Roman" w:hAnsi="Times New Roman"/>
          <w:sz w:val="24"/>
          <w:szCs w:val="24"/>
        </w:rPr>
      </w:pPr>
      <w:bookmarkStart w:id="5" w:name="__RefHeading___Toc11693_612072703"/>
      <w:bookmarkStart w:id="6" w:name="_Toc202882168"/>
      <w:bookmarkStart w:id="7" w:name="_Toc202369832"/>
      <w:bookmarkStart w:id="8" w:name="_u3s9g7vu9x68"/>
      <w:bookmarkEnd w:id="5"/>
      <w:bookmarkEnd w:id="8"/>
      <w:r>
        <w:rPr>
          <w:rFonts w:cs="Times New Roman" w:ascii="Times New Roman" w:hAnsi="Times New Roman"/>
          <w:b/>
          <w:bCs/>
          <w:color w:val="auto"/>
          <w:sz w:val="24"/>
          <w:szCs w:val="24"/>
        </w:rPr>
        <w:t>FUNDAMENTAÇÃO E JUSTIFICATIVA DA NECESSIDADE DA CONTRATAÇÃO</w:t>
      </w:r>
      <w:bookmarkEnd w:id="6"/>
      <w:bookmarkEnd w:id="7"/>
    </w:p>
    <w:p>
      <w:pPr>
        <w:pStyle w:val="Normal"/>
        <w:numPr>
          <w:ilvl w:val="1"/>
          <w:numId w:val="264"/>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FUNDAMENTAÇÃO DA CONTRATAÇÃO</w:t>
      </w:r>
    </w:p>
    <w:p>
      <w:pPr>
        <w:pStyle w:val="Normal"/>
        <w:numPr>
          <w:ilvl w:val="2"/>
          <w:numId w:val="265"/>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As referências legais para a presente contratação são, pelo menos, as referidas abaixo, ficando também condicionada a contratação à legislação correlata relacionada ao objeto:</w:t>
      </w:r>
    </w:p>
    <w:p>
      <w:pPr>
        <w:pStyle w:val="Normal"/>
        <w:numPr>
          <w:ilvl w:val="3"/>
          <w:numId w:val="266"/>
        </w:numPr>
        <w:spacing w:lineRule="atLeast" w:line="300" w:before="0" w:after="120"/>
        <w:jc w:val="both"/>
        <w:rPr/>
      </w:pPr>
      <w:hyperlink r:id="rId2">
        <w:r>
          <w:rPr>
            <w:rFonts w:eastAsia="Calibri" w:cs="Times New Roman" w:ascii="Times New Roman" w:hAnsi="Times New Roman"/>
            <w:sz w:val="24"/>
            <w:szCs w:val="24"/>
          </w:rPr>
          <w:t>L</w:t>
        </w:r>
      </w:hyperlink>
      <w:hyperlink r:id="rId3">
        <w:r>
          <w:rPr>
            <w:rFonts w:eastAsia="Calibri" w:cs="Times New Roman" w:ascii="Times New Roman" w:hAnsi="Times New Roman"/>
            <w:sz w:val="24"/>
            <w:szCs w:val="24"/>
          </w:rPr>
          <w:t>ei 14.133/2021</w:t>
        </w:r>
      </w:hyperlink>
      <w:r>
        <w:rPr>
          <w:rFonts w:eastAsia="Calibri" w:cs="Times New Roman" w:ascii="Times New Roman" w:hAnsi="Times New Roman"/>
          <w:sz w:val="24"/>
          <w:szCs w:val="24"/>
        </w:rPr>
        <w:t xml:space="preserve"> (L</w:t>
      </w:r>
      <w:r>
        <w:rPr>
          <w:rFonts w:eastAsia="Calibri" w:cs="Times New Roman" w:ascii="Times New Roman" w:hAnsi="Times New Roman"/>
          <w:sz w:val="24"/>
          <w:szCs w:val="24"/>
          <w:shd w:fill="auto" w:val="clear"/>
        </w:rPr>
        <w:t>ei de Licitações e Contratos Administrativos);</w:t>
      </w:r>
    </w:p>
    <w:p>
      <w:pPr>
        <w:pStyle w:val="Normal"/>
        <w:numPr>
          <w:ilvl w:val="3"/>
          <w:numId w:val="267"/>
        </w:numPr>
        <w:spacing w:lineRule="atLeast" w:line="300" w:before="0" w:after="120"/>
        <w:jc w:val="both"/>
        <w:rPr/>
      </w:pPr>
      <w:hyperlink r:id="rId4">
        <w:r>
          <w:rPr>
            <w:rFonts w:eastAsia="Calibri" w:cs="Times New Roman" w:ascii="Times New Roman" w:hAnsi="Times New Roman"/>
            <w:sz w:val="24"/>
            <w:szCs w:val="24"/>
            <w:shd w:fill="auto" w:val="clear"/>
          </w:rPr>
          <w:t>L</w:t>
        </w:r>
      </w:hyperlink>
      <w:hyperlink r:id="rId5">
        <w:r>
          <w:rPr>
            <w:rFonts w:eastAsia="Calibri" w:cs="Times New Roman" w:ascii="Times New Roman" w:hAnsi="Times New Roman"/>
            <w:sz w:val="24"/>
            <w:szCs w:val="24"/>
            <w:shd w:fill="auto" w:val="clear"/>
          </w:rPr>
          <w:t>ei Complementar nº 123/2006</w:t>
        </w:r>
      </w:hyperlink>
      <w:r>
        <w:rPr>
          <w:rFonts w:eastAsia="Calibri" w:cs="Times New Roman" w:ascii="Times New Roman" w:hAnsi="Times New Roman"/>
          <w:sz w:val="24"/>
          <w:szCs w:val="24"/>
          <w:shd w:fill="auto" w:val="clear"/>
        </w:rPr>
        <w:t>, atualizada;</w:t>
      </w:r>
    </w:p>
    <w:p>
      <w:pPr>
        <w:pStyle w:val="Normal"/>
        <w:numPr>
          <w:ilvl w:val="3"/>
          <w:numId w:val="268"/>
        </w:numPr>
        <w:spacing w:lineRule="atLeast" w:line="300" w:before="0" w:after="120"/>
        <w:jc w:val="both"/>
        <w:rPr/>
      </w:pPr>
      <w:hyperlink r:id="rId6">
        <w:r>
          <w:rPr>
            <w:rFonts w:eastAsia="Calibri" w:cs="Times New Roman" w:ascii="Times New Roman" w:hAnsi="Times New Roman"/>
            <w:sz w:val="24"/>
            <w:szCs w:val="24"/>
            <w:shd w:fill="auto" w:val="clear"/>
          </w:rPr>
          <w:t>Decreto nº 1</w:t>
        </w:r>
      </w:hyperlink>
      <w:r>
        <w:rPr>
          <w:rFonts w:eastAsia="Calibri" w:cs="Times New Roman" w:ascii="Times New Roman" w:hAnsi="Times New Roman"/>
          <w:sz w:val="24"/>
          <w:szCs w:val="24"/>
          <w:shd w:fill="auto" w:val="clear"/>
        </w:rPr>
        <w:t>2.807</w:t>
      </w:r>
      <w:hyperlink r:id="rId7">
        <w:r>
          <w:rPr>
            <w:rFonts w:eastAsia="Calibri" w:cs="Times New Roman" w:ascii="Times New Roman" w:hAnsi="Times New Roman"/>
            <w:sz w:val="24"/>
            <w:szCs w:val="24"/>
            <w:shd w:fill="auto" w:val="clear"/>
          </w:rPr>
          <w:t xml:space="preserve">, de </w:t>
        </w:r>
      </w:hyperlink>
      <w:r>
        <w:rPr>
          <w:rFonts w:eastAsia="Calibri" w:cs="Times New Roman" w:ascii="Times New Roman" w:hAnsi="Times New Roman"/>
          <w:sz w:val="24"/>
          <w:szCs w:val="24"/>
          <w:shd w:fill="auto" w:val="clear"/>
        </w:rPr>
        <w:t>29</w:t>
      </w:r>
      <w:hyperlink r:id="rId8">
        <w:r>
          <w:rPr>
            <w:rFonts w:eastAsia="Calibri" w:cs="Times New Roman" w:ascii="Times New Roman" w:hAnsi="Times New Roman"/>
            <w:sz w:val="24"/>
            <w:szCs w:val="24"/>
            <w:shd w:fill="auto" w:val="clear"/>
          </w:rPr>
          <w:t xml:space="preserve"> de dezembro de 202</w:t>
        </w:r>
      </w:hyperlink>
      <w:r>
        <w:rPr>
          <w:rFonts w:eastAsia="Calibri" w:cs="Times New Roman" w:ascii="Times New Roman" w:hAnsi="Times New Roman"/>
          <w:sz w:val="24"/>
          <w:szCs w:val="24"/>
          <w:shd w:fill="auto" w:val="clear"/>
        </w:rPr>
        <w:t>5 (Atualiza os valores estabelecidos na Lei 14.133/2021);</w:t>
      </w:r>
    </w:p>
    <w:p>
      <w:pPr>
        <w:pStyle w:val="Normal"/>
        <w:numPr>
          <w:ilvl w:val="3"/>
          <w:numId w:val="269"/>
        </w:numPr>
        <w:spacing w:lineRule="atLeast" w:line="300" w:before="0" w:after="120"/>
        <w:jc w:val="both"/>
        <w:rPr/>
      </w:pPr>
      <w:hyperlink r:id="rId9">
        <w:r>
          <w:rPr>
            <w:rFonts w:eastAsia="Calibri" w:cs="Times New Roman" w:ascii="Times New Roman" w:hAnsi="Times New Roman"/>
            <w:sz w:val="24"/>
            <w:szCs w:val="24"/>
            <w:shd w:fill="auto" w:val="clear"/>
          </w:rPr>
          <w:t>Decreto nº 8.538/20</w:t>
        </w:r>
      </w:hyperlink>
      <w:hyperlink r:id="rId10">
        <w:r>
          <w:rPr>
            <w:rFonts w:eastAsia="Calibri" w:cs="Times New Roman" w:ascii="Times New Roman" w:hAnsi="Times New Roman"/>
            <w:sz w:val="24"/>
            <w:szCs w:val="24"/>
            <w:shd w:fill="auto" w:val="clear"/>
          </w:rPr>
          <w:t>15</w:t>
        </w:r>
      </w:hyperlink>
      <w:r>
        <w:rPr>
          <w:rFonts w:eastAsia="Calibri" w:cs="Times New Roman" w:ascii="Times New Roman" w:hAnsi="Times New Roman"/>
          <w:sz w:val="24"/>
          <w:szCs w:val="24"/>
          <w:shd w:fill="auto" w:val="clear"/>
        </w:rPr>
        <w:t xml:space="preserve">, </w:t>
      </w:r>
      <w:r>
        <w:rPr>
          <w:rFonts w:eastAsia="Calibri" w:cs="Times New Roman" w:ascii="Times New Roman" w:hAnsi="Times New Roman"/>
          <w:sz w:val="24"/>
          <w:szCs w:val="24"/>
        </w:rPr>
        <w:t>que regulamenta o tratamento favorecido, diferenciado e simplificado para microempresas, empresas de pequeno porte, agricultores familiares, produtores rurais pessoa física, microempreendedores individuais e sociedades cooperativas nas contratações públicas de bens, serviços e obras no âmbito da administração pública federal;</w:t>
      </w:r>
    </w:p>
    <w:p>
      <w:pPr>
        <w:pStyle w:val="Normal"/>
        <w:numPr>
          <w:ilvl w:val="3"/>
          <w:numId w:val="270"/>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Decreto nº 9.507/2018, de 21/9/2018, que dispõe sobre a execução indireta, mediante contratação, de serviços da administração pública federal direta, autárquica e fundacional e das empresas públicas e das sociedades de economia mista controladas pela União</w:t>
      </w:r>
    </w:p>
    <w:p>
      <w:pPr>
        <w:pStyle w:val="Normal"/>
        <w:numPr>
          <w:ilvl w:val="3"/>
          <w:numId w:val="271"/>
        </w:numPr>
        <w:spacing w:lineRule="atLeast" w:line="300" w:before="0" w:after="120"/>
        <w:jc w:val="both"/>
        <w:rPr/>
      </w:pPr>
      <w:hyperlink r:id="rId11">
        <w:r>
          <w:rPr>
            <w:rFonts w:eastAsia="Calibri" w:cs="Times New Roman" w:ascii="Times New Roman" w:hAnsi="Times New Roman"/>
            <w:sz w:val="24"/>
            <w:szCs w:val="24"/>
          </w:rPr>
          <w:t>P</w:t>
        </w:r>
      </w:hyperlink>
      <w:hyperlink r:id="rId12">
        <w:r>
          <w:rPr>
            <w:rFonts w:eastAsia="Calibri" w:cs="Times New Roman" w:ascii="Times New Roman" w:hAnsi="Times New Roman"/>
            <w:sz w:val="24"/>
            <w:szCs w:val="24"/>
          </w:rPr>
          <w:t>ortaria PGR/MPU nº 148/2022</w:t>
        </w:r>
      </w:hyperlink>
      <w:r>
        <w:rPr>
          <w:rFonts w:eastAsia="Calibri" w:cs="Times New Roman" w:ascii="Times New Roman" w:hAnsi="Times New Roman"/>
          <w:sz w:val="24"/>
          <w:szCs w:val="24"/>
        </w:rPr>
        <w:t xml:space="preserve"> (dispõe sobre a dispensa de licitação, na forma eletrônica, no âmbito do Ministério Público da União);</w:t>
      </w:r>
    </w:p>
    <w:p>
      <w:pPr>
        <w:pStyle w:val="Normal"/>
        <w:numPr>
          <w:ilvl w:val="3"/>
          <w:numId w:val="272"/>
        </w:numPr>
        <w:spacing w:lineRule="atLeast" w:line="300" w:before="0" w:after="120"/>
        <w:jc w:val="both"/>
        <w:rPr/>
      </w:pPr>
      <w:hyperlink r:id="rId13">
        <w:r>
          <w:rPr>
            <w:rFonts w:eastAsia="Calibri" w:cs="Times New Roman" w:ascii="Times New Roman" w:hAnsi="Times New Roman"/>
            <w:sz w:val="24"/>
            <w:szCs w:val="24"/>
          </w:rPr>
          <w:t>Portaria PGR/MPU nº 100/2023</w:t>
        </w:r>
      </w:hyperlink>
      <w:r>
        <w:rPr>
          <w:rFonts w:eastAsia="Calibri" w:cs="Times New Roman" w:ascii="Times New Roman" w:hAnsi="Times New Roman"/>
          <w:sz w:val="24"/>
          <w:szCs w:val="24"/>
        </w:rPr>
        <w:t xml:space="preserve"> (regulamenta o procedimento administrativo para realização de pesquisa de preços para aquisição de bens e contratação de serviços em geral, no âmbito do Ministério Público da União);</w:t>
      </w:r>
    </w:p>
    <w:p>
      <w:pPr>
        <w:pStyle w:val="Normal"/>
        <w:numPr>
          <w:ilvl w:val="3"/>
          <w:numId w:val="273"/>
        </w:numPr>
        <w:spacing w:lineRule="atLeast" w:line="300" w:before="0" w:after="120"/>
        <w:jc w:val="both"/>
        <w:rPr/>
      </w:pPr>
      <w:hyperlink r:id="rId14">
        <w:r>
          <w:rPr>
            <w:rFonts w:eastAsia="Calibri" w:cs="Times New Roman" w:ascii="Times New Roman" w:hAnsi="Times New Roman"/>
            <w:sz w:val="24"/>
            <w:szCs w:val="24"/>
          </w:rPr>
          <w:t>P</w:t>
        </w:r>
      </w:hyperlink>
      <w:hyperlink r:id="rId15">
        <w:r>
          <w:rPr>
            <w:rFonts w:eastAsia="Calibri" w:cs="Times New Roman" w:ascii="Times New Roman" w:hAnsi="Times New Roman"/>
            <w:sz w:val="24"/>
            <w:szCs w:val="24"/>
          </w:rPr>
          <w:t>ortaria PGR/MPU nº 28/2023</w:t>
        </w:r>
      </w:hyperlink>
      <w:r>
        <w:rPr>
          <w:rFonts w:eastAsia="Calibri" w:cs="Times New Roman" w:ascii="Times New Roman" w:hAnsi="Times New Roman"/>
          <w:sz w:val="24"/>
          <w:szCs w:val="24"/>
        </w:rPr>
        <w:t xml:space="preserve"> (regulamenta o § 3º do art. 8º da Lei nº 14.133, de 1º de abril de 2021, dispondo sobre regras e diretrizes para a atuação do agente de contratação, da equipe de apoio, da comissão de contratação e dos gestores e fiscais de contratos, no âmbito do Ministério Público da União);</w:t>
      </w:r>
    </w:p>
    <w:p>
      <w:pPr>
        <w:pStyle w:val="Normal"/>
        <w:numPr>
          <w:ilvl w:val="3"/>
          <w:numId w:val="274"/>
        </w:numPr>
        <w:spacing w:lineRule="atLeast" w:line="300" w:before="0" w:after="120"/>
        <w:jc w:val="both"/>
        <w:rPr/>
      </w:pPr>
      <w:hyperlink r:id="rId16">
        <w:r>
          <w:rPr>
            <w:rFonts w:eastAsia="Calibri" w:cs="Times New Roman" w:ascii="Times New Roman" w:hAnsi="Times New Roman"/>
            <w:sz w:val="24"/>
            <w:szCs w:val="24"/>
          </w:rPr>
          <w:t>P</w:t>
        </w:r>
      </w:hyperlink>
      <w:hyperlink r:id="rId17">
        <w:r>
          <w:rPr>
            <w:rFonts w:eastAsia="Calibri" w:cs="Times New Roman" w:ascii="Times New Roman" w:hAnsi="Times New Roman"/>
            <w:sz w:val="24"/>
            <w:szCs w:val="24"/>
          </w:rPr>
          <w:t>ortaria PGR/MPF nº 290/2023</w:t>
        </w:r>
      </w:hyperlink>
      <w:r>
        <w:rPr>
          <w:rFonts w:eastAsia="Calibri" w:cs="Times New Roman" w:ascii="Times New Roman" w:hAnsi="Times New Roman"/>
          <w:sz w:val="24"/>
          <w:szCs w:val="24"/>
        </w:rPr>
        <w:t>, que dispõe sobre a Política de Sustentabilidade, o Plano de Logística Sustentável e a Rede MPF Sustentável no âmbito do Ministério Público Federal.</w:t>
      </w:r>
    </w:p>
    <w:p>
      <w:pPr>
        <w:pStyle w:val="Normal"/>
        <w:numPr>
          <w:ilvl w:val="3"/>
          <w:numId w:val="275"/>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Guia de Contratações Sustentáveis do MPF de 2016, que visa a melhoria contínua da qualidade nas contratações e aquisições do órgão;</w:t>
      </w:r>
    </w:p>
    <w:p>
      <w:pPr>
        <w:pStyle w:val="Normal"/>
        <w:numPr>
          <w:ilvl w:val="3"/>
          <w:numId w:val="276"/>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Lei nº 12.305/2010 (Política Nacional de Resíduos Sólidos) e seu regulamento, Decreto nº 7.404/2010;</w:t>
      </w:r>
    </w:p>
    <w:p>
      <w:pPr>
        <w:pStyle w:val="Normal"/>
        <w:numPr>
          <w:ilvl w:val="3"/>
          <w:numId w:val="277"/>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Resolução CONAMA nº 307/2002 (e alterações posteriores) sobre gestão de resíduos da construção civil;</w:t>
      </w:r>
    </w:p>
    <w:p>
      <w:pPr>
        <w:pStyle w:val="Normal"/>
        <w:numPr>
          <w:ilvl w:val="3"/>
          <w:numId w:val="278"/>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Normas Brasileiras (NBR) publicadas pela ABNT sobre resíduos sólidos, ruídos e outros critérios ambientais, conforme aplicável.</w:t>
      </w:r>
    </w:p>
    <w:p>
      <w:pPr>
        <w:pStyle w:val="Normal"/>
        <w:numPr>
          <w:ilvl w:val="2"/>
          <w:numId w:val="279"/>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ENQUADRAMENTO DA CONTRATAÇÃO – A presente contratação fundamenta-se no artigo 75, inciso I da Lei nº 14.133/2021, e nas demais normas legais e regulamentares atinentes à matéria.</w:t>
      </w:r>
    </w:p>
    <w:p>
      <w:pPr>
        <w:pStyle w:val="Normal"/>
        <w:numPr>
          <w:ilvl w:val="2"/>
          <w:numId w:val="280"/>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EEEEEE" w:val="clear"/>
        </w:rPr>
        <w:t xml:space="preserve">A </w:t>
      </w:r>
      <w:r>
        <w:rPr>
          <w:rFonts w:eastAsia="Calibri" w:cs="Times New Roman" w:ascii="Times New Roman" w:hAnsi="Times New Roman"/>
          <w:sz w:val="24"/>
          <w:szCs w:val="24"/>
          <w:u w:val="single"/>
          <w:shd w:fill="EEEEEE" w:val="clear"/>
        </w:rPr>
        <w:t>contratação será firmada por meio de nota de empenho</w:t>
      </w:r>
      <w:r>
        <w:rPr>
          <w:rFonts w:eastAsia="Calibri" w:cs="Times New Roman" w:ascii="Times New Roman" w:hAnsi="Times New Roman"/>
          <w:sz w:val="24"/>
          <w:szCs w:val="24"/>
          <w:shd w:fill="EEEEEE" w:val="clear"/>
        </w:rPr>
        <w:t xml:space="preserve"> (art. 95, I, da Lei nº 14.133/2021, e art. 27, inc. I, da Portaria PGR/MPU nº 148/2022), encaminhada pela CONTRATANTE no </w:t>
      </w:r>
      <w:r>
        <w:rPr>
          <w:rFonts w:eastAsia="Calibri" w:cs="Times New Roman" w:ascii="Times New Roman" w:hAnsi="Times New Roman"/>
          <w:b/>
          <w:bCs/>
          <w:sz w:val="24"/>
          <w:szCs w:val="24"/>
          <w:shd w:fill="EEEEEE" w:val="clear"/>
        </w:rPr>
        <w:t>e-mail informado na proposta da empresa vencedora</w:t>
      </w:r>
      <w:r>
        <w:rPr>
          <w:rFonts w:eastAsia="Calibri" w:cs="Times New Roman" w:ascii="Times New Roman" w:hAnsi="Times New Roman"/>
          <w:sz w:val="24"/>
          <w:szCs w:val="24"/>
          <w:shd w:fill="EEEEEE" w:val="clear"/>
        </w:rPr>
        <w:t>, conforme previsto nas obrigações da CONTRATADA, sendo todas as despesas relativas ao transporte, entrega e instalação dos bens adquiridos, se for o caso, às expensas, exclusivamente, da CONTRATADA</w:t>
      </w:r>
      <w:r>
        <w:rPr>
          <w:rFonts w:eastAsia="Calibri" w:cs="Times New Roman" w:ascii="Times New Roman" w:hAnsi="Times New Roman"/>
          <w:sz w:val="24"/>
          <w:szCs w:val="24"/>
        </w:rPr>
        <w:t>.</w:t>
      </w:r>
    </w:p>
    <w:p>
      <w:pPr>
        <w:pStyle w:val="Normal"/>
        <w:numPr>
          <w:ilvl w:val="3"/>
          <w:numId w:val="281"/>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 xml:space="preserve">Por força da Lei nº 10.522/2022 (art. 6º e 6-A), que dispõe sobre o Cadastro Informativo dos créditos não quitados de órgãos e entidades federais e dá outras providências, alterada pela Lei nº 14.973/2024, será procedida consulta da empresa ao Cadastro Informativo de Créditos não Quitados do Setor Público Federal – </w:t>
      </w:r>
      <w:r>
        <w:rPr>
          <w:rFonts w:eastAsia="Calibri" w:cs="Times New Roman" w:ascii="Times New Roman" w:hAnsi="Times New Roman"/>
          <w:b/>
          <w:bCs/>
          <w:sz w:val="24"/>
          <w:szCs w:val="24"/>
        </w:rPr>
        <w:t>CADIN</w:t>
      </w:r>
      <w:r>
        <w:rPr>
          <w:rFonts w:eastAsia="Calibri" w:cs="Times New Roman" w:ascii="Times New Roman" w:hAnsi="Times New Roman"/>
          <w:sz w:val="24"/>
          <w:szCs w:val="24"/>
        </w:rPr>
        <w:t xml:space="preserve">, sendo que a existência de registro no </w:t>
      </w:r>
      <w:r>
        <w:rPr>
          <w:rFonts w:eastAsia="Calibri" w:cs="Times New Roman" w:ascii="Times New Roman" w:hAnsi="Times New Roman"/>
          <w:b/>
          <w:bCs/>
          <w:sz w:val="24"/>
          <w:szCs w:val="24"/>
        </w:rPr>
        <w:t>CADIN</w:t>
      </w:r>
      <w:r>
        <w:rPr>
          <w:rFonts w:eastAsia="Calibri" w:cs="Times New Roman" w:ascii="Times New Roman" w:hAnsi="Times New Roman"/>
          <w:sz w:val="24"/>
          <w:szCs w:val="24"/>
        </w:rPr>
        <w:t xml:space="preserve"> constitui fator impeditivo para a contratação.</w:t>
      </w:r>
    </w:p>
    <w:p>
      <w:pPr>
        <w:pStyle w:val="Normal"/>
        <w:numPr>
          <w:ilvl w:val="2"/>
          <w:numId w:val="282"/>
        </w:numPr>
        <w:spacing w:lineRule="atLeast" w:line="300" w:before="0" w:after="120"/>
        <w:jc w:val="both"/>
        <w:rPr>
          <w:rFonts w:ascii="Times New Roman" w:hAnsi="Times New Roman"/>
          <w:sz w:val="24"/>
          <w:szCs w:val="24"/>
          <w:highlight w:val="none"/>
          <w:shd w:fill="auto" w:val="clear"/>
        </w:rPr>
      </w:pPr>
      <w:r>
        <w:rPr>
          <w:rFonts w:eastAsia="Calibri" w:cs="Times New Roman" w:ascii="Times New Roman" w:hAnsi="Times New Roman"/>
          <w:sz w:val="24"/>
          <w:szCs w:val="24"/>
          <w:shd w:fill="auto" w:val="clear"/>
        </w:rPr>
        <w:t xml:space="preserve">Em observância ao artigo 4º, caput, da Lei nº 14.133/2021, a participação nesta dispensa será exclusiva para microempresas e empresas de pequeno porte, em cumprimento ao artigo 48, inciso I, c/c o artigo 49, inciso IV da Lei Complementar nº 123/2006. </w:t>
      </w:r>
    </w:p>
    <w:p>
      <w:pPr>
        <w:pStyle w:val="Normal"/>
        <w:numPr>
          <w:ilvl w:val="2"/>
          <w:numId w:val="283"/>
        </w:numPr>
        <w:spacing w:lineRule="atLeast" w:line="300" w:before="0" w:after="120"/>
        <w:jc w:val="both"/>
        <w:rPr>
          <w:rFonts w:ascii="Times New Roman" w:hAnsi="Times New Roman"/>
          <w:sz w:val="24"/>
          <w:szCs w:val="24"/>
          <w:highlight w:val="none"/>
          <w:shd w:fill="auto" w:val="clear"/>
        </w:rPr>
      </w:pPr>
      <w:r>
        <w:rPr>
          <w:rFonts w:eastAsia="Calibri" w:cs="Times New Roman" w:ascii="Times New Roman" w:hAnsi="Times New Roman"/>
          <w:sz w:val="24"/>
          <w:szCs w:val="24"/>
          <w:shd w:fill="auto" w:val="clear"/>
        </w:rPr>
        <w:t>O objeto foi incluído no Plano de Contratações Anual [2026] da unidade.</w:t>
      </w:r>
    </w:p>
    <w:p>
      <w:pPr>
        <w:pStyle w:val="Normal"/>
        <w:numPr>
          <w:ilvl w:val="2"/>
          <w:numId w:val="284"/>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shd w:fill="auto" w:val="clear"/>
        </w:rPr>
        <w:t xml:space="preserve">O objeto da presente contratação enquadra-se como </w:t>
      </w:r>
      <w:r>
        <w:rPr>
          <w:rFonts w:eastAsia="Calibri" w:cs="Times New Roman" w:ascii="Times New Roman" w:hAnsi="Times New Roman"/>
          <w:sz w:val="24"/>
          <w:szCs w:val="24"/>
          <w:u w:val="single"/>
          <w:shd w:fill="auto" w:val="clear"/>
        </w:rPr>
        <w:t>serviço comum de engenharia</w:t>
      </w:r>
      <w:r>
        <w:rPr>
          <w:rFonts w:eastAsia="Calibri" w:cs="Times New Roman" w:ascii="Times New Roman" w:hAnsi="Times New Roman"/>
          <w:sz w:val="24"/>
          <w:szCs w:val="24"/>
          <w:shd w:fill="auto" w:val="clear"/>
        </w:rPr>
        <w:t>, com padrões de desempenho e qualidade objetivamente definidos neste Termo de Referência e seus apêndices, p</w:t>
      </w:r>
      <w:r>
        <w:rPr>
          <w:rFonts w:eastAsia="Calibri" w:cs="Times New Roman" w:ascii="Times New Roman" w:hAnsi="Times New Roman"/>
          <w:sz w:val="24"/>
          <w:szCs w:val="24"/>
        </w:rPr>
        <w:t>or meio de especificações usuais no mercado.</w:t>
      </w:r>
    </w:p>
    <w:p>
      <w:pPr>
        <w:pStyle w:val="Normal"/>
        <w:numPr>
          <w:ilvl w:val="2"/>
          <w:numId w:val="285"/>
        </w:numPr>
        <w:spacing w:lineRule="atLeast" w:line="300" w:before="0" w:after="122"/>
        <w:jc w:val="both"/>
        <w:rPr>
          <w:rFonts w:ascii="Times New Roman" w:hAnsi="Times New Roman"/>
          <w:sz w:val="24"/>
          <w:szCs w:val="24"/>
        </w:rPr>
      </w:pPr>
      <w:r>
        <w:rPr>
          <w:rFonts w:eastAsia="Calibri" w:cs="Times New Roman" w:ascii="Times New Roman" w:hAnsi="Times New Roman"/>
          <w:sz w:val="24"/>
          <w:szCs w:val="24"/>
        </w:rPr>
        <w:t>MÉTODO ADOTADO PARA DEFINIÇÃO DO VALOR MÁXIMO ESTIMADO DA CONTRATAÇÃO – elaboração de orçamento utilizando como base os preços referenciais SINAPI PARANÁ (mês 01/2026).</w:t>
      </w:r>
    </w:p>
    <w:p>
      <w:pPr>
        <w:pStyle w:val="Normal"/>
        <w:numPr>
          <w:ilvl w:val="3"/>
          <w:numId w:val="286"/>
        </w:numPr>
        <w:spacing w:lineRule="atLeast" w:line="300" w:before="0" w:after="122"/>
        <w:jc w:val="both"/>
        <w:rPr>
          <w:rFonts w:ascii="Times New Roman" w:hAnsi="Times New Roman"/>
          <w:sz w:val="24"/>
          <w:szCs w:val="24"/>
        </w:rPr>
      </w:pPr>
      <w:r>
        <w:rPr>
          <w:rFonts w:eastAsia="Calibri" w:cs="Times New Roman" w:ascii="Times New Roman" w:hAnsi="Times New Roman"/>
          <w:sz w:val="24"/>
          <w:szCs w:val="24"/>
        </w:rPr>
        <w:t xml:space="preserve">ORÇAMENTO disponível no </w:t>
      </w:r>
      <w:r>
        <w:rPr>
          <w:rFonts w:eastAsia="Calibri" w:cs="Times New Roman" w:ascii="Times New Roman" w:hAnsi="Times New Roman"/>
          <w:b/>
          <w:bCs/>
          <w:sz w:val="24"/>
          <w:szCs w:val="24"/>
        </w:rPr>
        <w:t>APÊNDICE D</w:t>
      </w:r>
      <w:r>
        <w:rPr>
          <w:rFonts w:eastAsia="Calibri" w:cs="Times New Roman" w:ascii="Times New Roman" w:hAnsi="Times New Roman"/>
          <w:sz w:val="24"/>
          <w:szCs w:val="24"/>
        </w:rPr>
        <w:t xml:space="preserve"> deste Termo de Referência contendo as seguintes planilhas de custos:  sintética, analítica, analíticas auxiliares, insumos, BDI, cronograma e Leis Sociais.</w:t>
      </w:r>
    </w:p>
    <w:p>
      <w:pPr>
        <w:pStyle w:val="Normal"/>
        <w:numPr>
          <w:ilvl w:val="2"/>
          <w:numId w:val="287"/>
        </w:numPr>
        <w:spacing w:lineRule="atLeast" w:line="300" w:before="0" w:after="122"/>
        <w:jc w:val="both"/>
        <w:rPr>
          <w:rFonts w:ascii="Times New Roman" w:hAnsi="Times New Roman"/>
          <w:sz w:val="24"/>
          <w:szCs w:val="24"/>
        </w:rPr>
      </w:pPr>
      <w:r>
        <w:rPr>
          <w:rFonts w:eastAsia="Calibri" w:cs="Times New Roman" w:ascii="Times New Roman" w:hAnsi="Times New Roman"/>
          <w:sz w:val="24"/>
          <w:szCs w:val="24"/>
          <w:u w:val="single"/>
        </w:rPr>
        <w:t>Participação em Consórcio</w:t>
      </w:r>
      <w:r>
        <w:rPr>
          <w:rFonts w:eastAsia="Calibri" w:cs="Times New Roman" w:ascii="Times New Roman" w:hAnsi="Times New Roman"/>
          <w:sz w:val="24"/>
          <w:szCs w:val="24"/>
        </w:rPr>
        <w:t xml:space="preserve"> – Na presente contratação, </w:t>
      </w:r>
      <w:r>
        <w:rPr>
          <w:rFonts w:eastAsia="Calibri" w:cs="Times New Roman" w:ascii="Times New Roman" w:hAnsi="Times New Roman"/>
          <w:sz w:val="24"/>
          <w:szCs w:val="24"/>
          <w:u w:val="single"/>
        </w:rPr>
        <w:t>não</w:t>
      </w:r>
      <w:r>
        <w:rPr>
          <w:rFonts w:eastAsia="Calibri" w:cs="Times New Roman" w:ascii="Times New Roman" w:hAnsi="Times New Roman"/>
          <w:sz w:val="24"/>
          <w:szCs w:val="24"/>
        </w:rPr>
        <w:t xml:space="preserve"> será admitida a </w:t>
      </w:r>
      <w:r>
        <w:rPr>
          <w:rFonts w:eastAsia="Calibri" w:cs="Times New Roman" w:ascii="Times New Roman" w:hAnsi="Times New Roman"/>
          <w:sz w:val="24"/>
          <w:szCs w:val="24"/>
          <w:u w:val="single"/>
        </w:rPr>
        <w:t>participação de empresas em regime de consórcio</w:t>
      </w:r>
      <w:r>
        <w:rPr>
          <w:rFonts w:eastAsia="Calibri" w:cs="Times New Roman" w:ascii="Times New Roman" w:hAnsi="Times New Roman"/>
          <w:sz w:val="24"/>
          <w:szCs w:val="24"/>
        </w:rPr>
        <w:t>, pois a realidade do mercado demonstra que existem empresas especializadas na realização deste objeto, não precisando de outras empresas para auxílio técnico ou operacional.</w:t>
      </w:r>
    </w:p>
    <w:p>
      <w:pPr>
        <w:pStyle w:val="Normal"/>
        <w:numPr>
          <w:ilvl w:val="2"/>
          <w:numId w:val="288"/>
        </w:numPr>
        <w:spacing w:lineRule="atLeast" w:line="300" w:before="0" w:after="122"/>
        <w:jc w:val="both"/>
        <w:rPr>
          <w:rFonts w:ascii="Times New Roman" w:hAnsi="Times New Roman"/>
          <w:sz w:val="24"/>
          <w:szCs w:val="24"/>
        </w:rPr>
      </w:pPr>
      <w:r>
        <w:rPr>
          <w:rFonts w:eastAsia="Calibri" w:cs="Times New Roman" w:ascii="Times New Roman" w:hAnsi="Times New Roman"/>
          <w:sz w:val="24"/>
          <w:szCs w:val="24"/>
          <w:u w:val="single"/>
        </w:rPr>
        <w:t>Participação de Pessoa Física</w:t>
      </w:r>
      <w:r>
        <w:rPr>
          <w:rFonts w:eastAsia="Calibri" w:cs="Times New Roman" w:ascii="Times New Roman" w:hAnsi="Times New Roman"/>
          <w:sz w:val="24"/>
          <w:szCs w:val="24"/>
        </w:rPr>
        <w:t xml:space="preserve"> – Não será permitida a participação de pessoas físicas na presente contratação, em razão do disposto no parágrafo único art. 4º da Instrução Normativa SEGES/ME nº 116, de 21 de dezembro de 2021:</w:t>
      </w:r>
    </w:p>
    <w:p>
      <w:pPr>
        <w:pStyle w:val="Normal"/>
        <w:spacing w:lineRule="atLeast" w:line="300" w:before="0" w:after="122"/>
        <w:ind w:left="907" w:right="454"/>
        <w:jc w:val="both"/>
        <w:rPr>
          <w:rFonts w:ascii="Times New Roman" w:hAnsi="Times New Roman"/>
          <w:sz w:val="24"/>
          <w:szCs w:val="24"/>
        </w:rPr>
      </w:pPr>
      <w:r>
        <w:rPr>
          <w:rFonts w:eastAsia="Calibri" w:cs="Times New Roman" w:ascii="Times New Roman" w:hAnsi="Times New Roman"/>
          <w:sz w:val="24"/>
          <w:szCs w:val="24"/>
        </w:rPr>
        <w:t>Parágrafo único. Não se aplica o disposto no caput quando a contratação exigir capital social mínimo e estrutura mínima, com equipamentos, instalações e equipe de profissionais ou corpo técnico para a execução do objeto incompatíveis com a natureza profissional da pessoa física.</w:t>
      </w:r>
    </w:p>
    <w:p>
      <w:pPr>
        <w:pStyle w:val="Normal"/>
        <w:numPr>
          <w:ilvl w:val="1"/>
          <w:numId w:val="289"/>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JUSTIFICATIVA DA NECESSIDADE DA CONTRATAÇÃO</w:t>
      </w:r>
    </w:p>
    <w:p>
      <w:pPr>
        <w:pStyle w:val="Normal"/>
        <w:numPr>
          <w:ilvl w:val="2"/>
          <w:numId w:val="290"/>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A presente contratação justifica-se pela necessidade de adequação de espaço físico na sede da Procuradoria da República no Município de Londrina/PR para a implantação de novos postos de trabalho e reconfiguração de áreas administrativas.</w:t>
      </w:r>
    </w:p>
    <w:p>
      <w:pPr>
        <w:pStyle w:val="Normal"/>
        <w:numPr>
          <w:ilvl w:val="2"/>
          <w:numId w:val="291"/>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A área destinada à readequação não dispõe de sistema de climatização, sendo a instalação de equipamento de ar-condicionado indispensável para garantir:</w:t>
      </w:r>
    </w:p>
    <w:p>
      <w:pPr>
        <w:pStyle w:val="Normal"/>
        <w:numPr>
          <w:ilvl w:val="0"/>
          <w:numId w:val="4"/>
        </w:numPr>
        <w:spacing w:lineRule="atLeast" w:line="300" w:before="0" w:after="120"/>
        <w:jc w:val="both"/>
        <w:rPr>
          <w:rFonts w:ascii="Times New Roman" w:hAnsi="Times New Roman"/>
          <w:sz w:val="24"/>
          <w:szCs w:val="24"/>
        </w:rPr>
      </w:pPr>
      <w:r>
        <w:rPr>
          <w:rFonts w:cs="Times New Roman" w:ascii="Times New Roman" w:hAnsi="Times New Roman"/>
          <w:sz w:val="24"/>
          <w:szCs w:val="24"/>
        </w:rPr>
        <w:t>Salubridade e Conforto: Condições térmicas adequadas para o exercício das atividades laborais;</w:t>
      </w:r>
    </w:p>
    <w:p>
      <w:pPr>
        <w:pStyle w:val="Normal"/>
        <w:numPr>
          <w:ilvl w:val="0"/>
          <w:numId w:val="4"/>
        </w:numPr>
        <w:spacing w:lineRule="atLeast" w:line="300" w:before="0" w:after="120"/>
        <w:jc w:val="both"/>
        <w:rPr>
          <w:rFonts w:ascii="Times New Roman" w:hAnsi="Times New Roman"/>
          <w:sz w:val="24"/>
          <w:szCs w:val="24"/>
        </w:rPr>
      </w:pPr>
      <w:r>
        <w:rPr>
          <w:rFonts w:cs="Times New Roman" w:ascii="Times New Roman" w:hAnsi="Times New Roman"/>
          <w:sz w:val="24"/>
          <w:szCs w:val="24"/>
        </w:rPr>
        <w:t>Eficiência e Sustentabilidade: Adoção de tecnologias que reduzam o consumo de energia e utilizem fluidos refrigerantes de menor impacto ambiental;</w:t>
      </w:r>
    </w:p>
    <w:p>
      <w:pPr>
        <w:pStyle w:val="Normal"/>
        <w:numPr>
          <w:ilvl w:val="0"/>
          <w:numId w:val="4"/>
        </w:numPr>
        <w:spacing w:lineRule="atLeast" w:line="300" w:before="0" w:after="120"/>
        <w:jc w:val="both"/>
        <w:rPr>
          <w:rFonts w:ascii="Times New Roman" w:hAnsi="Times New Roman"/>
          <w:sz w:val="24"/>
          <w:szCs w:val="24"/>
        </w:rPr>
      </w:pPr>
      <w:r>
        <w:rPr>
          <w:rFonts w:cs="Times New Roman" w:ascii="Times New Roman" w:hAnsi="Times New Roman"/>
          <w:sz w:val="24"/>
          <w:szCs w:val="24"/>
        </w:rPr>
        <w:t>Preservação de Ativos: Manutenção da estabilidade térmica necessária para o funcionamento de equipamentos de informática.</w:t>
      </w:r>
    </w:p>
    <w:p>
      <w:pPr>
        <w:pStyle w:val="Normal"/>
        <w:numPr>
          <w:ilvl w:val="2"/>
          <w:numId w:val="292"/>
        </w:numPr>
        <w:spacing w:lineRule="atLeast" w:line="300" w:before="0" w:after="120"/>
        <w:jc w:val="both"/>
        <w:rPr>
          <w:rFonts w:ascii="Times New Roman" w:hAnsi="Times New Roman"/>
          <w:sz w:val="24"/>
          <w:szCs w:val="24"/>
        </w:rPr>
      </w:pPr>
      <w:r>
        <w:rPr>
          <w:rFonts w:eastAsia="Calibri" w:cs="Times New Roman" w:ascii="Times New Roman" w:hAnsi="Times New Roman"/>
          <w:sz w:val="24"/>
          <w:szCs w:val="24"/>
        </w:rPr>
        <w:t>A contratação conjunta (fornecimento e instalação) visa garantir a responsabilidade única pelo funcionamento do sistema e a preservação da garantia integral de fábrica, assegurando a eficiência na aplicação do recurso público.</w:t>
      </w:r>
    </w:p>
    <w:p>
      <w:pPr>
        <w:pStyle w:val="Heading1"/>
        <w:numPr>
          <w:ilvl w:val="0"/>
          <w:numId w:val="293"/>
        </w:numPr>
        <w:shd w:val="clear" w:color="auto" w:fill="9CC2E5"/>
        <w:spacing w:before="112" w:after="112"/>
        <w:jc w:val="both"/>
        <w:rPr>
          <w:rFonts w:ascii="Times New Roman" w:hAnsi="Times New Roman"/>
          <w:sz w:val="24"/>
          <w:szCs w:val="24"/>
        </w:rPr>
      </w:pPr>
      <w:bookmarkStart w:id="9" w:name="__RefHeading___Toc11695_612072703"/>
      <w:bookmarkStart w:id="10" w:name="_Toc202882169"/>
      <w:bookmarkStart w:id="11" w:name="_Toc202369833"/>
      <w:bookmarkEnd w:id="9"/>
      <w:r>
        <w:rPr>
          <w:rFonts w:cs="Times New Roman" w:ascii="Times New Roman" w:hAnsi="Times New Roman"/>
          <w:b/>
          <w:bCs/>
          <w:color w:val="auto"/>
          <w:sz w:val="24"/>
          <w:szCs w:val="24"/>
        </w:rPr>
        <w:t>FORMA E CRITÉRIOS DE SELEÇÃO DO FORNECEDOR</w:t>
      </w:r>
      <w:bookmarkEnd w:id="10"/>
      <w:bookmarkEnd w:id="11"/>
    </w:p>
    <w:p>
      <w:pPr>
        <w:pStyle w:val="Normal"/>
        <w:numPr>
          <w:ilvl w:val="1"/>
          <w:numId w:val="294"/>
        </w:numPr>
        <w:suppressAutoHyphens w:val="false"/>
        <w:spacing w:lineRule="atLeast" w:line="300" w:before="0" w:after="120"/>
        <w:jc w:val="both"/>
        <w:textAlignment w:val="auto"/>
        <w:rPr>
          <w:rFonts w:ascii="Times New Roman" w:hAnsi="Times New Roman"/>
          <w:sz w:val="24"/>
          <w:szCs w:val="24"/>
        </w:rPr>
      </w:pPr>
      <w:r>
        <w:rPr>
          <w:rFonts w:eastAsia="Calibri" w:ascii="Times New Roman" w:hAnsi="Times New Roman"/>
          <w:sz w:val="24"/>
          <w:szCs w:val="24"/>
        </w:rPr>
        <w:t>O fornecedor será selecionado por meio da realização de procedimen</w:t>
      </w:r>
      <w:r>
        <w:rPr>
          <w:rFonts w:eastAsia="Calibri" w:ascii="Times New Roman" w:hAnsi="Times New Roman"/>
          <w:sz w:val="24"/>
          <w:szCs w:val="24"/>
          <w:shd w:fill="auto" w:val="clear"/>
        </w:rPr>
        <w:t>to de dispensa de licitação, na forma eletrônica, com fundamento na hipótese do art. 75,</w:t>
      </w:r>
      <w:r>
        <w:rPr>
          <w:rFonts w:eastAsia="Calibri" w:ascii="Times New Roman" w:hAnsi="Times New Roman"/>
          <w:sz w:val="24"/>
          <w:szCs w:val="24"/>
        </w:rPr>
        <w:t xml:space="preserve"> inciso I, da Lei nº 14.133/2021, c/c inc. I, art. 3º, da Portaria PGR/MPU nº 148/2022.</w:t>
      </w:r>
    </w:p>
    <w:p>
      <w:pPr>
        <w:pStyle w:val="Normal"/>
        <w:numPr>
          <w:ilvl w:val="1"/>
          <w:numId w:val="295"/>
        </w:numPr>
        <w:suppressAutoHyphens w:val="false"/>
        <w:spacing w:lineRule="atLeast" w:line="300" w:before="0" w:after="120"/>
        <w:jc w:val="both"/>
        <w:textAlignment w:val="auto"/>
        <w:rPr>
          <w:rFonts w:ascii="Times New Roman" w:hAnsi="Times New Roman"/>
          <w:sz w:val="24"/>
          <w:szCs w:val="24"/>
        </w:rPr>
      </w:pPr>
      <w:r>
        <w:rPr>
          <w:rFonts w:eastAsia="Calibri" w:ascii="Times New Roman" w:hAnsi="Times New Roman"/>
          <w:color w:val="000000"/>
          <w:sz w:val="24"/>
          <w:szCs w:val="24"/>
          <w:shd w:fill="EEEEEE" w:val="clear"/>
        </w:rPr>
        <w:t xml:space="preserve">O </w:t>
      </w:r>
      <w:r>
        <w:rPr>
          <w:rFonts w:eastAsia="Calibri" w:ascii="Times New Roman" w:hAnsi="Times New Roman"/>
          <w:b/>
          <w:bCs/>
          <w:color w:val="000000"/>
          <w:sz w:val="24"/>
          <w:szCs w:val="24"/>
          <w:shd w:fill="EEEEEE" w:val="clear"/>
        </w:rPr>
        <w:t>critério de julgamento</w:t>
      </w:r>
      <w:r>
        <w:rPr>
          <w:rFonts w:eastAsia="Calibri" w:ascii="Times New Roman" w:hAnsi="Times New Roman"/>
          <w:color w:val="000000"/>
          <w:sz w:val="24"/>
          <w:szCs w:val="24"/>
          <w:shd w:fill="EEEEEE" w:val="clear"/>
        </w:rPr>
        <w:t xml:space="preserve"> adotado</w:t>
      </w:r>
      <w:r>
        <w:rPr>
          <w:rFonts w:ascii="Times New Roman" w:hAnsi="Times New Roman"/>
          <w:b/>
          <w:bCs/>
          <w:sz w:val="24"/>
          <w:szCs w:val="24"/>
          <w:shd w:fill="EEEEEE" w:val="clear"/>
        </w:rPr>
        <w:t xml:space="preserve"> </w:t>
      </w:r>
      <w:r>
        <w:rPr>
          <w:rFonts w:ascii="Times New Roman" w:hAnsi="Times New Roman"/>
          <w:sz w:val="24"/>
          <w:szCs w:val="24"/>
          <w:shd w:fill="EEEEEE" w:val="clear"/>
        </w:rPr>
        <w:t>será o</w:t>
      </w:r>
      <w:r>
        <w:rPr>
          <w:rFonts w:ascii="Times New Roman" w:hAnsi="Times New Roman"/>
          <w:b/>
          <w:bCs/>
          <w:sz w:val="24"/>
          <w:szCs w:val="24"/>
          <w:shd w:fill="EEEEEE" w:val="clear"/>
        </w:rPr>
        <w:t xml:space="preserve"> maior desconto</w:t>
      </w:r>
      <w:r>
        <w:rPr>
          <w:rFonts w:ascii="Times New Roman" w:hAnsi="Times New Roman"/>
          <w:sz w:val="24"/>
          <w:szCs w:val="24"/>
        </w:rPr>
        <w:t xml:space="preserve"> e o </w:t>
      </w:r>
      <w:r>
        <w:rPr>
          <w:rFonts w:eastAsia="Calibri" w:ascii="Times New Roman" w:hAnsi="Times New Roman"/>
          <w:b/>
          <w:bCs/>
          <w:color w:val="000000"/>
          <w:sz w:val="24"/>
          <w:szCs w:val="24"/>
          <w:shd w:fill="EEEEEE" w:val="clear"/>
        </w:rPr>
        <w:t>regime de execução</w:t>
      </w:r>
      <w:r>
        <w:rPr>
          <w:rFonts w:eastAsia="Calibri" w:ascii="Times New Roman" w:hAnsi="Times New Roman"/>
          <w:color w:val="000000"/>
          <w:sz w:val="24"/>
          <w:szCs w:val="24"/>
          <w:shd w:fill="EEEEEE" w:val="clear"/>
        </w:rPr>
        <w:t xml:space="preserve"> de empreitada por preço global.</w:t>
      </w:r>
    </w:p>
    <w:p>
      <w:pPr>
        <w:pStyle w:val="Normal"/>
        <w:numPr>
          <w:ilvl w:val="1"/>
          <w:numId w:val="296"/>
        </w:numPr>
        <w:suppressAutoHyphens w:val="false"/>
        <w:spacing w:lineRule="atLeast" w:line="300" w:before="0" w:after="120"/>
        <w:jc w:val="both"/>
        <w:textAlignment w:val="auto"/>
        <w:rPr>
          <w:rFonts w:ascii="Times New Roman" w:hAnsi="Times New Roman"/>
          <w:sz w:val="24"/>
          <w:szCs w:val="24"/>
        </w:rPr>
      </w:pPr>
      <w:r>
        <w:rPr>
          <w:rFonts w:eastAsia="Calibri" w:ascii="Times New Roman" w:hAnsi="Times New Roman"/>
          <w:color w:val="000000"/>
          <w:sz w:val="24"/>
          <w:szCs w:val="24"/>
        </w:rPr>
        <w:t xml:space="preserve">O </w:t>
      </w:r>
      <w:r>
        <w:rPr>
          <w:rFonts w:eastAsia="Calibri" w:ascii="Times New Roman" w:hAnsi="Times New Roman"/>
          <w:b/>
          <w:bCs/>
          <w:color w:val="000000"/>
          <w:sz w:val="24"/>
          <w:szCs w:val="24"/>
          <w:shd w:fill="EEEEEE" w:val="clear"/>
        </w:rPr>
        <w:t>critério de aceitabilidade</w:t>
      </w:r>
      <w:r>
        <w:rPr>
          <w:rFonts w:eastAsia="Calibri" w:ascii="Times New Roman" w:hAnsi="Times New Roman"/>
          <w:color w:val="000000"/>
          <w:sz w:val="24"/>
          <w:szCs w:val="24"/>
          <w:shd w:fill="EEEEEE" w:val="clear"/>
        </w:rPr>
        <w:t xml:space="preserve"> de preços</w:t>
      </w:r>
      <w:r>
        <w:rPr>
          <w:rFonts w:eastAsia="Calibri" w:ascii="Times New Roman" w:hAnsi="Times New Roman"/>
          <w:color w:val="000000"/>
          <w:sz w:val="24"/>
          <w:szCs w:val="24"/>
        </w:rPr>
        <w:t xml:space="preserve"> será o</w:t>
      </w:r>
      <w:r>
        <w:rPr>
          <w:rFonts w:eastAsia="Calibri" w:ascii="Times New Roman" w:hAnsi="Times New Roman"/>
          <w:color w:val="000000"/>
          <w:sz w:val="24"/>
          <w:szCs w:val="24"/>
          <w:shd w:fill="EEEEEE" w:val="clear"/>
        </w:rPr>
        <w:t xml:space="preserve"> </w:t>
      </w:r>
      <w:r>
        <w:rPr>
          <w:rFonts w:eastAsia="Calibri" w:ascii="Times New Roman" w:hAnsi="Times New Roman"/>
          <w:b/>
          <w:bCs/>
          <w:color w:val="000000"/>
          <w:sz w:val="24"/>
          <w:szCs w:val="24"/>
          <w:shd w:fill="EEEEEE" w:val="clear"/>
        </w:rPr>
        <w:t>VALOR TOTAL ESTIMADO</w:t>
      </w:r>
      <w:r>
        <w:rPr>
          <w:rFonts w:ascii="Times New Roman" w:hAnsi="Times New Roman"/>
          <w:sz w:val="24"/>
          <w:szCs w:val="24"/>
        </w:rPr>
        <w:t>.</w:t>
      </w:r>
    </w:p>
    <w:p>
      <w:pPr>
        <w:pStyle w:val="Normal"/>
        <w:numPr>
          <w:ilvl w:val="1"/>
          <w:numId w:val="297"/>
        </w:numPr>
        <w:suppressAutoHyphens w:val="false"/>
        <w:spacing w:lineRule="atLeast" w:line="300" w:before="0" w:after="120"/>
        <w:jc w:val="both"/>
        <w:textAlignment w:val="auto"/>
        <w:rPr>
          <w:rFonts w:ascii="Times New Roman" w:hAnsi="Times New Roman"/>
          <w:sz w:val="24"/>
          <w:szCs w:val="24"/>
        </w:rPr>
      </w:pPr>
      <w:r>
        <w:rPr>
          <w:rFonts w:ascii="Times New Roman" w:hAnsi="Times New Roman"/>
          <w:sz w:val="24"/>
          <w:szCs w:val="24"/>
          <w:shd w:fill="EEEEEE" w:val="clear"/>
        </w:rPr>
        <w:t>Serão consideradas inexequíveis as propostas cujos valores forem inferiores a 75% (setenta e cinco por cento) do valor orçado pela Administração.</w:t>
      </w:r>
    </w:p>
    <w:p>
      <w:pPr>
        <w:pStyle w:val="Normal"/>
        <w:numPr>
          <w:ilvl w:val="1"/>
          <w:numId w:val="298"/>
        </w:numPr>
        <w:suppressAutoHyphens w:val="false"/>
        <w:spacing w:lineRule="atLeast" w:line="300" w:before="0" w:after="120"/>
        <w:jc w:val="both"/>
        <w:textAlignment w:val="auto"/>
        <w:rPr>
          <w:rFonts w:ascii="Times New Roman" w:hAnsi="Times New Roman"/>
          <w:sz w:val="24"/>
          <w:szCs w:val="24"/>
        </w:rPr>
      </w:pPr>
      <w:r>
        <w:rPr>
          <w:rFonts w:ascii="Times New Roman" w:hAnsi="Times New Roman"/>
          <w:sz w:val="24"/>
          <w:szCs w:val="24"/>
          <w:shd w:fill="EEEEEE" w:val="clear"/>
        </w:rPr>
        <w:t>Será exigida garantia adicional do fornecedor vencedor cuja proposta for inferior a 85% (oitenta e cinco por cento) do valor orçado pela Administração, equivalente à diferença entre este último e o valor da proposta, sem prejuízo das demais garantias exigíveis de acordo a Lei.</w:t>
      </w:r>
    </w:p>
    <w:p>
      <w:pPr>
        <w:pStyle w:val="Normal"/>
        <w:numPr>
          <w:ilvl w:val="1"/>
          <w:numId w:val="299"/>
        </w:numPr>
        <w:suppressAutoHyphens w:val="false"/>
        <w:spacing w:lineRule="atLeast" w:line="300" w:before="0" w:after="120"/>
        <w:jc w:val="both"/>
        <w:textAlignment w:val="auto"/>
        <w:rPr>
          <w:rFonts w:ascii="Times New Roman" w:hAnsi="Times New Roman"/>
          <w:sz w:val="24"/>
          <w:szCs w:val="24"/>
        </w:rPr>
      </w:pPr>
      <w:r>
        <w:rPr>
          <w:rFonts w:ascii="Times New Roman" w:hAnsi="Times New Roman"/>
          <w:sz w:val="24"/>
          <w:szCs w:val="24"/>
        </w:rPr>
        <w:t>Se</w:t>
      </w:r>
      <w:r>
        <w:rPr>
          <w:rFonts w:ascii="Times New Roman" w:hAnsi="Times New Roman"/>
          <w:sz w:val="24"/>
          <w:szCs w:val="24"/>
          <w:shd w:fill="EEEEEE" w:val="clear"/>
        </w:rPr>
        <w:t xml:space="preserve"> houver indícios de inexequibilidade da proposta de preço, ou em caso da necessidade de esclarecimentos complementares, poderão ser efetuadas diligências, para que a empresa comprove a exequibilidade da proposta</w:t>
      </w:r>
      <w:r>
        <w:rPr>
          <w:rFonts w:ascii="Times New Roman" w:hAnsi="Times New Roman"/>
          <w:sz w:val="24"/>
          <w:szCs w:val="24"/>
        </w:rPr>
        <w:t>.</w:t>
      </w:r>
    </w:p>
    <w:p>
      <w:pPr>
        <w:pStyle w:val="Normal"/>
        <w:numPr>
          <w:ilvl w:val="1"/>
          <w:numId w:val="300"/>
        </w:numPr>
        <w:suppressAutoHyphens w:val="false"/>
        <w:spacing w:lineRule="atLeast" w:line="300" w:before="0" w:after="120"/>
        <w:jc w:val="both"/>
        <w:textAlignment w:val="auto"/>
        <w:rPr>
          <w:rFonts w:ascii="Times New Roman" w:hAnsi="Times New Roman"/>
          <w:sz w:val="24"/>
          <w:szCs w:val="24"/>
        </w:rPr>
      </w:pPr>
      <w:r>
        <w:rPr>
          <w:rFonts w:eastAsia="Calibri" w:ascii="Times New Roman" w:hAnsi="Times New Roman"/>
          <w:sz w:val="24"/>
          <w:szCs w:val="24"/>
        </w:rPr>
        <w:t xml:space="preserve">Encerrada a etapa de lances no sistema eletrônico, o agente da contratação convocará o fornecedor melhor classificado para envio da proposta ajustada ao último lance ou valor negociado conforme – </w:t>
      </w:r>
      <w:r>
        <w:rPr>
          <w:rFonts w:eastAsia="Calibri" w:ascii="Times New Roman" w:hAnsi="Times New Roman"/>
          <w:sz w:val="24"/>
          <w:szCs w:val="24"/>
          <w:shd w:fill="EEEEEE" w:val="clear"/>
        </w:rPr>
        <w:t>Modelo de Proposta de Preços disponível no Anexo II do AVISO DE CONTRATAÇÃO DIRETA Nº 200053-24/2026.</w:t>
      </w:r>
    </w:p>
    <w:p>
      <w:pPr>
        <w:pStyle w:val="Normal"/>
        <w:spacing w:lineRule="atLeast" w:line="300" w:before="0" w:after="120"/>
        <w:jc w:val="both"/>
        <w:rPr>
          <w:rFonts w:ascii="Times New Roman" w:hAnsi="Times New Roman"/>
          <w:sz w:val="24"/>
          <w:szCs w:val="24"/>
        </w:rPr>
      </w:pPr>
      <w:r>
        <w:rPr>
          <w:rFonts w:eastAsia="Calibri" w:ascii="Times New Roman" w:hAnsi="Times New Roman"/>
          <w:b/>
          <w:bCs/>
          <w:color w:val="000000"/>
          <w:sz w:val="24"/>
          <w:szCs w:val="24"/>
        </w:rPr>
        <w:t>EXIGÊNCIAS DE HABILITAÇÃO</w:t>
      </w:r>
    </w:p>
    <w:p>
      <w:pPr>
        <w:pStyle w:val="Normal"/>
        <w:numPr>
          <w:ilvl w:val="1"/>
          <w:numId w:val="301"/>
        </w:numPr>
        <w:spacing w:lineRule="atLeast" w:line="300" w:before="0" w:after="120"/>
        <w:jc w:val="both"/>
        <w:rPr>
          <w:rFonts w:ascii="Times New Roman" w:hAnsi="Times New Roman"/>
          <w:sz w:val="24"/>
          <w:szCs w:val="24"/>
        </w:rPr>
      </w:pPr>
      <w:r>
        <w:rPr>
          <w:rFonts w:eastAsia="Calibri" w:ascii="Times New Roman" w:hAnsi="Times New Roman"/>
          <w:color w:val="000000"/>
          <w:sz w:val="24"/>
          <w:szCs w:val="24"/>
        </w:rPr>
        <w:t>Para fins de habilitação, deverá o licitante comprovar os seguintes requisitos:</w:t>
      </w:r>
    </w:p>
    <w:p>
      <w:pPr>
        <w:pStyle w:val="Normal"/>
        <w:numPr>
          <w:ilvl w:val="1"/>
          <w:numId w:val="302"/>
        </w:numPr>
        <w:spacing w:lineRule="atLeast" w:line="300" w:before="0" w:after="120"/>
        <w:jc w:val="both"/>
        <w:rPr>
          <w:rFonts w:ascii="Times New Roman" w:hAnsi="Times New Roman"/>
          <w:sz w:val="24"/>
          <w:szCs w:val="24"/>
        </w:rPr>
      </w:pPr>
      <w:r>
        <w:rPr>
          <w:rFonts w:eastAsia="Calibri" w:ascii="Times New Roman" w:hAnsi="Times New Roman"/>
          <w:sz w:val="24"/>
          <w:szCs w:val="24"/>
        </w:rPr>
        <w:t xml:space="preserve">Habilitação jurídica – conforme previsto no </w:t>
      </w:r>
      <w:r>
        <w:rPr>
          <w:rFonts w:eastAsia="Calibri" w:ascii="Times New Roman" w:hAnsi="Times New Roman"/>
          <w:sz w:val="24"/>
          <w:szCs w:val="24"/>
          <w:shd w:fill="EEEEEE" w:val="clear"/>
        </w:rPr>
        <w:t>Modelo de Proposta de Preços disponível no Anexo II do AVISO DE CONTRATAÇÃO DIRETA Nº 200053-24/2026;</w:t>
      </w:r>
    </w:p>
    <w:p>
      <w:pPr>
        <w:pStyle w:val="Normal"/>
        <w:numPr>
          <w:ilvl w:val="1"/>
          <w:numId w:val="303"/>
        </w:numPr>
        <w:spacing w:lineRule="atLeast" w:line="300" w:before="0" w:after="120"/>
        <w:jc w:val="both"/>
        <w:rPr>
          <w:rFonts w:ascii="Times New Roman" w:hAnsi="Times New Roman"/>
          <w:sz w:val="24"/>
          <w:szCs w:val="24"/>
        </w:rPr>
      </w:pPr>
      <w:r>
        <w:rPr>
          <w:rFonts w:eastAsia="Calibri" w:ascii="Times New Roman" w:hAnsi="Times New Roman"/>
          <w:sz w:val="24"/>
          <w:szCs w:val="24"/>
          <w:shd w:fill="FFFFFF" w:val="clear"/>
        </w:rPr>
        <w:t xml:space="preserve">Habilitação fiscal, social e trabalhista (SICAF) – </w:t>
      </w:r>
      <w:r>
        <w:rPr>
          <w:rFonts w:ascii="Times New Roman" w:hAnsi="Times New Roman"/>
          <w:sz w:val="24"/>
          <w:szCs w:val="24"/>
        </w:rPr>
        <w:t xml:space="preserve">conforme previsto no </w:t>
      </w:r>
      <w:r>
        <w:rPr>
          <w:rFonts w:eastAsia="Calibri" w:ascii="Times New Roman" w:hAnsi="Times New Roman"/>
          <w:sz w:val="24"/>
          <w:szCs w:val="24"/>
          <w:shd w:fill="EEEEEE" w:val="clear"/>
        </w:rPr>
        <w:t>Modelo de Proposta de Preços disponível no Anexo II do AVISO DE CONTRATAÇÃO DIRETA Nº 200053-24/2026.</w:t>
      </w:r>
    </w:p>
    <w:p>
      <w:pPr>
        <w:pStyle w:val="Normal"/>
        <w:numPr>
          <w:ilvl w:val="1"/>
          <w:numId w:val="304"/>
        </w:numPr>
        <w:spacing w:lineRule="atLeast" w:line="300" w:before="0" w:after="120"/>
        <w:jc w:val="both"/>
        <w:rPr>
          <w:rFonts w:ascii="Times New Roman" w:hAnsi="Times New Roman"/>
          <w:sz w:val="24"/>
          <w:szCs w:val="24"/>
        </w:rPr>
      </w:pPr>
      <w:r>
        <w:rPr>
          <w:rFonts w:eastAsia="Calibri" w:ascii="Times New Roman" w:hAnsi="Times New Roman"/>
          <w:color w:val="000000"/>
          <w:sz w:val="24"/>
          <w:szCs w:val="24"/>
        </w:rPr>
        <w:t>Qualificação técnica:</w:t>
      </w:r>
    </w:p>
    <w:p>
      <w:pPr>
        <w:pStyle w:val="Normal"/>
        <w:numPr>
          <w:ilvl w:val="2"/>
          <w:numId w:val="305"/>
        </w:numPr>
        <w:spacing w:lineRule="atLeast" w:line="300" w:before="0" w:after="120"/>
        <w:jc w:val="both"/>
        <w:rPr>
          <w:rFonts w:ascii="Times New Roman" w:hAnsi="Times New Roman"/>
          <w:sz w:val="24"/>
          <w:szCs w:val="24"/>
        </w:rPr>
      </w:pPr>
      <w:r>
        <w:rPr>
          <w:rFonts w:ascii="Times New Roman" w:hAnsi="Times New Roman"/>
          <w:sz w:val="24"/>
          <w:szCs w:val="24"/>
        </w:rPr>
        <w:t>DECLARAÇÃO DE CONHECIMENTO DAS CONDIÇÕES INERENTES À NATUREZA DOS SERVIÇOS, conforme mo</w:t>
      </w:r>
      <w:r>
        <w:rPr>
          <w:rFonts w:ascii="Times New Roman" w:hAnsi="Times New Roman"/>
          <w:sz w:val="24"/>
          <w:szCs w:val="24"/>
          <w:shd w:fill="auto" w:val="clear"/>
        </w:rPr>
        <w:t>delo do APÊNDICE C deste Termo de Referência, assinada pelo responsável técnico ou representante legal da empresa interessada, sob as penas da lei;</w:t>
      </w:r>
    </w:p>
    <w:p>
      <w:pPr>
        <w:pStyle w:val="Normal"/>
        <w:numPr>
          <w:ilvl w:val="3"/>
          <w:numId w:val="306"/>
        </w:numPr>
        <w:spacing w:lineRule="atLeast" w:line="300" w:before="0" w:after="120"/>
        <w:jc w:val="both"/>
        <w:rPr>
          <w:rFonts w:ascii="Times New Roman" w:hAnsi="Times New Roman"/>
          <w:sz w:val="24"/>
          <w:szCs w:val="24"/>
          <w:highlight w:val="none"/>
          <w:shd w:fill="auto" w:val="clear"/>
        </w:rPr>
      </w:pPr>
      <w:r>
        <w:rPr>
          <w:rFonts w:ascii="Times New Roman" w:hAnsi="Times New Roman"/>
          <w:sz w:val="24"/>
          <w:szCs w:val="24"/>
          <w:shd w:fill="auto" w:val="clear"/>
        </w:rPr>
        <w:t xml:space="preserve">Caso a empresa interessada tenha interesse em realizar vistoria ao local da prestação dos serviços, vide informações constantes no </w:t>
      </w:r>
      <w:r>
        <w:rPr>
          <w:rFonts w:ascii="Times New Roman" w:hAnsi="Times New Roman"/>
          <w:sz w:val="24"/>
          <w:szCs w:val="24"/>
          <w:u w:val="single"/>
          <w:shd w:fill="auto" w:val="clear"/>
        </w:rPr>
        <w:t>subitem 5.5 da Seção 5. REQUISITOS DA CONTRATAÇÃO</w:t>
      </w:r>
      <w:r>
        <w:rPr>
          <w:rFonts w:ascii="Times New Roman" w:hAnsi="Times New Roman"/>
          <w:sz w:val="24"/>
          <w:szCs w:val="24"/>
          <w:shd w:fill="auto" w:val="clear"/>
        </w:rPr>
        <w:t xml:space="preserve"> deste Termo de Referência.</w:t>
      </w:r>
    </w:p>
    <w:p>
      <w:pPr>
        <w:pStyle w:val="Normal"/>
        <w:numPr>
          <w:ilvl w:val="2"/>
          <w:numId w:val="307"/>
        </w:numPr>
        <w:spacing w:lineRule="atLeast" w:line="300" w:before="0" w:after="120"/>
        <w:jc w:val="both"/>
        <w:rPr>
          <w:rFonts w:ascii="Times New Roman" w:hAnsi="Times New Roman"/>
          <w:sz w:val="24"/>
          <w:szCs w:val="24"/>
        </w:rPr>
      </w:pPr>
      <w:r>
        <w:rPr>
          <w:rFonts w:ascii="Times New Roman" w:hAnsi="Times New Roman"/>
          <w:sz w:val="24"/>
          <w:szCs w:val="24"/>
          <w:shd w:fill="auto" w:val="clear"/>
        </w:rPr>
        <w:t xml:space="preserve">DECLARAÇÃO DE VISITA (opcional), conforme modelo do </w:t>
      </w:r>
      <w:r>
        <w:rPr>
          <w:rFonts w:ascii="Times New Roman" w:hAnsi="Times New Roman"/>
          <w:sz w:val="24"/>
          <w:szCs w:val="24"/>
          <w:u w:val="single"/>
          <w:shd w:fill="auto" w:val="clear"/>
        </w:rPr>
        <w:t>APÊNDICE B</w:t>
      </w:r>
      <w:r>
        <w:rPr>
          <w:rFonts w:ascii="Times New Roman" w:hAnsi="Times New Roman"/>
          <w:sz w:val="24"/>
          <w:szCs w:val="24"/>
          <w:shd w:fill="auto" w:val="clear"/>
        </w:rPr>
        <w:t xml:space="preserve"> deste Termo</w:t>
      </w:r>
      <w:r>
        <w:rPr>
          <w:rFonts w:ascii="Times New Roman" w:hAnsi="Times New Roman"/>
          <w:sz w:val="24"/>
          <w:szCs w:val="24"/>
        </w:rPr>
        <w:t xml:space="preserve"> de Referência, somente se a empresa interessada realizou visita técnica no local de execução dos serviços</w:t>
      </w:r>
    </w:p>
    <w:p>
      <w:pPr>
        <w:pStyle w:val="Normal"/>
        <w:numPr>
          <w:ilvl w:val="3"/>
          <w:numId w:val="308"/>
        </w:numPr>
        <w:spacing w:lineRule="atLeast" w:line="300" w:before="0" w:after="120"/>
        <w:jc w:val="both"/>
        <w:rPr>
          <w:rFonts w:ascii="Times New Roman" w:hAnsi="Times New Roman"/>
          <w:sz w:val="24"/>
          <w:szCs w:val="24"/>
        </w:rPr>
      </w:pPr>
      <w:r>
        <w:rPr>
          <w:rFonts w:ascii="Times New Roman" w:hAnsi="Times New Roman"/>
          <w:sz w:val="24"/>
          <w:szCs w:val="24"/>
        </w:rPr>
        <w:t>Se, por qualquer motivo, a referida declaração de visita técnica não acompanhar a documentação, será considerada, se houver, a segunda via em poder da CONTRATANTE.</w:t>
      </w:r>
    </w:p>
    <w:p>
      <w:pPr>
        <w:pStyle w:val="Normal"/>
        <w:numPr>
          <w:ilvl w:val="2"/>
          <w:numId w:val="309"/>
        </w:numPr>
        <w:spacing w:lineRule="atLeast" w:line="300" w:before="0" w:after="120"/>
        <w:jc w:val="both"/>
        <w:rPr>
          <w:rFonts w:ascii="Times New Roman" w:hAnsi="Times New Roman"/>
          <w:sz w:val="24"/>
          <w:szCs w:val="24"/>
        </w:rPr>
      </w:pPr>
      <w:r>
        <w:rPr>
          <w:rFonts w:eastAsia="Calibri" w:ascii="Times New Roman" w:hAnsi="Times New Roman"/>
          <w:sz w:val="24"/>
          <w:szCs w:val="24"/>
        </w:rPr>
        <w:t>Prova de experiência anterior, por meio de atestado(s) ou declaração(ões) de capacidade técnica fornecido(s) por pessoa(s) jurídica(s) de direito público ou privado, que comprove(m) ter a empresa interessada tenha executado serviço compatível com o objeto desta contratação, no que respeita à parcela de maior relevância abaixo indicada:</w:t>
      </w:r>
    </w:p>
    <w:p>
      <w:pPr>
        <w:pStyle w:val="Normal"/>
        <w:numPr>
          <w:ilvl w:val="3"/>
          <w:numId w:val="310"/>
        </w:numPr>
        <w:spacing w:lineRule="atLeast" w:line="300" w:before="0" w:after="120"/>
        <w:jc w:val="both"/>
        <w:rPr>
          <w:rFonts w:ascii="Times New Roman" w:hAnsi="Times New Roman"/>
          <w:sz w:val="24"/>
          <w:szCs w:val="24"/>
        </w:rPr>
      </w:pPr>
      <w:r>
        <w:rPr>
          <w:rFonts w:eastAsia="Calibri" w:ascii="Times New Roman" w:hAnsi="Times New Roman"/>
          <w:sz w:val="24"/>
          <w:szCs w:val="24"/>
        </w:rPr>
        <w:t>Prestação de serviços de instalação de equipamento de ar-condicionado, incluindo infraestrutura frigorígena.</w:t>
      </w:r>
    </w:p>
    <w:p>
      <w:pPr>
        <w:pStyle w:val="Normal"/>
        <w:numPr>
          <w:ilvl w:val="3"/>
          <w:numId w:val="311"/>
        </w:numPr>
        <w:spacing w:lineRule="atLeast" w:line="300" w:before="0" w:after="120"/>
        <w:jc w:val="both"/>
        <w:rPr>
          <w:rFonts w:ascii="Times New Roman" w:hAnsi="Times New Roman"/>
          <w:sz w:val="24"/>
          <w:szCs w:val="24"/>
        </w:rPr>
      </w:pPr>
      <w:r>
        <w:rPr>
          <w:rFonts w:eastAsia="Calibri" w:ascii="Times New Roman" w:hAnsi="Times New Roman"/>
          <w:sz w:val="24"/>
          <w:szCs w:val="24"/>
        </w:rPr>
        <w:t>Não será(ão) aceito(s) atestado(s) ou declaração(ões) de serviços ainda não concluídos, executados parcialmente ou em andamento.</w:t>
      </w:r>
    </w:p>
    <w:p>
      <w:pPr>
        <w:pStyle w:val="Normal"/>
        <w:numPr>
          <w:ilvl w:val="2"/>
          <w:numId w:val="312"/>
        </w:numPr>
        <w:spacing w:lineRule="atLeast" w:line="300" w:before="0" w:after="120"/>
        <w:jc w:val="both"/>
        <w:rPr>
          <w:rFonts w:ascii="Times New Roman" w:hAnsi="Times New Roman"/>
          <w:sz w:val="24"/>
          <w:szCs w:val="24"/>
        </w:rPr>
      </w:pPr>
      <w:r>
        <w:rPr>
          <w:rFonts w:eastAsia="Calibri" w:ascii="Times New Roman" w:hAnsi="Times New Roman"/>
          <w:sz w:val="24"/>
          <w:szCs w:val="24"/>
        </w:rPr>
        <w:t>Prova de inscrição ou registro da empresa interessada e de seu(s) responsável(eis) técnico(s) junto ao Conselho Regional de Engenharia e Agronomia – CREA, Conselho de arquitetura e urbanismo – CAU ou Conselho Federal dos Técnicos Industriais - CFT que comprove o registro da empresa e do(s) seu(s) responsável(is) técnico(s) na entidade.</w:t>
      </w:r>
    </w:p>
    <w:p>
      <w:pPr>
        <w:pStyle w:val="Normal"/>
        <w:numPr>
          <w:ilvl w:val="2"/>
          <w:numId w:val="313"/>
        </w:numPr>
        <w:spacing w:lineRule="atLeast" w:line="300" w:before="0" w:after="120"/>
        <w:jc w:val="both"/>
        <w:rPr>
          <w:rFonts w:ascii="Times New Roman" w:hAnsi="Times New Roman"/>
          <w:sz w:val="24"/>
          <w:szCs w:val="24"/>
        </w:rPr>
      </w:pPr>
      <w:r>
        <w:rPr>
          <w:rFonts w:eastAsia="Calibri" w:ascii="Times New Roman" w:hAnsi="Times New Roman"/>
          <w:sz w:val="24"/>
          <w:szCs w:val="24"/>
          <w:u w:val="single"/>
        </w:rPr>
        <w:t>Capacitação técnico-profissional</w:t>
      </w:r>
      <w:r>
        <w:rPr>
          <w:rFonts w:eastAsia="Calibri" w:ascii="Times New Roman" w:hAnsi="Times New Roman"/>
          <w:sz w:val="24"/>
          <w:szCs w:val="24"/>
        </w:rPr>
        <w:t>: comprovação de que a empresa possui em seu quadro de funcionários, na data fixada para a entrega da proposta, profissional habilitado no CREA, CAU ou CFT para atuar como responsável técnico pela execução de serviço objeto desta contratação.</w:t>
      </w:r>
    </w:p>
    <w:p>
      <w:pPr>
        <w:pStyle w:val="Normal"/>
        <w:numPr>
          <w:ilvl w:val="3"/>
          <w:numId w:val="314"/>
        </w:numPr>
        <w:spacing w:lineRule="atLeast" w:line="300" w:before="0" w:after="120"/>
        <w:jc w:val="both"/>
        <w:rPr>
          <w:rFonts w:ascii="Times New Roman" w:hAnsi="Times New Roman"/>
          <w:sz w:val="24"/>
          <w:szCs w:val="24"/>
        </w:rPr>
      </w:pPr>
      <w:r>
        <w:rPr>
          <w:rFonts w:eastAsia="Calibri" w:ascii="Times New Roman" w:hAnsi="Times New Roman"/>
          <w:color w:val="000000"/>
          <w:sz w:val="24"/>
          <w:szCs w:val="24"/>
        </w:rPr>
        <w:t>A comprovação de vínculo do profissional com a empresa interessada poderá ser feita mediante a apresentação de um dos seguintes documentos:</w:t>
      </w:r>
    </w:p>
    <w:p>
      <w:pPr>
        <w:pStyle w:val="Normal"/>
        <w:numPr>
          <w:ilvl w:val="4"/>
          <w:numId w:val="315"/>
        </w:numPr>
        <w:spacing w:lineRule="atLeast" w:line="300" w:before="0" w:after="120"/>
        <w:jc w:val="both"/>
        <w:rPr>
          <w:rFonts w:ascii="Times New Roman" w:hAnsi="Times New Roman"/>
          <w:sz w:val="24"/>
          <w:szCs w:val="24"/>
        </w:rPr>
      </w:pPr>
      <w:r>
        <w:rPr>
          <w:rFonts w:eastAsia="Calibri" w:ascii="Times New Roman" w:hAnsi="Times New Roman"/>
          <w:color w:val="000000"/>
          <w:sz w:val="24"/>
          <w:szCs w:val="24"/>
        </w:rPr>
        <w:t>No caso de existência de vínculo empregatício: cópia da carteira de trabalho e previdência social (CTPS), exp</w:t>
      </w:r>
      <w:r>
        <w:rPr>
          <w:rFonts w:eastAsia="Calibri" w:ascii="Times New Roman" w:hAnsi="Times New Roman"/>
          <w:sz w:val="24"/>
          <w:szCs w:val="24"/>
        </w:rPr>
        <w:t>edida pelo Ministério do Trabalho, contendo as folhas em que constem o número de registro, a qualificação civil e o contrato de trabalho; ou CTPS digital, ou ficha de registro de empregado, em frente e verso;</w:t>
      </w:r>
    </w:p>
    <w:p>
      <w:pPr>
        <w:pStyle w:val="Normal"/>
        <w:numPr>
          <w:ilvl w:val="4"/>
          <w:numId w:val="316"/>
        </w:numPr>
        <w:spacing w:lineRule="atLeast" w:line="300" w:before="0" w:after="120"/>
        <w:jc w:val="both"/>
        <w:rPr>
          <w:rFonts w:ascii="Times New Roman" w:hAnsi="Times New Roman"/>
          <w:sz w:val="24"/>
          <w:szCs w:val="24"/>
        </w:rPr>
      </w:pPr>
      <w:r>
        <w:rPr>
          <w:rFonts w:eastAsia="Calibri" w:ascii="Times New Roman" w:hAnsi="Times New Roman"/>
          <w:sz w:val="24"/>
          <w:szCs w:val="24"/>
        </w:rPr>
        <w:t>No caso de existência de vínculo societário: ato constitutivo da empresa devidamente registrado no órgão de registro de comércio competente, do domicílio ou sede da licitante;</w:t>
      </w:r>
    </w:p>
    <w:p>
      <w:pPr>
        <w:pStyle w:val="Normal"/>
        <w:numPr>
          <w:ilvl w:val="4"/>
          <w:numId w:val="317"/>
        </w:numPr>
        <w:spacing w:lineRule="atLeast" w:line="300" w:before="0" w:after="120"/>
        <w:jc w:val="both"/>
        <w:rPr>
          <w:rFonts w:ascii="Times New Roman" w:hAnsi="Times New Roman"/>
          <w:sz w:val="24"/>
          <w:szCs w:val="24"/>
        </w:rPr>
      </w:pPr>
      <w:r>
        <w:rPr>
          <w:rFonts w:eastAsia="Calibri" w:ascii="Times New Roman" w:hAnsi="Times New Roman"/>
          <w:sz w:val="24"/>
          <w:szCs w:val="24"/>
        </w:rPr>
        <w:t>No caso de tratar-se de profissional autônomo:</w:t>
      </w:r>
    </w:p>
    <w:p>
      <w:pPr>
        <w:pStyle w:val="Normal"/>
        <w:numPr>
          <w:ilvl w:val="5"/>
          <w:numId w:val="318"/>
        </w:numPr>
        <w:spacing w:lineRule="atLeast" w:line="300" w:before="0" w:after="120"/>
        <w:jc w:val="both"/>
        <w:rPr>
          <w:rFonts w:ascii="Times New Roman" w:hAnsi="Times New Roman"/>
          <w:sz w:val="24"/>
          <w:szCs w:val="24"/>
        </w:rPr>
      </w:pPr>
      <w:r>
        <w:rPr>
          <w:rFonts w:eastAsia="Calibri" w:ascii="Times New Roman" w:hAnsi="Times New Roman"/>
          <w:sz w:val="24"/>
          <w:szCs w:val="24"/>
        </w:rPr>
        <w:t>Certidão de Registro da licitante no CREA, CAU ou CFT ao qual está vinculado, se nesse documento constar o(s) nome(s) do</w:t>
      </w:r>
      <w:r>
        <w:rPr>
          <w:rFonts w:eastAsia="Calibri" w:ascii="Times New Roman" w:hAnsi="Times New Roman"/>
          <w:color w:val="000000"/>
          <w:sz w:val="24"/>
          <w:szCs w:val="24"/>
        </w:rPr>
        <w:t xml:space="preserve"> profissional(is) indicado(s) dentre o(s) responsável(is) técnico(s) da empresa; ou</w:t>
      </w:r>
    </w:p>
    <w:p>
      <w:pPr>
        <w:pStyle w:val="Normal"/>
        <w:numPr>
          <w:ilvl w:val="5"/>
          <w:numId w:val="319"/>
        </w:numPr>
        <w:spacing w:lineRule="atLeast" w:line="300" w:before="0" w:after="120"/>
        <w:jc w:val="both"/>
        <w:rPr>
          <w:rFonts w:ascii="Times New Roman" w:hAnsi="Times New Roman"/>
          <w:sz w:val="24"/>
          <w:szCs w:val="24"/>
        </w:rPr>
      </w:pPr>
      <w:r>
        <w:rPr>
          <w:rFonts w:eastAsia="Calibri" w:ascii="Times New Roman" w:hAnsi="Times New Roman"/>
          <w:color w:val="000000"/>
          <w:sz w:val="24"/>
          <w:szCs w:val="24"/>
        </w:rPr>
        <w:t>Declaração de contratação futura do(s) profissional(is) para prestação de serviço, firmada pelas partes, ou contrato de prestação de serviços porventura já existente.</w:t>
      </w:r>
    </w:p>
    <w:p>
      <w:pPr>
        <w:pStyle w:val="Heading1"/>
        <w:numPr>
          <w:ilvl w:val="0"/>
          <w:numId w:val="320"/>
        </w:numPr>
        <w:shd w:val="clear" w:color="auto" w:fill="9CC2E5"/>
        <w:spacing w:before="112" w:after="112"/>
        <w:jc w:val="both"/>
        <w:rPr>
          <w:rFonts w:ascii="Times New Roman" w:hAnsi="Times New Roman"/>
          <w:sz w:val="24"/>
          <w:szCs w:val="24"/>
        </w:rPr>
      </w:pPr>
      <w:bookmarkStart w:id="12" w:name="__RefHeading___Toc11697_612072703"/>
      <w:bookmarkStart w:id="13" w:name="_Toc202882170"/>
      <w:bookmarkStart w:id="14" w:name="_Toc202369834"/>
      <w:bookmarkEnd w:id="12"/>
      <w:r>
        <w:rPr>
          <w:rFonts w:cs="Times New Roman" w:ascii="Times New Roman" w:hAnsi="Times New Roman"/>
          <w:b/>
          <w:bCs/>
          <w:color w:val="auto"/>
          <w:sz w:val="24"/>
          <w:szCs w:val="24"/>
        </w:rPr>
        <w:t>DESCRIÇÃO DA SOLUÇÃO COMO UM TODO</w:t>
      </w:r>
      <w:bookmarkEnd w:id="13"/>
      <w:bookmarkEnd w:id="14"/>
    </w:p>
    <w:p>
      <w:pPr>
        <w:pStyle w:val="Normal"/>
        <w:numPr>
          <w:ilvl w:val="1"/>
          <w:numId w:val="321"/>
        </w:numPr>
        <w:rPr>
          <w:rFonts w:ascii="Times New Roman" w:hAnsi="Times New Roman"/>
          <w:sz w:val="24"/>
          <w:szCs w:val="24"/>
        </w:rPr>
      </w:pPr>
      <w:r>
        <w:rPr>
          <w:rFonts w:ascii="Times New Roman" w:hAnsi="Times New Roman"/>
          <w:color w:val="000000"/>
          <w:sz w:val="24"/>
          <w:szCs w:val="24"/>
        </w:rPr>
        <w:t>Os serviços compreendem o fornecimento e a instalação completa de 01 (um) sistema de climatização tipo Split Hi-Wall de 12.000 BTU (Tecnologia Inverter, fluido R32), incluindo a execução de infraestrutura frigorígena, adequação elétrica dedicada, sistema de drenagem, fornecimento de suporte metálico para unidade externa e a realização de comissionamento técnico (startup) para garantir a plena performance e a validade da garantia de fábrica.</w:t>
      </w:r>
    </w:p>
    <w:p>
      <w:pPr>
        <w:pStyle w:val="Normal"/>
        <w:numPr>
          <w:ilvl w:val="1"/>
          <w:numId w:val="322"/>
        </w:numPr>
        <w:spacing w:before="0" w:after="57"/>
        <w:jc w:val="both"/>
        <w:rPr>
          <w:rFonts w:ascii="Times New Roman" w:hAnsi="Times New Roman"/>
          <w:sz w:val="24"/>
          <w:szCs w:val="24"/>
        </w:rPr>
      </w:pPr>
      <w:r>
        <w:rPr>
          <w:rFonts w:ascii="Times New Roman" w:hAnsi="Times New Roman"/>
          <w:color w:val="000000"/>
          <w:sz w:val="24"/>
          <w:szCs w:val="24"/>
        </w:rPr>
        <w:t xml:space="preserve">Os serviços englobam as seguintes fases e descrições detalhadas: </w:t>
      </w:r>
    </w:p>
    <w:p>
      <w:pPr>
        <w:pStyle w:val="Normal"/>
        <w:numPr>
          <w:ilvl w:val="2"/>
          <w:numId w:val="323"/>
        </w:numPr>
        <w:spacing w:before="0" w:after="57"/>
        <w:jc w:val="both"/>
        <w:rPr>
          <w:rFonts w:ascii="Times New Roman" w:hAnsi="Times New Roman"/>
          <w:sz w:val="24"/>
          <w:szCs w:val="24"/>
        </w:rPr>
      </w:pPr>
      <w:r>
        <w:rPr>
          <w:rFonts w:ascii="Times New Roman" w:hAnsi="Times New Roman"/>
          <w:color w:val="000000"/>
          <w:sz w:val="24"/>
          <w:szCs w:val="24"/>
        </w:rPr>
        <w:t>Serviços Preliminares:</w:t>
      </w:r>
    </w:p>
    <w:p>
      <w:pPr>
        <w:pStyle w:val="Normal"/>
        <w:numPr>
          <w:ilvl w:val="3"/>
          <w:numId w:val="324"/>
        </w:numPr>
        <w:spacing w:before="0" w:after="57"/>
        <w:jc w:val="both"/>
        <w:rPr>
          <w:rFonts w:ascii="Times New Roman" w:hAnsi="Times New Roman"/>
          <w:sz w:val="24"/>
          <w:szCs w:val="24"/>
        </w:rPr>
      </w:pPr>
      <w:r>
        <w:rPr>
          <w:rFonts w:ascii="Times New Roman" w:hAnsi="Times New Roman"/>
          <w:color w:val="000000"/>
          <w:sz w:val="24"/>
          <w:szCs w:val="24"/>
        </w:rPr>
        <w:t>Análise do percurso da tubulação (aproximadamente 14 metros) e definição exata dos pontos de furação e fixação conforme o layout da sala;</w:t>
      </w:r>
    </w:p>
    <w:p>
      <w:pPr>
        <w:pStyle w:val="Normal"/>
        <w:numPr>
          <w:ilvl w:val="3"/>
          <w:numId w:val="325"/>
        </w:numPr>
        <w:spacing w:before="0" w:after="57"/>
        <w:jc w:val="both"/>
        <w:rPr>
          <w:rFonts w:ascii="Times New Roman" w:hAnsi="Times New Roman"/>
          <w:sz w:val="24"/>
          <w:szCs w:val="24"/>
        </w:rPr>
      </w:pPr>
      <w:r>
        <w:rPr>
          <w:rFonts w:ascii="Times New Roman" w:hAnsi="Times New Roman"/>
          <w:color w:val="000000"/>
          <w:sz w:val="24"/>
          <w:szCs w:val="24"/>
        </w:rPr>
        <w:t>Proteção de móveis, equipamentos de informática e pisos nas áreas de intervenção;</w:t>
      </w:r>
    </w:p>
    <w:p>
      <w:pPr>
        <w:pStyle w:val="Normal"/>
        <w:numPr>
          <w:ilvl w:val="3"/>
          <w:numId w:val="326"/>
        </w:numPr>
        <w:spacing w:before="0" w:after="57"/>
        <w:jc w:val="both"/>
        <w:rPr>
          <w:rFonts w:ascii="Times New Roman" w:hAnsi="Times New Roman"/>
          <w:sz w:val="24"/>
          <w:szCs w:val="24"/>
        </w:rPr>
      </w:pPr>
      <w:r>
        <w:rPr>
          <w:rFonts w:ascii="Times New Roman" w:hAnsi="Times New Roman"/>
          <w:color w:val="000000"/>
          <w:sz w:val="24"/>
          <w:szCs w:val="24"/>
        </w:rPr>
        <w:t>Delimitação e sinalização da área de trabalho, garantindo a segurança de servidores e usuários durante a movimentação de escadas e ferramentas;</w:t>
      </w:r>
    </w:p>
    <w:p>
      <w:pPr>
        <w:pStyle w:val="Normal"/>
        <w:numPr>
          <w:ilvl w:val="3"/>
          <w:numId w:val="327"/>
        </w:numPr>
        <w:spacing w:before="0" w:after="57"/>
        <w:jc w:val="both"/>
        <w:rPr>
          <w:rFonts w:ascii="Times New Roman" w:hAnsi="Times New Roman"/>
          <w:sz w:val="24"/>
          <w:szCs w:val="24"/>
        </w:rPr>
      </w:pPr>
      <w:r>
        <w:rPr>
          <w:rFonts w:ascii="Times New Roman" w:hAnsi="Times New Roman"/>
          <w:color w:val="000000"/>
          <w:sz w:val="24"/>
          <w:szCs w:val="24"/>
        </w:rPr>
        <w:t>Desligamento seguro e bloqueio dos circuitos elétricos no quadro de distribuição para a interligação da nova rede;</w:t>
      </w:r>
    </w:p>
    <w:p>
      <w:pPr>
        <w:pStyle w:val="Normal"/>
        <w:numPr>
          <w:ilvl w:val="3"/>
          <w:numId w:val="328"/>
        </w:numPr>
        <w:spacing w:before="0" w:after="57"/>
        <w:jc w:val="both"/>
        <w:rPr>
          <w:rFonts w:ascii="Times New Roman" w:hAnsi="Times New Roman"/>
          <w:sz w:val="24"/>
          <w:szCs w:val="24"/>
        </w:rPr>
      </w:pPr>
      <w:r>
        <w:rPr>
          <w:rFonts w:ascii="Times New Roman" w:hAnsi="Times New Roman"/>
          <w:color w:val="000000"/>
          <w:sz w:val="24"/>
          <w:szCs w:val="24"/>
        </w:rPr>
        <w:t>Obtenção e recolhimento da ART (Anotação de Responsabilidade Técnica) ou RRT específica para os serviços;</w:t>
      </w:r>
    </w:p>
    <w:p>
      <w:pPr>
        <w:pStyle w:val="Normal"/>
        <w:numPr>
          <w:ilvl w:val="2"/>
          <w:numId w:val="329"/>
        </w:numPr>
        <w:spacing w:before="0" w:after="57"/>
        <w:jc w:val="both"/>
        <w:rPr>
          <w:rFonts w:ascii="Times New Roman" w:hAnsi="Times New Roman"/>
          <w:sz w:val="24"/>
          <w:szCs w:val="24"/>
        </w:rPr>
      </w:pPr>
      <w:r>
        <w:rPr>
          <w:rFonts w:ascii="Times New Roman" w:hAnsi="Times New Roman"/>
          <w:color w:val="000000"/>
          <w:sz w:val="24"/>
          <w:szCs w:val="24"/>
        </w:rPr>
        <w:t xml:space="preserve">Instalação de Infraestrutura e Equipamentos: </w:t>
      </w:r>
    </w:p>
    <w:p>
      <w:pPr>
        <w:pStyle w:val="Normal"/>
        <w:numPr>
          <w:ilvl w:val="3"/>
          <w:numId w:val="330"/>
        </w:numPr>
        <w:spacing w:before="0" w:after="57"/>
        <w:jc w:val="both"/>
        <w:rPr>
          <w:rFonts w:ascii="Times New Roman" w:hAnsi="Times New Roman"/>
          <w:sz w:val="24"/>
          <w:szCs w:val="24"/>
        </w:rPr>
      </w:pPr>
      <w:r>
        <w:rPr>
          <w:rFonts w:ascii="Times New Roman" w:hAnsi="Times New Roman"/>
          <w:color w:val="000000"/>
          <w:sz w:val="24"/>
          <w:szCs w:val="24"/>
        </w:rPr>
        <w:t>Execução de furos em alvenaria para passagem das linhas frigorígenas e elétrica, com posterior vedação estanque e acabamento estético;</w:t>
      </w:r>
    </w:p>
    <w:p>
      <w:pPr>
        <w:pStyle w:val="Normal"/>
        <w:numPr>
          <w:ilvl w:val="3"/>
          <w:numId w:val="331"/>
        </w:numPr>
        <w:spacing w:before="0" w:after="57"/>
        <w:jc w:val="both"/>
        <w:rPr>
          <w:rFonts w:ascii="Times New Roman" w:hAnsi="Times New Roman"/>
          <w:sz w:val="24"/>
          <w:szCs w:val="24"/>
        </w:rPr>
      </w:pPr>
      <w:r>
        <w:rPr>
          <w:rFonts w:ascii="Times New Roman" w:hAnsi="Times New Roman"/>
          <w:color w:val="000000"/>
          <w:sz w:val="24"/>
          <w:szCs w:val="24"/>
        </w:rPr>
        <w:t>Instalação das linhas de cobre com isolamento térmico individual;</w:t>
      </w:r>
    </w:p>
    <w:p>
      <w:pPr>
        <w:pStyle w:val="Normal"/>
        <w:numPr>
          <w:ilvl w:val="3"/>
          <w:numId w:val="332"/>
        </w:numPr>
        <w:spacing w:before="0" w:after="57"/>
        <w:jc w:val="both"/>
        <w:rPr>
          <w:rFonts w:ascii="Times New Roman" w:hAnsi="Times New Roman"/>
          <w:sz w:val="24"/>
          <w:szCs w:val="24"/>
        </w:rPr>
      </w:pPr>
      <w:r>
        <w:rPr>
          <w:rFonts w:ascii="Times New Roman" w:hAnsi="Times New Roman"/>
          <w:color w:val="000000"/>
          <w:sz w:val="24"/>
          <w:szCs w:val="24"/>
        </w:rPr>
        <w:t>Montagem de suporte metálico (rack) com tratamento anticorrosivo, dimensionado para suportar as unidades condensadoras na laje técnica, utilizando coxins de borracha para amortecimento de vibração;</w:t>
      </w:r>
    </w:p>
    <w:p>
      <w:pPr>
        <w:pStyle w:val="Normal"/>
        <w:numPr>
          <w:ilvl w:val="3"/>
          <w:numId w:val="333"/>
        </w:numPr>
        <w:spacing w:before="0" w:after="57"/>
        <w:jc w:val="both"/>
        <w:rPr>
          <w:rFonts w:ascii="Times New Roman" w:hAnsi="Times New Roman"/>
          <w:sz w:val="24"/>
          <w:szCs w:val="24"/>
        </w:rPr>
      </w:pPr>
      <w:r>
        <w:rPr>
          <w:rFonts w:ascii="Times New Roman" w:hAnsi="Times New Roman"/>
          <w:color w:val="000000"/>
          <w:sz w:val="24"/>
          <w:szCs w:val="24"/>
        </w:rPr>
        <w:t>Execução de circuito elétrico dedicado com cabos flexíveis de 2,5 mm², uso obrigatório de terminais tipo ilhós em todas as conexões e instalação de disjuntor de proteção;</w:t>
      </w:r>
    </w:p>
    <w:p>
      <w:pPr>
        <w:pStyle w:val="Normal"/>
        <w:numPr>
          <w:ilvl w:val="3"/>
          <w:numId w:val="334"/>
        </w:numPr>
        <w:spacing w:before="0" w:after="57"/>
        <w:jc w:val="both"/>
        <w:rPr>
          <w:rFonts w:ascii="Times New Roman" w:hAnsi="Times New Roman"/>
          <w:sz w:val="24"/>
          <w:szCs w:val="24"/>
        </w:rPr>
      </w:pPr>
      <w:r>
        <w:rPr>
          <w:rFonts w:ascii="Times New Roman" w:hAnsi="Times New Roman"/>
          <w:color w:val="000000"/>
          <w:sz w:val="24"/>
          <w:szCs w:val="24"/>
        </w:rPr>
        <w:t>Instalação da rede de dreno em PVC rígido de 20mm, garantindo inclinação mínima de 1,5% e instalação de sifão no ponto de conexão com a rede predial para evitar retorno de odores;</w:t>
      </w:r>
    </w:p>
    <w:p>
      <w:pPr>
        <w:pStyle w:val="Normal"/>
        <w:numPr>
          <w:ilvl w:val="3"/>
          <w:numId w:val="335"/>
        </w:numPr>
        <w:spacing w:before="0" w:after="57"/>
        <w:jc w:val="both"/>
        <w:rPr>
          <w:rFonts w:ascii="Times New Roman" w:hAnsi="Times New Roman"/>
          <w:sz w:val="24"/>
          <w:szCs w:val="24"/>
        </w:rPr>
      </w:pPr>
      <w:r>
        <w:rPr>
          <w:rFonts w:ascii="Times New Roman" w:hAnsi="Times New Roman"/>
          <w:color w:val="000000"/>
          <w:sz w:val="24"/>
          <w:szCs w:val="24"/>
        </w:rPr>
        <w:t>Fixação e nivelamento da unidade evaporadora (interna) e da unidade condensadora (externa);</w:t>
      </w:r>
    </w:p>
    <w:p>
      <w:pPr>
        <w:pStyle w:val="Normal"/>
        <w:numPr>
          <w:ilvl w:val="2"/>
          <w:numId w:val="336"/>
        </w:numPr>
        <w:spacing w:before="0" w:after="57"/>
        <w:jc w:val="both"/>
        <w:rPr>
          <w:rFonts w:ascii="Times New Roman" w:hAnsi="Times New Roman"/>
          <w:sz w:val="24"/>
          <w:szCs w:val="24"/>
        </w:rPr>
      </w:pPr>
      <w:r>
        <w:rPr>
          <w:rFonts w:ascii="Times New Roman" w:hAnsi="Times New Roman"/>
          <w:color w:val="000000"/>
          <w:sz w:val="24"/>
          <w:szCs w:val="24"/>
        </w:rPr>
        <w:t>Comissionamento Técnico (Startup):</w:t>
      </w:r>
    </w:p>
    <w:p>
      <w:pPr>
        <w:pStyle w:val="Normal"/>
        <w:numPr>
          <w:ilvl w:val="3"/>
          <w:numId w:val="337"/>
        </w:numPr>
        <w:spacing w:before="0" w:after="57"/>
        <w:jc w:val="both"/>
        <w:rPr>
          <w:rFonts w:ascii="Times New Roman" w:hAnsi="Times New Roman"/>
          <w:sz w:val="24"/>
          <w:szCs w:val="24"/>
        </w:rPr>
      </w:pPr>
      <w:r>
        <w:rPr>
          <w:rFonts w:ascii="Times New Roman" w:hAnsi="Times New Roman"/>
          <w:color w:val="000000"/>
          <w:sz w:val="24"/>
          <w:szCs w:val="24"/>
        </w:rPr>
        <w:t>Realização de teste de estanqueidade mediante pressurização com Nitrogênio (N2) por período mínimo de 30 minutos;</w:t>
      </w:r>
    </w:p>
    <w:p>
      <w:pPr>
        <w:pStyle w:val="Normal"/>
        <w:numPr>
          <w:ilvl w:val="3"/>
          <w:numId w:val="338"/>
        </w:numPr>
        <w:spacing w:before="0" w:after="57"/>
        <w:jc w:val="both"/>
        <w:rPr>
          <w:rFonts w:ascii="Times New Roman" w:hAnsi="Times New Roman"/>
          <w:sz w:val="24"/>
          <w:szCs w:val="24"/>
        </w:rPr>
      </w:pPr>
      <w:r>
        <w:rPr>
          <w:rFonts w:ascii="Times New Roman" w:hAnsi="Times New Roman"/>
          <w:color w:val="000000"/>
          <w:sz w:val="24"/>
          <w:szCs w:val="24"/>
        </w:rPr>
        <w:t>Procedimento de desidratação (vácuo) com bomba de duplo estágio e vacuômetro digital até atingir nível inferior a 500 microns, com registro por foto/vídeo para comprovação técnica;</w:t>
      </w:r>
    </w:p>
    <w:p>
      <w:pPr>
        <w:pStyle w:val="Normal"/>
        <w:numPr>
          <w:ilvl w:val="3"/>
          <w:numId w:val="339"/>
        </w:numPr>
        <w:spacing w:before="0" w:after="57"/>
        <w:jc w:val="both"/>
        <w:rPr>
          <w:rFonts w:ascii="Times New Roman" w:hAnsi="Times New Roman"/>
          <w:sz w:val="24"/>
          <w:szCs w:val="24"/>
        </w:rPr>
      </w:pPr>
      <w:r>
        <w:rPr>
          <w:rFonts w:ascii="Times New Roman" w:hAnsi="Times New Roman"/>
          <w:color w:val="000000"/>
          <w:sz w:val="24"/>
          <w:szCs w:val="24"/>
        </w:rPr>
        <w:t>Realização de carga adicional de fluido refrigerante R32 por meio de balança digital de precisão;</w:t>
      </w:r>
    </w:p>
    <w:p>
      <w:pPr>
        <w:pStyle w:val="Normal"/>
        <w:numPr>
          <w:ilvl w:val="3"/>
          <w:numId w:val="340"/>
        </w:numPr>
        <w:spacing w:before="0" w:after="57"/>
        <w:jc w:val="both"/>
        <w:rPr>
          <w:rFonts w:ascii="Times New Roman" w:hAnsi="Times New Roman"/>
          <w:sz w:val="24"/>
          <w:szCs w:val="24"/>
        </w:rPr>
      </w:pPr>
      <w:r>
        <w:rPr>
          <w:rFonts w:ascii="Times New Roman" w:hAnsi="Times New Roman"/>
          <w:color w:val="000000"/>
          <w:sz w:val="24"/>
          <w:szCs w:val="24"/>
        </w:rPr>
        <w:t>Testes finais de performance (superaquecimento, salto térmico e medição de corrente elétrica) com registro dos valores no relatório de entrega.</w:t>
      </w:r>
    </w:p>
    <w:p>
      <w:pPr>
        <w:pStyle w:val="Normal"/>
        <w:numPr>
          <w:ilvl w:val="2"/>
          <w:numId w:val="341"/>
        </w:numPr>
        <w:spacing w:before="0" w:after="57"/>
        <w:jc w:val="both"/>
        <w:rPr>
          <w:rFonts w:ascii="Times New Roman" w:hAnsi="Times New Roman"/>
          <w:sz w:val="24"/>
          <w:szCs w:val="24"/>
        </w:rPr>
      </w:pPr>
      <w:r>
        <w:rPr>
          <w:rFonts w:ascii="Times New Roman" w:hAnsi="Times New Roman"/>
          <w:color w:val="000000"/>
          <w:sz w:val="24"/>
          <w:szCs w:val="24"/>
        </w:rPr>
        <w:t>Limpeza Final e Entrega:</w:t>
      </w:r>
    </w:p>
    <w:p>
      <w:pPr>
        <w:pStyle w:val="Normal"/>
        <w:numPr>
          <w:ilvl w:val="3"/>
          <w:numId w:val="342"/>
        </w:numPr>
        <w:spacing w:before="0" w:after="57"/>
        <w:jc w:val="both"/>
        <w:rPr>
          <w:rFonts w:ascii="Times New Roman" w:hAnsi="Times New Roman"/>
          <w:sz w:val="24"/>
          <w:szCs w:val="24"/>
        </w:rPr>
      </w:pPr>
      <w:r>
        <w:rPr>
          <w:rFonts w:ascii="Times New Roman" w:hAnsi="Times New Roman"/>
          <w:color w:val="000000"/>
          <w:sz w:val="24"/>
          <w:szCs w:val="24"/>
        </w:rPr>
        <w:t>Remoção de todas as sobras de materiais (retalhos de tubulação, isolamentos, fios, embalagens e resíduos de alvenaria etc.);</w:t>
      </w:r>
    </w:p>
    <w:p>
      <w:pPr>
        <w:pStyle w:val="Normal"/>
        <w:numPr>
          <w:ilvl w:val="3"/>
          <w:numId w:val="343"/>
        </w:numPr>
        <w:spacing w:before="0" w:after="57"/>
        <w:jc w:val="both"/>
        <w:rPr>
          <w:rFonts w:ascii="Times New Roman" w:hAnsi="Times New Roman"/>
          <w:sz w:val="24"/>
          <w:szCs w:val="24"/>
        </w:rPr>
      </w:pPr>
      <w:r>
        <w:rPr>
          <w:rFonts w:ascii="Times New Roman" w:hAnsi="Times New Roman"/>
          <w:color w:val="000000"/>
          <w:sz w:val="24"/>
          <w:szCs w:val="24"/>
        </w:rPr>
        <w:t>Entrega do ambiente totalmente limpo e com os acabamentos de parede recompostos nos pontos de furação;</w:t>
      </w:r>
    </w:p>
    <w:p>
      <w:pPr>
        <w:pStyle w:val="Normal"/>
        <w:numPr>
          <w:ilvl w:val="3"/>
          <w:numId w:val="344"/>
        </w:numPr>
        <w:spacing w:before="0" w:after="57"/>
        <w:jc w:val="both"/>
        <w:rPr>
          <w:rFonts w:ascii="Times New Roman" w:hAnsi="Times New Roman"/>
          <w:sz w:val="24"/>
          <w:szCs w:val="24"/>
        </w:rPr>
      </w:pPr>
      <w:r>
        <w:rPr>
          <w:rFonts w:ascii="Times New Roman" w:hAnsi="Times New Roman"/>
          <w:color w:val="000000"/>
          <w:sz w:val="24"/>
          <w:szCs w:val="24"/>
        </w:rPr>
        <w:t>Entrega do Relatório de Startup assinado, Manual do Usuário e Certificado de Garantia do fabricante devidamente preenchido;</w:t>
      </w:r>
    </w:p>
    <w:p>
      <w:pPr>
        <w:pStyle w:val="Normal"/>
        <w:numPr>
          <w:ilvl w:val="3"/>
          <w:numId w:val="345"/>
        </w:numPr>
        <w:spacing w:before="0" w:after="57"/>
        <w:jc w:val="both"/>
        <w:rPr>
          <w:rFonts w:ascii="Times New Roman" w:hAnsi="Times New Roman"/>
          <w:sz w:val="24"/>
          <w:szCs w:val="24"/>
        </w:rPr>
      </w:pPr>
      <w:r>
        <w:rPr>
          <w:rFonts w:ascii="Times New Roman" w:hAnsi="Times New Roman"/>
          <w:color w:val="000000"/>
          <w:sz w:val="24"/>
          <w:szCs w:val="24"/>
        </w:rPr>
        <w:t>Realização de treinamento operacional básico (funções do controle remoto e limpeza de filtros) para os usuários locais.</w:t>
      </w:r>
    </w:p>
    <w:p>
      <w:pPr>
        <w:pStyle w:val="Normal"/>
        <w:numPr>
          <w:ilvl w:val="1"/>
          <w:numId w:val="346"/>
        </w:numPr>
        <w:spacing w:before="0" w:after="57"/>
        <w:jc w:val="both"/>
        <w:rPr>
          <w:rFonts w:ascii="Times New Roman" w:hAnsi="Times New Roman"/>
          <w:sz w:val="24"/>
          <w:szCs w:val="24"/>
        </w:rPr>
      </w:pPr>
      <w:r>
        <w:rPr>
          <w:rFonts w:ascii="Times New Roman" w:hAnsi="Times New Roman"/>
          <w:color w:val="000000"/>
          <w:sz w:val="24"/>
          <w:szCs w:val="24"/>
        </w:rPr>
        <w:t>A CONTRATADA deverá arcar, sem ônus para a CONTRATANTE, com o custo do fornecimento de todos os materiais de consumo e insumos necessários à execução dos serviços (tais como fluido refrigerante R32, nitrogênio, tubulações, isolamentos, suportes e componentes elétricos), os quais deverão ser novos, de primeira qualidade e estar em perfeitas condições de uso.</w:t>
      </w:r>
    </w:p>
    <w:p>
      <w:pPr>
        <w:pStyle w:val="Normal"/>
        <w:numPr>
          <w:ilvl w:val="1"/>
          <w:numId w:val="347"/>
        </w:numPr>
        <w:spacing w:before="0" w:after="57"/>
        <w:jc w:val="both"/>
        <w:rPr>
          <w:rFonts w:ascii="Times New Roman" w:hAnsi="Times New Roman"/>
          <w:sz w:val="24"/>
          <w:szCs w:val="24"/>
        </w:rPr>
      </w:pPr>
      <w:r>
        <w:rPr>
          <w:rFonts w:ascii="Times New Roman" w:hAnsi="Times New Roman"/>
          <w:sz w:val="24"/>
          <w:szCs w:val="24"/>
        </w:rPr>
        <w:t>O descarte de resíduos resultantes da instalação (como sobras de tubulação, embalagens e entulhos de alvenaria) será de inteira responsabilidade da CONTRATADA, que deverá observar as determinações legais para o correto armazenamento, transporte e destinação final, mantendo a limpeza das áreas de trabalho</w:t>
      </w:r>
      <w:r>
        <w:rPr>
          <w:rFonts w:ascii="Times New Roman" w:hAnsi="Times New Roman"/>
          <w:color w:val="000000"/>
          <w:sz w:val="24"/>
          <w:szCs w:val="24"/>
        </w:rPr>
        <w:t>.</w:t>
      </w:r>
    </w:p>
    <w:p>
      <w:pPr>
        <w:pStyle w:val="Normal"/>
        <w:numPr>
          <w:ilvl w:val="1"/>
          <w:numId w:val="348"/>
        </w:numPr>
        <w:spacing w:before="0" w:after="57"/>
        <w:jc w:val="both"/>
        <w:rPr>
          <w:rFonts w:ascii="Times New Roman" w:hAnsi="Times New Roman"/>
          <w:sz w:val="24"/>
          <w:szCs w:val="24"/>
        </w:rPr>
      </w:pPr>
      <w:r>
        <w:rPr>
          <w:rFonts w:ascii="Times New Roman" w:hAnsi="Times New Roman"/>
          <w:color w:val="000000"/>
          <w:sz w:val="24"/>
          <w:szCs w:val="24"/>
        </w:rPr>
        <w:t>Todos os equipamentos e materiais a serem empregados deverão ser novos, originais e de primeira linha, não sendo aceitos itens recondicionados, reaproveitados ou que não atendam às especificações constantes no Caderno de Especificações e Encargos.</w:t>
      </w:r>
    </w:p>
    <w:p>
      <w:pPr>
        <w:pStyle w:val="Normal"/>
        <w:numPr>
          <w:ilvl w:val="1"/>
          <w:numId w:val="349"/>
        </w:numPr>
        <w:spacing w:before="0" w:after="57"/>
        <w:jc w:val="both"/>
        <w:rPr>
          <w:rFonts w:ascii="Times New Roman" w:hAnsi="Times New Roman"/>
          <w:sz w:val="24"/>
          <w:szCs w:val="24"/>
        </w:rPr>
      </w:pPr>
      <w:r>
        <w:rPr>
          <w:rFonts w:ascii="Times New Roman" w:hAnsi="Times New Roman"/>
          <w:color w:val="000000"/>
          <w:sz w:val="24"/>
          <w:szCs w:val="24"/>
        </w:rPr>
        <w:t>A empresa contratada prestará os serviços nos locais indicados pela CONTRATANTE.</w:t>
      </w:r>
    </w:p>
    <w:p>
      <w:pPr>
        <w:pStyle w:val="Normal"/>
        <w:numPr>
          <w:ilvl w:val="1"/>
          <w:numId w:val="350"/>
        </w:numPr>
        <w:spacing w:before="0" w:after="57"/>
        <w:jc w:val="both"/>
        <w:rPr>
          <w:rFonts w:ascii="Times New Roman" w:hAnsi="Times New Roman"/>
          <w:sz w:val="24"/>
          <w:szCs w:val="24"/>
        </w:rPr>
      </w:pPr>
      <w:r>
        <w:rPr>
          <w:rFonts w:ascii="Times New Roman" w:hAnsi="Times New Roman"/>
          <w:color w:val="000000"/>
          <w:sz w:val="24"/>
          <w:szCs w:val="24"/>
        </w:rPr>
        <w:t>A CONTRATADA responsabilizar-se-á integralmente por eventuais danos causados diretamente à Administração ou a terceiros em razão da execução dos serviços (tais como danos a outras redes de utilidades durante furações, danos a mobiliário ou pintura), decorrentes de falha, negligência, imprudência ou imperícia, arcando com todas as despesas necessárias ao pronto restabelecimento das condições originais, sem ônus para a CONTRATANTE.</w:t>
      </w:r>
    </w:p>
    <w:p>
      <w:pPr>
        <w:pStyle w:val="Normal"/>
        <w:numPr>
          <w:ilvl w:val="1"/>
          <w:numId w:val="351"/>
        </w:numPr>
        <w:spacing w:before="0" w:after="57"/>
        <w:jc w:val="both"/>
        <w:rPr>
          <w:rFonts w:ascii="Times New Roman" w:hAnsi="Times New Roman"/>
          <w:sz w:val="24"/>
          <w:szCs w:val="24"/>
        </w:rPr>
      </w:pPr>
      <w:r>
        <w:rPr>
          <w:rFonts w:ascii="Times New Roman" w:hAnsi="Times New Roman"/>
          <w:color w:val="000000"/>
          <w:sz w:val="24"/>
          <w:szCs w:val="24"/>
        </w:rPr>
        <w:t>O valor da proposta contemplará o transporte vertical e horizontal de materiais, ferramentas e equipamentos relacionados com os serviços, sem ônus adicional para a CONTRATANTE.</w:t>
      </w:r>
    </w:p>
    <w:p>
      <w:pPr>
        <w:pStyle w:val="Normal"/>
        <w:numPr>
          <w:ilvl w:val="1"/>
          <w:numId w:val="352"/>
        </w:numPr>
        <w:spacing w:before="0" w:after="57"/>
        <w:jc w:val="both"/>
        <w:rPr>
          <w:rFonts w:ascii="Times New Roman" w:hAnsi="Times New Roman"/>
          <w:sz w:val="24"/>
          <w:szCs w:val="24"/>
        </w:rPr>
      </w:pPr>
      <w:r>
        <w:rPr>
          <w:rFonts w:ascii="Times New Roman" w:hAnsi="Times New Roman"/>
          <w:color w:val="000000"/>
          <w:sz w:val="24"/>
          <w:szCs w:val="24"/>
        </w:rPr>
        <w:t>A CONTRATADA cumprirá rigorosamente as normas de segurança vigentes, com especial atenção às Normas Regulamentadoras do Ministério do Trabalho e Emprego, em especial a NR-10 (Segurança em Instalações e Serviços em Eletricidade) e a NR-35 (Trabalho em Altura), sendo de sua inteira responsabilidade quaisquer acidentes ou demandas decorrentes da inobservância destas precauções.</w:t>
      </w:r>
    </w:p>
    <w:p>
      <w:pPr>
        <w:pStyle w:val="Heading2"/>
        <w:numPr>
          <w:ilvl w:val="0"/>
          <w:numId w:val="353"/>
        </w:numPr>
        <w:shd w:val="clear" w:color="auto" w:fill="9CC2E5"/>
        <w:spacing w:before="0" w:after="113"/>
        <w:jc w:val="both"/>
        <w:rPr>
          <w:rFonts w:ascii="Times New Roman" w:hAnsi="Times New Roman"/>
          <w:sz w:val="24"/>
          <w:szCs w:val="24"/>
        </w:rPr>
      </w:pPr>
      <w:bookmarkStart w:id="15" w:name="__RefHeading___Toc11699_612072703"/>
      <w:bookmarkStart w:id="16" w:name="_Toc202882171"/>
      <w:bookmarkStart w:id="17" w:name="_Toc202369835"/>
      <w:bookmarkEnd w:id="15"/>
      <w:r>
        <w:rPr>
          <w:rFonts w:eastAsia="Arial" w:cs="Times New Roman" w:ascii="Times New Roman" w:hAnsi="Times New Roman"/>
          <w:b/>
          <w:color w:val="auto"/>
          <w:sz w:val="24"/>
          <w:szCs w:val="24"/>
        </w:rPr>
        <w:t>REQUISITOS DA CONTRATAÇÃO</w:t>
      </w:r>
      <w:bookmarkEnd w:id="16"/>
      <w:bookmarkEnd w:id="17"/>
    </w:p>
    <w:p>
      <w:pPr>
        <w:pStyle w:val="Normal"/>
        <w:numPr>
          <w:ilvl w:val="1"/>
          <w:numId w:val="354"/>
        </w:numPr>
        <w:spacing w:lineRule="atLeast" w:line="300" w:before="0" w:after="120"/>
        <w:jc w:val="both"/>
        <w:rPr>
          <w:rFonts w:ascii="Times New Roman" w:hAnsi="Times New Roman"/>
          <w:sz w:val="24"/>
          <w:szCs w:val="24"/>
        </w:rPr>
      </w:pPr>
      <w:r>
        <w:rPr>
          <w:rFonts w:ascii="Times New Roman" w:hAnsi="Times New Roman"/>
          <w:color w:val="000000"/>
          <w:sz w:val="24"/>
          <w:szCs w:val="24"/>
        </w:rPr>
        <w:t>CRITÉRIOS DE SUSTENTABILIDADE AMBIENTAL</w:t>
      </w:r>
    </w:p>
    <w:p>
      <w:pPr>
        <w:pStyle w:val="Normal"/>
        <w:numPr>
          <w:ilvl w:val="2"/>
          <w:numId w:val="355"/>
        </w:numPr>
        <w:spacing w:lineRule="atLeast" w:line="300" w:before="0" w:after="120"/>
        <w:jc w:val="both"/>
        <w:rPr>
          <w:rFonts w:ascii="Times New Roman" w:hAnsi="Times New Roman"/>
          <w:sz w:val="24"/>
          <w:szCs w:val="24"/>
        </w:rPr>
      </w:pPr>
      <w:r>
        <w:rPr>
          <w:rFonts w:ascii="Times New Roman" w:hAnsi="Times New Roman"/>
          <w:color w:val="000000"/>
          <w:sz w:val="24"/>
          <w:szCs w:val="24"/>
        </w:rPr>
        <w:t>O descarte de peças, acessórios, equipamentos, óleos lubrificantes, gases, combustíveis e baterias deverá obedecer aos critérios de sustentabilidade conforme determina a Resolução CONAMA nº 401/2008, alterada pela Resolução nº 424, de 2010, no caso de baterias; a resolução CONAMA nº 450, de 06 de Março de 2012, que trata do descarte legal de óleo lubrificante; e, de modo amplo, o Decreto n° 7.746/2012 e suas alterações (Decreto Nº 9.178/2017), Lei 12.305/10 – Política Nacional de Resíduos Sólidos e Guia Nacional de Licitações Sustentáveis do MPF, a Resolução CONAMA nº 307/2002 sobre gestão de resíduos da construção civil, e demais legislações ambientais pertinentes.</w:t>
      </w:r>
    </w:p>
    <w:p>
      <w:pPr>
        <w:pStyle w:val="Normal"/>
        <w:numPr>
          <w:ilvl w:val="2"/>
          <w:numId w:val="356"/>
        </w:numPr>
        <w:spacing w:lineRule="atLeast" w:line="300" w:before="0" w:after="120"/>
        <w:jc w:val="both"/>
        <w:rPr>
          <w:rFonts w:ascii="Times New Roman" w:hAnsi="Times New Roman"/>
          <w:sz w:val="24"/>
          <w:szCs w:val="24"/>
        </w:rPr>
      </w:pPr>
      <w:r>
        <w:rPr>
          <w:rFonts w:ascii="Times New Roman" w:hAnsi="Times New Roman"/>
          <w:color w:val="000000"/>
          <w:sz w:val="24"/>
          <w:szCs w:val="24"/>
        </w:rPr>
        <w:t>Os bens/materiais, quando aplicável, devem ser constituídos, no todo ou em parte, por material reciclado, atóxico, biodegradável.</w:t>
      </w:r>
    </w:p>
    <w:p>
      <w:pPr>
        <w:pStyle w:val="Normal"/>
        <w:numPr>
          <w:ilvl w:val="2"/>
          <w:numId w:val="357"/>
        </w:numPr>
        <w:spacing w:lineRule="atLeast" w:line="300" w:before="0" w:after="120"/>
        <w:jc w:val="both"/>
        <w:rPr>
          <w:rFonts w:ascii="Times New Roman" w:hAnsi="Times New Roman"/>
          <w:sz w:val="24"/>
          <w:szCs w:val="24"/>
        </w:rPr>
      </w:pPr>
      <w:r>
        <w:rPr>
          <w:rFonts w:ascii="Times New Roman" w:hAnsi="Times New Roman"/>
          <w:color w:val="000000"/>
          <w:sz w:val="24"/>
          <w:szCs w:val="24"/>
        </w:rPr>
        <w:t>As peças e itens aplicados devem ser preferencialmente acondicionados em embalagens coletivas, com o menor volume possível, utilizando materiais reciclados ou reutilizados sem perder a garantia de um correto e seguro transporte.</w:t>
      </w:r>
    </w:p>
    <w:p>
      <w:pPr>
        <w:pStyle w:val="Normal"/>
        <w:numPr>
          <w:ilvl w:val="2"/>
          <w:numId w:val="358"/>
        </w:numPr>
        <w:spacing w:lineRule="atLeast" w:line="300" w:before="0" w:after="120"/>
        <w:jc w:val="both"/>
        <w:rPr>
          <w:rFonts w:ascii="Times New Roman" w:hAnsi="Times New Roman"/>
          <w:sz w:val="24"/>
          <w:szCs w:val="24"/>
        </w:rPr>
      </w:pPr>
      <w:r>
        <w:rPr>
          <w:rFonts w:ascii="Times New Roman" w:hAnsi="Times New Roman"/>
          <w:color w:val="000000"/>
          <w:sz w:val="24"/>
          <w:szCs w:val="24"/>
        </w:rPr>
        <w:t>Os materiais e peças empregados não devem conter substâncias perigosas em concentração acima da recomendada na diretiva RoHS (Restriction of Certain Hazardous Substances), tais como mercúrio (Hg), chumbo (Pb), cromo hexavalente (Cr(VI)), cádmio (Cd), bifenil-polibromados (PBBs), éteres difenil polibromados (PBDEs).</w:t>
      </w:r>
    </w:p>
    <w:p>
      <w:pPr>
        <w:pStyle w:val="Normal"/>
        <w:numPr>
          <w:ilvl w:val="2"/>
          <w:numId w:val="359"/>
        </w:numPr>
        <w:spacing w:lineRule="atLeast" w:line="300" w:before="0" w:after="120"/>
        <w:jc w:val="both"/>
        <w:rPr>
          <w:rFonts w:ascii="Times New Roman" w:hAnsi="Times New Roman"/>
          <w:sz w:val="24"/>
          <w:szCs w:val="24"/>
        </w:rPr>
      </w:pPr>
      <w:r>
        <w:rPr>
          <w:rFonts w:ascii="Times New Roman" w:hAnsi="Times New Roman"/>
          <w:color w:val="000000"/>
          <w:sz w:val="24"/>
          <w:szCs w:val="24"/>
        </w:rPr>
        <w:t>F</w:t>
      </w:r>
      <w:r>
        <w:rPr>
          <w:rFonts w:ascii="Times New Roman" w:hAnsi="Times New Roman"/>
          <w:sz w:val="24"/>
          <w:szCs w:val="24"/>
        </w:rPr>
        <w:t>ornecer aos empregados os equipamentos de segurança que se fizerem necessários, para a execução de serviços.</w:t>
      </w:r>
    </w:p>
    <w:p>
      <w:pPr>
        <w:pStyle w:val="Normal"/>
        <w:numPr>
          <w:ilvl w:val="2"/>
          <w:numId w:val="360"/>
        </w:numPr>
        <w:spacing w:lineRule="atLeast" w:line="300" w:before="0" w:after="120"/>
        <w:jc w:val="both"/>
        <w:rPr>
          <w:rFonts w:ascii="Times New Roman" w:hAnsi="Times New Roman"/>
          <w:sz w:val="24"/>
          <w:szCs w:val="24"/>
        </w:rPr>
      </w:pPr>
      <w:r>
        <w:rPr>
          <w:rFonts w:ascii="Times New Roman" w:hAnsi="Times New Roman"/>
          <w:sz w:val="24"/>
          <w:szCs w:val="24"/>
        </w:rPr>
        <w:t>Fornecer peças fabricadas em estrita observância aos requisitos ambientais para a obtenção de certificação pelo Instituto Nacional de Metrologia, Normalização e Qualidade Industrial – INMETRO como produtos sustentáveis ou de menor impacto ambiental em relação aos similares.</w:t>
      </w:r>
    </w:p>
    <w:p>
      <w:pPr>
        <w:pStyle w:val="Normal"/>
        <w:numPr>
          <w:ilvl w:val="1"/>
          <w:numId w:val="361"/>
        </w:numPr>
        <w:spacing w:lineRule="atLeast" w:line="300" w:before="0" w:after="120"/>
        <w:jc w:val="both"/>
        <w:rPr>
          <w:rFonts w:ascii="Times New Roman" w:hAnsi="Times New Roman"/>
          <w:sz w:val="24"/>
          <w:szCs w:val="24"/>
        </w:rPr>
      </w:pPr>
      <w:r>
        <w:rPr>
          <w:rFonts w:ascii="Times New Roman" w:hAnsi="Times New Roman"/>
          <w:sz w:val="24"/>
          <w:szCs w:val="24"/>
        </w:rPr>
        <w:t>CRITÉRIOS DE SUSTENTABILIDADE SOCIAL</w:t>
      </w:r>
    </w:p>
    <w:p>
      <w:pPr>
        <w:pStyle w:val="Normal"/>
        <w:numPr>
          <w:ilvl w:val="2"/>
          <w:numId w:val="362"/>
        </w:numPr>
        <w:spacing w:lineRule="atLeast" w:line="300" w:before="0" w:after="120"/>
        <w:jc w:val="both"/>
        <w:rPr>
          <w:rFonts w:ascii="Times New Roman" w:hAnsi="Times New Roman"/>
          <w:sz w:val="24"/>
          <w:szCs w:val="24"/>
        </w:rPr>
      </w:pPr>
      <w:r>
        <w:rPr>
          <w:rFonts w:ascii="Times New Roman" w:hAnsi="Times New Roman"/>
          <w:sz w:val="24"/>
          <w:szCs w:val="24"/>
        </w:rPr>
        <w:t xml:space="preserve">As empresas interessadas em participar da contratação deverão apresentar </w:t>
      </w:r>
      <w:r>
        <w:rPr>
          <w:rFonts w:ascii="Times New Roman" w:hAnsi="Times New Roman"/>
          <w:sz w:val="24"/>
          <w:szCs w:val="24"/>
          <w:u w:val="single"/>
        </w:rPr>
        <w:t>Declaração de Regularidade Social</w:t>
      </w:r>
      <w:r>
        <w:rPr>
          <w:rFonts w:ascii="Times New Roman" w:hAnsi="Times New Roman"/>
          <w:sz w:val="24"/>
          <w:szCs w:val="24"/>
        </w:rPr>
        <w:t xml:space="preserve"> (conforme modelo disponibilizado neste Termo de Referência e/ou no Aviso de Contratação Direta), em que conste:</w:t>
      </w:r>
    </w:p>
    <w:p>
      <w:pPr>
        <w:pStyle w:val="Normal"/>
        <w:numPr>
          <w:ilvl w:val="3"/>
          <w:numId w:val="363"/>
        </w:numPr>
        <w:spacing w:lineRule="atLeast" w:line="300" w:before="0" w:after="120"/>
        <w:jc w:val="both"/>
        <w:rPr>
          <w:rFonts w:ascii="Times New Roman" w:hAnsi="Times New Roman"/>
          <w:sz w:val="24"/>
          <w:szCs w:val="24"/>
        </w:rPr>
      </w:pPr>
      <w:r>
        <w:rPr>
          <w:rFonts w:ascii="Times New Roman" w:hAnsi="Times New Roman"/>
          <w:sz w:val="24"/>
          <w:szCs w:val="24"/>
        </w:rPr>
        <w:t>Não ter sido condenada, a licitante ou seus dirigentes, por infringir as leis de combate a discriminação, em todas as suas formas, por motivos de raça, gênero e outros, conforme dispõe: a.1) a Constituição Federal de 1988 em seu inciso IV do art. 3º; inciso I do art. 5º; e a.2) os arts. 38 e 39 do Estatuto da Igualdade Racial, Lei nº 12.288, de 20 de julho de 2010.</w:t>
      </w:r>
    </w:p>
    <w:p>
      <w:pPr>
        <w:pStyle w:val="Normal"/>
        <w:numPr>
          <w:ilvl w:val="3"/>
          <w:numId w:val="364"/>
        </w:numPr>
        <w:spacing w:lineRule="atLeast" w:line="300" w:before="0" w:after="120"/>
        <w:jc w:val="both"/>
        <w:rPr>
          <w:rFonts w:ascii="Times New Roman" w:hAnsi="Times New Roman"/>
          <w:sz w:val="24"/>
          <w:szCs w:val="24"/>
        </w:rPr>
      </w:pPr>
      <w:r>
        <w:rPr>
          <w:rFonts w:ascii="Times New Roman" w:hAnsi="Times New Roman"/>
          <w:sz w:val="24"/>
          <w:szCs w:val="24"/>
        </w:rPr>
        <w:t>Não explorar o trabalho infantojuvenil, em atenção ao que dispõe: b.1) o inciso XXXIII do art. 7º da Constituição Federal de 1988; b.2) o Título III do Capítulo IV do Decreto-Lei nº 5.452, de 1 de maio de 1943 (CLT); b.3) os arts. 60 a 69 da Lei nº 8.069, de 19 de julho de 1990 (ECA); b.4) a Lei nº 8.069, de 19 de julho de 1990; e b.5) o Decreto nº 6.841, de 12 de junho de 2008, o qual trata da proibição das piores formas de trabalho infantil e ação imediata para sua eliminação.</w:t>
      </w:r>
    </w:p>
    <w:p>
      <w:pPr>
        <w:pStyle w:val="Normal"/>
        <w:numPr>
          <w:ilvl w:val="3"/>
          <w:numId w:val="365"/>
        </w:numPr>
        <w:spacing w:lineRule="atLeast" w:line="300" w:before="0" w:after="120"/>
        <w:jc w:val="both"/>
        <w:rPr>
          <w:rFonts w:ascii="Times New Roman" w:hAnsi="Times New Roman"/>
          <w:sz w:val="24"/>
          <w:szCs w:val="24"/>
        </w:rPr>
      </w:pPr>
      <w:r>
        <w:rPr>
          <w:rFonts w:ascii="Times New Roman" w:hAnsi="Times New Roman"/>
          <w:sz w:val="24"/>
          <w:szCs w:val="24"/>
        </w:rPr>
        <w:t>Não praticar, de nenhuma forma, ações que possam ser enquadradas nos arts. 1º e 170 da Constituição Federal, nos arts. 149, 203 e 207 do Código Penal (dispositivos que tratam do trabalho análogo ao de escravo e tráfico de pessoas para esse fim), Decreto nº 5.017/2004, que promulga o Protocolo de Palermo e as convenções OIT 29 e 105.</w:t>
      </w:r>
    </w:p>
    <w:p>
      <w:pPr>
        <w:pStyle w:val="Normal"/>
        <w:numPr>
          <w:ilvl w:val="3"/>
          <w:numId w:val="366"/>
        </w:numPr>
        <w:spacing w:lineRule="atLeast" w:line="300" w:before="0" w:after="120"/>
        <w:jc w:val="both"/>
        <w:rPr>
          <w:rFonts w:ascii="Times New Roman" w:hAnsi="Times New Roman"/>
          <w:sz w:val="24"/>
          <w:szCs w:val="24"/>
        </w:rPr>
      </w:pPr>
      <w:r>
        <w:rPr>
          <w:rFonts w:ascii="Times New Roman" w:hAnsi="Times New Roman"/>
          <w:sz w:val="24"/>
          <w:szCs w:val="24"/>
        </w:rPr>
        <w:t>Cumprir a reserva de cargos prevista em lei para aprendiz, bem como as reservas de cargos previstas em outras normas específicas, para pessoas com deficiência, para reabilitado da Previdência Social, quando aplicáveis.</w:t>
      </w:r>
    </w:p>
    <w:p>
      <w:pPr>
        <w:pStyle w:val="Normal"/>
        <w:numPr>
          <w:ilvl w:val="3"/>
          <w:numId w:val="367"/>
        </w:numPr>
        <w:spacing w:lineRule="atLeast" w:line="300" w:before="0" w:after="120"/>
        <w:jc w:val="both"/>
        <w:rPr>
          <w:rFonts w:ascii="Times New Roman" w:hAnsi="Times New Roman"/>
          <w:sz w:val="24"/>
          <w:szCs w:val="24"/>
        </w:rPr>
      </w:pPr>
      <w:r>
        <w:rPr>
          <w:rFonts w:ascii="Times New Roman" w:hAnsi="Times New Roman"/>
          <w:sz w:val="24"/>
          <w:szCs w:val="24"/>
        </w:rPr>
        <w:t>Quando possuir quadro de funcionários com cem ou mais empregados, contratar porcentagem de profissionais com necessidades especiais, conforme previsto na Lei nº 8.213, de 24 de julho de 1991, art. 93.</w:t>
      </w:r>
    </w:p>
    <w:p>
      <w:pPr>
        <w:pStyle w:val="Normal"/>
        <w:numPr>
          <w:ilvl w:val="1"/>
          <w:numId w:val="368"/>
        </w:numPr>
        <w:spacing w:lineRule="atLeast" w:line="300" w:before="0" w:after="120"/>
        <w:jc w:val="both"/>
        <w:rPr>
          <w:rFonts w:ascii="Times New Roman" w:hAnsi="Times New Roman"/>
          <w:sz w:val="24"/>
          <w:szCs w:val="24"/>
        </w:rPr>
      </w:pPr>
      <w:r>
        <w:rPr>
          <w:rFonts w:ascii="Times New Roman" w:hAnsi="Times New Roman"/>
          <w:sz w:val="24"/>
          <w:szCs w:val="24"/>
        </w:rPr>
        <w:t>SUBCONTRATAÇÃO – Será admitida a subcontratação parcial do objeto, nas seguintes condições:</w:t>
      </w:r>
    </w:p>
    <w:p>
      <w:pPr>
        <w:pStyle w:val="Normal"/>
        <w:numPr>
          <w:ilvl w:val="2"/>
          <w:numId w:val="369"/>
        </w:numPr>
        <w:spacing w:lineRule="atLeast" w:line="300" w:before="0" w:after="120"/>
        <w:jc w:val="both"/>
        <w:rPr>
          <w:rFonts w:ascii="Times New Roman" w:hAnsi="Times New Roman"/>
          <w:sz w:val="24"/>
          <w:szCs w:val="24"/>
        </w:rPr>
      </w:pPr>
      <w:r>
        <w:rPr>
          <w:rFonts w:ascii="Times New Roman" w:hAnsi="Times New Roman"/>
          <w:sz w:val="24"/>
          <w:szCs w:val="24"/>
        </w:rPr>
        <w:t>É vedada a subcontratação completa do objeto ou da sua parcela principal. Para fins desta contratação, entende-se como parcela principal a execução dos serviços de instalação das unidades (evaporadora e condensadora) e o comissionamento técnico (startup), que inclui os testes de estanqueidade, vácuo digital e carga de fluido refrigerante.</w:t>
      </w:r>
    </w:p>
    <w:p>
      <w:pPr>
        <w:pStyle w:val="Normal"/>
        <w:numPr>
          <w:ilvl w:val="2"/>
          <w:numId w:val="370"/>
        </w:numPr>
        <w:spacing w:lineRule="atLeast" w:line="300" w:before="0" w:after="120"/>
        <w:jc w:val="both"/>
        <w:rPr>
          <w:rFonts w:ascii="Times New Roman" w:hAnsi="Times New Roman"/>
          <w:sz w:val="24"/>
          <w:szCs w:val="24"/>
        </w:rPr>
      </w:pPr>
      <w:r>
        <w:rPr>
          <w:rFonts w:ascii="Times New Roman" w:hAnsi="Times New Roman"/>
          <w:sz w:val="24"/>
          <w:szCs w:val="24"/>
        </w:rPr>
        <w:t>A subcontratação de serviços acessórios, tais como recomposição de alvenaria/pintura ou execução da infraestrutura elétrica bruta, obedecerá a um rito de apuração, devendo a CONTRATADA apresentar a descrição da necessidade e obter autorização prévia por parte da equipe de fiscalização técnica do contrato.</w:t>
      </w:r>
    </w:p>
    <w:p>
      <w:pPr>
        <w:pStyle w:val="Normal"/>
        <w:numPr>
          <w:ilvl w:val="2"/>
          <w:numId w:val="371"/>
        </w:numPr>
        <w:spacing w:lineRule="atLeast" w:line="300" w:before="0" w:after="120"/>
        <w:jc w:val="both"/>
        <w:rPr>
          <w:rFonts w:ascii="Times New Roman" w:hAnsi="Times New Roman"/>
          <w:sz w:val="24"/>
          <w:szCs w:val="24"/>
        </w:rPr>
      </w:pPr>
      <w:r>
        <w:rPr>
          <w:rFonts w:ascii="Times New Roman" w:hAnsi="Times New Roman"/>
          <w:sz w:val="24"/>
          <w:szCs w:val="24"/>
        </w:rPr>
        <w:t>Em caso de subcontratação parcial autorizada, a CONTRATADA permanecerá integralmente responsável perante o MPF/PR pela qualidade dos serviços, pelo cumprimento dos prazos e pela garantia integral do sistema (equipamento e instalação), não havendo qualquer vínculo jurídico entre o MPF/PR e a subcontratada.</w:t>
      </w:r>
    </w:p>
    <w:p>
      <w:pPr>
        <w:pStyle w:val="Normal"/>
        <w:numPr>
          <w:ilvl w:val="1"/>
          <w:numId w:val="372"/>
        </w:numPr>
        <w:spacing w:lineRule="atLeast" w:line="300" w:before="0" w:after="120"/>
        <w:jc w:val="both"/>
        <w:rPr>
          <w:highlight w:val="none"/>
          <w:shd w:fill="auto" w:val="clear"/>
        </w:rPr>
      </w:pPr>
      <w:r>
        <w:rPr>
          <w:rFonts w:ascii="Times New Roman" w:hAnsi="Times New Roman"/>
          <w:sz w:val="24"/>
          <w:szCs w:val="24"/>
          <w:shd w:fill="EEEEEE" w:val="clear"/>
        </w:rPr>
        <w:t>GARANTIA DOS SERVIÇOS</w:t>
      </w:r>
      <w:r>
        <w:rPr>
          <w:rFonts w:ascii="Times New Roman" w:hAnsi="Times New Roman"/>
          <w:sz w:val="24"/>
          <w:szCs w:val="24"/>
        </w:rPr>
        <w:t xml:space="preserve"> – A garantia técnica para os serviços de instalação e toda a infraestrutura executada (tubulações, elétrica e drenagem) será de 12 (doze) meses, a contar do recebimento definitivo do objeto.</w:t>
      </w:r>
    </w:p>
    <w:p>
      <w:pPr>
        <w:pStyle w:val="Normal"/>
        <w:numPr>
          <w:ilvl w:val="2"/>
          <w:numId w:val="373"/>
        </w:numPr>
        <w:spacing w:lineRule="atLeast" w:line="300" w:before="0" w:after="120"/>
        <w:jc w:val="both"/>
        <w:rPr>
          <w:rFonts w:ascii="Times New Roman" w:hAnsi="Times New Roman"/>
          <w:sz w:val="24"/>
          <w:szCs w:val="24"/>
        </w:rPr>
      </w:pPr>
      <w:r>
        <w:rPr>
          <w:rFonts w:ascii="Times New Roman" w:hAnsi="Times New Roman"/>
          <w:sz w:val="24"/>
          <w:szCs w:val="24"/>
          <w:shd w:fill="auto" w:val="clear"/>
        </w:rPr>
        <w:t>Para o equipamento fornecido, a CONTRATADA deverá assegurar a garantia integral do fabricante, que é de no mínimo 12 (doze) meses para a unidade total e 120 (cento e vinte) meses para o compressor, conforme certificado de garantia da fabri</w:t>
      </w:r>
      <w:r>
        <w:rPr>
          <w:rFonts w:ascii="Times New Roman" w:hAnsi="Times New Roman"/>
          <w:sz w:val="24"/>
          <w:szCs w:val="24"/>
        </w:rPr>
        <w:t>cante.</w:t>
      </w:r>
    </w:p>
    <w:p>
      <w:pPr>
        <w:pStyle w:val="Normal"/>
        <w:numPr>
          <w:ilvl w:val="2"/>
          <w:numId w:val="374"/>
        </w:numPr>
        <w:spacing w:lineRule="atLeast" w:line="300" w:before="0" w:after="120"/>
        <w:jc w:val="both"/>
        <w:rPr>
          <w:rFonts w:ascii="Times New Roman" w:hAnsi="Times New Roman"/>
          <w:sz w:val="24"/>
          <w:szCs w:val="24"/>
        </w:rPr>
      </w:pPr>
      <w:r>
        <w:rPr>
          <w:rFonts w:ascii="Times New Roman" w:hAnsi="Times New Roman"/>
          <w:sz w:val="24"/>
          <w:szCs w:val="24"/>
        </w:rPr>
        <w:t>A CONTRATADA deve</w:t>
      </w:r>
      <w:r>
        <w:rPr>
          <w:rFonts w:ascii="Times New Roman" w:hAnsi="Times New Roman"/>
          <w:sz w:val="24"/>
          <w:szCs w:val="24"/>
          <w:shd w:fill="auto" w:val="clear"/>
        </w:rPr>
        <w:t>rá reparar, corrigir, remover ou substituir, às suas expensas, no total ou em parte, os serviços efetuados ou componentes fornecidos</w:t>
      </w:r>
      <w:r>
        <w:rPr>
          <w:rFonts w:ascii="Times New Roman" w:hAnsi="Times New Roman"/>
          <w:sz w:val="24"/>
          <w:szCs w:val="24"/>
        </w:rPr>
        <w:t xml:space="preserve"> em que se verificarem vícios, defeito</w:t>
      </w:r>
      <w:r>
        <w:rPr>
          <w:rFonts w:ascii="Times New Roman" w:hAnsi="Times New Roman"/>
          <w:sz w:val="24"/>
          <w:szCs w:val="24"/>
          <w:shd w:fill="auto" w:val="clear"/>
        </w:rPr>
        <w:t>s ou incorreções, dentro dos prazos de garantia estipulados, com tempo de resposta de no máximo 48 (quarenta e oito) horas após o chamado da fiscalização.</w:t>
      </w:r>
    </w:p>
    <w:p>
      <w:pPr>
        <w:pStyle w:val="Normal"/>
        <w:numPr>
          <w:ilvl w:val="1"/>
          <w:numId w:val="375"/>
        </w:numPr>
        <w:spacing w:lineRule="atLeast" w:line="300" w:before="0" w:after="120"/>
        <w:jc w:val="both"/>
        <w:rPr>
          <w:rFonts w:ascii="Times New Roman" w:hAnsi="Times New Roman"/>
          <w:sz w:val="24"/>
          <w:szCs w:val="24"/>
        </w:rPr>
      </w:pPr>
      <w:r>
        <w:rPr>
          <w:rFonts w:ascii="Times New Roman" w:hAnsi="Times New Roman"/>
          <w:sz w:val="24"/>
          <w:szCs w:val="24"/>
        </w:rPr>
        <w:t>VISTORIA PRÉVIA – OPCIONAL</w:t>
      </w:r>
    </w:p>
    <w:p>
      <w:pPr>
        <w:pStyle w:val="Normal"/>
        <w:numPr>
          <w:ilvl w:val="2"/>
          <w:numId w:val="376"/>
        </w:numPr>
        <w:spacing w:lineRule="atLeast" w:line="300" w:before="0" w:after="120"/>
        <w:jc w:val="both"/>
        <w:rPr>
          <w:rFonts w:ascii="Times New Roman" w:hAnsi="Times New Roman"/>
          <w:sz w:val="24"/>
          <w:szCs w:val="24"/>
        </w:rPr>
      </w:pPr>
      <w:r>
        <w:rPr>
          <w:rFonts w:ascii="Times New Roman" w:hAnsi="Times New Roman"/>
          <w:sz w:val="24"/>
          <w:szCs w:val="24"/>
        </w:rPr>
        <w:t>Para o correto dimensionamento e elaboração de sua proposta, o licitante poderá vistoriar o local onde serão executados os serv</w:t>
      </w:r>
      <w:r>
        <w:rPr>
          <w:rFonts w:ascii="Times New Roman" w:hAnsi="Times New Roman"/>
          <w:sz w:val="24"/>
          <w:szCs w:val="24"/>
          <w:shd w:fill="auto" w:val="clear"/>
        </w:rPr>
        <w:t>iços objeto desta contratação, com o objetivo de inteirar-se das condições e nível de dificuldade existentes, ocasião na qual será firmada a declaração, conforme modelo constante do APÊNDICE B, DECLARAÇÃO DE VISTORIA, deste Termo de Referência, acompanhado por servidor designado para esse</w:t>
      </w:r>
      <w:r>
        <w:rPr>
          <w:rFonts w:ascii="Times New Roman" w:hAnsi="Times New Roman"/>
          <w:sz w:val="24"/>
          <w:szCs w:val="24"/>
        </w:rPr>
        <w:t xml:space="preserve"> fim.</w:t>
      </w:r>
    </w:p>
    <w:p>
      <w:pPr>
        <w:pStyle w:val="Normal"/>
        <w:numPr>
          <w:ilvl w:val="2"/>
          <w:numId w:val="377"/>
        </w:numPr>
        <w:spacing w:lineRule="atLeast" w:line="300" w:before="0" w:after="120"/>
        <w:jc w:val="both"/>
        <w:rPr/>
      </w:pPr>
      <w:r>
        <w:rPr>
          <w:rFonts w:ascii="Times New Roman" w:hAnsi="Times New Roman"/>
          <w:sz w:val="24"/>
          <w:szCs w:val="24"/>
        </w:rPr>
        <w:t xml:space="preserve">A vistoria deverá ser agendada com a Coordenação da Procuradoria da República no Município de Londrina, pelo telefone (43) 3294-1200 br ou pelo e-mail: </w:t>
      </w:r>
      <w:hyperlink r:id="rId18">
        <w:r>
          <w:rPr>
            <w:rStyle w:val="Hyperlink"/>
            <w:rFonts w:ascii="Times New Roman" w:hAnsi="Times New Roman"/>
            <w:sz w:val="24"/>
            <w:szCs w:val="24"/>
          </w:rPr>
          <w:t>prpr-londrina@mpf.mp</w:t>
        </w:r>
      </w:hyperlink>
      <w:r>
        <w:rPr>
          <w:rFonts w:ascii="Times New Roman" w:hAnsi="Times New Roman"/>
          <w:sz w:val="24"/>
          <w:szCs w:val="24"/>
        </w:rPr>
        <w:t xml:space="preserve"> e ser realizada das 13 h às 18 h.</w:t>
      </w:r>
    </w:p>
    <w:p>
      <w:pPr>
        <w:pStyle w:val="Normal"/>
        <w:numPr>
          <w:ilvl w:val="2"/>
          <w:numId w:val="378"/>
        </w:numPr>
        <w:spacing w:lineRule="atLeast" w:line="300" w:before="0" w:after="120"/>
        <w:jc w:val="both"/>
        <w:rPr>
          <w:rFonts w:ascii="Times New Roman" w:hAnsi="Times New Roman"/>
          <w:sz w:val="24"/>
          <w:szCs w:val="24"/>
        </w:rPr>
      </w:pPr>
      <w:r>
        <w:rPr>
          <w:rFonts w:ascii="Times New Roman" w:hAnsi="Times New Roman"/>
          <w:sz w:val="24"/>
          <w:szCs w:val="24"/>
        </w:rPr>
        <w:t xml:space="preserve">O prazo para vistoria iniciar-se-á no dia útil seguinte ao da publicação do </w:t>
      </w:r>
      <w:r>
        <w:rPr>
          <w:rFonts w:ascii="Times New Roman" w:hAnsi="Times New Roman"/>
          <w:sz w:val="24"/>
          <w:szCs w:val="24"/>
          <w:shd w:fill="auto" w:val="clear"/>
        </w:rPr>
        <w:t xml:space="preserve">AVISO DE CONTRATAÇÃO DIRETA </w:t>
      </w:r>
      <w:r>
        <w:rPr>
          <w:rFonts w:eastAsia="Calibri" w:ascii="Times New Roman" w:hAnsi="Times New Roman"/>
          <w:sz w:val="24"/>
          <w:szCs w:val="24"/>
          <w:shd w:fill="auto" w:val="clear"/>
        </w:rPr>
        <w:t>Nº 200053-24/2026</w:t>
      </w:r>
      <w:r>
        <w:rPr>
          <w:rFonts w:ascii="Times New Roman" w:hAnsi="Times New Roman"/>
          <w:sz w:val="24"/>
          <w:szCs w:val="24"/>
          <w:shd w:fill="auto" w:val="clear"/>
        </w:rPr>
        <w:t xml:space="preserve">, </w:t>
      </w:r>
      <w:r>
        <w:rPr>
          <w:rFonts w:ascii="Times New Roman" w:hAnsi="Times New Roman"/>
          <w:sz w:val="24"/>
          <w:szCs w:val="24"/>
        </w:rPr>
        <w:t>estendendo-se até o dia útil anterior à data prevista para a abertura da sessão pública.</w:t>
      </w:r>
    </w:p>
    <w:p>
      <w:pPr>
        <w:pStyle w:val="Normal"/>
        <w:numPr>
          <w:ilvl w:val="2"/>
          <w:numId w:val="379"/>
        </w:numPr>
        <w:spacing w:lineRule="atLeast" w:line="300" w:before="0" w:after="120"/>
        <w:jc w:val="both"/>
        <w:rPr>
          <w:rFonts w:ascii="Times New Roman" w:hAnsi="Times New Roman"/>
          <w:sz w:val="24"/>
          <w:szCs w:val="24"/>
        </w:rPr>
      </w:pPr>
      <w:r>
        <w:rPr>
          <w:rFonts w:ascii="Times New Roman" w:hAnsi="Times New Roman"/>
          <w:sz w:val="24"/>
          <w:szCs w:val="24"/>
        </w:rPr>
        <w:t>As empresas interessadas têm o direito à vistoria prévia, porém, deverá decidir se arcará com o ônus de tal operação ou assumirá o risco de uma avaliação menos acurada.</w:t>
      </w:r>
    </w:p>
    <w:p>
      <w:pPr>
        <w:pStyle w:val="Normal"/>
        <w:numPr>
          <w:ilvl w:val="2"/>
          <w:numId w:val="380"/>
        </w:numPr>
        <w:spacing w:lineRule="atLeast" w:line="300" w:before="0" w:after="120"/>
        <w:jc w:val="both"/>
        <w:rPr>
          <w:rFonts w:ascii="Times New Roman" w:hAnsi="Times New Roman"/>
          <w:sz w:val="24"/>
          <w:szCs w:val="24"/>
        </w:rPr>
      </w:pPr>
      <w:r>
        <w:rPr>
          <w:rFonts w:ascii="Times New Roman" w:hAnsi="Times New Roman"/>
          <w:sz w:val="24"/>
          <w:szCs w:val="24"/>
        </w:rPr>
        <w:t>A empresa interessada que decidir não realizar a vistoria e, eventualmente, subestimar sua proposta, incorrerá em risco típico do seu negócio, não podendo, futuramente, opô-lo contra a Administração para eximir-se de qualquer obrigação assumida ou para rever os termos do contrato que vier a firmar. Tendo em vista a faculdade da realização da vistoria, as licitantes não poderão alegar o desconhecimento das condições e nível de dificuldades existentes como justificativa para se eximirem das obrigações assumidas ou para solicitarem eventuais acréscimos de preços em decorrência da execução do objeto.</w:t>
      </w:r>
    </w:p>
    <w:p>
      <w:pPr>
        <w:pStyle w:val="Normal"/>
        <w:numPr>
          <w:ilvl w:val="2"/>
          <w:numId w:val="381"/>
        </w:numPr>
        <w:spacing w:lineRule="atLeast" w:line="300" w:before="0" w:after="120"/>
        <w:jc w:val="both"/>
        <w:rPr>
          <w:rFonts w:ascii="Times New Roman" w:hAnsi="Times New Roman"/>
          <w:sz w:val="24"/>
          <w:szCs w:val="24"/>
        </w:rPr>
      </w:pPr>
      <w:r>
        <w:rPr>
          <w:rFonts w:ascii="Times New Roman" w:hAnsi="Times New Roman"/>
          <w:sz w:val="24"/>
          <w:szCs w:val="24"/>
        </w:rPr>
        <w:t xml:space="preserve">Na fase de habilitação, independente da opção pela realização ou não da vistoria, será exigida da proponente a apresentação de declaração formal, </w:t>
      </w:r>
      <w:r>
        <w:rPr>
          <w:rFonts w:ascii="Times New Roman" w:hAnsi="Times New Roman"/>
          <w:sz w:val="24"/>
          <w:szCs w:val="24"/>
          <w:shd w:fill="auto" w:val="clear"/>
        </w:rPr>
        <w:t>assinada pelo representante legal, sob as penas da lei, de que tem pleno conhecimento das condições e peculiaridades inerentes à natureza dos trabalhos, assumindo total responsabilidade por esse fato e informando que não o utilizará para quaisquer questionamentos futuros, conforme modelo do APÊNDICE C deste Termo de Referência, DECLARAÇÃO DE CONHECIMENTO DAS CONDIÇÕES INERENTES À NATUREZA DOS SERVIÇOS.</w:t>
      </w:r>
    </w:p>
    <w:p>
      <w:pPr>
        <w:pStyle w:val="Heading1"/>
        <w:numPr>
          <w:ilvl w:val="0"/>
          <w:numId w:val="382"/>
        </w:numPr>
        <w:shd w:val="clear" w:color="auto" w:fill="9CC2E5"/>
        <w:spacing w:before="0" w:after="113"/>
        <w:jc w:val="both"/>
        <w:rPr>
          <w:rFonts w:ascii="Times New Roman" w:hAnsi="Times New Roman"/>
          <w:sz w:val="24"/>
          <w:szCs w:val="24"/>
        </w:rPr>
      </w:pPr>
      <w:bookmarkStart w:id="18" w:name="__RefHeading___Toc11701_612072703"/>
      <w:bookmarkEnd w:id="18"/>
      <w:r>
        <w:rPr>
          <w:rFonts w:eastAsia="Arial" w:cs="Times New Roman" w:ascii="Times New Roman" w:hAnsi="Times New Roman"/>
          <w:b/>
          <w:color w:val="auto"/>
          <w:sz w:val="24"/>
          <w:szCs w:val="24"/>
        </w:rPr>
        <w:t xml:space="preserve"> </w:t>
      </w:r>
      <w:bookmarkStart w:id="19" w:name="_Toc202882172"/>
      <w:bookmarkStart w:id="20" w:name="_Toc202369836"/>
      <w:r>
        <w:rPr>
          <w:rFonts w:eastAsia="Arial" w:cs="Times New Roman" w:ascii="Times New Roman" w:hAnsi="Times New Roman"/>
          <w:b/>
          <w:color w:val="auto"/>
          <w:sz w:val="24"/>
          <w:szCs w:val="24"/>
        </w:rPr>
        <w:t>MODELO DE GESTÃO E FISCALIZAÇÃO</w:t>
      </w:r>
      <w:bookmarkEnd w:id="19"/>
      <w:bookmarkEnd w:id="20"/>
    </w:p>
    <w:p>
      <w:pPr>
        <w:pStyle w:val="Normal"/>
        <w:numPr>
          <w:ilvl w:val="1"/>
          <w:numId w:val="383"/>
        </w:numPr>
        <w:spacing w:lineRule="atLeast" w:line="300" w:before="0" w:after="120"/>
        <w:jc w:val="both"/>
        <w:rPr>
          <w:rFonts w:ascii="Times New Roman" w:hAnsi="Times New Roman"/>
          <w:sz w:val="24"/>
          <w:szCs w:val="24"/>
        </w:rPr>
      </w:pPr>
      <w:r>
        <w:rPr>
          <w:rFonts w:ascii="Times New Roman" w:hAnsi="Times New Roman"/>
          <w:color w:val="000000"/>
          <w:sz w:val="24"/>
          <w:szCs w:val="24"/>
        </w:rPr>
        <w:t>O Contrato será acompanhado por comissão de fiscalização a ser designada, seguindo as determinações constantes de norma específica, que anotará em registro próprio todas as ocorrências relacionadas com a execução dos serviços, determinando o que for necessário para regularização das faltas ou defeitos observados para o fiel cumprimento do objeto.</w:t>
      </w:r>
    </w:p>
    <w:p>
      <w:pPr>
        <w:pStyle w:val="Normal"/>
        <w:numPr>
          <w:ilvl w:val="1"/>
          <w:numId w:val="384"/>
        </w:numPr>
        <w:spacing w:lineRule="atLeast" w:line="300" w:before="0" w:after="120"/>
        <w:jc w:val="both"/>
        <w:rPr>
          <w:rFonts w:ascii="Times New Roman" w:hAnsi="Times New Roman"/>
          <w:sz w:val="24"/>
          <w:szCs w:val="24"/>
        </w:rPr>
      </w:pPr>
      <w:r>
        <w:rPr>
          <w:rFonts w:ascii="Times New Roman" w:hAnsi="Times New Roman"/>
          <w:color w:val="000000"/>
          <w:sz w:val="24"/>
          <w:szCs w:val="24"/>
        </w:rPr>
        <w:t>Caberá ao fiscal observar se as obrigações assumidas pela beneficiária estão sendo cumpridas, bem como se estão sendo mantidas todas as condições de habilitação e de qualificação técnica exigidas.</w:t>
      </w:r>
    </w:p>
    <w:p>
      <w:pPr>
        <w:pStyle w:val="Normal"/>
        <w:numPr>
          <w:ilvl w:val="1"/>
          <w:numId w:val="385"/>
        </w:numPr>
        <w:spacing w:lineRule="atLeast" w:line="300" w:before="0" w:after="120"/>
        <w:jc w:val="both"/>
        <w:rPr>
          <w:rFonts w:ascii="Times New Roman" w:hAnsi="Times New Roman"/>
          <w:sz w:val="24"/>
          <w:szCs w:val="24"/>
        </w:rPr>
      </w:pPr>
      <w:r>
        <w:rPr>
          <w:rFonts w:ascii="Times New Roman" w:hAnsi="Times New Roman"/>
          <w:color w:val="000000"/>
          <w:sz w:val="24"/>
          <w:szCs w:val="24"/>
        </w:rPr>
        <w:t>Essa fiscalização não exime a beneficiária das responsabilidades oriundas de falhas e/ou omissões.</w:t>
      </w:r>
    </w:p>
    <w:p>
      <w:pPr>
        <w:pStyle w:val="Normal"/>
        <w:numPr>
          <w:ilvl w:val="1"/>
          <w:numId w:val="386"/>
        </w:numPr>
        <w:spacing w:lineRule="atLeast" w:line="300" w:before="0" w:after="120"/>
        <w:jc w:val="both"/>
        <w:rPr>
          <w:rFonts w:ascii="Times New Roman" w:hAnsi="Times New Roman"/>
          <w:sz w:val="24"/>
          <w:szCs w:val="24"/>
        </w:rPr>
      </w:pPr>
      <w:r>
        <w:rPr>
          <w:rFonts w:ascii="Times New Roman" w:hAnsi="Times New Roman"/>
          <w:color w:val="000000"/>
          <w:sz w:val="24"/>
          <w:szCs w:val="24"/>
        </w:rPr>
        <w:t>A contratada será responsável pelos danos causados diretamente à Administração ou a terceiros em razão da execução do objeto da contratação, e não excluirá nem reduzirá essa responsabilidade a fiscalização ou o acompanhamento pelo contratante.</w:t>
      </w:r>
    </w:p>
    <w:p>
      <w:pPr>
        <w:pStyle w:val="Heading2"/>
        <w:numPr>
          <w:ilvl w:val="0"/>
          <w:numId w:val="387"/>
        </w:numPr>
        <w:shd w:val="clear" w:color="auto" w:fill="BDD6EE"/>
        <w:spacing w:before="0" w:after="113"/>
        <w:jc w:val="both"/>
        <w:rPr>
          <w:rFonts w:ascii="Times New Roman" w:hAnsi="Times New Roman"/>
          <w:sz w:val="24"/>
          <w:szCs w:val="24"/>
        </w:rPr>
      </w:pPr>
      <w:bookmarkStart w:id="21" w:name="__RefHeading___Toc11703_612072703"/>
      <w:bookmarkStart w:id="22" w:name="_Toc202882173"/>
      <w:bookmarkStart w:id="23" w:name="_Toc202369837"/>
      <w:bookmarkEnd w:id="21"/>
      <w:r>
        <w:rPr>
          <w:rFonts w:eastAsia="Arial" w:cs="Times New Roman" w:ascii="Times New Roman" w:hAnsi="Times New Roman"/>
          <w:b/>
          <w:color w:val="auto"/>
          <w:sz w:val="24"/>
          <w:szCs w:val="24"/>
        </w:rPr>
        <w:t>RECEBIMENTO DO OBJETO DA CONTRATAÇÃO</w:t>
      </w:r>
      <w:bookmarkEnd w:id="22"/>
      <w:bookmarkEnd w:id="23"/>
    </w:p>
    <w:p>
      <w:pPr>
        <w:pStyle w:val="Normal"/>
        <w:numPr>
          <w:ilvl w:val="1"/>
          <w:numId w:val="388"/>
        </w:numPr>
        <w:spacing w:lineRule="atLeast" w:line="300" w:before="0" w:after="120"/>
        <w:jc w:val="both"/>
        <w:rPr>
          <w:rFonts w:ascii="Times New Roman" w:hAnsi="Times New Roman"/>
          <w:sz w:val="24"/>
          <w:szCs w:val="24"/>
        </w:rPr>
      </w:pPr>
      <w:r>
        <w:rPr>
          <w:rFonts w:ascii="Times New Roman" w:hAnsi="Times New Roman"/>
          <w:color w:val="000000"/>
          <w:sz w:val="24"/>
          <w:szCs w:val="24"/>
        </w:rPr>
        <w:t>Em conformidade com o inciso</w:t>
      </w:r>
      <w:r>
        <w:rPr>
          <w:rFonts w:ascii="Times New Roman" w:hAnsi="Times New Roman"/>
          <w:color w:val="158466"/>
          <w:sz w:val="24"/>
          <w:szCs w:val="24"/>
        </w:rPr>
        <w:t xml:space="preserve"> </w:t>
      </w:r>
      <w:r>
        <w:rPr>
          <w:rFonts w:ascii="Times New Roman" w:hAnsi="Times New Roman"/>
          <w:sz w:val="24"/>
          <w:szCs w:val="24"/>
        </w:rPr>
        <w:t>I</w:t>
      </w:r>
      <w:r>
        <w:rPr>
          <w:rFonts w:ascii="Times New Roman" w:hAnsi="Times New Roman"/>
          <w:color w:val="000000"/>
          <w:sz w:val="24"/>
          <w:szCs w:val="24"/>
        </w:rPr>
        <w:t>, do art. 140, da Lei nº 14.133/2021, executado o contratado, a contratante receberá o objeto em duas etapas:</w:t>
      </w:r>
    </w:p>
    <w:p>
      <w:pPr>
        <w:pStyle w:val="Normal"/>
        <w:numPr>
          <w:ilvl w:val="2"/>
          <w:numId w:val="389"/>
        </w:numPr>
        <w:spacing w:lineRule="atLeast" w:line="300" w:before="0" w:after="120"/>
        <w:jc w:val="both"/>
        <w:rPr>
          <w:rFonts w:ascii="Times New Roman" w:hAnsi="Times New Roman"/>
          <w:sz w:val="24"/>
          <w:szCs w:val="24"/>
        </w:rPr>
      </w:pPr>
      <w:r>
        <w:rPr>
          <w:rFonts w:ascii="Times New Roman" w:hAnsi="Times New Roman"/>
          <w:b/>
          <w:color w:val="000000"/>
          <w:sz w:val="24"/>
          <w:szCs w:val="24"/>
        </w:rPr>
        <w:t>Provisoriamente</w:t>
      </w:r>
      <w:r>
        <w:rPr>
          <w:rFonts w:ascii="Times New Roman" w:hAnsi="Times New Roman"/>
          <w:color w:val="000000"/>
          <w:sz w:val="24"/>
          <w:szCs w:val="24"/>
        </w:rPr>
        <w:t>, pelo responsável por seu acompanhamento e fiscalização, em até 5 dias (cinco) dias corridos, a contar da entrega dos serviços, para efeito de posterior verificação do objeto conforme as especificações exigidas na contratação;</w:t>
      </w:r>
    </w:p>
    <w:p>
      <w:pPr>
        <w:pStyle w:val="Normal"/>
        <w:numPr>
          <w:ilvl w:val="3"/>
          <w:numId w:val="390"/>
        </w:numPr>
        <w:spacing w:lineRule="atLeast" w:line="300" w:before="0" w:after="120"/>
        <w:jc w:val="both"/>
        <w:rPr>
          <w:rFonts w:ascii="Times New Roman" w:hAnsi="Times New Roman"/>
          <w:sz w:val="24"/>
          <w:szCs w:val="24"/>
        </w:rPr>
      </w:pPr>
      <w:r>
        <w:rPr>
          <w:rFonts w:ascii="Times New Roman" w:hAnsi="Times New Roman"/>
          <w:sz w:val="24"/>
          <w:szCs w:val="24"/>
        </w:rPr>
        <w:t>S</w:t>
      </w:r>
      <w:r>
        <w:rPr>
          <w:rFonts w:ascii="Times New Roman" w:hAnsi="Times New Roman"/>
          <w:color w:val="000000"/>
          <w:sz w:val="24"/>
          <w:szCs w:val="24"/>
        </w:rPr>
        <w:t>e os materiais fornecidos e/ou serviços executados pela contratada não satisfizerem as condições exigidas, serão recusados pela fiscalização e deverão ser substituídos e/ou refeitos dentro do prazo de entrega fixado para a contratação.</w:t>
      </w:r>
    </w:p>
    <w:p>
      <w:pPr>
        <w:pStyle w:val="Normal"/>
        <w:numPr>
          <w:ilvl w:val="2"/>
          <w:numId w:val="391"/>
        </w:numPr>
        <w:spacing w:lineRule="atLeast" w:line="300" w:before="0" w:after="120"/>
        <w:jc w:val="both"/>
        <w:rPr>
          <w:rFonts w:ascii="Times New Roman" w:hAnsi="Times New Roman"/>
          <w:sz w:val="24"/>
          <w:szCs w:val="24"/>
        </w:rPr>
      </w:pPr>
      <w:r>
        <w:rPr>
          <w:rFonts w:ascii="Times New Roman" w:hAnsi="Times New Roman"/>
          <w:b/>
          <w:color w:val="000000"/>
          <w:sz w:val="24"/>
          <w:szCs w:val="24"/>
        </w:rPr>
        <w:t>Definitivamente</w:t>
      </w:r>
      <w:r>
        <w:rPr>
          <w:rFonts w:ascii="Times New Roman" w:hAnsi="Times New Roman"/>
          <w:color w:val="000000"/>
          <w:sz w:val="24"/>
          <w:szCs w:val="24"/>
        </w:rPr>
        <w:t>, por servidor ou comissão designada pela autoridade competente, em até 10 (dez) dias corridos, a contar do recebimento provisório, para a verificação da adequação do objeto aos termos contratuais e consequente aceitação.</w:t>
      </w:r>
    </w:p>
    <w:p>
      <w:pPr>
        <w:pStyle w:val="Normal"/>
        <w:numPr>
          <w:ilvl w:val="1"/>
          <w:numId w:val="392"/>
        </w:numPr>
        <w:spacing w:lineRule="atLeast" w:line="300"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 (art. 140 da Lei nº 14.133/2021).</w:t>
      </w:r>
    </w:p>
    <w:p>
      <w:pPr>
        <w:pStyle w:val="Normal"/>
        <w:numPr>
          <w:ilvl w:val="1"/>
          <w:numId w:val="393"/>
        </w:numPr>
        <w:spacing w:lineRule="atLeast" w:line="300" w:before="0" w:after="120"/>
        <w:jc w:val="both"/>
        <w:rPr>
          <w:rFonts w:ascii="Times New Roman" w:hAnsi="Times New Roman"/>
          <w:sz w:val="24"/>
          <w:szCs w:val="24"/>
        </w:rPr>
      </w:pPr>
      <w:r>
        <w:rPr>
          <w:rFonts w:ascii="Times New Roman" w:hAnsi="Times New Roman"/>
          <w:color w:val="000000"/>
          <w:sz w:val="24"/>
          <w:szCs w:val="24"/>
        </w:rPr>
        <w:t>A contratada é obrigada a reparar, corrigir, remover, reconstruir ou substituir, às suas expensas, no total ou em parte, o objeto da contratação em que se verificarem vícios, defeitos ou incorreções resultantes da execução ou de materiais empregados.</w:t>
      </w:r>
    </w:p>
    <w:p>
      <w:pPr>
        <w:pStyle w:val="Normal"/>
        <w:numPr>
          <w:ilvl w:val="1"/>
          <w:numId w:val="394"/>
        </w:numPr>
        <w:spacing w:lineRule="atLeast" w:line="300" w:before="0" w:after="120"/>
        <w:jc w:val="both"/>
        <w:rPr>
          <w:rFonts w:ascii="Times New Roman" w:hAnsi="Times New Roman"/>
          <w:sz w:val="24"/>
          <w:szCs w:val="24"/>
        </w:rPr>
      </w:pPr>
      <w:r>
        <w:rPr>
          <w:rFonts w:ascii="Times New Roman" w:hAnsi="Times New Roman"/>
          <w:color w:val="000000"/>
          <w:sz w:val="24"/>
          <w:szCs w:val="24"/>
        </w:rPr>
        <w:t>Em hipótese alguma serão aceitos os serviços em desacordo com as condições pactuadas, ficando, sob responsabilidade da contratada, o controle de qualidade do fornecimento, bem como a repetição às suas próprias custas para correção de falhas, visando a apresentação da qualidade e resultados requisitados.</w:t>
      </w:r>
    </w:p>
    <w:p>
      <w:pPr>
        <w:pStyle w:val="Heading1"/>
        <w:numPr>
          <w:ilvl w:val="0"/>
          <w:numId w:val="395"/>
        </w:numPr>
        <w:shd w:val="clear" w:color="auto" w:fill="9CC2E5"/>
        <w:spacing w:before="0" w:after="113"/>
        <w:jc w:val="both"/>
        <w:rPr>
          <w:rFonts w:ascii="Times New Roman" w:hAnsi="Times New Roman"/>
          <w:sz w:val="24"/>
          <w:szCs w:val="24"/>
        </w:rPr>
      </w:pPr>
      <w:bookmarkStart w:id="24" w:name="__RefHeading___Toc11705_612072703"/>
      <w:bookmarkStart w:id="25" w:name="_Toc202882174"/>
      <w:bookmarkStart w:id="26" w:name="_Toc202369838"/>
      <w:bookmarkEnd w:id="24"/>
      <w:r>
        <w:rPr>
          <w:rFonts w:eastAsia="Arial" w:cs="Times New Roman" w:ascii="Times New Roman" w:hAnsi="Times New Roman"/>
          <w:b/>
          <w:color w:val="auto"/>
          <w:sz w:val="24"/>
          <w:szCs w:val="24"/>
        </w:rPr>
        <w:t>DAS OBRIGAÇÕES DAS PARTES</w:t>
      </w:r>
      <w:bookmarkEnd w:id="25"/>
      <w:bookmarkEnd w:id="26"/>
    </w:p>
    <w:p>
      <w:pPr>
        <w:pStyle w:val="Heading2"/>
        <w:shd w:val="clear" w:color="auto" w:fill="DEEAF6"/>
        <w:spacing w:before="0" w:after="113"/>
        <w:ind w:hanging="0" w:left="0"/>
        <w:jc w:val="both"/>
        <w:rPr>
          <w:rFonts w:ascii="Times New Roman" w:hAnsi="Times New Roman"/>
          <w:sz w:val="24"/>
          <w:szCs w:val="24"/>
        </w:rPr>
      </w:pPr>
      <w:bookmarkStart w:id="27" w:name="__RefHeading___Toc11707_612072703"/>
      <w:bookmarkStart w:id="28" w:name="_Toc202882175"/>
      <w:bookmarkStart w:id="29" w:name="_Toc202369839"/>
      <w:bookmarkStart w:id="30" w:name="_am3fsjx0c6jo"/>
      <w:bookmarkEnd w:id="27"/>
      <w:bookmarkEnd w:id="30"/>
      <w:r>
        <w:rPr>
          <w:rFonts w:eastAsia="Arial" w:cs="Times New Roman" w:ascii="Times New Roman" w:hAnsi="Times New Roman"/>
          <w:b/>
          <w:color w:val="auto"/>
          <w:sz w:val="24"/>
          <w:szCs w:val="24"/>
        </w:rPr>
        <w:t>OBRIGAÇÕES DO CONTRATANTE</w:t>
      </w:r>
      <w:bookmarkEnd w:id="28"/>
      <w:bookmarkEnd w:id="29"/>
    </w:p>
    <w:p>
      <w:pPr>
        <w:pStyle w:val="Normal"/>
        <w:numPr>
          <w:ilvl w:val="1"/>
          <w:numId w:val="396"/>
        </w:numPr>
        <w:spacing w:lineRule="atLeast" w:line="300" w:before="0" w:after="120"/>
        <w:jc w:val="both"/>
        <w:rPr>
          <w:rFonts w:ascii="Times New Roman" w:hAnsi="Times New Roman"/>
          <w:sz w:val="24"/>
          <w:szCs w:val="24"/>
        </w:rPr>
      </w:pPr>
      <w:r>
        <w:rPr>
          <w:rFonts w:ascii="Times New Roman" w:hAnsi="Times New Roman"/>
          <w:sz w:val="24"/>
          <w:szCs w:val="24"/>
          <w:shd w:fill="FFFFFF" w:val="clear"/>
        </w:rPr>
        <w:t>São obrigações do contratante:</w:t>
      </w:r>
    </w:p>
    <w:p>
      <w:pPr>
        <w:pStyle w:val="Normal"/>
        <w:numPr>
          <w:ilvl w:val="2"/>
          <w:numId w:val="397"/>
        </w:numPr>
        <w:spacing w:lineRule="atLeast" w:line="300" w:before="0" w:after="120"/>
        <w:jc w:val="both"/>
        <w:rPr>
          <w:rFonts w:ascii="Times New Roman" w:hAnsi="Times New Roman"/>
          <w:sz w:val="24"/>
          <w:szCs w:val="24"/>
        </w:rPr>
      </w:pPr>
      <w:r>
        <w:rPr>
          <w:rFonts w:eastAsia="Calibri" w:ascii="Times New Roman" w:hAnsi="Times New Roman"/>
          <w:sz w:val="24"/>
          <w:szCs w:val="24"/>
        </w:rPr>
        <w:t>Proporcionar todas as facilidades indispensáveis ao cumprimento do objeto da contratação, inclusive, permitir o livre acesso dos profissionais da contratada às dependências dos prédios para a entrega do objeto contratado, respeitadas as normas de segurança estabelecidas pelo contratante e aquelas contidas nesta contratação e em diplomas legais específicos;</w:t>
      </w:r>
    </w:p>
    <w:p>
      <w:pPr>
        <w:pStyle w:val="Normal"/>
        <w:numPr>
          <w:ilvl w:val="2"/>
          <w:numId w:val="398"/>
        </w:numPr>
        <w:spacing w:lineRule="atLeast" w:line="300" w:before="0" w:after="120"/>
        <w:jc w:val="both"/>
        <w:rPr>
          <w:rFonts w:ascii="Times New Roman" w:hAnsi="Times New Roman"/>
          <w:sz w:val="24"/>
          <w:szCs w:val="24"/>
        </w:rPr>
      </w:pPr>
      <w:r>
        <w:rPr>
          <w:rFonts w:eastAsia="Calibri" w:ascii="Times New Roman" w:hAnsi="Times New Roman"/>
          <w:color w:val="000000"/>
          <w:sz w:val="24"/>
          <w:szCs w:val="24"/>
        </w:rPr>
        <w:t>Fornecer as orientações, dados e informações técnicas de sua responsabilidade, necessárias ao cumprimento do objeto da contratação e prestar quaisquer esclarecimentos adicionais relevantes ao cumprimento adequado da contratação;</w:t>
      </w:r>
    </w:p>
    <w:p>
      <w:pPr>
        <w:pStyle w:val="Normal"/>
        <w:numPr>
          <w:ilvl w:val="2"/>
          <w:numId w:val="399"/>
        </w:numPr>
        <w:spacing w:lineRule="atLeast" w:line="300" w:before="0" w:after="120"/>
        <w:jc w:val="both"/>
        <w:rPr>
          <w:rFonts w:ascii="Times New Roman" w:hAnsi="Times New Roman"/>
          <w:sz w:val="24"/>
          <w:szCs w:val="24"/>
        </w:rPr>
      </w:pPr>
      <w:r>
        <w:rPr>
          <w:rFonts w:eastAsia="Calibri" w:ascii="Times New Roman" w:hAnsi="Times New Roman"/>
          <w:color w:val="000000"/>
          <w:sz w:val="24"/>
          <w:szCs w:val="24"/>
        </w:rPr>
        <w:t>Atestar as faturas/notas fiscais emitidas pela contratada, desde que emitidas em conformidade com as condições estabelecidas nesta contratação;</w:t>
      </w:r>
    </w:p>
    <w:p>
      <w:pPr>
        <w:pStyle w:val="Normal"/>
        <w:numPr>
          <w:ilvl w:val="2"/>
          <w:numId w:val="400"/>
        </w:numPr>
        <w:spacing w:before="0" w:after="113"/>
        <w:jc w:val="both"/>
        <w:rPr>
          <w:rFonts w:ascii="Times New Roman" w:hAnsi="Times New Roman"/>
          <w:sz w:val="24"/>
          <w:szCs w:val="24"/>
        </w:rPr>
      </w:pPr>
      <w:r>
        <w:rPr>
          <w:rFonts w:eastAsia="Calibri" w:cs="Times New Roman" w:ascii="Times New Roman" w:hAnsi="Times New Roman"/>
          <w:sz w:val="24"/>
          <w:szCs w:val="24"/>
          <w:shd w:fill="FFFFFF" w:val="clear"/>
        </w:rPr>
        <w:t xml:space="preserve">Efetuar o pagamento à contratada na forma e no prazo estabelecidos na contratação, após </w:t>
      </w:r>
      <w:r>
        <w:rPr>
          <w:rFonts w:eastAsia="Calibri" w:cs="Times New Roman" w:ascii="Times New Roman" w:hAnsi="Times New Roman"/>
          <w:sz w:val="24"/>
          <w:szCs w:val="24"/>
        </w:rPr>
        <w:t>cumpridas todas as formalidades legais;</w:t>
      </w:r>
    </w:p>
    <w:p>
      <w:pPr>
        <w:pStyle w:val="Normal"/>
        <w:widowControl w:val="false"/>
        <w:numPr>
          <w:ilvl w:val="2"/>
          <w:numId w:val="401"/>
        </w:numPr>
        <w:shd w:val="clear" w:color="auto" w:fill="FFFFFF"/>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before="0" w:after="113"/>
        <w:jc w:val="both"/>
        <w:rPr>
          <w:rFonts w:ascii="Times New Roman" w:hAnsi="Times New Roman"/>
          <w:sz w:val="24"/>
          <w:szCs w:val="24"/>
        </w:rPr>
      </w:pPr>
      <w:r>
        <w:rPr>
          <w:rFonts w:eastAsia="Calibri" w:cs="Times New Roman" w:ascii="Times New Roman" w:hAnsi="Times New Roman"/>
          <w:sz w:val="24"/>
          <w:szCs w:val="24"/>
          <w:shd w:fill="FFFFFF" w:val="clear"/>
        </w:rPr>
        <w:t>Manifestar-se, formalmente, em todos os atos relativos à execução da contratação, em especial, aplicação de sanções e alterações, notificando a contratada, por escrito, quando verificada qualquer irregularidade nos produtos entregues.</w:t>
      </w:r>
    </w:p>
    <w:p>
      <w:pPr>
        <w:pStyle w:val="Heading2"/>
        <w:shd w:val="clear" w:color="auto" w:fill="DEEAF6"/>
        <w:spacing w:before="0" w:after="113"/>
        <w:jc w:val="both"/>
        <w:rPr>
          <w:rFonts w:ascii="Times New Roman" w:hAnsi="Times New Roman"/>
          <w:sz w:val="24"/>
          <w:szCs w:val="24"/>
        </w:rPr>
      </w:pPr>
      <w:bookmarkStart w:id="31" w:name="__RefHeading___Toc11709_612072703"/>
      <w:bookmarkStart w:id="32" w:name="_Toc202882176"/>
      <w:bookmarkStart w:id="33" w:name="_Toc202369840"/>
      <w:bookmarkStart w:id="34" w:name="_3m1y36ajvguo"/>
      <w:bookmarkEnd w:id="31"/>
      <w:bookmarkEnd w:id="34"/>
      <w:r>
        <w:rPr>
          <w:rFonts w:eastAsia="Arial" w:cs="Times New Roman" w:ascii="Times New Roman" w:hAnsi="Times New Roman"/>
          <w:b/>
          <w:color w:val="auto"/>
          <w:sz w:val="24"/>
          <w:szCs w:val="24"/>
        </w:rPr>
        <w:t>OBRIGAÇÕES DA CONTRATADA</w:t>
      </w:r>
      <w:bookmarkEnd w:id="32"/>
      <w:bookmarkEnd w:id="33"/>
    </w:p>
    <w:p>
      <w:pPr>
        <w:pStyle w:val="Normal"/>
        <w:numPr>
          <w:ilvl w:val="1"/>
          <w:numId w:val="402"/>
        </w:numPr>
        <w:spacing w:lineRule="atLeast" w:line="300" w:before="0" w:after="120"/>
        <w:jc w:val="both"/>
        <w:rPr>
          <w:highlight w:val="none"/>
          <w:shd w:fill="auto" w:val="clear"/>
        </w:rPr>
      </w:pPr>
      <w:r>
        <w:rPr>
          <w:rFonts w:ascii="Times New Roman" w:hAnsi="Times New Roman"/>
          <w:sz w:val="24"/>
          <w:szCs w:val="24"/>
          <w:shd w:fill="FFFFFF" w:val="clear"/>
        </w:rPr>
        <w:t>São obrigações da contratada:</w:t>
      </w:r>
    </w:p>
    <w:p>
      <w:pPr>
        <w:pStyle w:val="Normal"/>
        <w:numPr>
          <w:ilvl w:val="2"/>
          <w:numId w:val="403"/>
        </w:numPr>
        <w:spacing w:lineRule="atLeast" w:line="300" w:before="0" w:after="120"/>
        <w:jc w:val="both"/>
        <w:rPr>
          <w:rFonts w:ascii="Times New Roman" w:hAnsi="Times New Roman"/>
          <w:sz w:val="24"/>
          <w:szCs w:val="24"/>
          <w:highlight w:val="none"/>
          <w:shd w:fill="auto" w:val="clear"/>
        </w:rPr>
      </w:pPr>
      <w:r>
        <w:rPr>
          <w:rFonts w:ascii="Times New Roman" w:hAnsi="Times New Roman"/>
          <w:sz w:val="24"/>
          <w:szCs w:val="24"/>
          <w:shd w:fill="auto" w:val="clear"/>
        </w:rPr>
        <w:t>Providenciar a ART (ou RRT) referente ao serviço em questão junto ao CREA/PR (ou CAU/PR).</w:t>
      </w:r>
    </w:p>
    <w:p>
      <w:pPr>
        <w:pStyle w:val="Normal"/>
        <w:numPr>
          <w:ilvl w:val="3"/>
          <w:numId w:val="404"/>
        </w:numPr>
        <w:spacing w:lineRule="atLeast" w:line="300" w:before="0" w:after="120"/>
        <w:jc w:val="both"/>
        <w:rPr>
          <w:rFonts w:ascii="Times New Roman" w:hAnsi="Times New Roman"/>
          <w:sz w:val="24"/>
          <w:szCs w:val="24"/>
          <w:highlight w:val="none"/>
          <w:shd w:fill="auto" w:val="clear"/>
        </w:rPr>
      </w:pPr>
      <w:r>
        <w:rPr>
          <w:rFonts w:ascii="Times New Roman" w:hAnsi="Times New Roman"/>
          <w:sz w:val="24"/>
          <w:szCs w:val="24"/>
          <w:shd w:fill="auto" w:val="clear"/>
        </w:rPr>
        <w:t>o documento deve ser emitido especificamente para o objeto de instalação do ar-condicionado e adequações elétricas/civis em Londrina.</w:t>
      </w:r>
    </w:p>
    <w:p>
      <w:pPr>
        <w:pStyle w:val="Normal"/>
        <w:numPr>
          <w:ilvl w:val="3"/>
          <w:numId w:val="405"/>
        </w:numPr>
        <w:spacing w:lineRule="atLeast" w:line="300" w:before="0" w:after="120"/>
        <w:jc w:val="both"/>
        <w:rPr>
          <w:rFonts w:ascii="Times New Roman" w:hAnsi="Times New Roman"/>
          <w:sz w:val="24"/>
          <w:szCs w:val="24"/>
          <w:highlight w:val="none"/>
          <w:shd w:fill="auto" w:val="clear"/>
        </w:rPr>
      </w:pPr>
      <w:r>
        <w:rPr>
          <w:rFonts w:ascii="Times New Roman" w:hAnsi="Times New Roman"/>
          <w:sz w:val="24"/>
          <w:szCs w:val="24"/>
          <w:shd w:fill="auto" w:val="clear"/>
        </w:rPr>
        <w:t>uma cópia da ART/RRT quitada deverá ser mantida permanentemente no canteiro de obras e apresentada à FISCALIZAÇÃO antes do início efetivo de qualquer atividade.</w:t>
      </w:r>
    </w:p>
    <w:p>
      <w:pPr>
        <w:pStyle w:val="Normal"/>
        <w:numPr>
          <w:ilvl w:val="2"/>
          <w:numId w:val="406"/>
        </w:numPr>
        <w:spacing w:lineRule="atLeast" w:line="300" w:before="0" w:after="120"/>
        <w:jc w:val="both"/>
        <w:rPr>
          <w:rFonts w:ascii="Times New Roman" w:hAnsi="Times New Roman"/>
          <w:sz w:val="24"/>
          <w:szCs w:val="24"/>
        </w:rPr>
      </w:pPr>
      <w:r>
        <w:rPr>
          <w:rFonts w:ascii="Times New Roman" w:hAnsi="Times New Roman"/>
          <w:color w:val="000000"/>
          <w:sz w:val="24"/>
          <w:szCs w:val="24"/>
          <w:u w:val="single"/>
          <w:shd w:fill="auto" w:val="clear"/>
        </w:rPr>
        <w:t>Entregar</w:t>
      </w:r>
      <w:r>
        <w:rPr>
          <w:rFonts w:ascii="Times New Roman" w:hAnsi="Times New Roman"/>
          <w:color w:val="000000"/>
          <w:sz w:val="24"/>
          <w:szCs w:val="24"/>
          <w:shd w:fill="auto" w:val="clear"/>
        </w:rPr>
        <w:t xml:space="preserve"> à CONTRATANTE, </w:t>
      </w:r>
      <w:r>
        <w:rPr>
          <w:rFonts w:ascii="Times New Roman" w:hAnsi="Times New Roman"/>
          <w:color w:val="000000"/>
          <w:sz w:val="24"/>
          <w:szCs w:val="24"/>
          <w:u w:val="single"/>
          <w:shd w:fill="auto" w:val="clear"/>
        </w:rPr>
        <w:t>junto com a fatura</w:t>
      </w:r>
      <w:r>
        <w:rPr>
          <w:rFonts w:ascii="Times New Roman" w:hAnsi="Times New Roman"/>
          <w:color w:val="000000"/>
          <w:sz w:val="24"/>
          <w:szCs w:val="24"/>
          <w:shd w:fill="auto" w:val="clear"/>
        </w:rPr>
        <w:t xml:space="preserve">, </w:t>
      </w:r>
      <w:r>
        <w:rPr>
          <w:rFonts w:ascii="Times New Roman" w:hAnsi="Times New Roman"/>
          <w:color w:val="000000"/>
          <w:sz w:val="24"/>
          <w:szCs w:val="24"/>
          <w:u w:val="single"/>
          <w:shd w:fill="auto" w:val="clear"/>
        </w:rPr>
        <w:t>relatório</w:t>
      </w:r>
      <w:r>
        <w:rPr>
          <w:rFonts w:ascii="Times New Roman" w:hAnsi="Times New Roman"/>
          <w:color w:val="000000"/>
          <w:sz w:val="24"/>
          <w:szCs w:val="24"/>
          <w:shd w:fill="auto" w:val="clear"/>
        </w:rPr>
        <w:t xml:space="preserve"> contendo: </w:t>
      </w:r>
      <w:r>
        <w:rPr>
          <w:rFonts w:ascii="Times New Roman" w:hAnsi="Times New Roman"/>
          <w:color w:val="000000"/>
          <w:sz w:val="24"/>
          <w:szCs w:val="24"/>
          <w:u w:val="single"/>
          <w:shd w:fill="auto" w:val="clear"/>
        </w:rPr>
        <w:t>registro de todas as solicitações apresentadas neste inst</w:t>
      </w:r>
      <w:r>
        <w:rPr>
          <w:rFonts w:ascii="Times New Roman" w:hAnsi="Times New Roman"/>
          <w:color w:val="000000"/>
          <w:sz w:val="24"/>
          <w:szCs w:val="24"/>
          <w:u w:val="single"/>
        </w:rPr>
        <w:t>rumento, análise das condições gerais do serviço, incluindo Anotação de Responsabilidade Técnica (ART);</w:t>
      </w:r>
    </w:p>
    <w:p>
      <w:pPr>
        <w:pStyle w:val="Normal"/>
        <w:numPr>
          <w:ilvl w:val="2"/>
          <w:numId w:val="407"/>
        </w:numPr>
        <w:spacing w:before="0" w:after="113"/>
        <w:jc w:val="both"/>
        <w:rPr>
          <w:rFonts w:ascii="Times New Roman" w:hAnsi="Times New Roman"/>
          <w:sz w:val="24"/>
          <w:szCs w:val="24"/>
        </w:rPr>
      </w:pPr>
      <w:r>
        <w:rPr>
          <w:rFonts w:eastAsia="Calibri" w:cs="Times New Roman" w:ascii="Times New Roman" w:hAnsi="Times New Roman"/>
          <w:sz w:val="24"/>
          <w:szCs w:val="24"/>
        </w:rPr>
        <w:t>Executar o serviço em conformidade com o estabelecido neste Termo de Referência, Caderno de Especificações e Encargos e em sua proposta;</w:t>
      </w:r>
    </w:p>
    <w:p>
      <w:pPr>
        <w:pStyle w:val="Normal"/>
        <w:numPr>
          <w:ilvl w:val="2"/>
          <w:numId w:val="408"/>
        </w:numPr>
        <w:spacing w:before="0" w:after="113"/>
        <w:jc w:val="both"/>
        <w:rPr>
          <w:rFonts w:ascii="Times New Roman" w:hAnsi="Times New Roman"/>
          <w:sz w:val="24"/>
          <w:szCs w:val="24"/>
        </w:rPr>
      </w:pPr>
      <w:r>
        <w:rPr>
          <w:rFonts w:eastAsia="Calibri" w:cs="Times New Roman" w:ascii="Times New Roman" w:hAnsi="Times New Roman"/>
          <w:sz w:val="24"/>
          <w:szCs w:val="24"/>
        </w:rPr>
        <w:t>Corrigir defeito apresentado no serviço que esteja desconforme com o estabelecido neste Termo de Referência, no prazo máximo de 5 (cinco) dias corridos, a contar do recebimento da notificação de rejeição pela CONTRATADA;</w:t>
      </w:r>
    </w:p>
    <w:p>
      <w:pPr>
        <w:pStyle w:val="Normal"/>
        <w:numPr>
          <w:ilvl w:val="2"/>
          <w:numId w:val="409"/>
        </w:numPr>
        <w:spacing w:before="0" w:after="113"/>
        <w:jc w:val="both"/>
        <w:rPr>
          <w:rFonts w:ascii="Times New Roman" w:hAnsi="Times New Roman"/>
          <w:sz w:val="24"/>
          <w:szCs w:val="24"/>
        </w:rPr>
      </w:pPr>
      <w:r>
        <w:rPr>
          <w:rFonts w:eastAsia="Calibri" w:cs="Times New Roman" w:ascii="Times New Roman" w:hAnsi="Times New Roman"/>
          <w:sz w:val="24"/>
          <w:szCs w:val="24"/>
        </w:rPr>
        <w:t>C</w:t>
      </w:r>
      <w:r>
        <w:rPr>
          <w:rFonts w:eastAsia="Calibri" w:cs="Times New Roman" w:ascii="Times New Roman" w:hAnsi="Times New Roman"/>
          <w:color w:val="000000"/>
          <w:sz w:val="24"/>
          <w:szCs w:val="24"/>
        </w:rPr>
        <w:t>omunicar à Contratante, imediatamente, caso fortuito ou de força maior, fato de terceiro, fato do príncipe ou fato da administração que, eventualmente, venha a prejudicar o adimplemento de suas obrigações, apresentando documentos comprobatórios em até 5 (cinco) dias consecutivos, a partir da data de sua ocorrência, sob pena de não ser considerado para afastamento ou redução da responsabilidade civil e/ou administrativa;</w:t>
      </w:r>
    </w:p>
    <w:p>
      <w:pPr>
        <w:pStyle w:val="Normal"/>
        <w:numPr>
          <w:ilvl w:val="2"/>
          <w:numId w:val="410"/>
        </w:numPr>
        <w:spacing w:before="0" w:after="113"/>
        <w:jc w:val="both"/>
        <w:rPr>
          <w:rFonts w:ascii="Times New Roman" w:hAnsi="Times New Roman"/>
          <w:sz w:val="24"/>
          <w:szCs w:val="24"/>
        </w:rPr>
      </w:pPr>
      <w:r>
        <w:rPr>
          <w:rFonts w:eastAsia="Calibri" w:cs="Times New Roman" w:ascii="Times New Roman" w:hAnsi="Times New Roman"/>
          <w:color w:val="000000"/>
          <w:sz w:val="24"/>
          <w:szCs w:val="24"/>
        </w:rPr>
        <w:t>A</w:t>
      </w:r>
      <w:r>
        <w:rPr>
          <w:rFonts w:eastAsia="Calibri" w:cs="Times New Roman" w:ascii="Times New Roman" w:hAnsi="Times New Roman"/>
          <w:sz w:val="24"/>
          <w:szCs w:val="24"/>
        </w:rPr>
        <w:t>presentar documento fiscal específico discriminando o serviço fornecido, com indicação de preços unitários e totais, destacar no campo descrição, o número da Nota de Empenho ou da Ordem de Fornecimento a que se refere, o valor de cada item fornecido, o domicílio bancário do fornecedor (número do banco, nome e número da agência e da conta-corrente) e os valores de retenção dos tributos, quando for o caso;</w:t>
      </w:r>
    </w:p>
    <w:p>
      <w:pPr>
        <w:pStyle w:val="Normal"/>
        <w:numPr>
          <w:ilvl w:val="2"/>
          <w:numId w:val="411"/>
        </w:numPr>
        <w:spacing w:before="0" w:after="113"/>
        <w:jc w:val="both"/>
        <w:rPr>
          <w:rFonts w:ascii="Times New Roman" w:hAnsi="Times New Roman"/>
          <w:sz w:val="24"/>
          <w:szCs w:val="24"/>
        </w:rPr>
      </w:pPr>
      <w:r>
        <w:rPr>
          <w:rFonts w:eastAsia="Calibri" w:cs="Times New Roman" w:ascii="Times New Roman" w:hAnsi="Times New Roman"/>
          <w:sz w:val="24"/>
          <w:szCs w:val="24"/>
        </w:rPr>
        <w:t>Respeitar as normas e procedimentos de controle e acesso às dependências da contratante;</w:t>
      </w:r>
    </w:p>
    <w:p>
      <w:pPr>
        <w:pStyle w:val="Normal"/>
        <w:numPr>
          <w:ilvl w:val="2"/>
          <w:numId w:val="412"/>
        </w:numPr>
        <w:spacing w:before="0" w:after="113"/>
        <w:jc w:val="both"/>
        <w:rPr>
          <w:rFonts w:ascii="Times New Roman" w:hAnsi="Times New Roman"/>
          <w:sz w:val="24"/>
          <w:szCs w:val="24"/>
        </w:rPr>
      </w:pPr>
      <w:r>
        <w:rPr>
          <w:rFonts w:eastAsia="Calibri" w:cs="Times New Roman" w:ascii="Times New Roman" w:hAnsi="Times New Roman"/>
          <w:sz w:val="24"/>
          <w:szCs w:val="24"/>
        </w:rPr>
        <w:t>Manter os seus funcionários devidamente identificados quando em cumprimento do objeto deste Termo de Referência nas dependências do contratante;</w:t>
      </w:r>
    </w:p>
    <w:p>
      <w:pPr>
        <w:pStyle w:val="Normal"/>
        <w:numPr>
          <w:ilvl w:val="2"/>
          <w:numId w:val="413"/>
        </w:numPr>
        <w:spacing w:before="0" w:after="113"/>
        <w:jc w:val="both"/>
        <w:rPr>
          <w:rFonts w:ascii="Times New Roman" w:hAnsi="Times New Roman"/>
          <w:sz w:val="24"/>
          <w:szCs w:val="24"/>
        </w:rPr>
      </w:pPr>
      <w:r>
        <w:rPr>
          <w:rFonts w:eastAsia="Calibri" w:cs="Times New Roman" w:ascii="Times New Roman" w:hAnsi="Times New Roman"/>
          <w:sz w:val="24"/>
          <w:szCs w:val="24"/>
        </w:rPr>
        <w:t>Responder pelos danos causados diretamente à contratante ou a terceiros, decorrente de culpa ou dolo, durante o fornecimento, não excluindo ou reduzindo esta responsabilidade à fiscalização ou acompanhamento pela contratante;</w:t>
      </w:r>
    </w:p>
    <w:p>
      <w:pPr>
        <w:pStyle w:val="Normal"/>
        <w:numPr>
          <w:ilvl w:val="2"/>
          <w:numId w:val="414"/>
        </w:numPr>
        <w:spacing w:before="0" w:after="113"/>
        <w:jc w:val="both"/>
        <w:rPr>
          <w:rFonts w:ascii="Times New Roman" w:hAnsi="Times New Roman"/>
          <w:sz w:val="24"/>
          <w:szCs w:val="24"/>
        </w:rPr>
      </w:pPr>
      <w:r>
        <w:rPr>
          <w:rFonts w:eastAsia="Calibri" w:cs="Times New Roman" w:ascii="Times New Roman" w:hAnsi="Times New Roman"/>
          <w:sz w:val="24"/>
          <w:szCs w:val="24"/>
        </w:rPr>
        <w:t>Solicitar em tempo hábil todas as informações de que necessitar para o cumprimento de suas obrigações contratuais;</w:t>
      </w:r>
    </w:p>
    <w:p>
      <w:pPr>
        <w:pStyle w:val="Normal"/>
        <w:numPr>
          <w:ilvl w:val="2"/>
          <w:numId w:val="415"/>
        </w:numPr>
        <w:spacing w:before="0" w:after="113"/>
        <w:jc w:val="both"/>
        <w:rPr>
          <w:rFonts w:ascii="Times New Roman" w:hAnsi="Times New Roman"/>
          <w:sz w:val="24"/>
          <w:szCs w:val="24"/>
        </w:rPr>
      </w:pPr>
      <w:r>
        <w:rPr>
          <w:rFonts w:eastAsia="Calibri" w:cs="Times New Roman" w:ascii="Times New Roman" w:hAnsi="Times New Roman"/>
          <w:sz w:val="24"/>
          <w:szCs w:val="24"/>
        </w:rPr>
        <w:t>N</w:t>
      </w:r>
      <w:r>
        <w:rPr>
          <w:rFonts w:eastAsia="Calibri" w:cs="Times New Roman" w:ascii="Times New Roman" w:hAnsi="Times New Roman"/>
          <w:color w:val="000000"/>
          <w:sz w:val="24"/>
          <w:szCs w:val="24"/>
        </w:rPr>
        <w:t>ão transferir a outrem, no todo ou em parte, o objeto dessa contratação, sem prévia e expressa anuência da contratante;</w:t>
      </w:r>
    </w:p>
    <w:p>
      <w:pPr>
        <w:pStyle w:val="Normal"/>
        <w:numPr>
          <w:ilvl w:val="2"/>
          <w:numId w:val="416"/>
        </w:numPr>
        <w:spacing w:before="0" w:after="113"/>
        <w:jc w:val="both"/>
        <w:rPr>
          <w:rFonts w:ascii="Times New Roman" w:hAnsi="Times New Roman"/>
          <w:sz w:val="24"/>
          <w:szCs w:val="24"/>
        </w:rPr>
      </w:pPr>
      <w:r>
        <w:rPr>
          <w:rFonts w:eastAsia="Calibri" w:cs="Times New Roman" w:ascii="Times New Roman" w:hAnsi="Times New Roman"/>
          <w:color w:val="000000"/>
          <w:sz w:val="24"/>
          <w:szCs w:val="24"/>
        </w:rPr>
        <w:t>Não caucionar ou utilizar a contratação para qualquer operação financeira, sob pena de rescisão contratual;</w:t>
      </w:r>
    </w:p>
    <w:p>
      <w:pPr>
        <w:pStyle w:val="Normal"/>
        <w:numPr>
          <w:ilvl w:val="2"/>
          <w:numId w:val="417"/>
        </w:numPr>
        <w:spacing w:before="0" w:after="113"/>
        <w:jc w:val="both"/>
        <w:rPr>
          <w:rFonts w:ascii="Times New Roman" w:hAnsi="Times New Roman"/>
          <w:sz w:val="24"/>
          <w:szCs w:val="24"/>
        </w:rPr>
      </w:pPr>
      <w:r>
        <w:rPr>
          <w:rFonts w:eastAsia="Calibri" w:cs="Times New Roman" w:ascii="Times New Roman" w:hAnsi="Times New Roman"/>
          <w:color w:val="000000"/>
          <w:sz w:val="24"/>
          <w:szCs w:val="24"/>
        </w:rPr>
        <w:t>Manter durante a execução da contratação todas as condições de habilitação e qualificação que ensejaram a sua contratação;</w:t>
      </w:r>
    </w:p>
    <w:p>
      <w:pPr>
        <w:pStyle w:val="Normal"/>
        <w:numPr>
          <w:ilvl w:val="2"/>
          <w:numId w:val="418"/>
        </w:numPr>
        <w:spacing w:before="0" w:after="113"/>
        <w:jc w:val="both"/>
        <w:rPr>
          <w:rFonts w:ascii="Times New Roman" w:hAnsi="Times New Roman"/>
          <w:sz w:val="24"/>
          <w:szCs w:val="24"/>
        </w:rPr>
      </w:pPr>
      <w:r>
        <w:rPr>
          <w:rFonts w:eastAsia="Calibri" w:cs="Times New Roman" w:ascii="Times New Roman" w:hAnsi="Times New Roman"/>
          <w:color w:val="000000"/>
          <w:sz w:val="24"/>
          <w:szCs w:val="24"/>
        </w:rPr>
        <w:t>Cumprir ao longo de toda a execução do contrato, as exigências de reserva de cargos prevista em lei, bem como em outras normas específicas, para pessoa com deficiência, para reabilitado da Previdência Social e para aprendiz, conforme disposto no inciso XVII do art. 92 e no art. 116 da Lei nº 14.133/2021.</w:t>
      </w:r>
    </w:p>
    <w:p>
      <w:pPr>
        <w:pStyle w:val="Normal"/>
        <w:numPr>
          <w:ilvl w:val="2"/>
          <w:numId w:val="419"/>
        </w:numPr>
        <w:spacing w:before="0" w:after="113"/>
        <w:jc w:val="both"/>
        <w:rPr>
          <w:rFonts w:ascii="Times New Roman" w:hAnsi="Times New Roman"/>
          <w:sz w:val="24"/>
          <w:szCs w:val="24"/>
        </w:rPr>
      </w:pPr>
      <w:r>
        <w:rPr>
          <w:rFonts w:eastAsia="Calibri" w:cs="Times New Roman" w:ascii="Times New Roman" w:hAnsi="Times New Roman"/>
          <w:color w:val="000000"/>
          <w:sz w:val="24"/>
          <w:szCs w:val="24"/>
        </w:rPr>
        <w:t>C</w:t>
      </w:r>
      <w:r>
        <w:rPr>
          <w:rFonts w:eastAsia="Calibri" w:cs="Times New Roman" w:ascii="Times New Roman" w:hAnsi="Times New Roman"/>
          <w:sz w:val="24"/>
          <w:szCs w:val="24"/>
          <w:shd w:fill="FFFFFF" w:val="clear"/>
        </w:rPr>
        <w:t>omunicar à contratante toda e qualquer alteração relativa à contratada, inclusive razão social, endereço, telefone, e-mail, etc.;</w:t>
      </w:r>
    </w:p>
    <w:p>
      <w:pPr>
        <w:pStyle w:val="Normal"/>
        <w:numPr>
          <w:ilvl w:val="2"/>
          <w:numId w:val="420"/>
        </w:numPr>
        <w:spacing w:before="0" w:after="113"/>
        <w:jc w:val="both"/>
        <w:rPr>
          <w:rFonts w:ascii="Times New Roman" w:hAnsi="Times New Roman"/>
          <w:sz w:val="24"/>
          <w:szCs w:val="24"/>
        </w:rPr>
      </w:pPr>
      <w:r>
        <w:rPr>
          <w:rFonts w:eastAsia="Calibri" w:cs="Times New Roman" w:ascii="Times New Roman" w:hAnsi="Times New Roman"/>
          <w:sz w:val="24"/>
          <w:szCs w:val="24"/>
          <w:shd w:fill="FFFFFF" w:val="clear"/>
        </w:rPr>
        <w:t>C</w:t>
      </w:r>
      <w:r>
        <w:rPr>
          <w:rFonts w:eastAsia="Calibri" w:cs="Times New Roman" w:ascii="Times New Roman" w:hAnsi="Times New Roman"/>
          <w:color w:val="000000"/>
          <w:sz w:val="24"/>
          <w:szCs w:val="24"/>
        </w:rPr>
        <w:t xml:space="preserve">om fulcro no art. 5º e parágrafos, da Lei nº 11.419/2006, </w:t>
      </w:r>
      <w:r>
        <w:rPr>
          <w:rFonts w:eastAsia="Calibri" w:cs="Times New Roman" w:ascii="Times New Roman" w:hAnsi="Times New Roman"/>
          <w:b/>
          <w:color w:val="000000"/>
          <w:sz w:val="24"/>
          <w:szCs w:val="24"/>
        </w:rPr>
        <w:t>manter atualizado e informar à contratante endereço de e-mail eletrônico</w:t>
      </w:r>
      <w:r>
        <w:rPr>
          <w:rFonts w:eastAsia="Calibri" w:cs="Times New Roman" w:ascii="Times New Roman" w:hAnsi="Times New Roman"/>
          <w:color w:val="000000"/>
          <w:sz w:val="24"/>
          <w:szCs w:val="24"/>
        </w:rPr>
        <w:t>, por meio do qual poderão ser realizadas as comunicações, intimações e notificações, devendo estar a CONTRATADA ciente dos prazos constantes na referida lei, bem como, estar ciente de que se sujeitará a remessa das respectivas manifestações por via eletrônica.</w:t>
      </w:r>
    </w:p>
    <w:p>
      <w:pPr>
        <w:pStyle w:val="Normal"/>
        <w:numPr>
          <w:ilvl w:val="2"/>
          <w:numId w:val="421"/>
        </w:numPr>
        <w:spacing w:lineRule="atLeast" w:line="300" w:before="0" w:after="120"/>
        <w:jc w:val="both"/>
        <w:rPr>
          <w:rFonts w:ascii="Times New Roman" w:hAnsi="Times New Roman"/>
          <w:sz w:val="24"/>
          <w:szCs w:val="24"/>
        </w:rPr>
      </w:pPr>
      <w:r>
        <w:rPr>
          <w:rFonts w:eastAsia="Calibri" w:ascii="Times New Roman" w:hAnsi="Times New Roman"/>
          <w:b/>
          <w:sz w:val="24"/>
          <w:szCs w:val="24"/>
        </w:rPr>
        <w:t>Além das atribuições relatadas acima, inclui-se na prestação de serviço:</w:t>
      </w:r>
    </w:p>
    <w:p>
      <w:pPr>
        <w:pStyle w:val="Normal"/>
        <w:numPr>
          <w:ilvl w:val="3"/>
          <w:numId w:val="422"/>
        </w:numPr>
        <w:spacing w:lineRule="atLeast" w:line="300" w:before="0" w:after="120"/>
        <w:jc w:val="both"/>
        <w:rPr>
          <w:rFonts w:ascii="Times New Roman" w:hAnsi="Times New Roman"/>
          <w:sz w:val="24"/>
          <w:szCs w:val="24"/>
        </w:rPr>
      </w:pPr>
      <w:r>
        <w:rPr>
          <w:rFonts w:eastAsia="Calibri" w:ascii="Times New Roman" w:hAnsi="Times New Roman"/>
          <w:sz w:val="24"/>
          <w:szCs w:val="24"/>
        </w:rPr>
        <w:t>proibição de fornecer informações de caráter pessoal dos servidores do Contratante;</w:t>
      </w:r>
    </w:p>
    <w:p>
      <w:pPr>
        <w:pStyle w:val="Normal"/>
        <w:numPr>
          <w:ilvl w:val="3"/>
          <w:numId w:val="423"/>
        </w:numPr>
        <w:spacing w:lineRule="atLeast" w:line="300" w:before="0" w:after="120"/>
        <w:jc w:val="both"/>
        <w:rPr>
          <w:rFonts w:ascii="Times New Roman" w:hAnsi="Times New Roman"/>
          <w:sz w:val="24"/>
          <w:szCs w:val="24"/>
        </w:rPr>
      </w:pPr>
      <w:r>
        <w:rPr>
          <w:rFonts w:eastAsia="Calibri" w:ascii="Times New Roman" w:hAnsi="Times New Roman"/>
          <w:sz w:val="24"/>
          <w:szCs w:val="24"/>
        </w:rPr>
        <w:t>cumprir determinações e normas estabelecidas para o bom andamento do serviço no âmbito das Unidades do MPF no</w:t>
      </w:r>
      <w:r>
        <w:rPr>
          <w:rFonts w:eastAsia="Calibri" w:ascii="Times New Roman" w:hAnsi="Times New Roman"/>
          <w:sz w:val="24"/>
          <w:szCs w:val="24"/>
          <w:shd w:fill="FFFFFF" w:val="clear"/>
        </w:rPr>
        <w:t xml:space="preserve"> Paraná.</w:t>
      </w:r>
    </w:p>
    <w:p>
      <w:pPr>
        <w:pStyle w:val="Normal"/>
        <w:numPr>
          <w:ilvl w:val="0"/>
          <w:numId w:val="424"/>
        </w:numPr>
        <w:shd w:val="clear" w:color="auto" w:fill="9CC2E5"/>
        <w:spacing w:before="0" w:after="113"/>
        <w:jc w:val="both"/>
        <w:rPr>
          <w:rFonts w:ascii="Times New Roman" w:hAnsi="Times New Roman"/>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DAS INFRAÇÕES E SANÇÕES ADMINISTRATIVAS</w:t>
      </w:r>
    </w:p>
    <w:p>
      <w:pPr>
        <w:pStyle w:val="Normal"/>
        <w:numPr>
          <w:ilvl w:val="1"/>
          <w:numId w:val="425"/>
        </w:numPr>
        <w:spacing w:lineRule="atLeast" w:line="300" w:before="0" w:after="120"/>
        <w:jc w:val="both"/>
        <w:rPr>
          <w:rFonts w:ascii="Times New Roman" w:hAnsi="Times New Roman"/>
          <w:sz w:val="24"/>
          <w:szCs w:val="24"/>
        </w:rPr>
      </w:pPr>
      <w:r>
        <w:rPr>
          <w:rFonts w:eastAsia="Calibri" w:ascii="Times New Roman" w:hAnsi="Times New Roman"/>
          <w:sz w:val="24"/>
          <w:szCs w:val="24"/>
        </w:rPr>
        <w:t>Caso a Contratada não cumpra as obrigações estabelecidas na proposta comercial aprovada pela Administração da PR/RR, poderá sujeitar-se às sanções previstas nesse documento, assim como as previstas nas Lei n.º 14.133/2021, Portaria PGR/MPU Nº 178/2023 e demais legislações pertinentes.</w:t>
      </w:r>
    </w:p>
    <w:p>
      <w:pPr>
        <w:pStyle w:val="Normal"/>
        <w:numPr>
          <w:ilvl w:val="1"/>
          <w:numId w:val="426"/>
        </w:numPr>
        <w:spacing w:lineRule="atLeast" w:line="300" w:before="0" w:after="120"/>
        <w:jc w:val="both"/>
        <w:rPr>
          <w:rFonts w:ascii="Times New Roman" w:hAnsi="Times New Roman"/>
          <w:sz w:val="24"/>
          <w:szCs w:val="24"/>
        </w:rPr>
      </w:pPr>
      <w:r>
        <w:rPr>
          <w:rFonts w:eastAsia="Calibri" w:ascii="Times New Roman" w:hAnsi="Times New Roman"/>
          <w:sz w:val="24"/>
          <w:szCs w:val="24"/>
        </w:rPr>
        <w:t>A inexecução, total ou parcial do serviço, poderá, garantida a prévia e ampla defesa, ensejar segundo a extensão da falta cometida, a aplicação das penalidades previstas no artigo 156, da Lei n.º 14.133/2021, com aplicação das seguintes sanções:</w:t>
      </w:r>
    </w:p>
    <w:p>
      <w:pPr>
        <w:pStyle w:val="Normal"/>
        <w:numPr>
          <w:ilvl w:val="2"/>
          <w:numId w:val="427"/>
        </w:numPr>
        <w:spacing w:lineRule="atLeast" w:line="300" w:before="0" w:after="120"/>
        <w:jc w:val="both"/>
        <w:rPr>
          <w:rFonts w:ascii="Times New Roman" w:hAnsi="Times New Roman"/>
          <w:sz w:val="24"/>
          <w:szCs w:val="24"/>
        </w:rPr>
      </w:pPr>
      <w:r>
        <w:rPr>
          <w:rFonts w:eastAsia="Calibri" w:ascii="Times New Roman" w:hAnsi="Times New Roman"/>
          <w:sz w:val="24"/>
          <w:szCs w:val="24"/>
        </w:rPr>
        <w:t xml:space="preserve"> </w:t>
      </w:r>
      <w:r>
        <w:rPr>
          <w:rFonts w:eastAsia="Calibri" w:ascii="Times New Roman" w:hAnsi="Times New Roman"/>
          <w:sz w:val="24"/>
          <w:szCs w:val="24"/>
        </w:rPr>
        <w:t>Advertência;</w:t>
      </w:r>
    </w:p>
    <w:p>
      <w:pPr>
        <w:pStyle w:val="Normal"/>
        <w:numPr>
          <w:ilvl w:val="2"/>
          <w:numId w:val="428"/>
        </w:numPr>
        <w:spacing w:lineRule="atLeast" w:line="300" w:before="0" w:after="120"/>
        <w:jc w:val="both"/>
        <w:rPr>
          <w:rFonts w:ascii="Times New Roman" w:hAnsi="Times New Roman"/>
          <w:sz w:val="24"/>
          <w:szCs w:val="24"/>
        </w:rPr>
      </w:pPr>
      <w:r>
        <w:rPr>
          <w:rFonts w:eastAsia="Calibri" w:ascii="Times New Roman" w:hAnsi="Times New Roman"/>
          <w:sz w:val="24"/>
          <w:szCs w:val="24"/>
        </w:rPr>
        <w:t>Multa moratória de 1% (um por cento) ao dia, calculada sobre o valor contratado, pelo atraso no cumprimento dos prazos estipulados no presente instrumento, contados a partir do dia imediato ao do vencimento do prazo até o dia do efetivo cumprimento da obrigação, limitada a 15% (quinze por cento).</w:t>
      </w:r>
    </w:p>
    <w:p>
      <w:pPr>
        <w:pStyle w:val="Normal"/>
        <w:numPr>
          <w:ilvl w:val="3"/>
          <w:numId w:val="429"/>
        </w:numPr>
        <w:spacing w:lineRule="atLeast" w:line="300" w:before="0" w:after="120"/>
        <w:jc w:val="both"/>
        <w:rPr>
          <w:rFonts w:ascii="Times New Roman" w:hAnsi="Times New Roman"/>
          <w:sz w:val="24"/>
          <w:szCs w:val="24"/>
        </w:rPr>
      </w:pPr>
      <w:r>
        <w:rPr>
          <w:rFonts w:eastAsia="Calibri" w:ascii="Times New Roman" w:hAnsi="Times New Roman"/>
          <w:sz w:val="24"/>
          <w:szCs w:val="24"/>
        </w:rPr>
        <w:t>Caso a prestação do serviço ou entrega do objeto não mais seja útil à Administração, segundo parecer da área técnica interessada, a Administração estará autorizada a promover a rescisão do contrato, assegurados o contraditório e a ampla defesa ao fornecedor.</w:t>
      </w:r>
    </w:p>
    <w:p>
      <w:pPr>
        <w:pStyle w:val="Normal"/>
        <w:numPr>
          <w:ilvl w:val="2"/>
          <w:numId w:val="430"/>
        </w:numPr>
        <w:spacing w:lineRule="atLeast" w:line="300" w:before="0" w:after="120"/>
        <w:jc w:val="both"/>
        <w:rPr>
          <w:rFonts w:ascii="Times New Roman" w:hAnsi="Times New Roman"/>
          <w:sz w:val="24"/>
          <w:szCs w:val="24"/>
        </w:rPr>
      </w:pPr>
      <w:r>
        <w:rPr>
          <w:rFonts w:eastAsia="Calibri" w:ascii="Times New Roman" w:hAnsi="Times New Roman"/>
          <w:sz w:val="24"/>
          <w:szCs w:val="24"/>
        </w:rPr>
        <w:t>Multa sancionatória de 20% (vinte por cento) sobre o valor total do contrato, na hipótese de inexecução total.</w:t>
      </w:r>
    </w:p>
    <w:p>
      <w:pPr>
        <w:pStyle w:val="Normal"/>
        <w:numPr>
          <w:ilvl w:val="3"/>
          <w:numId w:val="431"/>
        </w:numPr>
        <w:spacing w:lineRule="atLeast" w:line="300" w:before="0" w:after="120"/>
        <w:jc w:val="both"/>
        <w:rPr>
          <w:rFonts w:ascii="Times New Roman" w:hAnsi="Times New Roman"/>
          <w:sz w:val="24"/>
          <w:szCs w:val="24"/>
        </w:rPr>
      </w:pPr>
      <w:r>
        <w:rPr>
          <w:rFonts w:eastAsia="Calibri" w:ascii="Times New Roman" w:hAnsi="Times New Roman"/>
          <w:sz w:val="24"/>
          <w:szCs w:val="24"/>
        </w:rPr>
        <w:t>Poderá ser considerada a inexecução total o atraso injustificado superior a 30 dias.</w:t>
      </w:r>
    </w:p>
    <w:p>
      <w:pPr>
        <w:pStyle w:val="Normal"/>
        <w:numPr>
          <w:ilvl w:val="2"/>
          <w:numId w:val="432"/>
        </w:numPr>
        <w:spacing w:lineRule="atLeast" w:line="300" w:before="0" w:after="120"/>
        <w:jc w:val="both"/>
        <w:rPr>
          <w:rFonts w:ascii="Times New Roman" w:hAnsi="Times New Roman"/>
          <w:sz w:val="24"/>
          <w:szCs w:val="24"/>
        </w:rPr>
      </w:pPr>
      <w:r>
        <w:rPr>
          <w:rFonts w:eastAsia="Calibri" w:ascii="Times New Roman" w:hAnsi="Times New Roman"/>
          <w:sz w:val="24"/>
          <w:szCs w:val="24"/>
        </w:rPr>
        <w:t>Suspensão do direito de licitar e impedimento de contratar com a Administração, nos termos do Art. 156, III, da Lei nº 14.133/2021, na hipótese de reiteradas faltas, ou o cometimento de faltas contratuais graves, conforme a seguinte tabela:</w:t>
      </w:r>
    </w:p>
    <w:tbl>
      <w:tblPr>
        <w:tblW w:w="8954" w:type="dxa"/>
        <w:jc w:val="left"/>
        <w:tblInd w:w="-13" w:type="dxa"/>
        <w:tblLayout w:type="fixed"/>
        <w:tblCellMar>
          <w:top w:w="55" w:type="dxa"/>
          <w:left w:w="55" w:type="dxa"/>
          <w:bottom w:w="55" w:type="dxa"/>
          <w:right w:w="55" w:type="dxa"/>
        </w:tblCellMar>
        <w:tblLook w:firstRow="0" w:noVBand="0" w:lastRow="0" w:firstColumn="0" w:lastColumn="0" w:noHBand="0" w:val="0000"/>
      </w:tblPr>
      <w:tblGrid>
        <w:gridCol w:w="6851"/>
        <w:gridCol w:w="2102"/>
      </w:tblGrid>
      <w:tr>
        <w:trPr/>
        <w:tc>
          <w:tcPr>
            <w:tcW w:w="6851" w:type="dxa"/>
            <w:tcBorders>
              <w:top w:val="single" w:sz="2" w:space="0" w:color="000000"/>
              <w:left w:val="single" w:sz="2" w:space="0" w:color="000000"/>
              <w:bottom w:val="single" w:sz="2" w:space="0" w:color="000000"/>
            </w:tcBorders>
          </w:tcPr>
          <w:p>
            <w:pPr>
              <w:pStyle w:val="Normal"/>
              <w:jc w:val="center"/>
              <w:rPr>
                <w:rFonts w:ascii="Times New Roman" w:hAnsi="Times New Roman"/>
                <w:sz w:val="24"/>
                <w:szCs w:val="24"/>
              </w:rPr>
            </w:pPr>
            <w:r>
              <w:rPr>
                <w:rFonts w:cs="Times New Roman" w:ascii="Times New Roman" w:hAnsi="Times New Roman"/>
                <w:b/>
                <w:bCs/>
                <w:sz w:val="24"/>
                <w:szCs w:val="24"/>
              </w:rPr>
              <w:t>INFRAÇÃO</w:t>
            </w:r>
          </w:p>
        </w:tc>
        <w:tc>
          <w:tcPr>
            <w:tcW w:w="2102" w:type="dxa"/>
            <w:tcBorders>
              <w:top w:val="single" w:sz="2" w:space="0" w:color="000000"/>
              <w:left w:val="single" w:sz="2" w:space="0" w:color="000000"/>
              <w:bottom w:val="single" w:sz="2" w:space="0" w:color="000000"/>
              <w:right w:val="single" w:sz="2" w:space="0" w:color="000000"/>
            </w:tcBorders>
          </w:tcPr>
          <w:p>
            <w:pPr>
              <w:pStyle w:val="Normal"/>
              <w:jc w:val="center"/>
              <w:rPr>
                <w:rFonts w:ascii="Times New Roman" w:hAnsi="Times New Roman"/>
                <w:sz w:val="24"/>
                <w:szCs w:val="24"/>
              </w:rPr>
            </w:pPr>
            <w:r>
              <w:rPr>
                <w:rFonts w:cs="Times New Roman" w:ascii="Times New Roman" w:hAnsi="Times New Roman"/>
                <w:b/>
                <w:bCs/>
                <w:sz w:val="24"/>
                <w:szCs w:val="24"/>
              </w:rPr>
              <w:t>PRAZO</w:t>
            </w:r>
          </w:p>
        </w:tc>
      </w:tr>
      <w:tr>
        <w:trPr/>
        <w:tc>
          <w:tcPr>
            <w:tcW w:w="6851" w:type="dxa"/>
            <w:tcBorders>
              <w:left w:val="single" w:sz="2" w:space="0" w:color="000000"/>
              <w:bottom w:val="single" w:sz="2" w:space="0" w:color="000000"/>
            </w:tcBorders>
          </w:tcPr>
          <w:p>
            <w:pPr>
              <w:pStyle w:val="Normal"/>
              <w:jc w:val="both"/>
              <w:rPr>
                <w:rFonts w:ascii="Times New Roman" w:hAnsi="Times New Roman"/>
                <w:sz w:val="24"/>
                <w:szCs w:val="24"/>
              </w:rPr>
            </w:pPr>
            <w:r>
              <w:rPr>
                <w:rFonts w:eastAsia="Calibri" w:cs="Times New Roman" w:ascii="Times New Roman" w:hAnsi="Times New Roman"/>
                <w:sz w:val="24"/>
                <w:szCs w:val="24"/>
              </w:rPr>
              <w:t>Não manter as condições apresentadas na proposta</w:t>
            </w:r>
          </w:p>
        </w:tc>
        <w:tc>
          <w:tcPr>
            <w:tcW w:w="2102" w:type="dxa"/>
            <w:tcBorders>
              <w:left w:val="single" w:sz="2" w:space="0" w:color="000000"/>
              <w:bottom w:val="single" w:sz="2" w:space="0" w:color="000000"/>
              <w:right w:val="single" w:sz="2" w:space="0" w:color="000000"/>
            </w:tcBorders>
          </w:tcPr>
          <w:p>
            <w:pPr>
              <w:pStyle w:val="Normal"/>
              <w:rPr>
                <w:rFonts w:ascii="Times New Roman" w:hAnsi="Times New Roman"/>
                <w:sz w:val="24"/>
                <w:szCs w:val="24"/>
              </w:rPr>
            </w:pPr>
            <w:r>
              <w:rPr>
                <w:rFonts w:eastAsia="Calibri" w:cs="Times New Roman" w:ascii="Times New Roman" w:hAnsi="Times New Roman"/>
                <w:sz w:val="24"/>
                <w:szCs w:val="24"/>
              </w:rPr>
              <w:t>3 (três) meses</w:t>
            </w:r>
          </w:p>
        </w:tc>
      </w:tr>
      <w:tr>
        <w:trPr/>
        <w:tc>
          <w:tcPr>
            <w:tcW w:w="6851" w:type="dxa"/>
            <w:tcBorders>
              <w:left w:val="single" w:sz="2" w:space="0" w:color="000000"/>
              <w:bottom w:val="single" w:sz="2" w:space="0" w:color="000000"/>
            </w:tcBorders>
          </w:tcPr>
          <w:p>
            <w:pPr>
              <w:pStyle w:val="Normal"/>
              <w:jc w:val="both"/>
              <w:rPr>
                <w:rFonts w:ascii="Times New Roman" w:hAnsi="Times New Roman"/>
                <w:sz w:val="24"/>
                <w:szCs w:val="24"/>
              </w:rPr>
            </w:pPr>
            <w:r>
              <w:rPr>
                <w:rFonts w:eastAsia="Calibri" w:cs="Times New Roman" w:ascii="Times New Roman" w:hAnsi="Times New Roman"/>
                <w:sz w:val="24"/>
                <w:szCs w:val="24"/>
              </w:rPr>
              <w:t>Atraso injustificado, superior a 30 (trinta) dias, no cumprimento das obrigações assumidas contratualmente, que tenha acarretado prejuízo à Administração</w:t>
            </w:r>
          </w:p>
        </w:tc>
        <w:tc>
          <w:tcPr>
            <w:tcW w:w="2102" w:type="dxa"/>
            <w:tcBorders>
              <w:left w:val="single" w:sz="2" w:space="0" w:color="000000"/>
              <w:bottom w:val="single" w:sz="2" w:space="0" w:color="000000"/>
              <w:right w:val="single" w:sz="2" w:space="0" w:color="000000"/>
            </w:tcBorders>
          </w:tcPr>
          <w:p>
            <w:pPr>
              <w:pStyle w:val="Normal"/>
              <w:rPr>
                <w:rFonts w:ascii="Times New Roman" w:hAnsi="Times New Roman"/>
                <w:sz w:val="24"/>
                <w:szCs w:val="24"/>
              </w:rPr>
            </w:pPr>
            <w:r>
              <w:rPr>
                <w:rFonts w:eastAsia="Calibri" w:cs="Times New Roman" w:ascii="Times New Roman" w:hAnsi="Times New Roman"/>
                <w:sz w:val="24"/>
                <w:szCs w:val="24"/>
              </w:rPr>
              <w:t>3 (três) meses</w:t>
            </w:r>
          </w:p>
        </w:tc>
      </w:tr>
      <w:tr>
        <w:trPr/>
        <w:tc>
          <w:tcPr>
            <w:tcW w:w="6851" w:type="dxa"/>
            <w:tcBorders>
              <w:left w:val="single" w:sz="2" w:space="0" w:color="000000"/>
              <w:bottom w:val="single" w:sz="2" w:space="0" w:color="000000"/>
            </w:tcBorders>
          </w:tcPr>
          <w:p>
            <w:pPr>
              <w:pStyle w:val="Normal"/>
              <w:jc w:val="both"/>
              <w:rPr>
                <w:rFonts w:ascii="Times New Roman" w:hAnsi="Times New Roman"/>
                <w:sz w:val="24"/>
                <w:szCs w:val="24"/>
              </w:rPr>
            </w:pPr>
            <w:r>
              <w:rPr>
                <w:rFonts w:eastAsia="Calibri" w:cs="Times New Roman" w:ascii="Times New Roman" w:hAnsi="Times New Roman"/>
                <w:sz w:val="24"/>
                <w:szCs w:val="24"/>
              </w:rPr>
              <w:t>Execução insatisfatória das obrigações assumidas na contratação no caso de a CONTRATADA ter sido sancionada anteriormente com multa e/ou advertência</w:t>
            </w:r>
          </w:p>
        </w:tc>
        <w:tc>
          <w:tcPr>
            <w:tcW w:w="2102" w:type="dxa"/>
            <w:tcBorders>
              <w:left w:val="single" w:sz="2" w:space="0" w:color="000000"/>
              <w:bottom w:val="single" w:sz="2" w:space="0" w:color="000000"/>
              <w:right w:val="single" w:sz="2" w:space="0" w:color="000000"/>
            </w:tcBorders>
          </w:tcPr>
          <w:p>
            <w:pPr>
              <w:pStyle w:val="Normal"/>
              <w:rPr>
                <w:rFonts w:ascii="Times New Roman" w:hAnsi="Times New Roman"/>
                <w:sz w:val="24"/>
                <w:szCs w:val="24"/>
              </w:rPr>
            </w:pPr>
            <w:r>
              <w:rPr>
                <w:rFonts w:eastAsia="Calibri" w:cs="Times New Roman" w:ascii="Times New Roman" w:hAnsi="Times New Roman"/>
                <w:sz w:val="24"/>
                <w:szCs w:val="24"/>
              </w:rPr>
              <w:t>3 (três) meses</w:t>
            </w:r>
          </w:p>
        </w:tc>
      </w:tr>
      <w:tr>
        <w:trPr/>
        <w:tc>
          <w:tcPr>
            <w:tcW w:w="6851" w:type="dxa"/>
            <w:tcBorders>
              <w:left w:val="single" w:sz="2" w:space="0" w:color="000000"/>
              <w:bottom w:val="single" w:sz="2" w:space="0" w:color="000000"/>
            </w:tcBorders>
          </w:tcPr>
          <w:p>
            <w:pPr>
              <w:pStyle w:val="Normal"/>
              <w:jc w:val="both"/>
              <w:rPr>
                <w:rFonts w:ascii="Times New Roman" w:hAnsi="Times New Roman"/>
                <w:sz w:val="24"/>
                <w:szCs w:val="24"/>
              </w:rPr>
            </w:pPr>
            <w:r>
              <w:rPr>
                <w:rFonts w:eastAsia="Calibri" w:cs="Times New Roman" w:ascii="Times New Roman" w:hAnsi="Times New Roman"/>
                <w:sz w:val="24"/>
                <w:szCs w:val="24"/>
              </w:rPr>
              <w:t>Não conclusão do objeto contratado no prazo previsto</w:t>
            </w:r>
          </w:p>
        </w:tc>
        <w:tc>
          <w:tcPr>
            <w:tcW w:w="2102" w:type="dxa"/>
            <w:tcBorders>
              <w:left w:val="single" w:sz="2" w:space="0" w:color="000000"/>
              <w:bottom w:val="single" w:sz="2" w:space="0" w:color="000000"/>
              <w:right w:val="single" w:sz="2" w:space="0" w:color="000000"/>
            </w:tcBorders>
          </w:tcPr>
          <w:p>
            <w:pPr>
              <w:pStyle w:val="Normal"/>
              <w:rPr>
                <w:rFonts w:ascii="Times New Roman" w:hAnsi="Times New Roman"/>
                <w:sz w:val="24"/>
                <w:szCs w:val="24"/>
              </w:rPr>
            </w:pPr>
            <w:r>
              <w:rPr>
                <w:rFonts w:eastAsia="Calibri" w:cs="Times New Roman" w:ascii="Times New Roman" w:hAnsi="Times New Roman"/>
                <w:sz w:val="24"/>
                <w:szCs w:val="24"/>
              </w:rPr>
              <w:t>3 (três) meses</w:t>
            </w:r>
          </w:p>
        </w:tc>
      </w:tr>
      <w:tr>
        <w:trPr/>
        <w:tc>
          <w:tcPr>
            <w:tcW w:w="6851" w:type="dxa"/>
            <w:tcBorders>
              <w:left w:val="single" w:sz="2" w:space="0" w:color="000000"/>
              <w:bottom w:val="single" w:sz="2" w:space="0" w:color="000000"/>
            </w:tcBorders>
          </w:tcPr>
          <w:p>
            <w:pPr>
              <w:pStyle w:val="Normal"/>
              <w:jc w:val="both"/>
              <w:rPr>
                <w:rFonts w:ascii="Times New Roman" w:hAnsi="Times New Roman"/>
                <w:sz w:val="24"/>
                <w:szCs w:val="24"/>
              </w:rPr>
            </w:pPr>
            <w:r>
              <w:rPr>
                <w:rFonts w:eastAsia="Calibri" w:cs="Times New Roman" w:ascii="Times New Roman" w:hAnsi="Times New Roman"/>
                <w:sz w:val="24"/>
                <w:szCs w:val="24"/>
              </w:rPr>
              <w:t>Ensejar o retardamento da execução do objeto contratado</w:t>
            </w:r>
          </w:p>
        </w:tc>
        <w:tc>
          <w:tcPr>
            <w:tcW w:w="2102" w:type="dxa"/>
            <w:tcBorders>
              <w:left w:val="single" w:sz="2" w:space="0" w:color="000000"/>
              <w:bottom w:val="single" w:sz="2" w:space="0" w:color="000000"/>
              <w:right w:val="single" w:sz="2" w:space="0" w:color="000000"/>
            </w:tcBorders>
          </w:tcPr>
          <w:p>
            <w:pPr>
              <w:pStyle w:val="Normal"/>
              <w:rPr>
                <w:rFonts w:ascii="Times New Roman" w:hAnsi="Times New Roman"/>
                <w:sz w:val="24"/>
                <w:szCs w:val="24"/>
              </w:rPr>
            </w:pPr>
            <w:r>
              <w:rPr>
                <w:rFonts w:eastAsia="Calibri" w:cs="Times New Roman" w:ascii="Times New Roman" w:hAnsi="Times New Roman"/>
                <w:sz w:val="24"/>
                <w:szCs w:val="24"/>
              </w:rPr>
              <w:t>3 (três) meses</w:t>
            </w:r>
          </w:p>
        </w:tc>
      </w:tr>
      <w:tr>
        <w:trPr/>
        <w:tc>
          <w:tcPr>
            <w:tcW w:w="6851" w:type="dxa"/>
            <w:tcBorders>
              <w:left w:val="single" w:sz="2" w:space="0" w:color="000000"/>
              <w:bottom w:val="single" w:sz="2" w:space="0" w:color="000000"/>
            </w:tcBorders>
          </w:tcPr>
          <w:p>
            <w:pPr>
              <w:pStyle w:val="Normal"/>
              <w:jc w:val="both"/>
              <w:rPr>
                <w:rFonts w:ascii="Times New Roman" w:hAnsi="Times New Roman"/>
                <w:sz w:val="24"/>
                <w:szCs w:val="24"/>
              </w:rPr>
            </w:pPr>
            <w:r>
              <w:rPr>
                <w:rFonts w:eastAsia="Calibri" w:cs="Times New Roman" w:ascii="Times New Roman" w:hAnsi="Times New Roman"/>
                <w:sz w:val="24"/>
                <w:szCs w:val="24"/>
              </w:rPr>
              <w:t>Não substituição do serviço entregue em desacordo com as especificações, no prazo previsto ou concedido pela Administração</w:t>
            </w:r>
          </w:p>
        </w:tc>
        <w:tc>
          <w:tcPr>
            <w:tcW w:w="2102" w:type="dxa"/>
            <w:tcBorders>
              <w:left w:val="single" w:sz="2" w:space="0" w:color="000000"/>
              <w:bottom w:val="single" w:sz="2" w:space="0" w:color="000000"/>
              <w:right w:val="single" w:sz="2" w:space="0" w:color="000000"/>
            </w:tcBorders>
          </w:tcPr>
          <w:p>
            <w:pPr>
              <w:pStyle w:val="Normal"/>
              <w:rPr>
                <w:rFonts w:ascii="Times New Roman" w:hAnsi="Times New Roman"/>
                <w:sz w:val="24"/>
                <w:szCs w:val="24"/>
              </w:rPr>
            </w:pPr>
            <w:r>
              <w:rPr>
                <w:rFonts w:eastAsia="Calibri" w:cs="Times New Roman" w:ascii="Times New Roman" w:hAnsi="Times New Roman"/>
                <w:sz w:val="24"/>
                <w:szCs w:val="24"/>
              </w:rPr>
              <w:t>9 (nove) meses</w:t>
            </w:r>
          </w:p>
        </w:tc>
      </w:tr>
      <w:tr>
        <w:trPr/>
        <w:tc>
          <w:tcPr>
            <w:tcW w:w="6851" w:type="dxa"/>
            <w:tcBorders>
              <w:left w:val="single" w:sz="2" w:space="0" w:color="000000"/>
              <w:bottom w:val="single" w:sz="2" w:space="0" w:color="000000"/>
            </w:tcBorders>
          </w:tcPr>
          <w:p>
            <w:pPr>
              <w:pStyle w:val="Normal"/>
              <w:jc w:val="both"/>
              <w:rPr>
                <w:rFonts w:ascii="Times New Roman" w:hAnsi="Times New Roman"/>
                <w:sz w:val="24"/>
                <w:szCs w:val="24"/>
              </w:rPr>
            </w:pPr>
            <w:r>
              <w:rPr>
                <w:rFonts w:eastAsia="Calibri" w:cs="Times New Roman" w:ascii="Times New Roman" w:hAnsi="Times New Roman"/>
                <w:sz w:val="24"/>
                <w:szCs w:val="24"/>
              </w:rPr>
              <w:t>Inexecução total do objeto contratado</w:t>
            </w:r>
          </w:p>
        </w:tc>
        <w:tc>
          <w:tcPr>
            <w:tcW w:w="2102" w:type="dxa"/>
            <w:tcBorders>
              <w:left w:val="single" w:sz="2" w:space="0" w:color="000000"/>
              <w:bottom w:val="single" w:sz="2" w:space="0" w:color="000000"/>
              <w:right w:val="single" w:sz="2" w:space="0" w:color="000000"/>
            </w:tcBorders>
          </w:tcPr>
          <w:p>
            <w:pPr>
              <w:pStyle w:val="Normal"/>
              <w:rPr>
                <w:rFonts w:ascii="Times New Roman" w:hAnsi="Times New Roman"/>
                <w:sz w:val="24"/>
                <w:szCs w:val="24"/>
              </w:rPr>
            </w:pPr>
            <w:r>
              <w:rPr>
                <w:rFonts w:eastAsia="Calibri" w:cs="Times New Roman" w:ascii="Times New Roman" w:hAnsi="Times New Roman"/>
                <w:sz w:val="24"/>
                <w:szCs w:val="24"/>
              </w:rPr>
              <w:t>16 (dezesseis) meses</w:t>
            </w:r>
          </w:p>
        </w:tc>
      </w:tr>
    </w:tbl>
    <w:p>
      <w:pPr>
        <w:pStyle w:val="Normal"/>
        <w:widowControl/>
        <w:spacing w:lineRule="auto" w:line="240" w:before="0" w:after="57"/>
        <w:jc w:val="both"/>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numPr>
          <w:ilvl w:val="2"/>
          <w:numId w:val="433"/>
        </w:numPr>
        <w:spacing w:lineRule="atLeast" w:line="300"/>
        <w:jc w:val="both"/>
        <w:rPr>
          <w:rFonts w:ascii="Times New Roman" w:hAnsi="Times New Roman"/>
          <w:sz w:val="24"/>
          <w:szCs w:val="24"/>
        </w:rPr>
      </w:pPr>
      <w:r>
        <w:rPr>
          <w:rFonts w:cs="Times New Roman" w:ascii="Times New Roman" w:hAnsi="Times New Roman"/>
          <w:sz w:val="24"/>
          <w:szCs w:val="24"/>
        </w:rPr>
        <w:t>Declaração de Inidoneidade para Licitar ou Contratar com a Administração Pública, nos termos do Art. 156, IV, da Lei n 14.133/2021;</w:t>
      </w:r>
    </w:p>
    <w:p>
      <w:pPr>
        <w:pStyle w:val="Normal"/>
        <w:numPr>
          <w:ilvl w:val="3"/>
          <w:numId w:val="434"/>
        </w:numPr>
        <w:spacing w:lineRule="atLeast" w:line="300"/>
        <w:jc w:val="both"/>
        <w:rPr>
          <w:rFonts w:ascii="Times New Roman" w:hAnsi="Times New Roman"/>
          <w:sz w:val="24"/>
          <w:szCs w:val="24"/>
        </w:rPr>
      </w:pPr>
      <w:r>
        <w:rPr>
          <w:rFonts w:cs="Times New Roman" w:ascii="Times New Roman" w:hAnsi="Times New Roman"/>
          <w:sz w:val="24"/>
          <w:szCs w:val="24"/>
        </w:rPr>
        <w:t>Os efeitos persistirão enquanto durarem os motivos que deram causa à aplicação da penalidade ou até que seja promovida a reabilitação da contratada perante a Administração.</w:t>
      </w:r>
    </w:p>
    <w:p>
      <w:pPr>
        <w:pStyle w:val="Normal"/>
        <w:numPr>
          <w:ilvl w:val="3"/>
          <w:numId w:val="435"/>
        </w:numPr>
        <w:spacing w:lineRule="atLeast" w:line="300"/>
        <w:jc w:val="both"/>
        <w:rPr>
          <w:rFonts w:ascii="Times New Roman" w:hAnsi="Times New Roman"/>
          <w:sz w:val="24"/>
          <w:szCs w:val="24"/>
        </w:rPr>
      </w:pPr>
      <w:r>
        <w:rPr>
          <w:rFonts w:cs="Times New Roman" w:ascii="Times New Roman" w:hAnsi="Times New Roman"/>
          <w:sz w:val="24"/>
          <w:szCs w:val="24"/>
        </w:rPr>
        <w:t>A reabilitação será concedida sempre que a contratada ressarcir a Administração pelos prejuízos causados e após o decurso de 2 (dois) anos da aplicação da penalidade.</w:t>
      </w:r>
    </w:p>
    <w:p>
      <w:pPr>
        <w:pStyle w:val="Normal"/>
        <w:numPr>
          <w:ilvl w:val="1"/>
          <w:numId w:val="436"/>
        </w:numPr>
        <w:spacing w:lineRule="atLeast" w:line="300"/>
        <w:jc w:val="both"/>
        <w:rPr>
          <w:rFonts w:ascii="Times New Roman" w:hAnsi="Times New Roman"/>
          <w:sz w:val="24"/>
          <w:szCs w:val="24"/>
        </w:rPr>
      </w:pPr>
      <w:r>
        <w:rPr>
          <w:rFonts w:cs="Times New Roman" w:ascii="Times New Roman" w:hAnsi="Times New Roman"/>
          <w:sz w:val="24"/>
          <w:szCs w:val="24"/>
        </w:rPr>
        <w:t>A</w:t>
      </w:r>
      <w:r>
        <w:rPr>
          <w:rFonts w:eastAsia="Calibri" w:cs="Times New Roman" w:ascii="Times New Roman" w:hAnsi="Times New Roman"/>
          <w:sz w:val="24"/>
          <w:szCs w:val="24"/>
        </w:rPr>
        <w:t xml:space="preserve"> penalidade de advertência poderá ser aplicada quando do cometimento da infração não caiba sanção mais gravosa, e na hipótese de falta leve, assim entendida aquela que não acarrete prejuízo significativo para a Administração, não interfira diretamente na execução do objeto nem comprometa prazos e/ou serviços.</w:t>
      </w:r>
    </w:p>
    <w:p>
      <w:pPr>
        <w:pStyle w:val="Normal"/>
        <w:numPr>
          <w:ilvl w:val="1"/>
          <w:numId w:val="437"/>
        </w:numPr>
        <w:spacing w:lineRule="atLeast" w:line="300"/>
        <w:jc w:val="both"/>
        <w:rPr>
          <w:rFonts w:ascii="Times New Roman" w:hAnsi="Times New Roman"/>
          <w:sz w:val="24"/>
          <w:szCs w:val="24"/>
        </w:rPr>
      </w:pPr>
      <w:r>
        <w:rPr>
          <w:rFonts w:eastAsia="Calibri" w:cs="Times New Roman" w:ascii="Times New Roman" w:hAnsi="Times New Roman"/>
          <w:sz w:val="24"/>
          <w:szCs w:val="24"/>
        </w:rPr>
        <w:t>A reincidência da contratada em infração sancionada com advertência implicará a aplicação de sanção mais grave.</w:t>
      </w:r>
    </w:p>
    <w:p>
      <w:pPr>
        <w:pStyle w:val="Normal"/>
        <w:numPr>
          <w:ilvl w:val="1"/>
          <w:numId w:val="438"/>
        </w:numPr>
        <w:spacing w:lineRule="atLeast" w:line="300"/>
        <w:jc w:val="both"/>
        <w:rPr>
          <w:rFonts w:ascii="Times New Roman" w:hAnsi="Times New Roman"/>
          <w:sz w:val="24"/>
          <w:szCs w:val="24"/>
        </w:rPr>
      </w:pPr>
      <w:r>
        <w:rPr>
          <w:rFonts w:eastAsia="Calibri" w:cs="Times New Roman" w:ascii="Times New Roman" w:hAnsi="Times New Roman"/>
          <w:sz w:val="24"/>
          <w:szCs w:val="24"/>
        </w:rPr>
        <w:t>A penalidade de multa poderá ser aplicada cumulativamente com as demais sanções.</w:t>
      </w:r>
    </w:p>
    <w:p>
      <w:pPr>
        <w:pStyle w:val="Normal"/>
        <w:numPr>
          <w:ilvl w:val="1"/>
          <w:numId w:val="439"/>
        </w:numPr>
        <w:spacing w:lineRule="atLeast" w:line="300" w:before="0" w:after="120"/>
        <w:jc w:val="both"/>
        <w:rPr>
          <w:rFonts w:ascii="Times New Roman" w:hAnsi="Times New Roman"/>
          <w:sz w:val="24"/>
          <w:szCs w:val="24"/>
        </w:rPr>
      </w:pPr>
      <w:r>
        <w:rPr>
          <w:rFonts w:eastAsia="Calibri" w:ascii="Times New Roman" w:hAnsi="Times New Roman"/>
          <w:sz w:val="24"/>
          <w:szCs w:val="24"/>
        </w:rPr>
        <w:t>A Guia de Recolhimento da União (GRU) deverá ser paga no prazo máximo de 5 (cinco) dias úteis, a contar do recebimento pela empresa sancionada.</w:t>
      </w:r>
    </w:p>
    <w:p>
      <w:pPr>
        <w:pStyle w:val="Normal"/>
        <w:numPr>
          <w:ilvl w:val="1"/>
          <w:numId w:val="440"/>
        </w:numPr>
        <w:spacing w:lineRule="atLeast" w:line="300" w:before="0" w:after="120"/>
        <w:jc w:val="both"/>
        <w:rPr>
          <w:rFonts w:ascii="Times New Roman" w:hAnsi="Times New Roman"/>
          <w:sz w:val="24"/>
          <w:szCs w:val="24"/>
        </w:rPr>
      </w:pPr>
      <w:r>
        <w:rPr>
          <w:rFonts w:eastAsia="Calibri" w:ascii="Times New Roman" w:hAnsi="Times New Roman"/>
          <w:sz w:val="24"/>
          <w:szCs w:val="24"/>
        </w:rPr>
        <w:t>Caso a empresa não efetue o recolhimento da GRU, aplicada será descontado dos créditos que a contratada fizer jus, no âmbito da mesma contratação.</w:t>
      </w:r>
    </w:p>
    <w:p>
      <w:pPr>
        <w:pStyle w:val="Normal"/>
        <w:numPr>
          <w:ilvl w:val="1"/>
          <w:numId w:val="441"/>
        </w:numPr>
        <w:spacing w:lineRule="atLeast" w:line="300" w:before="0" w:after="120"/>
        <w:jc w:val="both"/>
        <w:rPr>
          <w:rFonts w:ascii="Times New Roman" w:hAnsi="Times New Roman"/>
          <w:sz w:val="24"/>
          <w:szCs w:val="24"/>
        </w:rPr>
      </w:pPr>
      <w:r>
        <w:rPr>
          <w:rFonts w:eastAsia="Calibri" w:ascii="Times New Roman" w:hAnsi="Times New Roman"/>
          <w:sz w:val="24"/>
          <w:szCs w:val="24"/>
        </w:rPr>
        <w:t>As multas imputadas à fornecedora cujo montante seja superior ao mínimo estabelecido pelo Ministério da Economia e não pagas no prazo concedido pela Administração, serão inscritas em Dívida Ativa da União e cobradas com base na Lei n.º 6.830/1980, sem prejuízo da correção monetária pelo IGP-M ou outro índice que porventura venha a substituí-lo.</w:t>
      </w:r>
    </w:p>
    <w:p>
      <w:pPr>
        <w:pStyle w:val="Normal"/>
        <w:numPr>
          <w:ilvl w:val="1"/>
          <w:numId w:val="442"/>
        </w:numPr>
        <w:spacing w:lineRule="atLeast" w:line="300" w:before="0" w:after="120"/>
        <w:jc w:val="both"/>
        <w:rPr>
          <w:rFonts w:ascii="Times New Roman" w:hAnsi="Times New Roman"/>
          <w:sz w:val="24"/>
          <w:szCs w:val="24"/>
        </w:rPr>
      </w:pPr>
      <w:r>
        <w:rPr>
          <w:rFonts w:eastAsia="Calibri" w:ascii="Times New Roman" w:hAnsi="Times New Roman"/>
          <w:sz w:val="24"/>
          <w:szCs w:val="24"/>
        </w:rPr>
        <w:t>A aplicação das penalidades acima descritas não prejudica a de outras a que a empresa esteja sujeita pelo não cumprimento das obrigações assumidas ou execução insatisfatória dos serviços de entrega e assistência técnica, nos termos previstos em lei.</w:t>
      </w:r>
    </w:p>
    <w:p>
      <w:pPr>
        <w:pStyle w:val="Normal"/>
        <w:numPr>
          <w:ilvl w:val="1"/>
          <w:numId w:val="443"/>
        </w:numPr>
        <w:spacing w:lineRule="atLeast" w:line="300" w:before="0" w:after="120"/>
        <w:jc w:val="both"/>
        <w:rPr>
          <w:rFonts w:ascii="Times New Roman" w:hAnsi="Times New Roman"/>
          <w:sz w:val="24"/>
          <w:szCs w:val="24"/>
        </w:rPr>
      </w:pPr>
      <w:r>
        <w:rPr>
          <w:rFonts w:eastAsia="Calibri" w:ascii="Times New Roman" w:hAnsi="Times New Roman"/>
          <w:sz w:val="24"/>
          <w:szCs w:val="24"/>
        </w:rPr>
        <w:t>As penalidades acima previstas só poderão ser relevadas na hipótese de ocorrência de fatos imprevisíveis, devidamente justificados e comprovados, a juízo da Contratante.</w:t>
      </w:r>
    </w:p>
    <w:p>
      <w:pPr>
        <w:pStyle w:val="Normal"/>
        <w:numPr>
          <w:ilvl w:val="1"/>
          <w:numId w:val="444"/>
        </w:numPr>
        <w:spacing w:lineRule="atLeast" w:line="300" w:before="0" w:after="120"/>
        <w:jc w:val="both"/>
        <w:rPr>
          <w:rFonts w:ascii="Times New Roman" w:hAnsi="Times New Roman"/>
          <w:sz w:val="24"/>
          <w:szCs w:val="24"/>
        </w:rPr>
      </w:pPr>
      <w:r>
        <w:rPr>
          <w:rFonts w:eastAsia="Calibri" w:ascii="Times New Roman" w:hAnsi="Times New Roman"/>
          <w:sz w:val="24"/>
          <w:szCs w:val="24"/>
        </w:rPr>
        <w:t>A aplicação das sanções previstas no presente Termo de Referência observará os graus de competência que atribui o Regimento Interno Administrativo e o Regimento Interno Diretivo do Ministério Público Federal.</w:t>
      </w:r>
    </w:p>
    <w:p>
      <w:pPr>
        <w:pStyle w:val="Normal"/>
        <w:numPr>
          <w:ilvl w:val="1"/>
          <w:numId w:val="445"/>
        </w:numPr>
        <w:spacing w:lineRule="atLeast" w:line="300" w:before="0" w:after="120"/>
        <w:jc w:val="both"/>
        <w:rPr>
          <w:rFonts w:ascii="Times New Roman" w:hAnsi="Times New Roman"/>
          <w:sz w:val="24"/>
          <w:szCs w:val="24"/>
        </w:rPr>
      </w:pPr>
      <w:r>
        <w:rPr>
          <w:rFonts w:eastAsia="Calibri" w:ascii="Times New Roman" w:hAnsi="Times New Roman"/>
          <w:sz w:val="24"/>
          <w:szCs w:val="24"/>
        </w:rPr>
        <w:t>As penalidades serão obrigatoriamente registradas no SICAF.</w:t>
      </w:r>
    </w:p>
    <w:p>
      <w:pPr>
        <w:pStyle w:val="Heading1"/>
        <w:numPr>
          <w:ilvl w:val="0"/>
          <w:numId w:val="446"/>
        </w:numPr>
        <w:shd w:val="clear" w:color="auto" w:fill="9CC2E5"/>
        <w:spacing w:before="0" w:after="113"/>
        <w:jc w:val="both"/>
        <w:rPr>
          <w:rFonts w:ascii="Times New Roman" w:hAnsi="Times New Roman"/>
          <w:sz w:val="24"/>
          <w:szCs w:val="24"/>
        </w:rPr>
      </w:pPr>
      <w:bookmarkStart w:id="35" w:name="__RefHeading___Toc11711_612072703"/>
      <w:bookmarkStart w:id="36" w:name="_Toc202882177"/>
      <w:bookmarkStart w:id="37" w:name="_Toc202369841"/>
      <w:bookmarkEnd w:id="35"/>
      <w:r>
        <w:rPr>
          <w:rFonts w:eastAsia="Arial" w:cs="Times New Roman" w:ascii="Times New Roman" w:hAnsi="Times New Roman"/>
          <w:b/>
          <w:color w:val="auto"/>
          <w:sz w:val="24"/>
          <w:szCs w:val="24"/>
        </w:rPr>
        <w:t>CRITÉRIOS DE MEDIÇÃO E PAGAMENTO</w:t>
      </w:r>
      <w:bookmarkEnd w:id="36"/>
      <w:bookmarkEnd w:id="37"/>
    </w:p>
    <w:p>
      <w:pPr>
        <w:pStyle w:val="Normal"/>
        <w:numPr>
          <w:ilvl w:val="1"/>
          <w:numId w:val="447"/>
        </w:numPr>
        <w:spacing w:lineRule="atLeast" w:line="180" w:before="0" w:after="120"/>
        <w:jc w:val="both"/>
        <w:rPr>
          <w:rFonts w:ascii="Times New Roman" w:hAnsi="Times New Roman"/>
          <w:sz w:val="24"/>
          <w:szCs w:val="24"/>
        </w:rPr>
      </w:pPr>
      <w:r>
        <w:rPr>
          <w:rFonts w:eastAsia="Calibri" w:ascii="Times New Roman" w:hAnsi="Times New Roman"/>
          <w:sz w:val="24"/>
          <w:szCs w:val="24"/>
        </w:rPr>
        <w:t>A contratante pagará à contratada os valores correspondentes aos produtos/serviços efetivamente entregues, por meio de depósito na conta-corrente da CONTRATADA, através de ordem bancária emitida até o 5º (quinto) dia útil subsequente ao ateste pelo setor competente pela fiscalização da contratação quanto ao recebimento definitivo do objeto.</w:t>
      </w:r>
    </w:p>
    <w:p>
      <w:pPr>
        <w:pStyle w:val="Normal"/>
        <w:numPr>
          <w:ilvl w:val="1"/>
          <w:numId w:val="448"/>
        </w:numPr>
        <w:spacing w:lineRule="atLeast" w:line="180" w:before="0" w:after="120"/>
        <w:jc w:val="both"/>
        <w:rPr>
          <w:rFonts w:ascii="Times New Roman" w:hAnsi="Times New Roman"/>
          <w:sz w:val="24"/>
          <w:szCs w:val="24"/>
        </w:rPr>
      </w:pPr>
      <w:r>
        <w:rPr>
          <w:rFonts w:ascii="Times New Roman" w:hAnsi="Times New Roman"/>
          <w:sz w:val="24"/>
          <w:szCs w:val="24"/>
        </w:rPr>
        <w:t>Para execução do pagamento, a fornecedora deverá emitir nota fiscal em nome da Procuradoria da República no Paraná, CNPJ nº 26.998.715/0023-18. Informar no corpo da nota:</w:t>
      </w:r>
    </w:p>
    <w:p>
      <w:pPr>
        <w:pStyle w:val="Normal"/>
        <w:numPr>
          <w:ilvl w:val="2"/>
          <w:numId w:val="449"/>
        </w:numPr>
        <w:spacing w:lineRule="atLeast" w:line="180" w:before="0" w:after="120"/>
        <w:jc w:val="both"/>
        <w:rPr>
          <w:rFonts w:ascii="Times New Roman" w:hAnsi="Times New Roman"/>
          <w:sz w:val="24"/>
          <w:szCs w:val="24"/>
        </w:rPr>
      </w:pPr>
      <w:r>
        <w:rPr>
          <w:rFonts w:ascii="Times New Roman" w:hAnsi="Times New Roman"/>
          <w:sz w:val="24"/>
          <w:szCs w:val="24"/>
        </w:rPr>
        <w:t>Nome da cidade da prestação dos serviços;</w:t>
      </w:r>
    </w:p>
    <w:p>
      <w:pPr>
        <w:pStyle w:val="Normal"/>
        <w:numPr>
          <w:ilvl w:val="2"/>
          <w:numId w:val="450"/>
        </w:numPr>
        <w:spacing w:lineRule="atLeast" w:line="180" w:before="0" w:after="120"/>
        <w:jc w:val="both"/>
        <w:rPr>
          <w:rFonts w:ascii="Times New Roman" w:hAnsi="Times New Roman"/>
          <w:sz w:val="24"/>
          <w:szCs w:val="24"/>
        </w:rPr>
      </w:pPr>
      <w:r>
        <w:rPr>
          <w:rFonts w:ascii="Times New Roman" w:hAnsi="Times New Roman"/>
          <w:sz w:val="24"/>
          <w:szCs w:val="24"/>
        </w:rPr>
        <w:t>Memória de cálculos das contribuições e tributos incidentes sobre a fatura;</w:t>
      </w:r>
    </w:p>
    <w:p>
      <w:pPr>
        <w:pStyle w:val="Normal"/>
        <w:numPr>
          <w:ilvl w:val="2"/>
          <w:numId w:val="451"/>
        </w:numPr>
        <w:spacing w:lineRule="atLeast" w:line="180" w:before="0" w:after="120"/>
        <w:jc w:val="both"/>
        <w:rPr>
          <w:rFonts w:ascii="Times New Roman" w:hAnsi="Times New Roman"/>
          <w:sz w:val="24"/>
          <w:szCs w:val="24"/>
        </w:rPr>
      </w:pPr>
      <w:r>
        <w:rPr>
          <w:rFonts w:ascii="Times New Roman" w:hAnsi="Times New Roman"/>
          <w:sz w:val="24"/>
          <w:szCs w:val="24"/>
        </w:rPr>
        <w:t>Valor líquido da fatura;</w:t>
      </w:r>
    </w:p>
    <w:p>
      <w:pPr>
        <w:pStyle w:val="Normal"/>
        <w:numPr>
          <w:ilvl w:val="2"/>
          <w:numId w:val="452"/>
        </w:numPr>
        <w:spacing w:lineRule="atLeast" w:line="180" w:before="0" w:after="120"/>
        <w:jc w:val="both"/>
        <w:rPr>
          <w:rFonts w:ascii="Times New Roman" w:hAnsi="Times New Roman"/>
          <w:sz w:val="24"/>
          <w:szCs w:val="24"/>
        </w:rPr>
      </w:pPr>
      <w:r>
        <w:rPr>
          <w:rFonts w:ascii="Times New Roman" w:hAnsi="Times New Roman"/>
          <w:sz w:val="24"/>
          <w:szCs w:val="24"/>
        </w:rPr>
        <w:t>Nº da nota de empenho;</w:t>
      </w:r>
    </w:p>
    <w:p>
      <w:pPr>
        <w:pStyle w:val="Normal"/>
        <w:numPr>
          <w:ilvl w:val="2"/>
          <w:numId w:val="453"/>
        </w:numPr>
        <w:spacing w:lineRule="atLeast" w:line="180" w:before="0" w:after="120"/>
        <w:jc w:val="both"/>
        <w:rPr>
          <w:rFonts w:ascii="Times New Roman" w:hAnsi="Times New Roman"/>
          <w:sz w:val="24"/>
          <w:szCs w:val="24"/>
        </w:rPr>
      </w:pPr>
      <w:r>
        <w:rPr>
          <w:rFonts w:ascii="Times New Roman" w:hAnsi="Times New Roman"/>
          <w:sz w:val="24"/>
          <w:szCs w:val="24"/>
        </w:rPr>
        <w:t>Dados bancários.</w:t>
      </w:r>
    </w:p>
    <w:p>
      <w:pPr>
        <w:pStyle w:val="Normal"/>
        <w:numPr>
          <w:ilvl w:val="1"/>
          <w:numId w:val="454"/>
        </w:numPr>
        <w:spacing w:lineRule="atLeast" w:line="180" w:before="0" w:after="120"/>
        <w:jc w:val="both"/>
        <w:rPr>
          <w:rFonts w:ascii="Times New Roman" w:hAnsi="Times New Roman"/>
          <w:sz w:val="24"/>
          <w:szCs w:val="24"/>
        </w:rPr>
      </w:pPr>
      <w:r>
        <w:rPr>
          <w:rFonts w:ascii="Times New Roman" w:hAnsi="Times New Roman"/>
          <w:sz w:val="24"/>
          <w:szCs w:val="24"/>
        </w:rPr>
        <w:t>A comprovação do cadastro e habilitação parcial no Sistema de Cadastramento Unificado de Fornecedores (SICAF) dar-se-á mediante verificação da validade dos documentos necessários, por meio de consulta “online” ao sistema, por ocasião da liquidação da despesa.</w:t>
      </w:r>
    </w:p>
    <w:p>
      <w:pPr>
        <w:pStyle w:val="Normal"/>
        <w:numPr>
          <w:ilvl w:val="2"/>
          <w:numId w:val="455"/>
        </w:numPr>
        <w:spacing w:lineRule="atLeast" w:line="180" w:before="0" w:after="120"/>
        <w:jc w:val="both"/>
        <w:rPr>
          <w:rFonts w:ascii="Times New Roman" w:hAnsi="Times New Roman"/>
          <w:sz w:val="24"/>
          <w:szCs w:val="24"/>
        </w:rPr>
      </w:pPr>
      <w:r>
        <w:rPr>
          <w:rFonts w:ascii="Times New Roman" w:hAnsi="Times New Roman"/>
          <w:sz w:val="24"/>
          <w:szCs w:val="24"/>
        </w:rPr>
        <w:t>Quando vencidas no SICAF ou irregulares, será assegurado à Contratada apresentar a documentação referente à regularidade junto à Seguridade Social (CND do INSS), ao Fundo de Garantia por Tempo de Serviço (CRF do FGTS) e às Receitas Federal, Estadual e Municipal e à Justiça do Trabalho (Certidão Negativa de Débitos Trabalhistas – CNDT), se já regularizadas e atualizadas.</w:t>
      </w:r>
    </w:p>
    <w:p>
      <w:pPr>
        <w:pStyle w:val="Normal"/>
        <w:numPr>
          <w:ilvl w:val="1"/>
          <w:numId w:val="456"/>
        </w:numPr>
        <w:spacing w:lineRule="atLeast" w:line="180" w:before="0" w:after="120"/>
        <w:jc w:val="both"/>
        <w:rPr/>
      </w:pPr>
      <w:r>
        <w:rPr>
          <w:rFonts w:ascii="Times New Roman" w:hAnsi="Times New Roman"/>
          <w:sz w:val="24"/>
          <w:szCs w:val="24"/>
        </w:rPr>
        <w:t>O</w:t>
      </w:r>
      <w:r>
        <w:rPr>
          <w:rFonts w:eastAsia="Calibri" w:ascii="Times New Roman" w:hAnsi="Times New Roman"/>
          <w:sz w:val="24"/>
          <w:szCs w:val="24"/>
        </w:rPr>
        <w:t xml:space="preserve"> documento de cobrança deverá ser entregue por meio eletrônico, por meio do sistema de peticionamento eletrônico do MPF (link: </w:t>
      </w:r>
      <w:hyperlink r:id="rId19">
        <w:r>
          <w:rPr>
            <w:rStyle w:val="Hyperlink"/>
            <w:rFonts w:eastAsia="Calibri" w:ascii="Times New Roman" w:hAnsi="Times New Roman"/>
            <w:sz w:val="24"/>
            <w:szCs w:val="24"/>
          </w:rPr>
          <w:t>https://apps.mpf.mp.br/spe/login</w:t>
        </w:r>
      </w:hyperlink>
      <w:r>
        <w:rPr>
          <w:rFonts w:eastAsia="Calibri" w:ascii="Times New Roman" w:hAnsi="Times New Roman"/>
          <w:sz w:val="24"/>
          <w:szCs w:val="24"/>
        </w:rPr>
        <w:t>), ou em caso de indisponibilidade do sistema, através dos e-mails descritos na sessão 1, ou em outro que o MPF/PR indicar.</w:t>
      </w:r>
    </w:p>
    <w:p>
      <w:pPr>
        <w:pStyle w:val="Normal"/>
        <w:numPr>
          <w:ilvl w:val="1"/>
          <w:numId w:val="457"/>
        </w:numPr>
        <w:spacing w:lineRule="atLeast" w:line="180" w:before="0" w:after="120"/>
        <w:jc w:val="both"/>
        <w:rPr>
          <w:rFonts w:ascii="Times New Roman" w:hAnsi="Times New Roman"/>
          <w:sz w:val="24"/>
          <w:szCs w:val="24"/>
        </w:rPr>
      </w:pPr>
      <w:r>
        <w:rPr>
          <w:rFonts w:eastAsia="Calibri" w:ascii="Times New Roman" w:hAnsi="Times New Roman"/>
          <w:sz w:val="24"/>
          <w:szCs w:val="24"/>
        </w:rPr>
        <w:t>O MPF/PR não se responsabilizará pelo atraso no pagamento, quando o documento de cobrança for entregue fora do local e/ou prazo estabelecido ou quando contiver alguma inconsistência que impossibilite o pronto pagamento.</w:t>
      </w:r>
    </w:p>
    <w:p>
      <w:pPr>
        <w:pStyle w:val="Normal"/>
        <w:numPr>
          <w:ilvl w:val="1"/>
          <w:numId w:val="458"/>
        </w:numPr>
        <w:spacing w:lineRule="atLeast" w:line="180" w:before="0" w:after="120"/>
        <w:jc w:val="both"/>
        <w:rPr>
          <w:rFonts w:ascii="Times New Roman" w:hAnsi="Times New Roman"/>
          <w:sz w:val="24"/>
          <w:szCs w:val="24"/>
        </w:rPr>
      </w:pPr>
      <w:r>
        <w:rPr>
          <w:rFonts w:eastAsia="Calibri" w:ascii="Times New Roman" w:hAnsi="Times New Roman"/>
          <w:sz w:val="24"/>
          <w:szCs w:val="24"/>
        </w:rPr>
        <w:t>Qualquer atraso ocorrido na apresentação da fatura ou nota fiscal, ou dos documentos exigidos como condição para pagamento por parte da contratada, importará na interrupção da contagem do prazo de vencimento do pagamento, iniciando novo prazo após a regularização da situação, sendo ilícita a inclusão de qualquer atualização monetária ou incidência de juros em virtude de atraso provocado pela contratada.</w:t>
      </w:r>
    </w:p>
    <w:p>
      <w:pPr>
        <w:pStyle w:val="Normal"/>
        <w:numPr>
          <w:ilvl w:val="1"/>
          <w:numId w:val="459"/>
        </w:numPr>
        <w:spacing w:lineRule="atLeast" w:line="180" w:before="0" w:after="120"/>
        <w:jc w:val="both"/>
        <w:rPr>
          <w:rFonts w:ascii="Times New Roman" w:hAnsi="Times New Roman"/>
          <w:sz w:val="24"/>
          <w:szCs w:val="24"/>
        </w:rPr>
      </w:pPr>
      <w:r>
        <w:rPr>
          <w:rFonts w:eastAsia="Calibri" w:ascii="Times New Roman" w:hAnsi="Times New Roman"/>
          <w:sz w:val="24"/>
          <w:szCs w:val="24"/>
        </w:rPr>
        <w:t>Nenhum pagamento deverá ser efetuado à contratada, enquanto pendente de liquidação ou qualquer obrigação financeira que lhe for imposta. Não haverá crédito à contratada, igualmente, em virtude de penalidade a esta cominada ou em caso de inadimplência contratual sem que isso gere direito a acréscimos de qualquer natureza.</w:t>
      </w:r>
    </w:p>
    <w:p>
      <w:pPr>
        <w:pStyle w:val="Normal"/>
        <w:numPr>
          <w:ilvl w:val="1"/>
          <w:numId w:val="460"/>
        </w:numPr>
        <w:spacing w:lineRule="atLeast" w:line="180" w:before="0" w:after="120"/>
        <w:jc w:val="both"/>
        <w:rPr/>
      </w:pPr>
      <w:r>
        <w:rPr>
          <w:rFonts w:eastAsia="Calibri" w:ascii="Times New Roman" w:hAnsi="Times New Roman"/>
          <w:sz w:val="24"/>
          <w:szCs w:val="24"/>
        </w:rPr>
        <w:t xml:space="preserve">Caso a contratada seja optante pelo “SIMPLES NACIONAL” (Lei Complementar nº 123/2006), não serão feitas as retenções de que tratam as citadas instruções normativas, ficando a contratada nesse caso obrigada a apresentar declaração, na forma do Anexo IV da Instrução Normativa RFB nº 1.234/2012, por meio eletrônico, através do sistema de peticionamento eletrônico do MPF (link: </w:t>
      </w:r>
      <w:hyperlink r:id="rId20">
        <w:r>
          <w:rPr>
            <w:rFonts w:eastAsia="Calibri" w:ascii="Times New Roman" w:hAnsi="Times New Roman"/>
            <w:sz w:val="24"/>
            <w:szCs w:val="24"/>
          </w:rPr>
          <w:t>https://apps.mpf.mp.br/spe/login</w:t>
        </w:r>
      </w:hyperlink>
      <w:r>
        <w:rPr>
          <w:rFonts w:eastAsia="Calibri" w:ascii="Times New Roman" w:hAnsi="Times New Roman"/>
          <w:sz w:val="24"/>
          <w:szCs w:val="24"/>
        </w:rPr>
        <w:t>), ou em caso de indisponibilidade do sistema, por intermédio do e-mail através dos e-mails descritos no item 1.1</w:t>
      </w:r>
    </w:p>
    <w:p>
      <w:pPr>
        <w:pStyle w:val="Normal"/>
        <w:numPr>
          <w:ilvl w:val="1"/>
          <w:numId w:val="461"/>
        </w:numPr>
        <w:spacing w:lineRule="atLeast" w:line="180" w:before="0" w:after="120"/>
        <w:jc w:val="both"/>
        <w:rPr>
          <w:rFonts w:ascii="Times New Roman" w:hAnsi="Times New Roman"/>
          <w:sz w:val="24"/>
          <w:szCs w:val="24"/>
        </w:rPr>
      </w:pPr>
      <w:r>
        <w:rPr>
          <w:rFonts w:eastAsia="Calibri" w:ascii="Times New Roman" w:hAnsi="Times New Roman"/>
          <w:sz w:val="24"/>
          <w:szCs w:val="24"/>
        </w:rPr>
        <w:t>O Serviço de Pagamento também poderá verificar a situação do fornecedor por meio de consulta on line no SICAF, cujo resultado será impresso e juntado aos autos.</w:t>
      </w:r>
    </w:p>
    <w:p>
      <w:pPr>
        <w:pStyle w:val="Normal"/>
        <w:numPr>
          <w:ilvl w:val="1"/>
          <w:numId w:val="462"/>
        </w:numPr>
        <w:spacing w:lineRule="atLeast" w:line="180" w:before="0" w:after="120"/>
        <w:jc w:val="both"/>
        <w:rPr>
          <w:rFonts w:ascii="Times New Roman" w:hAnsi="Times New Roman"/>
          <w:sz w:val="24"/>
          <w:szCs w:val="24"/>
        </w:rPr>
      </w:pPr>
      <w:r>
        <w:rPr>
          <w:rFonts w:eastAsia="Calibri" w:ascii="Times New Roman" w:hAnsi="Times New Roman"/>
          <w:sz w:val="24"/>
          <w:szCs w:val="24"/>
        </w:rPr>
        <w:t>Fica assegurado ao contratante o direito de deduzir do pagamento devido à contratada as importâncias correspondentes a multas, faltas ou débitos a que porventura, a empresa contratada, tiver dado causa. Não tendo nenhum valor a receber, as importâncias deverão ser recolhidas pela contratada. Caso contrário, os dados serão encaminhados à área competente para cobrança judicial.</w:t>
      </w:r>
    </w:p>
    <w:p>
      <w:pPr>
        <w:pStyle w:val="Normal"/>
        <w:numPr>
          <w:ilvl w:val="1"/>
          <w:numId w:val="463"/>
        </w:numPr>
        <w:spacing w:lineRule="atLeast" w:line="180" w:before="0" w:after="120"/>
        <w:jc w:val="both"/>
        <w:rPr>
          <w:rFonts w:ascii="Times New Roman" w:hAnsi="Times New Roman"/>
          <w:sz w:val="24"/>
          <w:szCs w:val="24"/>
        </w:rPr>
      </w:pPr>
      <w:r>
        <w:rPr>
          <w:rFonts w:eastAsia="Calibri" w:ascii="Times New Roman" w:hAnsi="Times New Roman"/>
          <w:sz w:val="24"/>
          <w:szCs w:val="24"/>
        </w:rPr>
        <w:t>Nos casos de eventuais atrasos de pagamentos, desde que a contratada não tenha concorrido de alguma forma para tanto, fica convencionado que a taxa de atualização financeira devida pelo contratante, entre a data acima referida e a correspondente ao efetivo adimplemento da parcela, será de 6% a.a (seis por cento ao ano), mediante a aplicação da seguinte fórmula:</w:t>
      </w:r>
    </w:p>
    <w:p>
      <w:pPr>
        <w:pStyle w:val="Normal"/>
        <w:shd w:val="clear" w:color="auto" w:fill="FFFFFF"/>
        <w:jc w:val="center"/>
        <w:rPr>
          <w:rFonts w:ascii="Times New Roman" w:hAnsi="Times New Roman"/>
          <w:sz w:val="24"/>
          <w:szCs w:val="24"/>
        </w:rPr>
      </w:pPr>
      <w:r>
        <w:rPr>
          <w:rFonts w:eastAsia="Calibri" w:cs="Times New Roman" w:ascii="Times New Roman" w:hAnsi="Times New Roman"/>
          <w:b/>
          <w:bCs/>
          <w:sz w:val="24"/>
          <w:szCs w:val="24"/>
          <w:shd w:fill="FFFFFF" w:val="clear"/>
        </w:rPr>
        <w:t>EM = I x N x VP</w:t>
      </w:r>
      <w:r>
        <w:rPr>
          <w:rFonts w:eastAsia="Calibri" w:cs="Times New Roman" w:ascii="Times New Roman" w:hAnsi="Times New Roman"/>
          <w:sz w:val="24"/>
          <w:szCs w:val="24"/>
          <w:shd w:fill="FFFFFF" w:val="clear"/>
        </w:rPr>
        <w:t>, em que:</w:t>
      </w:r>
    </w:p>
    <w:p>
      <w:pPr>
        <w:pStyle w:val="Normal"/>
        <w:numPr>
          <w:ilvl w:val="0"/>
          <w:numId w:val="1"/>
        </w:numPr>
        <w:shd w:val="clear" w:color="auto" w:fill="FFFFFF"/>
        <w:jc w:val="both"/>
        <w:rPr>
          <w:rFonts w:ascii="Times New Roman" w:hAnsi="Times New Roman"/>
          <w:sz w:val="24"/>
          <w:szCs w:val="24"/>
        </w:rPr>
      </w:pPr>
      <w:r>
        <w:rPr>
          <w:rFonts w:eastAsia="Calibri" w:cs="Times New Roman" w:ascii="Times New Roman" w:hAnsi="Times New Roman"/>
          <w:b/>
          <w:sz w:val="24"/>
          <w:szCs w:val="24"/>
          <w:shd w:fill="FFFFFF" w:val="clear"/>
        </w:rPr>
        <w:t>EM</w:t>
      </w:r>
      <w:r>
        <w:rPr>
          <w:rFonts w:eastAsia="Calibri" w:cs="Times New Roman" w:ascii="Times New Roman" w:hAnsi="Times New Roman"/>
          <w:sz w:val="24"/>
          <w:szCs w:val="24"/>
          <w:shd w:fill="FFFFFF" w:val="clear"/>
        </w:rPr>
        <w:t xml:space="preserve"> = encargos moratórios;</w:t>
      </w:r>
    </w:p>
    <w:p>
      <w:pPr>
        <w:pStyle w:val="Normal"/>
        <w:numPr>
          <w:ilvl w:val="0"/>
          <w:numId w:val="1"/>
        </w:numPr>
        <w:shd w:val="clear" w:color="auto" w:fill="FFFFFF"/>
        <w:jc w:val="both"/>
        <w:rPr>
          <w:rFonts w:ascii="Times New Roman" w:hAnsi="Times New Roman"/>
          <w:sz w:val="24"/>
          <w:szCs w:val="24"/>
        </w:rPr>
      </w:pPr>
      <w:r>
        <w:rPr>
          <w:rFonts w:eastAsia="Calibri" w:cs="Times New Roman" w:ascii="Times New Roman" w:hAnsi="Times New Roman"/>
          <w:b/>
          <w:sz w:val="24"/>
          <w:szCs w:val="24"/>
          <w:shd w:fill="FFFFFF" w:val="clear"/>
        </w:rPr>
        <w:t>N</w:t>
      </w:r>
      <w:r>
        <w:rPr>
          <w:rFonts w:eastAsia="Calibri" w:cs="Times New Roman" w:ascii="Times New Roman" w:hAnsi="Times New Roman"/>
          <w:sz w:val="24"/>
          <w:szCs w:val="24"/>
          <w:shd w:fill="FFFFFF" w:val="clear"/>
        </w:rPr>
        <w:t xml:space="preserve"> = número de dias entre a data prevista para o pagamento e a do efetivo pagamento;</w:t>
      </w:r>
    </w:p>
    <w:p>
      <w:pPr>
        <w:pStyle w:val="Normal"/>
        <w:numPr>
          <w:ilvl w:val="0"/>
          <w:numId w:val="1"/>
        </w:numPr>
        <w:shd w:val="clear" w:color="auto" w:fill="FFFFFF"/>
        <w:jc w:val="both"/>
        <w:rPr>
          <w:rFonts w:ascii="Times New Roman" w:hAnsi="Times New Roman"/>
          <w:sz w:val="24"/>
          <w:szCs w:val="24"/>
        </w:rPr>
      </w:pPr>
      <w:r>
        <w:rPr>
          <w:rFonts w:eastAsia="Calibri" w:cs="Times New Roman" w:ascii="Times New Roman" w:hAnsi="Times New Roman"/>
          <w:b/>
          <w:sz w:val="24"/>
          <w:szCs w:val="24"/>
          <w:shd w:fill="FFFFFF" w:val="clear"/>
        </w:rPr>
        <w:t>VP</w:t>
      </w:r>
      <w:r>
        <w:rPr>
          <w:rFonts w:eastAsia="Calibri" w:cs="Times New Roman" w:ascii="Times New Roman" w:hAnsi="Times New Roman"/>
          <w:sz w:val="24"/>
          <w:szCs w:val="24"/>
          <w:shd w:fill="FFFFFF" w:val="clear"/>
        </w:rPr>
        <w:t xml:space="preserve"> = valor da parcela a ser paga;</w:t>
      </w:r>
    </w:p>
    <w:p>
      <w:pPr>
        <w:pStyle w:val="Normal"/>
        <w:widowControl w:val="false"/>
        <w:numPr>
          <w:ilvl w:val="0"/>
          <w:numId w:val="1"/>
        </w:numPr>
        <w:tabs>
          <w:tab w:val="clear" w:pos="720"/>
          <w:tab w:val="left" w:pos="-4625" w:leader="none"/>
          <w:tab w:val="left" w:pos="-3882" w:leader="none"/>
          <w:tab w:val="left" w:pos="-3205" w:leader="none"/>
          <w:tab w:val="left" w:pos="-2480" w:leader="none"/>
          <w:tab w:val="left" w:pos="-1737" w:leader="none"/>
          <w:tab w:val="left" w:pos="-1028" w:leader="none"/>
          <w:tab w:val="left" w:pos="-302" w:leader="none"/>
          <w:tab w:val="left" w:pos="407" w:leader="none"/>
          <w:tab w:val="left" w:pos="1133" w:leader="none"/>
          <w:tab w:val="left" w:pos="1875" w:leader="none"/>
          <w:tab w:val="left" w:pos="2568" w:leader="none"/>
          <w:tab w:val="left" w:pos="3278" w:leader="none"/>
        </w:tabs>
        <w:jc w:val="both"/>
        <w:rPr>
          <w:rFonts w:ascii="Times New Roman" w:hAnsi="Times New Roman"/>
          <w:sz w:val="24"/>
          <w:szCs w:val="24"/>
        </w:rPr>
      </w:pPr>
      <w:r>
        <w:rPr>
          <w:rFonts w:eastAsia="Calibri" w:cs="Times New Roman" w:ascii="Times New Roman" w:hAnsi="Times New Roman"/>
          <w:b/>
          <w:sz w:val="24"/>
          <w:szCs w:val="24"/>
          <w:shd w:fill="FFFFFF" w:val="clear"/>
        </w:rPr>
        <w:t>I</w:t>
      </w:r>
      <w:r>
        <w:rPr>
          <w:rFonts w:eastAsia="Calibri" w:cs="Times New Roman" w:ascii="Times New Roman" w:hAnsi="Times New Roman"/>
          <w:sz w:val="24"/>
          <w:szCs w:val="24"/>
          <w:shd w:fill="FFFFFF" w:val="clear"/>
        </w:rPr>
        <w:t xml:space="preserve"> = índice de atualização financeira, assim apurado:</w:t>
      </w:r>
    </w:p>
    <w:p>
      <w:pPr>
        <w:pStyle w:val="Normal"/>
        <w:widowControl w:val="false"/>
        <w:tabs>
          <w:tab w:val="clear" w:pos="720"/>
          <w:tab w:val="left" w:pos="-3888" w:leader="none"/>
          <w:tab w:val="left" w:pos="-3145" w:leader="none"/>
          <w:tab w:val="left" w:pos="-2468" w:leader="none"/>
          <w:tab w:val="left" w:pos="-1743" w:leader="none"/>
          <w:tab w:val="left" w:pos="-1000" w:leader="none"/>
          <w:tab w:val="left" w:pos="-291" w:leader="none"/>
          <w:tab w:val="left" w:pos="435" w:leader="none"/>
          <w:tab w:val="left" w:pos="1144" w:leader="none"/>
          <w:tab w:val="left" w:pos="1870" w:leader="none"/>
          <w:tab w:val="left" w:pos="2612" w:leader="none"/>
          <w:tab w:val="left" w:pos="3305" w:leader="none"/>
          <w:tab w:val="left" w:pos="4015" w:leader="none"/>
        </w:tabs>
        <w:ind w:left="737"/>
        <w:jc w:val="both"/>
        <w:rPr>
          <w:rFonts w:ascii="Times New Roman" w:hAnsi="Times New Roman"/>
          <w:sz w:val="24"/>
          <w:szCs w:val="24"/>
        </w:rPr>
      </w:pPr>
      <w:r>
        <w:rPr>
          <w:rFonts w:eastAsia="Calibri" w:cs="Times New Roman" w:ascii="Times New Roman" w:hAnsi="Times New Roman"/>
          <w:sz w:val="24"/>
          <w:szCs w:val="24"/>
          <w:shd w:fill="FFFFFF" w:val="clear"/>
        </w:rPr>
        <w:t>I = TX / 365 = 0,06 / 365 = 0,0001643.</w:t>
      </w:r>
    </w:p>
    <w:p>
      <w:pPr>
        <w:pStyle w:val="Normal"/>
        <w:numPr>
          <w:ilvl w:val="1"/>
          <w:numId w:val="464"/>
        </w:numPr>
        <w:spacing w:lineRule="atLeast" w:line="180" w:before="0" w:after="120"/>
        <w:jc w:val="both"/>
        <w:rPr>
          <w:rFonts w:ascii="Times New Roman" w:hAnsi="Times New Roman"/>
          <w:sz w:val="24"/>
          <w:szCs w:val="24"/>
        </w:rPr>
      </w:pPr>
      <w:r>
        <w:rPr>
          <w:rFonts w:eastAsia="Calibri" w:ascii="Times New Roman" w:hAnsi="Times New Roman"/>
          <w:color w:val="000000"/>
          <w:sz w:val="24"/>
          <w:szCs w:val="24"/>
        </w:rPr>
        <w:t xml:space="preserve"> </w:t>
      </w:r>
      <w:r>
        <w:rPr>
          <w:rFonts w:eastAsia="Calibri" w:ascii="Times New Roman" w:hAnsi="Times New Roman"/>
          <w:color w:val="000000"/>
          <w:sz w:val="24"/>
          <w:szCs w:val="24"/>
        </w:rPr>
        <w:t xml:space="preserve">Se o inadimplemento da obrigação for provocado pela contratada, por não cumprir as suas obrigações, o contratante ficará desobrigado de promover a atualização monetária de que trata o item </w:t>
      </w:r>
      <w:r>
        <w:rPr>
          <w:rFonts w:eastAsia="Calibri" w:ascii="Times New Roman" w:hAnsi="Times New Roman"/>
          <w:b/>
          <w:color w:val="000000"/>
          <w:sz w:val="24"/>
          <w:szCs w:val="24"/>
        </w:rPr>
        <w:t>anterior.</w:t>
      </w:r>
    </w:p>
    <w:p>
      <w:pPr>
        <w:pStyle w:val="Normal"/>
        <w:numPr>
          <w:ilvl w:val="1"/>
          <w:numId w:val="465"/>
        </w:numPr>
        <w:spacing w:lineRule="atLeast" w:line="180" w:before="0" w:after="120"/>
        <w:jc w:val="both"/>
        <w:rPr>
          <w:rFonts w:ascii="Times New Roman" w:hAnsi="Times New Roman"/>
          <w:sz w:val="24"/>
          <w:szCs w:val="24"/>
        </w:rPr>
      </w:pPr>
      <w:r>
        <w:rPr>
          <w:rFonts w:eastAsia="Calibri" w:ascii="Times New Roman" w:hAnsi="Times New Roman"/>
          <w:color w:val="000000"/>
          <w:sz w:val="24"/>
          <w:szCs w:val="24"/>
        </w:rPr>
        <w:t>A</w:t>
      </w:r>
      <w:r>
        <w:rPr>
          <w:rFonts w:eastAsia="Calibri" w:ascii="Times New Roman" w:hAnsi="Times New Roman"/>
          <w:color w:val="000000"/>
          <w:sz w:val="24"/>
          <w:szCs w:val="24"/>
          <w:shd w:fill="FFFFFF" w:val="clear"/>
        </w:rPr>
        <w:t>o contratante fica reservado o direito de não efetuar o pagamento se, durante a execução dos serviços, estes não estiverem em perfeitas condições, de acordo com as exigências contidas neste Termo de Referência e seus apêndices.</w:t>
      </w:r>
    </w:p>
    <w:p>
      <w:pPr>
        <w:pStyle w:val="Heading1"/>
        <w:numPr>
          <w:ilvl w:val="0"/>
          <w:numId w:val="466"/>
        </w:numPr>
        <w:shd w:val="clear" w:color="auto" w:fill="9CC2E5"/>
        <w:spacing w:before="0" w:after="113"/>
        <w:jc w:val="both"/>
        <w:rPr>
          <w:rFonts w:ascii="Times New Roman" w:hAnsi="Times New Roman"/>
          <w:sz w:val="24"/>
          <w:szCs w:val="24"/>
        </w:rPr>
      </w:pPr>
      <w:bookmarkStart w:id="38" w:name="__RefHeading___Toc11713_612072703"/>
      <w:bookmarkStart w:id="39" w:name="_Toc202882178"/>
      <w:bookmarkStart w:id="40" w:name="_Toc202369842"/>
      <w:bookmarkStart w:id="41" w:name="2s8eyo1"/>
      <w:bookmarkEnd w:id="38"/>
      <w:bookmarkEnd w:id="41"/>
      <w:r>
        <w:rPr>
          <w:rFonts w:eastAsia="Arial" w:cs="Times New Roman" w:ascii="Times New Roman" w:hAnsi="Times New Roman"/>
          <w:b/>
          <w:color w:val="auto"/>
          <w:sz w:val="24"/>
          <w:szCs w:val="24"/>
        </w:rPr>
        <w:t>ADEQUAÇÃO ORÇAMENTÁRIA</w:t>
      </w:r>
      <w:bookmarkEnd w:id="39"/>
      <w:bookmarkEnd w:id="40"/>
    </w:p>
    <w:p>
      <w:pPr>
        <w:pStyle w:val="Normal"/>
        <w:numPr>
          <w:ilvl w:val="1"/>
          <w:numId w:val="467"/>
        </w:numPr>
        <w:spacing w:lineRule="atLeast" w:line="180" w:before="0" w:after="120"/>
        <w:jc w:val="both"/>
        <w:rPr>
          <w:rFonts w:ascii="Times New Roman" w:hAnsi="Times New Roman"/>
          <w:sz w:val="24"/>
          <w:szCs w:val="24"/>
        </w:rPr>
      </w:pPr>
      <w:r>
        <w:rPr>
          <w:rFonts w:eastAsia="Calibri" w:ascii="Times New Roman" w:hAnsi="Times New Roman"/>
          <w:sz w:val="24"/>
          <w:szCs w:val="24"/>
          <w:shd w:fill="FFFFFF" w:val="clear"/>
        </w:rPr>
        <w:t>A despesa decorrente da contratação do objeto desta contratação correrá à conta dos recursos específicos consignados no orçamento do Ministério Público Federal, constante do vigente orçamento geral da União, à conta da dotação orçamentária prevista para atender despesas da mesma natureza.</w:t>
      </w:r>
    </w:p>
    <w:p>
      <w:pPr>
        <w:pStyle w:val="Heading1"/>
        <w:numPr>
          <w:ilvl w:val="0"/>
          <w:numId w:val="468"/>
        </w:numPr>
        <w:shd w:val="clear" w:color="auto" w:fill="9CC2E5"/>
        <w:spacing w:before="0" w:after="113"/>
        <w:jc w:val="both"/>
        <w:rPr>
          <w:rFonts w:ascii="Times New Roman" w:hAnsi="Times New Roman"/>
          <w:sz w:val="24"/>
          <w:szCs w:val="24"/>
        </w:rPr>
      </w:pPr>
      <w:bookmarkStart w:id="42" w:name="__RefHeading___Toc11715_612072703"/>
      <w:bookmarkStart w:id="43" w:name="_Toc202882179"/>
      <w:bookmarkStart w:id="44" w:name="2s8eyo1_Copia_1"/>
      <w:bookmarkEnd w:id="42"/>
      <w:bookmarkEnd w:id="44"/>
      <w:r>
        <w:rPr>
          <w:rFonts w:eastAsia="Arial" w:cs="Times New Roman" w:ascii="Times New Roman" w:hAnsi="Times New Roman"/>
          <w:b/>
          <w:color w:val="auto"/>
          <w:sz w:val="24"/>
          <w:szCs w:val="24"/>
        </w:rPr>
        <w:t>CONSIDERAÇÕES FINAIS</w:t>
      </w:r>
      <w:bookmarkEnd w:id="43"/>
    </w:p>
    <w:p>
      <w:pPr>
        <w:pStyle w:val="Normal"/>
        <w:numPr>
          <w:ilvl w:val="1"/>
          <w:numId w:val="469"/>
        </w:numPr>
        <w:spacing w:lineRule="atLeast" w:line="180" w:before="0" w:after="120"/>
        <w:jc w:val="both"/>
        <w:rPr>
          <w:rFonts w:ascii="Times New Roman" w:hAnsi="Times New Roman"/>
          <w:sz w:val="24"/>
          <w:szCs w:val="24"/>
        </w:rPr>
      </w:pPr>
      <w:bookmarkStart w:id="45" w:name="__RefHeading___Toc4733_3412147356_Copia5"/>
      <w:bookmarkEnd w:id="45"/>
      <w:r>
        <w:rPr>
          <w:rFonts w:eastAsia="Calibri" w:ascii="Times New Roman" w:hAnsi="Times New Roman"/>
          <w:sz w:val="24"/>
          <w:szCs w:val="24"/>
          <w:shd w:fill="FFFFFF" w:val="clear"/>
        </w:rPr>
        <w:t>A CONTRATANTE e a CONTRATADA se comprometem a proteger os direitos fundamentais de liberdade e de privacidade e o livre desenvolvimento da personalidade da pessoa natural relativo ao tratamento de dados pessoais, inclusive nos meios digitais.</w:t>
      </w:r>
    </w:p>
    <w:p>
      <w:pPr>
        <w:pStyle w:val="Normal"/>
        <w:numPr>
          <w:ilvl w:val="1"/>
          <w:numId w:val="470"/>
        </w:numPr>
        <w:spacing w:lineRule="atLeast" w:line="180" w:before="0" w:after="120"/>
        <w:jc w:val="both"/>
        <w:rPr>
          <w:rFonts w:ascii="Times New Roman" w:hAnsi="Times New Roman"/>
          <w:sz w:val="24"/>
          <w:szCs w:val="24"/>
        </w:rPr>
      </w:pPr>
      <w:r>
        <w:rPr>
          <w:rFonts w:eastAsia="Calibri" w:ascii="Times New Roman" w:hAnsi="Times New Roman"/>
          <w:sz w:val="24"/>
          <w:szCs w:val="24"/>
          <w:shd w:fill="FFFFFF" w:val="clear"/>
        </w:rPr>
        <w:t>O eventual acesso, pela CONTRATADA, às bases de dados que contenham ou possam conter dados pessoais ou sigilosos, implicar-lhe-á dever de sigilo, assim como também para seus prepostos.</w:t>
      </w:r>
    </w:p>
    <w:p>
      <w:pPr>
        <w:pStyle w:val="Normal"/>
        <w:numPr>
          <w:ilvl w:val="1"/>
          <w:numId w:val="471"/>
        </w:numPr>
        <w:spacing w:lineRule="atLeast" w:line="180" w:before="0" w:after="120"/>
        <w:jc w:val="both"/>
        <w:rPr>
          <w:rFonts w:ascii="Times New Roman" w:hAnsi="Times New Roman"/>
          <w:sz w:val="24"/>
          <w:szCs w:val="24"/>
        </w:rPr>
      </w:pPr>
      <w:r>
        <w:rPr>
          <w:rFonts w:eastAsia="Calibri" w:ascii="Times New Roman" w:hAnsi="Times New Roman"/>
          <w:sz w:val="24"/>
          <w:szCs w:val="24"/>
          <w:shd w:fill="FFFFFF" w:val="clear"/>
        </w:rPr>
        <w:t>A CONTRATADA cooperará com a CONTRATANTE no cumprimento das obrigações relacionadas ao exercício dos direitos dos titulares resultados na LGPD e nas Leis e Regulamentos de Proteção de Dados em vigor e também no atendimento de requisições e determinações do Poder Judiciário, Ministério Público, ANPD e Órgãos de controle administrativo em geral.</w:t>
      </w:r>
    </w:p>
    <w:p>
      <w:pPr>
        <w:pStyle w:val="Normal"/>
        <w:numPr>
          <w:ilvl w:val="1"/>
          <w:numId w:val="472"/>
        </w:numPr>
        <w:spacing w:lineRule="atLeast" w:line="180" w:before="0" w:after="120"/>
        <w:jc w:val="both"/>
        <w:rPr>
          <w:highlight w:val="none"/>
          <w:shd w:fill="auto" w:val="clear"/>
        </w:rPr>
      </w:pPr>
      <w:r>
        <w:rPr>
          <w:rFonts w:eastAsia="Calibri" w:ascii="Times New Roman" w:hAnsi="Times New Roman"/>
          <w:sz w:val="24"/>
          <w:szCs w:val="24"/>
          <w:shd w:fill="FFFFFF" w:val="clear"/>
        </w:rPr>
        <w:t>Eventuais responsabilidades das partes serão apuradas conforme estabelecido no presente contrato e também de acordo com o que dispõe a Seção III, Capítulo VI da LGPD (Lei nº 13.709/2018).</w:t>
      </w:r>
    </w:p>
    <w:p>
      <w:pPr>
        <w:pStyle w:val="Normal"/>
        <w:numPr>
          <w:ilvl w:val="1"/>
          <w:numId w:val="473"/>
        </w:numPr>
        <w:spacing w:lineRule="atLeast" w:line="180" w:before="0" w:after="120"/>
        <w:jc w:val="both"/>
        <w:rPr>
          <w:rFonts w:ascii="Times New Roman" w:hAnsi="Times New Roman"/>
          <w:sz w:val="24"/>
          <w:szCs w:val="24"/>
          <w:highlight w:val="none"/>
          <w:shd w:fill="auto" w:val="clear"/>
        </w:rPr>
      </w:pPr>
      <w:r>
        <w:rPr>
          <w:rFonts w:eastAsia="Calibri" w:ascii="Times New Roman" w:hAnsi="Times New Roman"/>
          <w:color w:val="000000"/>
          <w:sz w:val="24"/>
          <w:szCs w:val="24"/>
          <w:shd w:fill="auto" w:val="clear"/>
        </w:rPr>
        <w:t xml:space="preserve">Os preços contratados são fixos e irreajustáveis no prazo de um ano contato da data do orçamento </w:t>
      </w:r>
      <w:r>
        <w:rPr>
          <w:rFonts w:ascii="Times New Roman" w:hAnsi="Times New Roman"/>
          <w:sz w:val="24"/>
          <w:szCs w:val="24"/>
          <w:shd w:fill="auto" w:val="clear"/>
        </w:rPr>
        <w:t>estimado, em 15/01/2026.</w:t>
      </w:r>
    </w:p>
    <w:p>
      <w:pPr>
        <w:pStyle w:val="Normal"/>
        <w:numPr>
          <w:ilvl w:val="1"/>
          <w:numId w:val="474"/>
        </w:numPr>
        <w:spacing w:lineRule="atLeast" w:line="180" w:before="0" w:after="120"/>
        <w:jc w:val="both"/>
        <w:rPr>
          <w:rFonts w:ascii="Times New Roman" w:hAnsi="Times New Roman"/>
          <w:sz w:val="24"/>
          <w:szCs w:val="24"/>
        </w:rPr>
      </w:pPr>
      <w:r>
        <w:rPr>
          <w:rFonts w:ascii="Times New Roman" w:hAnsi="Times New Roman"/>
          <w:sz w:val="24"/>
          <w:szCs w:val="24"/>
        </w:rPr>
        <w:t>GARANTIA DE EXECUÇÃO CONTRATUAL – Não será exigida garantia de execução do contrato, mas a CONTRATANTE poderá reter, do montante a pagar, valores para assegurar o pagamento de multas, indenizações e ressarcimentos devidos pela CONTRATADA.</w:t>
      </w:r>
    </w:p>
    <w:p>
      <w:pPr>
        <w:pStyle w:val="Normal"/>
        <w:numPr>
          <w:ilvl w:val="1"/>
          <w:numId w:val="475"/>
        </w:numPr>
        <w:spacing w:lineRule="atLeast" w:line="180" w:before="0" w:after="120"/>
        <w:jc w:val="both"/>
        <w:rPr>
          <w:rFonts w:ascii="Times New Roman" w:hAnsi="Times New Roman"/>
          <w:sz w:val="24"/>
          <w:szCs w:val="24"/>
        </w:rPr>
      </w:pPr>
      <w:r>
        <w:rPr>
          <w:rFonts w:eastAsia="Calibri" w:ascii="Times New Roman" w:hAnsi="Times New Roman"/>
          <w:sz w:val="24"/>
          <w:szCs w:val="24"/>
        </w:rPr>
        <w:t>N</w:t>
      </w:r>
      <w:r>
        <w:rPr>
          <w:rFonts w:eastAsia="Calibri" w:ascii="Times New Roman" w:hAnsi="Times New Roman"/>
          <w:sz w:val="24"/>
          <w:szCs w:val="24"/>
          <w:shd w:fill="FFFFFF" w:val="clear"/>
        </w:rPr>
        <w:t>ão serão aceitos materiais/serviços em divergência com a especificação informada na proposta de preços da empresa vencedora, salvo motivo relevante, devidamente justificado, desde que não enseje qualquer prejuízo aos cofres públicos ou à qualidade do objeto ofertado.</w:t>
      </w:r>
    </w:p>
    <w:p>
      <w:pPr>
        <w:pStyle w:val="Normal"/>
        <w:numPr>
          <w:ilvl w:val="1"/>
          <w:numId w:val="476"/>
        </w:numPr>
        <w:spacing w:lineRule="atLeast" w:line="180" w:before="0" w:after="120"/>
        <w:jc w:val="both"/>
        <w:rPr>
          <w:rFonts w:ascii="Times New Roman" w:hAnsi="Times New Roman"/>
          <w:sz w:val="24"/>
          <w:szCs w:val="24"/>
        </w:rPr>
      </w:pPr>
      <w:r>
        <w:rPr>
          <w:rFonts w:eastAsia="Calibri" w:ascii="Times New Roman" w:hAnsi="Times New Roman"/>
          <w:sz w:val="24"/>
          <w:szCs w:val="24"/>
          <w:shd w:fill="FFFFFF" w:val="clear"/>
        </w:rPr>
        <w:t>Em caso de discordância existente entre as especificações deste objeto descritas no Sistema Compras.gov e as especificações e descrições constantes neste Termo de Referência, prevalecerão estas últimas.</w:t>
      </w:r>
    </w:p>
    <w:p>
      <w:pPr>
        <w:pStyle w:val="Normal"/>
        <w:numPr>
          <w:ilvl w:val="1"/>
          <w:numId w:val="477"/>
        </w:numPr>
        <w:spacing w:lineRule="atLeast" w:line="180" w:before="0" w:after="120"/>
        <w:jc w:val="both"/>
        <w:rPr>
          <w:rFonts w:ascii="Times New Roman" w:hAnsi="Times New Roman"/>
          <w:sz w:val="24"/>
          <w:szCs w:val="24"/>
        </w:rPr>
      </w:pPr>
      <w:r>
        <w:rPr>
          <w:rFonts w:eastAsia="Calibri" w:ascii="Times New Roman" w:hAnsi="Times New Roman"/>
          <w:sz w:val="24"/>
          <w:szCs w:val="24"/>
          <w:shd w:fill="FFFFFF" w:val="clear"/>
        </w:rPr>
        <w:t>Eventuais alterações contratuais reger-se-ão pela disciplina dos arts. 124 a 136 da Lei nº 14.133, de 2021.</w:t>
      </w:r>
    </w:p>
    <w:p>
      <w:pPr>
        <w:pStyle w:val="Normal"/>
        <w:numPr>
          <w:ilvl w:val="1"/>
          <w:numId w:val="478"/>
        </w:numPr>
        <w:spacing w:lineRule="atLeast" w:line="180" w:before="0" w:after="120"/>
        <w:jc w:val="both"/>
        <w:rPr>
          <w:rFonts w:ascii="Times New Roman" w:hAnsi="Times New Roman"/>
          <w:sz w:val="24"/>
          <w:szCs w:val="24"/>
        </w:rPr>
      </w:pPr>
      <w:r>
        <w:rPr>
          <w:rFonts w:eastAsia="Calibri" w:ascii="Times New Roman" w:hAnsi="Times New Roman"/>
          <w:sz w:val="24"/>
          <w:szCs w:val="24"/>
          <w:shd w:fill="FFFFFF" w:val="clear"/>
        </w:rPr>
        <w:t>O contrato será extinto quando cumpridas as obrigações de ambas as partes, ainda que isso ocorra antes do prazo estipulado para tanto. Para os casos de extinção contratual, aplicam-se as disposições dos arts. 137 a 139 da Lei nº 14.133, de 2021.</w:t>
      </w:r>
    </w:p>
    <w:p>
      <w:pPr>
        <w:pStyle w:val="Normal"/>
        <w:numPr>
          <w:ilvl w:val="1"/>
          <w:numId w:val="479"/>
        </w:numPr>
        <w:spacing w:lineRule="atLeast" w:line="180" w:before="0" w:after="120"/>
        <w:jc w:val="both"/>
        <w:rPr>
          <w:rFonts w:ascii="Times New Roman" w:hAnsi="Times New Roman"/>
          <w:sz w:val="24"/>
          <w:szCs w:val="24"/>
        </w:rPr>
      </w:pPr>
      <w:r>
        <w:rPr>
          <w:rFonts w:eastAsia="Calibri" w:ascii="Times New Roman" w:hAnsi="Times New Roman"/>
          <w:sz w:val="24"/>
          <w:szCs w:val="24"/>
          <w:shd w:fill="FFFFFF" w:val="clear"/>
        </w:rPr>
        <w:t>Os casos omissos serão decididos pela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ormal"/>
        <w:numPr>
          <w:ilvl w:val="1"/>
          <w:numId w:val="480"/>
        </w:numPr>
        <w:spacing w:lineRule="atLeast" w:line="180" w:before="0" w:after="120"/>
        <w:jc w:val="both"/>
        <w:rPr>
          <w:rFonts w:ascii="Times New Roman" w:hAnsi="Times New Roman"/>
          <w:sz w:val="24"/>
          <w:szCs w:val="24"/>
        </w:rPr>
      </w:pPr>
      <w:r>
        <w:rPr>
          <w:rFonts w:eastAsia="Calibri" w:ascii="Times New Roman" w:hAnsi="Times New Roman"/>
          <w:sz w:val="24"/>
          <w:szCs w:val="24"/>
          <w:shd w:fill="FFFFFF" w:val="clear"/>
        </w:rPr>
        <w:t>A contratante divulgará a Nota de Empenho no Portal Nacional de Contratações Públicas (PNCP), na forma prevista no art. 94 da Lei 14.133, de 2021, bem como no respectivo sítio oficial na Internet, em atenção ao art. 91, caput, da Lei nº 14.133, de 2021, e ao art. 8º, §2º, da Lei nº 12.527, de 2011, c/c art. 7º, §3º, inciso V, do Decreto nº 7.724, de 2012.</w:t>
      </w:r>
    </w:p>
    <w:p>
      <w:pPr>
        <w:pStyle w:val="Normal"/>
        <w:numPr>
          <w:ilvl w:val="1"/>
          <w:numId w:val="481"/>
        </w:numPr>
        <w:spacing w:lineRule="atLeast" w:line="180" w:before="0" w:after="120"/>
        <w:jc w:val="both"/>
        <w:rPr>
          <w:rFonts w:ascii="Times New Roman" w:hAnsi="Times New Roman"/>
          <w:sz w:val="24"/>
          <w:szCs w:val="24"/>
        </w:rPr>
      </w:pPr>
      <w:r>
        <w:rPr>
          <w:rFonts w:eastAsia="Calibri" w:ascii="Times New Roman" w:hAnsi="Times New Roman"/>
          <w:sz w:val="24"/>
          <w:szCs w:val="24"/>
          <w:shd w:fill="FFFFFF" w:val="clear"/>
        </w:rPr>
        <w:t>Fica eleito o foro da Subseção Judiciária de Curitiba, da Seção Judiciária da Justiça Federal no Estado do Paraná, para dirimir os litígios que decorrerem da execução do contrato que não puderem ser compostos pela conciliação, conforme art. 92, §1º, da Lei nº 14.133/21.</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tLeast" w:line="180" w:before="0" w:after="120"/>
        <w:jc w:val="right"/>
        <w:rPr>
          <w:rFonts w:ascii="Times New Roman" w:hAnsi="Times New Roman"/>
          <w:sz w:val="24"/>
          <w:szCs w:val="24"/>
        </w:rPr>
      </w:pPr>
      <w:r>
        <w:rPr>
          <w:rFonts w:eastAsia="Calibri" w:ascii="Times New Roman" w:hAnsi="Times New Roman"/>
          <w:sz w:val="24"/>
          <w:szCs w:val="24"/>
          <w:shd w:fill="FFFFFF" w:val="clear"/>
        </w:rPr>
        <w:t xml:space="preserve">Curitiba, </w:t>
      </w:r>
      <w:r>
        <w:rPr>
          <w:rFonts w:eastAsia="Calibri" w:ascii="Times New Roman" w:hAnsi="Times New Roman"/>
          <w:i/>
          <w:sz w:val="24"/>
          <w:szCs w:val="24"/>
          <w:shd w:fill="FFFFFF" w:val="clear"/>
        </w:rPr>
        <w:t>data da assinatura eletrônica.</w:t>
      </w:r>
    </w:p>
    <w:p>
      <w:pPr>
        <w:pStyle w:val="Normal"/>
        <w:spacing w:lineRule="atLeast" w:line="180" w:before="0" w:after="120"/>
        <w:jc w:val="both"/>
        <w:rPr>
          <w:rFonts w:ascii="Times New Roman" w:hAnsi="Times New Roman" w:eastAsia="Calibri"/>
          <w:sz w:val="24"/>
          <w:szCs w:val="24"/>
          <w:shd w:fill="FFFFFF" w:val="clear"/>
        </w:rPr>
      </w:pPr>
      <w:r>
        <w:rPr>
          <w:rFonts w:eastAsia="Calibri" w:ascii="Times New Roman" w:hAnsi="Times New Roman"/>
          <w:sz w:val="24"/>
          <w:szCs w:val="24"/>
          <w:shd w:fill="FFFFFF" w:val="clear"/>
        </w:rPr>
      </w:r>
      <w:r>
        <w:br w:type="page"/>
      </w:r>
    </w:p>
    <w:p>
      <w:pPr>
        <w:pStyle w:val="Heading1"/>
        <w:shd w:val="clear" w:color="auto" w:fill="9CC2E5"/>
        <w:spacing w:before="0" w:after="113"/>
        <w:jc w:val="center"/>
        <w:rPr>
          <w:rFonts w:ascii="Times New Roman" w:hAnsi="Times New Roman"/>
          <w:sz w:val="24"/>
          <w:szCs w:val="24"/>
        </w:rPr>
      </w:pPr>
      <w:bookmarkStart w:id="46" w:name="__RefHeading___Toc11717_612072703"/>
      <w:bookmarkStart w:id="47" w:name="_Toc202882181"/>
      <w:bookmarkEnd w:id="46"/>
      <w:r>
        <w:rPr>
          <w:rFonts w:eastAsia="Arial" w:cs="Times New Roman" w:ascii="Times New Roman" w:hAnsi="Times New Roman"/>
          <w:b/>
          <w:color w:val="auto"/>
          <w:sz w:val="24"/>
          <w:szCs w:val="24"/>
        </w:rPr>
        <w:t>APÊNDICE</w:t>
      </w:r>
      <w:bookmarkStart w:id="48" w:name="_Toc202369843_Copia_3"/>
      <w:r>
        <w:rPr>
          <w:rFonts w:eastAsia="Arial" w:cs="Times New Roman" w:ascii="Times New Roman" w:hAnsi="Times New Roman"/>
          <w:b/>
          <w:color w:val="auto"/>
          <w:sz w:val="24"/>
          <w:szCs w:val="24"/>
        </w:rPr>
        <w:t xml:space="preserve"> A – CADERNO DE ESPECIFICAÇÕES </w:t>
      </w:r>
      <w:bookmarkEnd w:id="48"/>
      <w:r>
        <w:rPr>
          <w:rFonts w:eastAsia="Arial" w:cs="Times New Roman" w:ascii="Times New Roman" w:hAnsi="Times New Roman"/>
          <w:b/>
          <w:color w:val="auto"/>
          <w:sz w:val="24"/>
          <w:szCs w:val="24"/>
        </w:rPr>
        <w:t>E ENCARGOS</w:t>
      </w:r>
      <w:bookmarkEnd w:id="47"/>
    </w:p>
    <w:p>
      <w:pPr>
        <w:pStyle w:val="Normal"/>
        <w:spacing w:lineRule="auto" w:line="240" w:before="57" w:after="57"/>
        <w:jc w:val="center"/>
        <w:rPr>
          <w:rFonts w:ascii="Times New Roman" w:hAnsi="Times New Roman"/>
          <w:sz w:val="24"/>
          <w:szCs w:val="24"/>
        </w:rPr>
      </w:pPr>
      <w:r>
        <w:rPr>
          <w:rFonts w:eastAsia="TimesNewRomanPS-ItalicMT" w:ascii="Times New Roman" w:hAnsi="Times New Roman"/>
          <w:color w:val="000000"/>
          <w:sz w:val="24"/>
          <w:szCs w:val="24"/>
          <w:shd w:fill="FFFFFF" w:val="clear"/>
          <w:lang w:eastAsia="pt-BR"/>
        </w:rPr>
        <w:t xml:space="preserve">(arquivo eletrônico disponível para download </w:t>
      </w:r>
    </w:p>
    <w:p>
      <w:pPr>
        <w:pStyle w:val="Normal"/>
        <w:spacing w:lineRule="auto" w:line="240" w:before="57" w:after="57"/>
        <w:jc w:val="center"/>
        <w:rPr/>
      </w:pPr>
      <w:r>
        <w:rPr>
          <w:rFonts w:eastAsia="TimesNewRomanPS-ItalicMT" w:ascii="Times New Roman" w:hAnsi="Times New Roman"/>
          <w:color w:val="000000"/>
          <w:sz w:val="24"/>
          <w:szCs w:val="24"/>
          <w:shd w:fill="FFFFFF" w:val="clear"/>
          <w:lang w:eastAsia="pt-BR"/>
        </w:rPr>
        <w:t>no sítio do Sistema Compras.gov</w:t>
      </w:r>
      <w:r>
        <w:rPr>
          <w:rFonts w:eastAsia="TimesNewRomanPS-ItalicMT" w:ascii="Times New Roman" w:hAnsi="Times New Roman"/>
          <w:color w:val="000000"/>
          <w:sz w:val="24"/>
          <w:szCs w:val="24"/>
          <w:lang w:eastAsia="pt-BR"/>
        </w:rPr>
        <w:t xml:space="preserve">: </w:t>
      </w:r>
      <w:hyperlink r:id="rId21">
        <w:r>
          <w:rPr>
            <w:rStyle w:val="Hyperlink"/>
            <w:rFonts w:eastAsia="TimesNewRomanPS-ItalicMT" w:ascii="Times New Roman" w:hAnsi="Times New Roman"/>
            <w:color w:val="000000"/>
            <w:sz w:val="24"/>
            <w:szCs w:val="24"/>
            <w:shd w:fill="FFFFFF" w:val="clear"/>
            <w:lang w:eastAsia="pt-BR"/>
          </w:rPr>
          <w:t>https://www.gov.br/compras/pt-br/</w:t>
        </w:r>
      </w:hyperlink>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pPr>
      <w:r>
        <w:rPr>
          <w:rFonts w:eastAsia="TimesNewRomanPS-ItalicMT" w:ascii="Times New Roman" w:hAnsi="Times New Roman"/>
          <w:color w:val="000000"/>
          <w:sz w:val="24"/>
          <w:szCs w:val="24"/>
          <w:lang w:eastAsia="pt-BR"/>
        </w:rPr>
        <w:t xml:space="preserve"> </w:t>
      </w:r>
      <w:r>
        <w:rPr>
          <w:rFonts w:eastAsia="TimesNewRomanPS-ItalicMT" w:ascii="Times New Roman" w:hAnsi="Times New Roman"/>
          <w:color w:val="000000"/>
          <w:sz w:val="24"/>
          <w:szCs w:val="24"/>
          <w:lang w:eastAsia="pt-BR"/>
        </w:rPr>
        <w:t xml:space="preserve">e no Portal da Transparência do MPF: </w:t>
      </w:r>
      <w:hyperlink r:id="rId22">
        <w:r>
          <w:rPr>
            <w:rStyle w:val="Hyperlink"/>
            <w:rFonts w:eastAsia="TimesNewRomanPS-ItalicMT" w:ascii="Times New Roman" w:hAnsi="Times New Roman"/>
            <w:color w:val="000000"/>
            <w:sz w:val="24"/>
            <w:szCs w:val="24"/>
            <w:lang w:eastAsia="pt-BR"/>
          </w:rPr>
          <w:t>http://www.transparencia.mpf.mp.br/conteudo/licitacoes-contratos-e-convenios/licitacoes</w:t>
        </w:r>
      </w:hyperlink>
      <w:r>
        <w:rPr>
          <w:rFonts w:eastAsia="TimesNewRomanPS-ItalicMT" w:ascii="Times New Roman" w:hAnsi="Times New Roman"/>
          <w:color w:val="000000"/>
          <w:sz w:val="24"/>
          <w:szCs w:val="24"/>
          <w:lang w:eastAsia="pt-BR"/>
        </w:rPr>
        <w:t>)</w:t>
      </w:r>
      <w:r>
        <w:br w:type="page"/>
      </w:r>
    </w:p>
    <w:p>
      <w:pPr>
        <w:pStyle w:val="Heading1"/>
        <w:shd w:val="clear" w:color="auto" w:fill="9CC2E5"/>
        <w:spacing w:before="0" w:after="113"/>
        <w:jc w:val="center"/>
        <w:rPr>
          <w:rFonts w:ascii="Times New Roman" w:hAnsi="Times New Roman"/>
          <w:sz w:val="24"/>
          <w:szCs w:val="24"/>
        </w:rPr>
      </w:pPr>
      <w:bookmarkStart w:id="49" w:name="__RefHeading___Toc11719_612072703"/>
      <w:bookmarkStart w:id="50" w:name="_Toc202882182"/>
      <w:bookmarkEnd w:id="49"/>
      <w:r>
        <w:rPr>
          <w:rFonts w:eastAsia="Arial" w:cs="Times New Roman" w:ascii="Times New Roman" w:hAnsi="Times New Roman"/>
          <w:b/>
          <w:color w:val="auto"/>
          <w:sz w:val="24"/>
          <w:szCs w:val="24"/>
        </w:rPr>
        <w:t>APÊNDICE</w:t>
      </w:r>
      <w:bookmarkStart w:id="51" w:name="_Toc202369843_Copia_3_Copia_1"/>
      <w:r>
        <w:rPr>
          <w:rFonts w:eastAsia="Arial" w:cs="Times New Roman" w:ascii="Times New Roman" w:hAnsi="Times New Roman"/>
          <w:b/>
          <w:color w:val="auto"/>
          <w:sz w:val="24"/>
          <w:szCs w:val="24"/>
        </w:rPr>
        <w:t xml:space="preserve"> B – </w:t>
      </w:r>
      <w:bookmarkEnd w:id="51"/>
      <w:r>
        <w:rPr>
          <w:rFonts w:eastAsia="Arial" w:cs="Times New Roman" w:ascii="Times New Roman" w:hAnsi="Times New Roman"/>
          <w:b/>
          <w:color w:val="auto"/>
          <w:sz w:val="24"/>
          <w:szCs w:val="24"/>
        </w:rPr>
        <w:t>DECLARAÇÃO DE VISTORIA</w:t>
      </w:r>
      <w:bookmarkEnd w:id="50"/>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sz w:val="24"/>
          <w:szCs w:val="24"/>
        </w:rPr>
      </w:pPr>
      <w:r>
        <w:rPr>
          <w:rFonts w:ascii="Times New Roman" w:hAnsi="Times New Roman"/>
          <w:sz w:val="24"/>
          <w:szCs w:val="24"/>
        </w:rPr>
        <w:t>A PROCURADORIA DA REPÚBLICA NO MUNICÍPIO DE LONDRINGA declara que a empresa___________________________________ CNPJ_______________, através do seu Representante Legal,______________________________, CPF___________, compareceu a esta Divisão e verificou o objeto do</w:t>
      </w:r>
      <w:r>
        <w:rPr>
          <w:rFonts w:ascii="Times New Roman" w:hAnsi="Times New Roman"/>
          <w:sz w:val="24"/>
          <w:szCs w:val="24"/>
          <w:shd w:fill="auto" w:val="clear"/>
        </w:rPr>
        <w:t xml:space="preserve"> AVISO DE CONTRATAÇÃO DIRETA Nº 200053-24/2026,</w:t>
      </w:r>
      <w:r>
        <w:rPr>
          <w:rFonts w:ascii="Times New Roman" w:hAnsi="Times New Roman"/>
          <w:sz w:val="24"/>
          <w:szCs w:val="24"/>
        </w:rPr>
        <w:t xml:space="preserve"> tomando conhecimento das características dos materiais e condições ambientais do objeto a ser executado.</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Curitiba, ____de ____ de 2026.</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________________________________________</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Assinatura do Representante da</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Procuradoria da República no Estado do Paraná</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sz w:val="24"/>
          <w:szCs w:val="24"/>
        </w:rPr>
      </w:pPr>
      <w:r>
        <w:rPr>
          <w:rFonts w:ascii="Times New Roman" w:hAnsi="Times New Roman"/>
          <w:sz w:val="24"/>
          <w:szCs w:val="24"/>
        </w:rPr>
        <w:t xml:space="preserve">Declaro ter realizado a vistoria, para participação no Pregão Eletrônico, ocasião em que me foram prestadas todas as informações solicitadas, estando ciente das condições e características do objeto a ser executado, conforme especificações constantes do </w:t>
      </w:r>
      <w:r>
        <w:rPr>
          <w:rFonts w:ascii="Times New Roman" w:hAnsi="Times New Roman"/>
          <w:sz w:val="24"/>
          <w:szCs w:val="24"/>
          <w:shd w:fill="auto" w:val="clear"/>
        </w:rPr>
        <w:t>AVISO DE CONTRATAÇÃO DIRETA Nº 200053-24/2026 e</w:t>
      </w:r>
      <w:r>
        <w:rPr>
          <w:rFonts w:ascii="Times New Roman" w:hAnsi="Times New Roman"/>
          <w:sz w:val="24"/>
          <w:szCs w:val="24"/>
        </w:rPr>
        <w:t xml:space="preserve"> seus anexos.</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____________________________</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Representante da Empresa</w:t>
      </w:r>
      <w:r>
        <w:br w:type="page"/>
      </w:r>
    </w:p>
    <w:p>
      <w:pPr>
        <w:pStyle w:val="Heading1"/>
        <w:shd w:val="clear" w:color="auto" w:fill="9CC2E5"/>
        <w:spacing w:before="0" w:after="113"/>
        <w:jc w:val="center"/>
        <w:rPr>
          <w:rFonts w:ascii="Times New Roman" w:hAnsi="Times New Roman"/>
          <w:sz w:val="24"/>
          <w:szCs w:val="24"/>
        </w:rPr>
      </w:pPr>
      <w:bookmarkStart w:id="52" w:name="__RefHeading___Toc11721_612072703"/>
      <w:bookmarkStart w:id="53" w:name="_Toc202882183"/>
      <w:bookmarkEnd w:id="52"/>
      <w:r>
        <w:rPr>
          <w:rFonts w:eastAsia="Arial" w:cs="Times New Roman" w:ascii="Times New Roman" w:hAnsi="Times New Roman"/>
          <w:b/>
          <w:color w:val="auto"/>
          <w:sz w:val="24"/>
          <w:szCs w:val="24"/>
        </w:rPr>
        <w:t>APÊNDICE</w:t>
      </w:r>
      <w:bookmarkStart w:id="54" w:name="_Toc202369843_Copia_3_Copia_2"/>
      <w:r>
        <w:rPr>
          <w:rFonts w:eastAsia="Arial" w:cs="Times New Roman" w:ascii="Times New Roman" w:hAnsi="Times New Roman"/>
          <w:b/>
          <w:color w:val="auto"/>
          <w:sz w:val="24"/>
          <w:szCs w:val="24"/>
        </w:rPr>
        <w:t xml:space="preserve"> C – </w:t>
      </w:r>
      <w:bookmarkEnd w:id="54"/>
      <w:r>
        <w:rPr>
          <w:rFonts w:eastAsia="Arial" w:cs="Times New Roman" w:ascii="Times New Roman" w:hAnsi="Times New Roman"/>
          <w:b/>
          <w:color w:val="auto"/>
          <w:sz w:val="24"/>
          <w:szCs w:val="24"/>
        </w:rPr>
        <w:t>DECLARAÇÃO DE CONHECIMENTO DAS CONDIÇÕES INERENTES À NATUREZA DOS SERVIÇOS</w:t>
      </w:r>
      <w:bookmarkEnd w:id="53"/>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sz w:val="24"/>
          <w:szCs w:val="24"/>
        </w:rPr>
      </w:pPr>
      <w:r>
        <w:rPr>
          <w:rFonts w:ascii="Times New Roman" w:hAnsi="Times New Roman"/>
          <w:sz w:val="24"/>
          <w:szCs w:val="24"/>
        </w:rPr>
        <w:t>A empresa ______________________________, inscrita no CNPJ sob o nº ___________________, por</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both"/>
        <w:rPr>
          <w:rFonts w:ascii="Times New Roman" w:hAnsi="Times New Roman"/>
          <w:sz w:val="24"/>
          <w:szCs w:val="24"/>
        </w:rPr>
      </w:pPr>
      <w:r>
        <w:rPr>
          <w:rFonts w:ascii="Times New Roman" w:hAnsi="Times New Roman"/>
          <w:sz w:val="24"/>
          <w:szCs w:val="24"/>
        </w:rPr>
        <w:t>intermédio de seu representante legal ou preposto, o(a) Sr(a). _____________________________, portador da identidade nº __________________, DECLARA, sob as penas da lei, para todos os fins, estar familiarizado com a natureza e vulto dos serviços especificados, bem como com as técnicas necessárias ao perfeito desenvolvimento da execução do objeto. Declara ainda que tem pleno conhecimento das condições e peculiaridades inerentes à natureza dos trabalhos, assumindo total responsabilidade por esse fato e informando que não o utilizará para quaisquer questionamentos futuros.</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Curitiba-PR, ____ de ______ de 2026.</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____________________________________________________</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(Nome completo do responsável ou preposto)</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____________________________________________________</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sz w:val="24"/>
          <w:szCs w:val="24"/>
        </w:rPr>
      </w:pPr>
      <w:r>
        <w:rPr>
          <w:rFonts w:ascii="Times New Roman" w:hAnsi="Times New Roman"/>
          <w:sz w:val="24"/>
          <w:szCs w:val="24"/>
        </w:rPr>
        <w:t>Assinatura</w:t>
      </w:r>
      <w:r>
        <w:br w:type="page"/>
      </w:r>
    </w:p>
    <w:p>
      <w:pPr>
        <w:pStyle w:val="Heading1"/>
        <w:shd w:val="clear" w:color="auto" w:fill="9CC2E5"/>
        <w:spacing w:before="0" w:after="113"/>
        <w:jc w:val="center"/>
        <w:rPr>
          <w:rFonts w:ascii="Times New Roman" w:hAnsi="Times New Roman"/>
          <w:sz w:val="24"/>
          <w:szCs w:val="24"/>
        </w:rPr>
      </w:pPr>
      <w:bookmarkStart w:id="55" w:name="__RefHeading___Toc11723_612072703"/>
      <w:bookmarkStart w:id="56" w:name="_Toc202882184"/>
      <w:bookmarkEnd w:id="55"/>
      <w:r>
        <w:rPr>
          <w:rFonts w:eastAsia="Arial" w:cs="Times New Roman" w:ascii="Times New Roman" w:hAnsi="Times New Roman"/>
          <w:b/>
          <w:color w:val="auto"/>
          <w:sz w:val="24"/>
          <w:szCs w:val="24"/>
        </w:rPr>
        <w:t>APÊNDICE</w:t>
      </w:r>
      <w:bookmarkStart w:id="57" w:name="_Toc202369843_Copia_3_Copia_2_Copia_1"/>
      <w:r>
        <w:rPr>
          <w:rFonts w:eastAsia="Arial" w:cs="Times New Roman" w:ascii="Times New Roman" w:hAnsi="Times New Roman"/>
          <w:b/>
          <w:color w:val="auto"/>
          <w:sz w:val="24"/>
          <w:szCs w:val="24"/>
        </w:rPr>
        <w:t xml:space="preserve"> D – </w:t>
      </w:r>
      <w:bookmarkEnd w:id="57"/>
      <w:r>
        <w:rPr>
          <w:rFonts w:eastAsia="Arial" w:cs="Times New Roman" w:ascii="Times New Roman" w:hAnsi="Times New Roman"/>
          <w:b/>
          <w:color w:val="auto"/>
          <w:sz w:val="24"/>
          <w:szCs w:val="24"/>
        </w:rPr>
        <w:t>ORÇAMENTO</w:t>
      </w:r>
      <w:bookmarkEnd w:id="56"/>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57" w:after="57"/>
        <w:jc w:val="center"/>
        <w:rPr>
          <w:rFonts w:ascii="Times New Roman" w:hAnsi="Times New Roman"/>
          <w:sz w:val="24"/>
          <w:szCs w:val="24"/>
        </w:rPr>
      </w:pPr>
      <w:r>
        <w:rPr>
          <w:rFonts w:eastAsia="TimesNewRomanPS-ItalicMT" w:ascii="Times New Roman" w:hAnsi="Times New Roman"/>
          <w:color w:val="000000"/>
          <w:sz w:val="24"/>
          <w:szCs w:val="24"/>
          <w:shd w:fill="FFFFFF" w:val="clear"/>
          <w:lang w:eastAsia="pt-BR"/>
        </w:rPr>
        <w:t xml:space="preserve">(arquivo eletrônico disponível para download </w:t>
      </w:r>
    </w:p>
    <w:p>
      <w:pPr>
        <w:pStyle w:val="Normal"/>
        <w:spacing w:lineRule="auto" w:line="240" w:before="57" w:after="57"/>
        <w:jc w:val="center"/>
        <w:rPr/>
      </w:pPr>
      <w:r>
        <w:rPr>
          <w:rFonts w:eastAsia="TimesNewRomanPS-ItalicMT" w:ascii="Times New Roman" w:hAnsi="Times New Roman"/>
          <w:color w:val="000000"/>
          <w:sz w:val="24"/>
          <w:szCs w:val="24"/>
          <w:shd w:fill="FFFFFF" w:val="clear"/>
          <w:lang w:eastAsia="pt-BR"/>
        </w:rPr>
        <w:t>no sítio do Sistema Compras.gov</w:t>
      </w:r>
      <w:r>
        <w:rPr>
          <w:rFonts w:eastAsia="TimesNewRomanPS-ItalicMT" w:ascii="Times New Roman" w:hAnsi="Times New Roman"/>
          <w:color w:val="000000"/>
          <w:sz w:val="24"/>
          <w:szCs w:val="24"/>
          <w:lang w:eastAsia="pt-BR"/>
        </w:rPr>
        <w:t xml:space="preserve">: </w:t>
      </w:r>
      <w:hyperlink r:id="rId23">
        <w:r>
          <w:rPr>
            <w:rStyle w:val="Hyperlink"/>
            <w:rFonts w:eastAsia="TimesNewRomanPS-ItalicMT" w:ascii="Times New Roman" w:hAnsi="Times New Roman"/>
            <w:color w:val="000000"/>
            <w:sz w:val="24"/>
            <w:szCs w:val="24"/>
            <w:shd w:fill="FFFFFF" w:val="clear"/>
            <w:lang w:eastAsia="pt-BR"/>
          </w:rPr>
          <w:t>https://www.gov.br/compras/pt-br/</w:t>
        </w:r>
      </w:hyperlink>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pPr>
      <w:r>
        <w:rPr>
          <w:rFonts w:eastAsia="TimesNewRomanPS-ItalicMT" w:ascii="Times New Roman" w:hAnsi="Times New Roman"/>
          <w:color w:val="000000"/>
          <w:sz w:val="24"/>
          <w:szCs w:val="24"/>
          <w:lang w:eastAsia="pt-BR"/>
        </w:rPr>
        <w:t xml:space="preserve"> </w:t>
      </w:r>
      <w:r>
        <w:rPr>
          <w:rFonts w:eastAsia="TimesNewRomanPS-ItalicMT" w:ascii="Times New Roman" w:hAnsi="Times New Roman"/>
          <w:color w:val="000000"/>
          <w:sz w:val="24"/>
          <w:szCs w:val="24"/>
          <w:lang w:eastAsia="pt-BR"/>
        </w:rPr>
        <w:t xml:space="preserve">e no Portal da Transparência do MPF: </w:t>
      </w:r>
      <w:hyperlink r:id="rId24">
        <w:r>
          <w:rPr>
            <w:rStyle w:val="Hyperlink"/>
            <w:rFonts w:eastAsia="TimesNewRomanPS-ItalicMT" w:ascii="Times New Roman" w:hAnsi="Times New Roman"/>
            <w:color w:val="000000"/>
            <w:sz w:val="24"/>
            <w:szCs w:val="24"/>
            <w:lang w:eastAsia="pt-BR"/>
          </w:rPr>
          <w:t>http://www.transparencia.mpf.mp.br/conteudo/licitacoes-contratos-e-convenios/licitacoes</w:t>
        </w:r>
      </w:hyperlink>
      <w:r>
        <w:rPr>
          <w:rFonts w:eastAsia="TimesNewRomanPS-ItalicMT" w:ascii="Times New Roman" w:hAnsi="Times New Roman"/>
          <w:color w:val="000000"/>
          <w:sz w:val="24"/>
          <w:szCs w:val="24"/>
          <w:lang w:eastAsia="pt-BR"/>
        </w:rPr>
        <w:t>)</w:t>
      </w:r>
      <w:r>
        <w:br w:type="page"/>
      </w:r>
    </w:p>
    <w:p>
      <w:pPr>
        <w:pStyle w:val="Heading1"/>
        <w:shd w:val="clear" w:color="auto" w:fill="9CC2E5"/>
        <w:spacing w:before="0" w:after="113"/>
        <w:jc w:val="center"/>
        <w:rPr>
          <w:rFonts w:ascii="Times New Roman" w:hAnsi="Times New Roman"/>
          <w:sz w:val="24"/>
          <w:szCs w:val="24"/>
        </w:rPr>
      </w:pPr>
      <w:bookmarkStart w:id="58" w:name="__RefHeading___Toc11723_612072703_Copia_"/>
      <w:bookmarkStart w:id="59" w:name="_Toc202882184_Copia_1"/>
      <w:bookmarkEnd w:id="58"/>
      <w:r>
        <w:rPr>
          <w:rFonts w:eastAsia="Arial" w:cs="Times New Roman" w:ascii="Times New Roman" w:hAnsi="Times New Roman"/>
          <w:b/>
          <w:color w:val="auto"/>
          <w:sz w:val="24"/>
          <w:szCs w:val="24"/>
        </w:rPr>
        <w:t>APÊNDICE</w:t>
      </w:r>
      <w:bookmarkStart w:id="60" w:name="_Toc202369843_Copia_3_Copia_2_Copia_1_Co"/>
      <w:r>
        <w:rPr>
          <w:rFonts w:eastAsia="Arial" w:cs="Times New Roman" w:ascii="Times New Roman" w:hAnsi="Times New Roman"/>
          <w:b/>
          <w:color w:val="auto"/>
          <w:sz w:val="24"/>
          <w:szCs w:val="24"/>
        </w:rPr>
        <w:t xml:space="preserve"> </w:t>
      </w:r>
      <w:r>
        <w:rPr>
          <w:rFonts w:eastAsia="Arial" w:cs="Times New Roman" w:ascii="Times New Roman" w:hAnsi="Times New Roman"/>
          <w:b/>
          <w:color w:val="auto"/>
          <w:sz w:val="24"/>
          <w:szCs w:val="24"/>
        </w:rPr>
        <w:t>E</w:t>
      </w:r>
      <w:r>
        <w:rPr>
          <w:rFonts w:eastAsia="Arial" w:cs="Times New Roman" w:ascii="Times New Roman" w:hAnsi="Times New Roman"/>
          <w:b/>
          <w:color w:val="auto"/>
          <w:sz w:val="24"/>
          <w:szCs w:val="24"/>
        </w:rPr>
        <w:t xml:space="preserve"> – </w:t>
      </w:r>
      <w:bookmarkEnd w:id="59"/>
      <w:bookmarkEnd w:id="60"/>
      <w:r>
        <w:rPr>
          <w:rFonts w:eastAsia="Arial" w:cs="Times New Roman" w:ascii="Times New Roman" w:hAnsi="Times New Roman"/>
          <w:b/>
          <w:color w:val="auto"/>
          <w:sz w:val="24"/>
          <w:szCs w:val="24"/>
        </w:rPr>
        <w:t>LAYOUT</w:t>
      </w:r>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57" w:after="57"/>
        <w:jc w:val="center"/>
        <w:rPr>
          <w:rFonts w:ascii="Times New Roman" w:hAnsi="Times New Roman"/>
          <w:sz w:val="24"/>
          <w:szCs w:val="24"/>
        </w:rPr>
      </w:pPr>
      <w:r>
        <w:rPr>
          <w:rFonts w:eastAsia="TimesNewRomanPS-ItalicMT" w:ascii="Times New Roman" w:hAnsi="Times New Roman"/>
          <w:color w:val="000000"/>
          <w:sz w:val="24"/>
          <w:szCs w:val="24"/>
          <w:shd w:fill="FFFFFF" w:val="clear"/>
          <w:lang w:eastAsia="pt-BR"/>
        </w:rPr>
        <w:t xml:space="preserve">(arquivo eletrônico disponível para download </w:t>
      </w:r>
    </w:p>
    <w:p>
      <w:pPr>
        <w:pStyle w:val="Normal"/>
        <w:spacing w:lineRule="auto" w:line="240" w:before="57" w:after="57"/>
        <w:jc w:val="center"/>
        <w:rPr/>
      </w:pPr>
      <w:r>
        <w:rPr>
          <w:rFonts w:eastAsia="TimesNewRomanPS-ItalicMT" w:ascii="Times New Roman" w:hAnsi="Times New Roman"/>
          <w:color w:val="000000"/>
          <w:sz w:val="24"/>
          <w:szCs w:val="24"/>
          <w:shd w:fill="FFFFFF" w:val="clear"/>
          <w:lang w:eastAsia="pt-BR"/>
        </w:rPr>
        <w:t>no sítio do Sistema Compras.gov</w:t>
      </w:r>
      <w:r>
        <w:rPr>
          <w:rFonts w:eastAsia="TimesNewRomanPS-ItalicMT" w:ascii="Times New Roman" w:hAnsi="Times New Roman"/>
          <w:color w:val="000000"/>
          <w:sz w:val="24"/>
          <w:szCs w:val="24"/>
          <w:lang w:eastAsia="pt-BR"/>
        </w:rPr>
        <w:t xml:space="preserve">: </w:t>
      </w:r>
      <w:hyperlink r:id="rId25">
        <w:r>
          <w:rPr>
            <w:rStyle w:val="Hyperlink"/>
            <w:rFonts w:eastAsia="TimesNewRomanPS-ItalicMT" w:ascii="Times New Roman" w:hAnsi="Times New Roman"/>
            <w:color w:val="000000"/>
            <w:sz w:val="24"/>
            <w:szCs w:val="24"/>
            <w:shd w:fill="FFFFFF" w:val="clear"/>
            <w:lang w:eastAsia="pt-BR"/>
          </w:rPr>
          <w:t>https://www.gov.br/compras/pt-br/</w:t>
        </w:r>
      </w:hyperlink>
    </w:p>
    <w:p>
      <w:pPr>
        <w:pStyle w:val="Normal"/>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pPr>
      <w:r>
        <w:rPr>
          <w:rFonts w:eastAsia="TimesNewRomanPS-ItalicMT" w:ascii="Times New Roman" w:hAnsi="Times New Roman"/>
          <w:color w:val="000000"/>
          <w:sz w:val="24"/>
          <w:szCs w:val="24"/>
          <w:lang w:eastAsia="pt-BR"/>
        </w:rPr>
        <w:t xml:space="preserve"> </w:t>
      </w:r>
      <w:r>
        <w:rPr>
          <w:rFonts w:eastAsia="TimesNewRomanPS-ItalicMT" w:ascii="Times New Roman" w:hAnsi="Times New Roman"/>
          <w:color w:val="000000"/>
          <w:sz w:val="24"/>
          <w:szCs w:val="24"/>
          <w:lang w:eastAsia="pt-BR"/>
        </w:rPr>
        <w:t xml:space="preserve">e no Portal da Transparência do MPF: </w:t>
      </w:r>
      <w:hyperlink r:id="rId26">
        <w:r>
          <w:rPr>
            <w:rStyle w:val="Hyperlink"/>
            <w:rFonts w:eastAsia="TimesNewRomanPS-ItalicMT" w:ascii="Times New Roman" w:hAnsi="Times New Roman"/>
            <w:color w:val="000000"/>
            <w:sz w:val="24"/>
            <w:szCs w:val="24"/>
            <w:lang w:eastAsia="pt-BR"/>
          </w:rPr>
          <w:t>http://www.transparencia.mpf.mp.br/conteudo/licitacoes-contratos-e-convenios/licitacoes</w:t>
        </w:r>
      </w:hyperlink>
      <w:r>
        <w:rPr>
          <w:rFonts w:eastAsia="TimesNewRomanPS-ItalicMT" w:ascii="Times New Roman" w:hAnsi="Times New Roman"/>
          <w:color w:val="000000"/>
          <w:sz w:val="24"/>
          <w:szCs w:val="24"/>
          <w:lang w:eastAsia="pt-BR"/>
        </w:rPr>
        <w:t>)</w:t>
      </w:r>
    </w:p>
    <w:sectPr>
      <w:headerReference w:type="default" r:id="rId27"/>
      <w:footerReference w:type="default" r:id="rId28"/>
      <w:type w:val="nextPage"/>
      <w:pgSz w:w="11906" w:h="16838"/>
      <w:pgMar w:left="1477" w:right="1475" w:gutter="0" w:header="680" w:top="3005" w:footer="518" w:bottom="1992"/>
      <w:pgNumType w:start="1"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libri">
    <w:charset w:val="00"/>
    <w:family w:val="roman"/>
    <w:pitch w:val="variable"/>
  </w:font>
  <w:font w:name="OpenSymbol">
    <w:altName w:val="Arial Unicode MS"/>
    <w:charset w:val="00"/>
    <w:family w:val="roman"/>
    <w:pitch w:val="variable"/>
  </w:font>
  <w:font w:name="Ecofont_Spranq_eco_Sans">
    <w:charset w:val="00"/>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t xml:space="preserve">Página </w:t>
    </w:r>
    <w:r>
      <w:rPr/>
      <w:fldChar w:fldCharType="begin"/>
    </w:r>
    <w:r>
      <w:rPr/>
      <w:instrText xml:space="preserve"> PAGE </w:instrText>
    </w:r>
    <w:r>
      <w:rPr/>
      <w:fldChar w:fldCharType="separate"/>
    </w:r>
    <w:r>
      <w:rPr/>
      <w:t>2</w:t>
    </w:r>
    <w:r>
      <w:rPr/>
      <w:fldChar w:fldCharType="end"/>
    </w:r>
    <w:r>
      <w:rPr/>
      <w:t xml:space="preserve"> de </w:t>
    </w:r>
    <w:r>
      <w:rPr/>
      <w:fldChar w:fldCharType="begin"/>
    </w:r>
    <w:r>
      <w:rPr/>
      <w:instrText xml:space="preserve"> NUMPAGES </w:instrText>
    </w:r>
    <w:r>
      <w:rPr/>
      <w:fldChar w:fldCharType="separate"/>
    </w:r>
    <w:r>
      <w:rPr/>
      <w:t>29</w:t>
    </w:r>
    <w:r>
      <w:rPr/>
      <w:fldChar w:fldCharType="end"/>
    </w:r>
  </w:p>
  <w:p>
    <w:pPr>
      <w:pStyle w:val="Normal"/>
      <w:tabs>
        <w:tab w:val="clear" w:pos="720"/>
        <w:tab w:val="center" w:pos="4252" w:leader="none"/>
        <w:tab w:val="right" w:pos="8953" w:leader="none"/>
      </w:tabs>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pPr>
    <w:r>
      <w:drawing>
        <wp:anchor behindDoc="1" distT="0" distB="0" distL="114300" distR="114300" simplePos="0" locked="0" layoutInCell="0" allowOverlap="1" relativeHeight="30">
          <wp:simplePos x="0" y="0"/>
          <wp:positionH relativeFrom="column">
            <wp:posOffset>2479675</wp:posOffset>
          </wp:positionH>
          <wp:positionV relativeFrom="paragraph">
            <wp:posOffset>33020</wp:posOffset>
          </wp:positionV>
          <wp:extent cx="795020" cy="80391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0" t="0" r="3496" b="0"/>
                  <a:stretch>
                    <a:fillRect/>
                  </a:stretch>
                </pic:blipFill>
                <pic:spPr bwMode="auto">
                  <a:xfrm>
                    <a:off x="0" y="0"/>
                    <a:ext cx="795020" cy="803910"/>
                  </a:xfrm>
                  <a:prstGeom prst="rect">
                    <a:avLst/>
                  </a:prstGeom>
                </pic:spPr>
              </pic:pic>
            </a:graphicData>
          </a:graphic>
        </wp:anchor>
      </w:drawing>
    </w:r>
    <w:r>
      <w:rPr>
        <w:rFonts w:eastAsia="Calibri" w:cs="Calibri" w:ascii="Calibri" w:hAnsi="Calibri"/>
        <w:b/>
        <w:color w:val="000000"/>
        <w:sz w:val="24"/>
        <w:szCs w:val="24"/>
      </w:rPr>
      <w:tab/>
      <w:tab/>
      <w:tab/>
      <w:tab/>
      <w:tab/>
      <w:tab/>
    </w:r>
  </w:p>
  <w:p>
    <w:pPr>
      <w:pStyle w:val="Normal"/>
      <w:jc w:val="center"/>
      <w:rPr>
        <w:rFonts w:ascii="Calibri" w:hAnsi="Calibri" w:eastAsia="Calibri" w:cs="Calibri"/>
        <w:b/>
        <w:color w:val="FFFFFF"/>
        <w:sz w:val="24"/>
        <w:szCs w:val="24"/>
      </w:rPr>
    </w:pPr>
    <w:r>
      <w:rPr>
        <w:rFonts w:eastAsia="Calibri" w:cs="Calibri" w:ascii="Calibri" w:hAnsi="Calibri"/>
        <w:b/>
        <w:color w:val="FFFFFF"/>
        <w:sz w:val="24"/>
        <w:szCs w:val="24"/>
      </w:rPr>
    </w:r>
  </w:p>
  <w:p>
    <w:pPr>
      <w:pStyle w:val="Normal"/>
      <w:spacing w:lineRule="auto" w:line="264" w:before="0" w:after="120"/>
      <w:ind w:left="4" w:right="2"/>
      <w:jc w:val="center"/>
      <w:rPr>
        <w:rFonts w:ascii="Calibri" w:hAnsi="Calibri" w:eastAsia="Calibri" w:cs="Calibri"/>
        <w:b/>
        <w:color w:val="000000"/>
        <w:sz w:val="24"/>
        <w:szCs w:val="24"/>
      </w:rPr>
    </w:pPr>
    <w:r>
      <w:rPr>
        <w:rFonts w:eastAsia="Calibri" w:cs="Calibri" w:ascii="Calibri" w:hAnsi="Calibri"/>
        <w:b/>
        <w:color w:val="000000"/>
        <w:sz w:val="24"/>
        <w:szCs w:val="24"/>
      </w:rPr>
      <w:tab/>
      <w:tab/>
    </w:r>
  </w:p>
  <w:p>
    <w:pPr>
      <w:pStyle w:val="Normal"/>
      <w:spacing w:lineRule="auto" w:line="264" w:before="0" w:after="120"/>
      <w:ind w:right="2"/>
      <w:jc w:val="center"/>
      <w:rPr>
        <w:rFonts w:ascii="Calibri" w:hAnsi="Calibri" w:eastAsia="Calibri" w:cs="Calibri"/>
        <w:b/>
        <w:color w:val="000000"/>
        <w:sz w:val="24"/>
        <w:szCs w:val="24"/>
      </w:rPr>
    </w:pPr>
    <w:r>
      <w:rPr>
        <w:rFonts w:eastAsia="Calibri" w:cs="Calibri" w:ascii="Calibri" w:hAnsi="Calibri"/>
        <w:b/>
        <w:color w:val="000000"/>
        <w:sz w:val="24"/>
        <w:szCs w:val="24"/>
      </w:rPr>
    </w:r>
  </w:p>
  <w:p>
    <w:pPr>
      <w:pStyle w:val="Normal"/>
      <w:jc w:val="center"/>
      <w:rPr>
        <w:rFonts w:ascii="Times New Roman" w:hAnsi="Times New Roman" w:eastAsia="Calibri" w:cs="Calibri"/>
        <w:b/>
        <w:sz w:val="24"/>
        <w:szCs w:val="24"/>
      </w:rPr>
    </w:pPr>
    <w:r>
      <w:rPr>
        <w:rFonts w:eastAsia="Calibri" w:cs="Calibri" w:ascii="Times New Roman" w:hAnsi="Times New Roman"/>
        <w:b/>
        <w:sz w:val="24"/>
        <w:szCs w:val="24"/>
      </w:rPr>
      <w:t>MINISTÉRIO PÚBLICO FEDERAL</w:t>
    </w:r>
  </w:p>
  <w:p>
    <w:pPr>
      <w:pStyle w:val="Normal"/>
      <w:jc w:val="center"/>
      <w:rPr>
        <w:rFonts w:ascii="Times New Roman" w:hAnsi="Times New Roman" w:eastAsia="Calibri" w:cs="Calibri"/>
        <w:b/>
        <w:color w:val="000000"/>
        <w:sz w:val="24"/>
        <w:szCs w:val="24"/>
      </w:rPr>
    </w:pPr>
    <w:r>
      <w:rPr>
        <w:rFonts w:eastAsia="Calibri" w:cs="Calibri" w:ascii="Times New Roman" w:hAnsi="Times New Roman"/>
        <w:b/>
        <w:color w:val="000000"/>
        <w:sz w:val="24"/>
        <w:szCs w:val="24"/>
      </w:rPr>
      <w:t>PROCURADORIA DA REPÚBLICA - PARANÁ</w:t>
    </w:r>
  </w:p>
  <w:p>
    <w:pPr>
      <w:pStyle w:val="Normal"/>
      <w:jc w:val="center"/>
      <w:rPr/>
    </w:pPr>
    <w:r>
      <w:rPr>
        <w:rFonts w:eastAsia="Calibri" w:cs="Calibri" w:ascii="Times New Roman" w:hAnsi="Times New Roman"/>
        <w:b/>
        <w:color w:val="000000"/>
        <w:sz w:val="24"/>
        <w:szCs w:val="24"/>
      </w:rPr>
      <w:t>COORDENADORIA DE ADMINISTRAÇÃO/PR/PR</w:t>
    </w:r>
  </w:p>
  <w:p>
    <w:pPr>
      <w:pStyle w:val="Normal"/>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Symbol" w:hAnsi="Symbol" w:cs="Symbol" w:hint="default"/>
      </w:rPr>
    </w:lvl>
    <w:lvl w:ilvl="1">
      <w:start w:val="0"/>
      <w:numFmt w:val="bullet"/>
      <w:lvlText w:val="◦"/>
      <w:lvlJc w:val="left"/>
      <w:pPr>
        <w:tabs>
          <w:tab w:val="num" w:pos="0"/>
        </w:tabs>
        <w:ind w:left="1080" w:hanging="360"/>
      </w:pPr>
      <w:rPr>
        <w:rFonts w:ascii="OpenSymbol" w:hAnsi="OpenSymbol" w:cs="OpenSymbol" w:hint="default"/>
      </w:rPr>
    </w:lvl>
    <w:lvl w:ilvl="2">
      <w:start w:val="0"/>
      <w:numFmt w:val="bullet"/>
      <w:lvlText w:val="▪"/>
      <w:lvlJc w:val="left"/>
      <w:pPr>
        <w:tabs>
          <w:tab w:val="num" w:pos="0"/>
        </w:tabs>
        <w:ind w:left="1440" w:hanging="360"/>
      </w:pPr>
      <w:rPr>
        <w:rFonts w:ascii="OpenSymbol" w:hAnsi="OpenSymbol" w:cs="OpenSymbol" w:hint="default"/>
      </w:rPr>
    </w:lvl>
    <w:lvl w:ilvl="3">
      <w:start w:val="0"/>
      <w:numFmt w:val="bullet"/>
      <w:lvlText w:val=""/>
      <w:lvlJc w:val="left"/>
      <w:pPr>
        <w:tabs>
          <w:tab w:val="num" w:pos="0"/>
        </w:tabs>
        <w:ind w:left="1800" w:hanging="360"/>
      </w:pPr>
      <w:rPr>
        <w:rFonts w:ascii="Symbol" w:hAnsi="Symbol" w:cs="Symbol" w:hint="default"/>
      </w:rPr>
    </w:lvl>
    <w:lvl w:ilvl="4">
      <w:start w:val="0"/>
      <w:numFmt w:val="bullet"/>
      <w:lvlText w:val="◦"/>
      <w:lvlJc w:val="left"/>
      <w:pPr>
        <w:tabs>
          <w:tab w:val="num" w:pos="0"/>
        </w:tabs>
        <w:ind w:left="2160" w:hanging="360"/>
      </w:pPr>
      <w:rPr>
        <w:rFonts w:ascii="OpenSymbol" w:hAnsi="OpenSymbol" w:cs="OpenSymbol" w:hint="default"/>
      </w:rPr>
    </w:lvl>
    <w:lvl w:ilvl="5">
      <w:start w:val="0"/>
      <w:numFmt w:val="bullet"/>
      <w:lvlText w:val="▪"/>
      <w:lvlJc w:val="left"/>
      <w:pPr>
        <w:tabs>
          <w:tab w:val="num" w:pos="0"/>
        </w:tabs>
        <w:ind w:left="2520" w:hanging="360"/>
      </w:pPr>
      <w:rPr>
        <w:rFonts w:ascii="OpenSymbol" w:hAnsi="OpenSymbol" w:cs="OpenSymbol" w:hint="default"/>
      </w:rPr>
    </w:lvl>
    <w:lvl w:ilvl="6">
      <w:start w:val="0"/>
      <w:numFmt w:val="bullet"/>
      <w:lvlText w:val=""/>
      <w:lvlJc w:val="left"/>
      <w:pPr>
        <w:tabs>
          <w:tab w:val="num" w:pos="0"/>
        </w:tabs>
        <w:ind w:left="2880" w:hanging="360"/>
      </w:pPr>
      <w:rPr>
        <w:rFonts w:ascii="Symbol" w:hAnsi="Symbol" w:cs="Symbol" w:hint="default"/>
      </w:rPr>
    </w:lvl>
    <w:lvl w:ilvl="7">
      <w:start w:val="0"/>
      <w:numFmt w:val="bullet"/>
      <w:lvlText w:val="◦"/>
      <w:lvlJc w:val="left"/>
      <w:pPr>
        <w:tabs>
          <w:tab w:val="num" w:pos="0"/>
        </w:tabs>
        <w:ind w:left="3240" w:hanging="360"/>
      </w:pPr>
      <w:rPr>
        <w:rFonts w:ascii="OpenSymbol" w:hAnsi="OpenSymbol" w:cs="OpenSymbol" w:hint="default"/>
      </w:rPr>
    </w:lvl>
    <w:lvl w:ilvl="8">
      <w:start w:val="0"/>
      <w:numFmt w:val="bullet"/>
      <w:lvlText w:val="▪"/>
      <w:lvlJc w:val="left"/>
      <w:pPr>
        <w:tabs>
          <w:tab w:val="num" w:pos="0"/>
        </w:tabs>
        <w:ind w:left="3600" w:hanging="360"/>
      </w:pPr>
      <w:rPr>
        <w:rFonts w:ascii="OpenSymbol" w:hAnsi="OpenSymbol" w:cs="OpenSymbol" w:hint="default"/>
      </w:rPr>
    </w:lvl>
  </w:abstractNum>
  <w:abstractNum w:abstractNumId="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
    <w:lvl w:ilvl="0">
      <w:start w:val="1"/>
      <w:numFmt w:val="bullet"/>
      <w:lvlText w:val=""/>
      <w:lvlJc w:val="left"/>
      <w:pPr>
        <w:tabs>
          <w:tab w:val="num" w:pos="0"/>
        </w:tabs>
        <w:ind w:left="1060" w:hanging="360"/>
      </w:pPr>
      <w:rPr>
        <w:rFonts w:ascii="Symbol" w:hAnsi="Symbol" w:cs="Symbol" w:hint="default"/>
      </w:rPr>
    </w:lvl>
    <w:lvl w:ilvl="1">
      <w:start w:val="1"/>
      <w:numFmt w:val="bullet"/>
      <w:lvlText w:val="o"/>
      <w:lvlJc w:val="left"/>
      <w:pPr>
        <w:tabs>
          <w:tab w:val="num" w:pos="0"/>
        </w:tabs>
        <w:ind w:left="1780" w:hanging="360"/>
      </w:pPr>
      <w:rPr>
        <w:rFonts w:ascii="Courier New" w:hAnsi="Courier New" w:cs="Courier New" w:hint="default"/>
      </w:rPr>
    </w:lvl>
    <w:lvl w:ilvl="2">
      <w:start w:val="1"/>
      <w:numFmt w:val="bullet"/>
      <w:lvlText w:val=""/>
      <w:lvlJc w:val="left"/>
      <w:pPr>
        <w:tabs>
          <w:tab w:val="num" w:pos="0"/>
        </w:tabs>
        <w:ind w:left="2500" w:hanging="360"/>
      </w:pPr>
      <w:rPr>
        <w:rFonts w:ascii="Wingdings" w:hAnsi="Wingdings" w:cs="Wingdings" w:hint="default"/>
      </w:rPr>
    </w:lvl>
    <w:lvl w:ilvl="3">
      <w:start w:val="1"/>
      <w:numFmt w:val="bullet"/>
      <w:lvlText w:val=""/>
      <w:lvlJc w:val="left"/>
      <w:pPr>
        <w:tabs>
          <w:tab w:val="num" w:pos="0"/>
        </w:tabs>
        <w:ind w:left="3220" w:hanging="360"/>
      </w:pPr>
      <w:rPr>
        <w:rFonts w:ascii="Symbol" w:hAnsi="Symbol" w:cs="Symbol" w:hint="default"/>
      </w:rPr>
    </w:lvl>
    <w:lvl w:ilvl="4">
      <w:start w:val="1"/>
      <w:numFmt w:val="bullet"/>
      <w:lvlText w:val="o"/>
      <w:lvlJc w:val="left"/>
      <w:pPr>
        <w:tabs>
          <w:tab w:val="num" w:pos="0"/>
        </w:tabs>
        <w:ind w:left="3940" w:hanging="360"/>
      </w:pPr>
      <w:rPr>
        <w:rFonts w:ascii="Courier New" w:hAnsi="Courier New" w:cs="Courier New" w:hint="default"/>
      </w:rPr>
    </w:lvl>
    <w:lvl w:ilvl="5">
      <w:start w:val="1"/>
      <w:numFmt w:val="bullet"/>
      <w:lvlText w:val=""/>
      <w:lvlJc w:val="left"/>
      <w:pPr>
        <w:tabs>
          <w:tab w:val="num" w:pos="0"/>
        </w:tabs>
        <w:ind w:left="4660" w:hanging="360"/>
      </w:pPr>
      <w:rPr>
        <w:rFonts w:ascii="Wingdings" w:hAnsi="Wingdings" w:cs="Wingdings" w:hint="default"/>
      </w:rPr>
    </w:lvl>
    <w:lvl w:ilvl="6">
      <w:start w:val="1"/>
      <w:numFmt w:val="bullet"/>
      <w:lvlText w:val=""/>
      <w:lvlJc w:val="left"/>
      <w:pPr>
        <w:tabs>
          <w:tab w:val="num" w:pos="0"/>
        </w:tabs>
        <w:ind w:left="5380" w:hanging="360"/>
      </w:pPr>
      <w:rPr>
        <w:rFonts w:ascii="Symbol" w:hAnsi="Symbol" w:cs="Symbol" w:hint="default"/>
      </w:rPr>
    </w:lvl>
    <w:lvl w:ilvl="7">
      <w:start w:val="1"/>
      <w:numFmt w:val="bullet"/>
      <w:lvlText w:val="o"/>
      <w:lvlJc w:val="left"/>
      <w:pPr>
        <w:tabs>
          <w:tab w:val="num" w:pos="0"/>
        </w:tabs>
        <w:ind w:left="6100" w:hanging="360"/>
      </w:pPr>
      <w:rPr>
        <w:rFonts w:ascii="Courier New" w:hAnsi="Courier New" w:cs="Courier New" w:hint="default"/>
      </w:rPr>
    </w:lvl>
    <w:lvl w:ilvl="8">
      <w:start w:val="1"/>
      <w:numFmt w:val="bullet"/>
      <w:lvlText w:val=""/>
      <w:lvlJc w:val="left"/>
      <w:pPr>
        <w:tabs>
          <w:tab w:val="num" w:pos="0"/>
        </w:tabs>
        <w:ind w:left="682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3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4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4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4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4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4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4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4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4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4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4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5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5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5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5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5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5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5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5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5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5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6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7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8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9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0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1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2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3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4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5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6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7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8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19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0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1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2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3">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4">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5">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6">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7">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8">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39">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40">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41">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42">
    <w:lvl w:ilvl="0">
      <w:start w:val="1"/>
      <w:numFmt w:val="decimal"/>
      <w:suff w:val="space"/>
      <w:lvlText w:val="%1."/>
      <w:lvlJc w:val="left"/>
      <w:pPr>
        <w:tabs>
          <w:tab w:val="num" w:pos="0"/>
        </w:tabs>
        <w:ind w:left="0" w:hanging="0"/>
      </w:pPr>
      <w:rPr>
        <w:sz w:val="24"/>
        <w:b/>
        <w:szCs w:val="24"/>
        <w:bCs/>
        <w:rFonts w:ascii="Times New Roman" w:hAnsi="Times New Roman" w:eastAsia="Times New Roman" w:cs="Times New Roman"/>
        <w:color w:val="000000"/>
      </w:rPr>
    </w:lvl>
    <w:lvl w:ilvl="1">
      <w:start w:val="1"/>
      <w:numFmt w:val="decimal"/>
      <w:suff w:val="space"/>
      <w:lvlText w:val="%1.%2."/>
      <w:lvlJc w:val="left"/>
      <w:pPr>
        <w:tabs>
          <w:tab w:val="num" w:pos="0"/>
        </w:tabs>
        <w:ind w:left="0" w:hanging="0"/>
      </w:pPr>
      <w:rPr>
        <w:sz w:val="22"/>
        <w:b/>
        <w:szCs w:val="22"/>
        <w:bCs/>
        <w:rFonts w:ascii="Times New Roman" w:hAnsi="Times New Roman"/>
        <w:color w:val="auto"/>
      </w:rPr>
    </w:lvl>
    <w:lvl w:ilvl="2">
      <w:start w:val="1"/>
      <w:numFmt w:val="decimal"/>
      <w:suff w:val="space"/>
      <w:lvlText w:val="%1.%2.%3."/>
      <w:lvlJc w:val="left"/>
      <w:pPr>
        <w:tabs>
          <w:tab w:val="num" w:pos="0"/>
        </w:tabs>
        <w:ind w:left="340" w:hanging="0"/>
      </w:pPr>
      <w:rPr>
        <w:sz w:val="22"/>
        <w:b/>
        <w:szCs w:val="22"/>
        <w:bCs/>
        <w:rFonts w:ascii="Times New Roman" w:hAnsi="Times New Roman"/>
        <w:color w:val="auto"/>
      </w:rPr>
    </w:lvl>
    <w:lvl w:ilvl="3">
      <w:start w:val="1"/>
      <w:numFmt w:val="lowerLetter"/>
      <w:suff w:val="space"/>
      <w:lvlText w:val="%4)"/>
      <w:lvlJc w:val="left"/>
      <w:pPr>
        <w:tabs>
          <w:tab w:val="num" w:pos="0"/>
        </w:tabs>
        <w:ind w:left="567" w:hanging="0"/>
      </w:pPr>
      <w:rPr>
        <w:b/>
        <w:bCs/>
        <w:color w:val="auto"/>
      </w:rPr>
    </w:lvl>
    <w:lvl w:ilvl="4">
      <w:start w:val="1"/>
      <w:numFmt w:val="decimal"/>
      <w:suff w:val="space"/>
      <w:lvlText w:val="%1.%2.%3.%4.%5."/>
      <w:lvlJc w:val="left"/>
      <w:pPr>
        <w:tabs>
          <w:tab w:val="num" w:pos="0"/>
        </w:tabs>
        <w:ind w:left="2160" w:hanging="360"/>
      </w:pPr>
      <w:rPr>
        <w:b/>
        <w:bCs/>
        <w:color w:val="auto"/>
      </w:rPr>
    </w:lvl>
    <w:lvl w:ilvl="5">
      <w:start w:val="1"/>
      <w:numFmt w:val="decimal"/>
      <w:suff w:val="space"/>
      <w:lvlText w:val="%1.%2.%3.%4.%5.%6."/>
      <w:lvlJc w:val="left"/>
      <w:pPr>
        <w:tabs>
          <w:tab w:val="num" w:pos="0"/>
        </w:tabs>
        <w:ind w:left="2520" w:hanging="360"/>
      </w:pPr>
      <w:rPr>
        <w:b/>
        <w:bCs/>
        <w:color w:val="auto"/>
      </w:rPr>
    </w:lvl>
    <w:lvl w:ilvl="6">
      <w:start w:val="1"/>
      <w:numFmt w:val="decimal"/>
      <w:suff w:val="space"/>
      <w:lvlText w:val="%1.%2.%3.%4.%5.%6.%7."/>
      <w:lvlJc w:val="left"/>
      <w:pPr>
        <w:tabs>
          <w:tab w:val="num" w:pos="0"/>
        </w:tabs>
        <w:ind w:left="2880" w:hanging="360"/>
      </w:pPr>
      <w:rPr>
        <w:b/>
        <w:bCs/>
        <w:color w:val="auto"/>
      </w:rPr>
    </w:lvl>
    <w:lvl w:ilvl="7">
      <w:start w:val="1"/>
      <w:numFmt w:val="decimal"/>
      <w:suff w:val="space"/>
      <w:lvlText w:val="%1.%2.%3.%4.%5.%6.%7.%8."/>
      <w:lvlJc w:val="left"/>
      <w:pPr>
        <w:tabs>
          <w:tab w:val="num" w:pos="0"/>
        </w:tabs>
        <w:ind w:left="3240" w:hanging="360"/>
      </w:pPr>
      <w:rPr>
        <w:b/>
        <w:bCs/>
        <w:color w:val="auto"/>
      </w:rPr>
    </w:lvl>
    <w:lvl w:ilvl="8">
      <w:start w:val="1"/>
      <w:numFmt w:val="decimal"/>
      <w:suff w:val="space"/>
      <w:lvlText w:val="%1.%2.%3.%4.%5.%6.%7.%8.%9."/>
      <w:lvlJc w:val="left"/>
      <w:pPr>
        <w:tabs>
          <w:tab w:val="num" w:pos="0"/>
        </w:tabs>
        <w:ind w:left="3600" w:hanging="360"/>
      </w:pPr>
      <w:rPr>
        <w:b/>
        <w:bCs/>
        <w:color w:val="auto"/>
      </w:rPr>
    </w:lvl>
  </w:abstractNum>
  <w:abstractNum w:abstractNumId="24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5"/>
    <w:lvlOverride w:ilvl="0">
      <w:startOverride w:val="1"/>
    </w:lvlOverride>
  </w:num>
  <w:num w:numId="245">
    <w:abstractNumId w:val="5"/>
  </w:num>
  <w:num w:numId="246">
    <w:abstractNumId w:val="5"/>
  </w:num>
  <w:num w:numId="247">
    <w:abstractNumId w:val="5"/>
  </w:num>
  <w:num w:numId="248">
    <w:abstractNumId w:val="5"/>
  </w:num>
  <w:num w:numId="249">
    <w:abstractNumId w:val="5"/>
  </w:num>
  <w:num w:numId="250">
    <w:abstractNumId w:val="5"/>
  </w:num>
  <w:num w:numId="251">
    <w:abstractNumId w:val="5"/>
  </w:num>
  <w:num w:numId="252">
    <w:abstractNumId w:val="5"/>
  </w:num>
  <w:num w:numId="253">
    <w:abstractNumId w:val="5"/>
  </w:num>
  <w:num w:numId="254">
    <w:abstractNumId w:val="5"/>
  </w:num>
  <w:num w:numId="255">
    <w:abstractNumId w:val="5"/>
  </w:num>
  <w:num w:numId="256">
    <w:abstractNumId w:val="5"/>
  </w:num>
  <w:num w:numId="257">
    <w:abstractNumId w:val="5"/>
  </w:num>
  <w:num w:numId="258">
    <w:abstractNumId w:val="5"/>
  </w:num>
  <w:num w:numId="259">
    <w:abstractNumId w:val="5"/>
  </w:num>
  <w:num w:numId="260">
    <w:abstractNumId w:val="5"/>
  </w:num>
  <w:num w:numId="261">
    <w:abstractNumId w:val="5"/>
  </w:num>
  <w:num w:numId="262">
    <w:abstractNumId w:val="5"/>
  </w:num>
  <w:num w:numId="263">
    <w:abstractNumId w:val="5"/>
  </w:num>
  <w:num w:numId="264">
    <w:abstractNumId w:val="5"/>
  </w:num>
  <w:num w:numId="265">
    <w:abstractNumId w:val="5"/>
  </w:num>
  <w:num w:numId="266">
    <w:abstractNumId w:val="5"/>
  </w:num>
  <w:num w:numId="267">
    <w:abstractNumId w:val="5"/>
  </w:num>
  <w:num w:numId="268">
    <w:abstractNumId w:val="5"/>
  </w:num>
  <w:num w:numId="269">
    <w:abstractNumId w:val="5"/>
  </w:num>
  <w:num w:numId="270">
    <w:abstractNumId w:val="5"/>
  </w:num>
  <w:num w:numId="271">
    <w:abstractNumId w:val="5"/>
  </w:num>
  <w:num w:numId="272">
    <w:abstractNumId w:val="5"/>
  </w:num>
  <w:num w:numId="273">
    <w:abstractNumId w:val="5"/>
  </w:num>
  <w:num w:numId="274">
    <w:abstractNumId w:val="5"/>
  </w:num>
  <w:num w:numId="275">
    <w:abstractNumId w:val="5"/>
  </w:num>
  <w:num w:numId="276">
    <w:abstractNumId w:val="5"/>
  </w:num>
  <w:num w:numId="277">
    <w:abstractNumId w:val="5"/>
  </w:num>
  <w:num w:numId="278">
    <w:abstractNumId w:val="5"/>
  </w:num>
  <w:num w:numId="279">
    <w:abstractNumId w:val="5"/>
  </w:num>
  <w:num w:numId="280">
    <w:abstractNumId w:val="5"/>
  </w:num>
  <w:num w:numId="281">
    <w:abstractNumId w:val="5"/>
  </w:num>
  <w:num w:numId="282">
    <w:abstractNumId w:val="5"/>
  </w:num>
  <w:num w:numId="283">
    <w:abstractNumId w:val="5"/>
  </w:num>
  <w:num w:numId="284">
    <w:abstractNumId w:val="5"/>
  </w:num>
  <w:num w:numId="285">
    <w:abstractNumId w:val="5"/>
  </w:num>
  <w:num w:numId="286">
    <w:abstractNumId w:val="5"/>
  </w:num>
  <w:num w:numId="287">
    <w:abstractNumId w:val="5"/>
  </w:num>
  <w:num w:numId="288">
    <w:abstractNumId w:val="5"/>
  </w:num>
  <w:num w:numId="289">
    <w:abstractNumId w:val="5"/>
  </w:num>
  <w:num w:numId="290">
    <w:abstractNumId w:val="5"/>
  </w:num>
  <w:num w:numId="291">
    <w:abstractNumId w:val="5"/>
  </w:num>
  <w:num w:numId="292">
    <w:abstractNumId w:val="5"/>
  </w:num>
  <w:num w:numId="293">
    <w:abstractNumId w:val="5"/>
  </w:num>
  <w:num w:numId="294">
    <w:abstractNumId w:val="5"/>
  </w:num>
  <w:num w:numId="295">
    <w:abstractNumId w:val="5"/>
  </w:num>
  <w:num w:numId="296">
    <w:abstractNumId w:val="5"/>
  </w:num>
  <w:num w:numId="297">
    <w:abstractNumId w:val="5"/>
  </w:num>
  <w:num w:numId="298">
    <w:abstractNumId w:val="5"/>
  </w:num>
  <w:num w:numId="299">
    <w:abstractNumId w:val="5"/>
  </w:num>
  <w:num w:numId="300">
    <w:abstractNumId w:val="5"/>
  </w:num>
  <w:num w:numId="301">
    <w:abstractNumId w:val="5"/>
  </w:num>
  <w:num w:numId="302">
    <w:abstractNumId w:val="5"/>
  </w:num>
  <w:num w:numId="303">
    <w:abstractNumId w:val="5"/>
  </w:num>
  <w:num w:numId="304">
    <w:abstractNumId w:val="5"/>
  </w:num>
  <w:num w:numId="305">
    <w:abstractNumId w:val="5"/>
  </w:num>
  <w:num w:numId="306">
    <w:abstractNumId w:val="5"/>
  </w:num>
  <w:num w:numId="307">
    <w:abstractNumId w:val="5"/>
  </w:num>
  <w:num w:numId="308">
    <w:abstractNumId w:val="5"/>
  </w:num>
  <w:num w:numId="309">
    <w:abstractNumId w:val="5"/>
  </w:num>
  <w:num w:numId="310">
    <w:abstractNumId w:val="5"/>
  </w:num>
  <w:num w:numId="311">
    <w:abstractNumId w:val="5"/>
  </w:num>
  <w:num w:numId="312">
    <w:abstractNumId w:val="5"/>
  </w:num>
  <w:num w:numId="313">
    <w:abstractNumId w:val="5"/>
  </w:num>
  <w:num w:numId="314">
    <w:abstractNumId w:val="5"/>
  </w:num>
  <w:num w:numId="315">
    <w:abstractNumId w:val="5"/>
  </w:num>
  <w:num w:numId="316">
    <w:abstractNumId w:val="5"/>
  </w:num>
  <w:num w:numId="317">
    <w:abstractNumId w:val="5"/>
  </w:num>
  <w:num w:numId="318">
    <w:abstractNumId w:val="5"/>
  </w:num>
  <w:num w:numId="319">
    <w:abstractNumId w:val="5"/>
  </w:num>
  <w:num w:numId="320">
    <w:abstractNumId w:val="5"/>
  </w:num>
  <w:num w:numId="321">
    <w:abstractNumId w:val="5"/>
  </w:num>
  <w:num w:numId="322">
    <w:abstractNumId w:val="5"/>
  </w:num>
  <w:num w:numId="323">
    <w:abstractNumId w:val="5"/>
  </w:num>
  <w:num w:numId="324">
    <w:abstractNumId w:val="5"/>
  </w:num>
  <w:num w:numId="325">
    <w:abstractNumId w:val="5"/>
  </w:num>
  <w:num w:numId="326">
    <w:abstractNumId w:val="5"/>
  </w:num>
  <w:num w:numId="327">
    <w:abstractNumId w:val="5"/>
  </w:num>
  <w:num w:numId="328">
    <w:abstractNumId w:val="5"/>
  </w:num>
  <w:num w:numId="329">
    <w:abstractNumId w:val="5"/>
  </w:num>
  <w:num w:numId="330">
    <w:abstractNumId w:val="5"/>
  </w:num>
  <w:num w:numId="331">
    <w:abstractNumId w:val="5"/>
  </w:num>
  <w:num w:numId="332">
    <w:abstractNumId w:val="5"/>
  </w:num>
  <w:num w:numId="333">
    <w:abstractNumId w:val="5"/>
  </w:num>
  <w:num w:numId="334">
    <w:abstractNumId w:val="5"/>
  </w:num>
  <w:num w:numId="335">
    <w:abstractNumId w:val="5"/>
  </w:num>
  <w:num w:numId="336">
    <w:abstractNumId w:val="5"/>
  </w:num>
  <w:num w:numId="337">
    <w:abstractNumId w:val="5"/>
  </w:num>
  <w:num w:numId="338">
    <w:abstractNumId w:val="5"/>
  </w:num>
  <w:num w:numId="339">
    <w:abstractNumId w:val="5"/>
  </w:num>
  <w:num w:numId="340">
    <w:abstractNumId w:val="5"/>
  </w:num>
  <w:num w:numId="341">
    <w:abstractNumId w:val="5"/>
  </w:num>
  <w:num w:numId="342">
    <w:abstractNumId w:val="5"/>
  </w:num>
  <w:num w:numId="343">
    <w:abstractNumId w:val="5"/>
  </w:num>
  <w:num w:numId="344">
    <w:abstractNumId w:val="5"/>
  </w:num>
  <w:num w:numId="345">
    <w:abstractNumId w:val="5"/>
  </w:num>
  <w:num w:numId="346">
    <w:abstractNumId w:val="5"/>
  </w:num>
  <w:num w:numId="347">
    <w:abstractNumId w:val="5"/>
  </w:num>
  <w:num w:numId="348">
    <w:abstractNumId w:val="5"/>
  </w:num>
  <w:num w:numId="349">
    <w:abstractNumId w:val="5"/>
  </w:num>
  <w:num w:numId="350">
    <w:abstractNumId w:val="5"/>
  </w:num>
  <w:num w:numId="351">
    <w:abstractNumId w:val="5"/>
  </w:num>
  <w:num w:numId="352">
    <w:abstractNumId w:val="5"/>
  </w:num>
  <w:num w:numId="353">
    <w:abstractNumId w:val="5"/>
  </w:num>
  <w:num w:numId="354">
    <w:abstractNumId w:val="5"/>
  </w:num>
  <w:num w:numId="355">
    <w:abstractNumId w:val="5"/>
  </w:num>
  <w:num w:numId="356">
    <w:abstractNumId w:val="5"/>
  </w:num>
  <w:num w:numId="357">
    <w:abstractNumId w:val="5"/>
  </w:num>
  <w:num w:numId="358">
    <w:abstractNumId w:val="5"/>
  </w:num>
  <w:num w:numId="359">
    <w:abstractNumId w:val="5"/>
  </w:num>
  <w:num w:numId="360">
    <w:abstractNumId w:val="5"/>
  </w:num>
  <w:num w:numId="361">
    <w:abstractNumId w:val="5"/>
  </w:num>
  <w:num w:numId="362">
    <w:abstractNumId w:val="5"/>
  </w:num>
  <w:num w:numId="363">
    <w:abstractNumId w:val="5"/>
  </w:num>
  <w:num w:numId="364">
    <w:abstractNumId w:val="5"/>
  </w:num>
  <w:num w:numId="365">
    <w:abstractNumId w:val="5"/>
  </w:num>
  <w:num w:numId="366">
    <w:abstractNumId w:val="5"/>
  </w:num>
  <w:num w:numId="367">
    <w:abstractNumId w:val="5"/>
  </w:num>
  <w:num w:numId="368">
    <w:abstractNumId w:val="5"/>
  </w:num>
  <w:num w:numId="369">
    <w:abstractNumId w:val="5"/>
  </w:num>
  <w:num w:numId="370">
    <w:abstractNumId w:val="5"/>
  </w:num>
  <w:num w:numId="371">
    <w:abstractNumId w:val="5"/>
  </w:num>
  <w:num w:numId="372">
    <w:abstractNumId w:val="5"/>
  </w:num>
  <w:num w:numId="373">
    <w:abstractNumId w:val="5"/>
  </w:num>
  <w:num w:numId="374">
    <w:abstractNumId w:val="5"/>
  </w:num>
  <w:num w:numId="375">
    <w:abstractNumId w:val="5"/>
  </w:num>
  <w:num w:numId="376">
    <w:abstractNumId w:val="5"/>
  </w:num>
  <w:num w:numId="377">
    <w:abstractNumId w:val="5"/>
  </w:num>
  <w:num w:numId="378">
    <w:abstractNumId w:val="5"/>
  </w:num>
  <w:num w:numId="379">
    <w:abstractNumId w:val="5"/>
  </w:num>
  <w:num w:numId="380">
    <w:abstractNumId w:val="5"/>
  </w:num>
  <w:num w:numId="381">
    <w:abstractNumId w:val="5"/>
  </w:num>
  <w:num w:numId="382">
    <w:abstractNumId w:val="5"/>
  </w:num>
  <w:num w:numId="383">
    <w:abstractNumId w:val="5"/>
  </w:num>
  <w:num w:numId="384">
    <w:abstractNumId w:val="5"/>
  </w:num>
  <w:num w:numId="385">
    <w:abstractNumId w:val="5"/>
  </w:num>
  <w:num w:numId="386">
    <w:abstractNumId w:val="5"/>
  </w:num>
  <w:num w:numId="387">
    <w:abstractNumId w:val="5"/>
  </w:num>
  <w:num w:numId="388">
    <w:abstractNumId w:val="5"/>
  </w:num>
  <w:num w:numId="389">
    <w:abstractNumId w:val="5"/>
  </w:num>
  <w:num w:numId="390">
    <w:abstractNumId w:val="5"/>
  </w:num>
  <w:num w:numId="391">
    <w:abstractNumId w:val="5"/>
  </w:num>
  <w:num w:numId="392">
    <w:abstractNumId w:val="5"/>
  </w:num>
  <w:num w:numId="393">
    <w:abstractNumId w:val="5"/>
  </w:num>
  <w:num w:numId="394">
    <w:abstractNumId w:val="5"/>
  </w:num>
  <w:num w:numId="395">
    <w:abstractNumId w:val="5"/>
  </w:num>
  <w:num w:numId="396">
    <w:abstractNumId w:val="5"/>
  </w:num>
  <w:num w:numId="397">
    <w:abstractNumId w:val="5"/>
  </w:num>
  <w:num w:numId="398">
    <w:abstractNumId w:val="5"/>
  </w:num>
  <w:num w:numId="399">
    <w:abstractNumId w:val="5"/>
  </w:num>
  <w:num w:numId="400">
    <w:abstractNumId w:val="5"/>
  </w:num>
  <w:num w:numId="401">
    <w:abstractNumId w:val="5"/>
  </w:num>
  <w:num w:numId="402">
    <w:abstractNumId w:val="5"/>
  </w:num>
  <w:num w:numId="403">
    <w:abstractNumId w:val="5"/>
  </w:num>
  <w:num w:numId="404">
    <w:abstractNumId w:val="5"/>
  </w:num>
  <w:num w:numId="405">
    <w:abstractNumId w:val="5"/>
  </w:num>
  <w:num w:numId="406">
    <w:abstractNumId w:val="5"/>
  </w:num>
  <w:num w:numId="407">
    <w:abstractNumId w:val="5"/>
  </w:num>
  <w:num w:numId="408">
    <w:abstractNumId w:val="5"/>
  </w:num>
  <w:num w:numId="409">
    <w:abstractNumId w:val="5"/>
  </w:num>
  <w:num w:numId="410">
    <w:abstractNumId w:val="5"/>
  </w:num>
  <w:num w:numId="411">
    <w:abstractNumId w:val="5"/>
  </w:num>
  <w:num w:numId="412">
    <w:abstractNumId w:val="5"/>
  </w:num>
  <w:num w:numId="413">
    <w:abstractNumId w:val="5"/>
  </w:num>
  <w:num w:numId="414">
    <w:abstractNumId w:val="5"/>
  </w:num>
  <w:num w:numId="415">
    <w:abstractNumId w:val="5"/>
  </w:num>
  <w:num w:numId="416">
    <w:abstractNumId w:val="5"/>
  </w:num>
  <w:num w:numId="417">
    <w:abstractNumId w:val="5"/>
  </w:num>
  <w:num w:numId="418">
    <w:abstractNumId w:val="5"/>
  </w:num>
  <w:num w:numId="419">
    <w:abstractNumId w:val="5"/>
  </w:num>
  <w:num w:numId="420">
    <w:abstractNumId w:val="5"/>
  </w:num>
  <w:num w:numId="421">
    <w:abstractNumId w:val="5"/>
  </w:num>
  <w:num w:numId="422">
    <w:abstractNumId w:val="5"/>
  </w:num>
  <w:num w:numId="423">
    <w:abstractNumId w:val="5"/>
  </w:num>
  <w:num w:numId="424">
    <w:abstractNumId w:val="5"/>
  </w:num>
  <w:num w:numId="425">
    <w:abstractNumId w:val="5"/>
  </w:num>
  <w:num w:numId="426">
    <w:abstractNumId w:val="5"/>
  </w:num>
  <w:num w:numId="427">
    <w:abstractNumId w:val="5"/>
  </w:num>
  <w:num w:numId="428">
    <w:abstractNumId w:val="5"/>
  </w:num>
  <w:num w:numId="429">
    <w:abstractNumId w:val="5"/>
  </w:num>
  <w:num w:numId="430">
    <w:abstractNumId w:val="5"/>
  </w:num>
  <w:num w:numId="431">
    <w:abstractNumId w:val="5"/>
  </w:num>
  <w:num w:numId="432">
    <w:abstractNumId w:val="5"/>
  </w:num>
  <w:num w:numId="433">
    <w:abstractNumId w:val="5"/>
  </w:num>
  <w:num w:numId="434">
    <w:abstractNumId w:val="5"/>
  </w:num>
  <w:num w:numId="435">
    <w:abstractNumId w:val="5"/>
  </w:num>
  <w:num w:numId="436">
    <w:abstractNumId w:val="5"/>
  </w:num>
  <w:num w:numId="437">
    <w:abstractNumId w:val="5"/>
  </w:num>
  <w:num w:numId="438">
    <w:abstractNumId w:val="5"/>
  </w:num>
  <w:num w:numId="439">
    <w:abstractNumId w:val="5"/>
  </w:num>
  <w:num w:numId="440">
    <w:abstractNumId w:val="5"/>
  </w:num>
  <w:num w:numId="441">
    <w:abstractNumId w:val="5"/>
  </w:num>
  <w:num w:numId="442">
    <w:abstractNumId w:val="5"/>
  </w:num>
  <w:num w:numId="443">
    <w:abstractNumId w:val="5"/>
  </w:num>
  <w:num w:numId="444">
    <w:abstractNumId w:val="5"/>
  </w:num>
  <w:num w:numId="445">
    <w:abstractNumId w:val="5"/>
  </w:num>
  <w:num w:numId="446">
    <w:abstractNumId w:val="5"/>
  </w:num>
  <w:num w:numId="447">
    <w:abstractNumId w:val="5"/>
  </w:num>
  <w:num w:numId="448">
    <w:abstractNumId w:val="5"/>
  </w:num>
  <w:num w:numId="449">
    <w:abstractNumId w:val="5"/>
  </w:num>
  <w:num w:numId="450">
    <w:abstractNumId w:val="5"/>
  </w:num>
  <w:num w:numId="451">
    <w:abstractNumId w:val="5"/>
  </w:num>
  <w:num w:numId="452">
    <w:abstractNumId w:val="5"/>
  </w:num>
  <w:num w:numId="453">
    <w:abstractNumId w:val="5"/>
  </w:num>
  <w:num w:numId="454">
    <w:abstractNumId w:val="5"/>
  </w:num>
  <w:num w:numId="455">
    <w:abstractNumId w:val="5"/>
  </w:num>
  <w:num w:numId="456">
    <w:abstractNumId w:val="5"/>
  </w:num>
  <w:num w:numId="457">
    <w:abstractNumId w:val="5"/>
  </w:num>
  <w:num w:numId="458">
    <w:abstractNumId w:val="5"/>
  </w:num>
  <w:num w:numId="459">
    <w:abstractNumId w:val="5"/>
  </w:num>
  <w:num w:numId="460">
    <w:abstractNumId w:val="5"/>
  </w:num>
  <w:num w:numId="461">
    <w:abstractNumId w:val="5"/>
  </w:num>
  <w:num w:numId="462">
    <w:abstractNumId w:val="5"/>
  </w:num>
  <w:num w:numId="463">
    <w:abstractNumId w:val="5"/>
  </w:num>
  <w:num w:numId="464">
    <w:abstractNumId w:val="5"/>
  </w:num>
  <w:num w:numId="465">
    <w:abstractNumId w:val="5"/>
  </w:num>
  <w:num w:numId="466">
    <w:abstractNumId w:val="5"/>
  </w:num>
  <w:num w:numId="467">
    <w:abstractNumId w:val="5"/>
  </w:num>
  <w:num w:numId="468">
    <w:abstractNumId w:val="5"/>
  </w:num>
  <w:num w:numId="469">
    <w:abstractNumId w:val="5"/>
  </w:num>
  <w:num w:numId="470">
    <w:abstractNumId w:val="5"/>
  </w:num>
  <w:num w:numId="471">
    <w:abstractNumId w:val="5"/>
  </w:num>
  <w:num w:numId="472">
    <w:abstractNumId w:val="5"/>
  </w:num>
  <w:num w:numId="473">
    <w:abstractNumId w:val="5"/>
  </w:num>
  <w:num w:numId="474">
    <w:abstractNumId w:val="5"/>
  </w:num>
  <w:num w:numId="475">
    <w:abstractNumId w:val="5"/>
  </w:num>
  <w:num w:numId="476">
    <w:abstractNumId w:val="5"/>
  </w:num>
  <w:num w:numId="477">
    <w:abstractNumId w:val="5"/>
  </w:num>
  <w:num w:numId="478">
    <w:abstractNumId w:val="5"/>
  </w:num>
  <w:num w:numId="479">
    <w:abstractNumId w:val="5"/>
  </w:num>
  <w:num w:numId="480">
    <w:abstractNumId w:val="5"/>
  </w:num>
  <w:num w:numId="481">
    <w:abstractNumId w:val="5"/>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lang w:val="pt-BR"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0"/>
      <w:jc w:val="left"/>
      <w:textAlignment w:val="baseline"/>
    </w:pPr>
    <w:rPr>
      <w:rFonts w:ascii="Arial" w:hAnsi="Arial" w:eastAsia="Arial" w:cs="Arial"/>
      <w:color w:val="auto"/>
      <w:kern w:val="0"/>
      <w:sz w:val="20"/>
      <w:szCs w:val="20"/>
      <w:lang w:val="pt-BR" w:eastAsia="zh-CN" w:bidi="hi-IN"/>
    </w:rPr>
  </w:style>
  <w:style w:type="paragraph" w:styleId="Heading1">
    <w:name w:val="Heading 1"/>
    <w:basedOn w:val="Normal"/>
    <w:next w:val="Normal"/>
    <w:uiPriority w:val="9"/>
    <w:qFormat/>
    <w:pPr>
      <w:keepNext w:val="true"/>
      <w:keepLines/>
      <w:spacing w:before="240" w:after="160"/>
      <w:outlineLvl w:val="0"/>
    </w:pPr>
    <w:rPr>
      <w:rFonts w:ascii="Calibri" w:hAnsi="Calibri" w:eastAsia="Calibri" w:cs="Calibri"/>
      <w:color w:val="2F5496"/>
      <w:sz w:val="32"/>
      <w:szCs w:val="32"/>
    </w:rPr>
  </w:style>
  <w:style w:type="paragraph" w:styleId="Heading2">
    <w:name w:val="Heading 2"/>
    <w:basedOn w:val="Normal"/>
    <w:next w:val="Normal"/>
    <w:uiPriority w:val="9"/>
    <w:unhideWhenUsed/>
    <w:qFormat/>
    <w:pPr>
      <w:keepNext w:val="true"/>
      <w:keepLines/>
      <w:widowControl w:val="false"/>
      <w:spacing w:before="40" w:after="0"/>
      <w:ind w:hanging="432" w:left="432"/>
      <w:outlineLvl w:val="1"/>
    </w:pPr>
    <w:rPr>
      <w:rFonts w:ascii="Calibri" w:hAnsi="Calibri" w:eastAsia="Calibri" w:cs="Calibri"/>
      <w:color w:val="2F5496"/>
      <w:sz w:val="26"/>
      <w:szCs w:val="26"/>
    </w:rPr>
  </w:style>
  <w:style w:type="paragraph" w:styleId="Heading3">
    <w:name w:val="Heading 3"/>
    <w:basedOn w:val="Normal"/>
    <w:next w:val="Normal"/>
    <w:uiPriority w:val="9"/>
    <w:unhideWhenUsed/>
    <w:qFormat/>
    <w:pPr>
      <w:keepNext w:val="true"/>
      <w:spacing w:before="140" w:after="120"/>
      <w:ind w:hanging="504" w:left="93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sz w:val="22"/>
      <w:szCs w:val="22"/>
    </w:rPr>
  </w:style>
  <w:style w:type="paragraph" w:styleId="Heading6">
    <w:name w:val="Heading 6"/>
    <w:basedOn w:val="Normal"/>
    <w:next w:val="Normal"/>
    <w:uiPriority w:val="9"/>
    <w:semiHidden/>
    <w:unhideWhenUsed/>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Internetlink" w:customStyle="1">
    <w:name w:val="Internet link"/>
    <w:qFormat/>
    <w:rPr>
      <w:color w:val="000080"/>
      <w:u w:val="single"/>
    </w:rPr>
  </w:style>
  <w:style w:type="character" w:styleId="Marcadores" w:customStyle="1">
    <w:name w:val="Marcadores"/>
    <w:qFormat/>
    <w:rPr>
      <w:rFonts w:ascii="OpenSymbol" w:hAnsi="OpenSymbol" w:eastAsia="OpenSymbol" w:cs="OpenSymbol"/>
    </w:rPr>
  </w:style>
  <w:style w:type="character" w:styleId="Smbolosdenumerao" w:customStyle="1">
    <w:name w:val="Símbolos de numeração"/>
    <w:qFormat/>
    <w:rPr/>
  </w:style>
  <w:style w:type="character" w:styleId="Vnculodendice" w:customStyle="1">
    <w:name w:val="Vínculo de índice"/>
    <w:qFormat/>
    <w:rPr/>
  </w:style>
  <w:style w:type="character" w:styleId="Nivel2Char" w:customStyle="1">
    <w:name w:val="Nivel 2 Char"/>
    <w:basedOn w:val="DefaultParagraphFont"/>
    <w:qFormat/>
    <w:rPr>
      <w:rFonts w:ascii="Ecofont_Spranq_eco_Sans" w:hAnsi="Ecofont_Spranq_eco_Sans" w:eastAsia="Ecofont_Spranq_eco_Sans" w:cs="Ecofont_Spranq_eco_Sans"/>
      <w:i/>
      <w:iCs/>
      <w:color w:val="FF0000"/>
      <w:lang w:eastAsia="pt-BR" w:bidi="ar-SA"/>
    </w:rPr>
  </w:style>
  <w:style w:type="character" w:styleId="Nivel3Char" w:customStyle="1">
    <w:name w:val="Nivel 3 Char"/>
    <w:basedOn w:val="DefaultParagraphFont"/>
    <w:qFormat/>
    <w:rPr>
      <w:rFonts w:eastAsia="Times New Roman"/>
      <w:lang w:eastAsia="pt-BR" w:bidi="ar-SA"/>
    </w:rPr>
  </w:style>
  <w:style w:type="character" w:styleId="Hyperlink">
    <w:name w:val="Hyperlink"/>
    <w:basedOn w:val="DefaultParagraphFont"/>
    <w:uiPriority w:val="99"/>
    <w:rPr>
      <w:color w:val="0563C1"/>
      <w:u w:val="single"/>
    </w:rPr>
  </w:style>
  <w:style w:type="character" w:styleId="MenoPendente1" w:customStyle="1">
    <w:name w:val="Menção Pendente1"/>
    <w:basedOn w:val="DefaultParagraphFont"/>
    <w:uiPriority w:val="99"/>
    <w:semiHidden/>
    <w:unhideWhenUsed/>
    <w:qFormat/>
    <w:rsid w:val="00b31041"/>
    <w:rPr>
      <w:color w:val="605E5C"/>
      <w:shd w:fill="E1DFDD" w:val="clear"/>
    </w:rPr>
  </w:style>
  <w:style w:type="character" w:styleId="Forte1" w:customStyle="1">
    <w:name w:val="Forte1"/>
    <w:qFormat/>
    <w:rPr>
      <w:rFonts w:ascii="Times New Roman" w:hAnsi="Times New Roman" w:eastAsia="Times New Roman" w:cs="Times New Roman"/>
      <w:b/>
      <w:bCs/>
      <w:i w:val="false"/>
      <w:iCs w:val="false"/>
    </w:rPr>
  </w:style>
  <w:style w:type="character" w:styleId="VisitedInternetLink" w:customStyle="1">
    <w:name w:val="Visited Internet Link"/>
    <w:qFormat/>
    <w:rPr>
      <w:color w:val="800080"/>
      <w:u w:val="single"/>
    </w:rPr>
  </w:style>
  <w:style w:type="character" w:styleId="RodapChar" w:customStyle="1">
    <w:name w:val="Rodapé Char"/>
    <w:basedOn w:val="DefaultParagraphFont"/>
    <w:uiPriority w:val="99"/>
    <w:qFormat/>
    <w:rsid w:val="00766f70"/>
    <w:rPr/>
  </w:style>
  <w:style w:type="character" w:styleId="FollowedHyperlink">
    <w:name w:val="FollowedHyperlink"/>
    <w:rPr>
      <w:color w:val="800000"/>
      <w:u w:val="single"/>
    </w:rPr>
  </w:style>
  <w:style w:type="character" w:styleId="TextodecomentrioChar" w:customStyle="1">
    <w:name w:val="Texto de comentário Char"/>
    <w:basedOn w:val="DefaultParagraphFont"/>
    <w:uiPriority w:val="99"/>
    <w:semiHidden/>
    <w:qFormat/>
    <w:rPr>
      <w:rFonts w:cs="Mangal"/>
      <w:szCs w:val="18"/>
    </w:rPr>
  </w:style>
  <w:style w:type="character" w:styleId="Annotationreference">
    <w:name w:val="annotation reference"/>
    <w:basedOn w:val="DefaultParagraphFont"/>
    <w:uiPriority w:val="99"/>
    <w:semiHidden/>
    <w:unhideWhenUsed/>
    <w:qFormat/>
    <w:rPr>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_ato2019-2022/2021/lei/l14133.htm" TargetMode="External"/><Relationship Id="rId3" Type="http://schemas.openxmlformats.org/officeDocument/2006/relationships/hyperlink" Target="https://www.planalto.gov.br/ccivil_03/_ato2019-2022/2021/lei/l14133.htm"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s://www.planalto.gov.br/ccivil_03/_ato2023-2026/2024/decreto/d12343.htm" TargetMode="External"/><Relationship Id="rId7" Type="http://schemas.openxmlformats.org/officeDocument/2006/relationships/hyperlink" Target="https://www.planalto.gov.br/ccivil_03/_ato2023-2026/2024/decreto/d12343.htm" TargetMode="External"/><Relationship Id="rId8" Type="http://schemas.openxmlformats.org/officeDocument/2006/relationships/hyperlink" Target="https://www.planalto.gov.br/ccivil_03/_ato2023-2026/2024/decreto/d12343.htm" TargetMode="External"/><Relationship Id="rId9" Type="http://schemas.openxmlformats.org/officeDocument/2006/relationships/hyperlink" Target="https://www.planalto.gov.br/ccivil_03/_ato2015-2018/2015/decreto/d8538.htm" TargetMode="External"/><Relationship Id="rId10" Type="http://schemas.openxmlformats.org/officeDocument/2006/relationships/hyperlink" Target="https://www.planalto.gov.br/ccivil_03/_ato2015-2018/2015/decreto/d8538.htm" TargetMode="External"/><Relationship Id="rId11" Type="http://schemas.openxmlformats.org/officeDocument/2006/relationships/hyperlink" Target="http://bibliotecadigital.mpf.mp.br/bdmpf/handle/11549/249214" TargetMode="External"/><Relationship Id="rId12" Type="http://schemas.openxmlformats.org/officeDocument/2006/relationships/hyperlink" Target="http://bibliotecadigital.mpf.mp.br/bdmpf/handle/11549/249214" TargetMode="External"/><Relationship Id="rId13" Type="http://schemas.openxmlformats.org/officeDocument/2006/relationships/hyperlink" Target="https://biblioteca.mpf.mp.br/repositorio/items/ffb1e0a3-f93d-4afc-8097-d0616d569b0c/full" TargetMode="External"/><Relationship Id="rId14" Type="http://schemas.openxmlformats.org/officeDocument/2006/relationships/hyperlink" Target="chrome-extension://efaidnbmnnnibpcajpcglclefindmkaj/https:/www.mpu.mp.br/contratacoes/legislacao-relacionada/portaria_agente_contratacao.pdf" TargetMode="External"/><Relationship Id="rId15" Type="http://schemas.openxmlformats.org/officeDocument/2006/relationships/hyperlink" Target="chrome-extension://efaidnbmnnnibpcajpcglclefindmkaj/https:/www.mpu.mp.br/contratacoes/legislacao-relacionada/portaria_agente_contratacao.pdf" TargetMode="External"/><Relationship Id="rId16" Type="http://schemas.openxmlformats.org/officeDocument/2006/relationships/hyperlink" Target="https://biblioteca.mpf.mp.br/repositorio/items/3d4a8158-6fb9-45cd-a9f9-1c7d1c3a3c6b" TargetMode="External"/><Relationship Id="rId17" Type="http://schemas.openxmlformats.org/officeDocument/2006/relationships/hyperlink" Target="https://biblioteca.mpf.mp.br/repositorio/items/3d4a8158-6fb9-45cd-a9f9-1c7d1c3a3c6b" TargetMode="External"/><Relationship Id="rId18" Type="http://schemas.openxmlformats.org/officeDocument/2006/relationships/hyperlink" Target="mailto:prpr-londrina@mpf.mp" TargetMode="External"/><Relationship Id="rId19" Type="http://schemas.openxmlformats.org/officeDocument/2006/relationships/hyperlink" Target="https://apps.mpf.mp.br/spe/login" TargetMode="External"/><Relationship Id="rId20" Type="http://schemas.openxmlformats.org/officeDocument/2006/relationships/hyperlink" Target="https://apps.mpf.mp.br/spe/login" TargetMode="External"/><Relationship Id="rId21" Type="http://schemas.openxmlformats.org/officeDocument/2006/relationships/hyperlink" Target="https://www.gov.br/compras/pt-br/" TargetMode="External"/><Relationship Id="rId22" Type="http://schemas.openxmlformats.org/officeDocument/2006/relationships/hyperlink" Target="http://www.transparencia.mpf.mp.br/conteudo/licitacoes-contratos-e-convenios/licitacoes" TargetMode="External"/><Relationship Id="rId23" Type="http://schemas.openxmlformats.org/officeDocument/2006/relationships/hyperlink" Target="https://www.gov.br/compras/pt-br/" TargetMode="External"/><Relationship Id="rId24" Type="http://schemas.openxmlformats.org/officeDocument/2006/relationships/hyperlink" Target="http://www.transparencia.mpf.mp.br/conteudo/licitacoes-contratos-e-convenios/licitacoes" TargetMode="External"/><Relationship Id="rId25" Type="http://schemas.openxmlformats.org/officeDocument/2006/relationships/hyperlink" Target="https://www.gov.br/compras/pt-br/" TargetMode="External"/><Relationship Id="rId26" Type="http://schemas.openxmlformats.org/officeDocument/2006/relationships/hyperlink" Target="http://www.transparencia.mpf.mp.br/conteudo/licitacoes-contratos-e-convenios/licitacoes" TargetMode="External"/><Relationship Id="rId27" Type="http://schemas.openxmlformats.org/officeDocument/2006/relationships/header" Target="header1.xml"/><Relationship Id="rId28" Type="http://schemas.openxmlformats.org/officeDocument/2006/relationships/footer" Target="footer1.xml"/><Relationship Id="rId29" Type="http://schemas.openxmlformats.org/officeDocument/2006/relationships/numbering" Target="numbering.xml"/><Relationship Id="rId30" Type="http://schemas.openxmlformats.org/officeDocument/2006/relationships/fontTable" Target="fontTable.xml"/><Relationship Id="rId31" Type="http://schemas.openxmlformats.org/officeDocument/2006/relationships/settings" Target="settings.xml"/><Relationship Id="rId32" Type="http://schemas.openxmlformats.org/officeDocument/2006/relationships/theme" Target="theme/theme1.xml"/><Relationship Id="rId33"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C65BF-4A04-4811-9AD5-279EF94A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Application>LibreOffice/7.6.4.1$Windows_X86_64 LibreOffice_project/e19e193f88cd6c0525a17fb7a176ed8e6a3e2aa1</Application>
  <AppVersion>15.0000</AppVersion>
  <Pages>29</Pages>
  <Words>8028</Words>
  <Characters>46670</Characters>
  <CharactersWithSpaces>54158</CharactersWithSpaces>
  <Paragraphs>352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2025-07-22T15:46:00Z</dcterms:created>
  <dc:creator>JULIANA</dc:creator>
  <dc:description/>
  <dc:language>pt-BR</dc:language>
  <cp:lastModifiedBy/>
  <cp:lastPrinted>2026-05-27T17:28:07Z</cp:lastPrinted>
  <dcterms:modified xsi:type="dcterms:W3CDTF">2026-05-27T17:27:57Z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file>