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DFD/SAMDE Nº. 008/2023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Prefeito Municipal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Ref.: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Revisão Complementar – 60.000km – VOLKSWAGEM 24.260 CRM 6X2 – Placa RQO6J02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shd w:fill="D9D9D9" w:val="clear"/>
        </w:rPr>
        <w:t>UNIDADE REQUISITANTE</w:t>
      </w:r>
      <w:r>
        <w:rPr>
          <w:rFonts w:cs="Arial"/>
          <w:b/>
          <w:color w:val="000000"/>
          <w:sz w:val="22"/>
          <w:szCs w:val="22"/>
          <w:shd w:fill="D9D9D9" w:val="clear"/>
        </w:rPr>
        <w:t>:</w:t>
      </w:r>
      <w:r>
        <w:rPr>
          <w:rFonts w:cs="Arial"/>
          <w:color w:val="000000"/>
          <w:sz w:val="22"/>
          <w:szCs w:val="22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shd w:fill="D9D9D9" w:val="clear"/>
        </w:rPr>
        <w:t>RESPONSÁVEL PELA DEMANDA:</w:t>
      </w:r>
      <w:r>
        <w:rPr>
          <w:rFonts w:cs="Arial"/>
          <w:bCs/>
          <w:color w:val="000000"/>
          <w:sz w:val="22"/>
          <w:szCs w:val="22"/>
        </w:rPr>
        <w:t xml:space="preserve"> Responsabilizar-se-á, pela presente demanda, o servidor </w:t>
      </w:r>
      <w:r>
        <w:rPr>
          <w:rFonts w:cs="Arial"/>
          <w:b/>
          <w:bCs/>
          <w:color w:val="000000"/>
          <w:sz w:val="22"/>
          <w:szCs w:val="22"/>
        </w:rPr>
        <w:t>Fábio Loss Luchi</w:t>
      </w:r>
      <w:r>
        <w:rPr>
          <w:rFonts w:cs="Arial"/>
          <w:bCs/>
          <w:color w:val="000000"/>
          <w:sz w:val="22"/>
          <w:szCs w:val="22"/>
        </w:rPr>
        <w:t xml:space="preserve">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shd w:fill="D9D9D9" w:val="clear"/>
        </w:rPr>
        <w:t>CONTATO DA UNIDADE REQUISITANTE:</w:t>
      </w:r>
      <w:r>
        <w:rPr>
          <w:rFonts w:cs="Arial"/>
          <w:bCs/>
          <w:color w:val="000000"/>
          <w:sz w:val="22"/>
          <w:szCs w:val="22"/>
        </w:rPr>
        <w:t xml:space="preserve"> Os contatos com a unidade requisitante podem ser realizados pelo </w:t>
      </w:r>
      <w:r>
        <w:rPr>
          <w:rFonts w:cs="Arial"/>
          <w:bCs/>
          <w:color w:val="000000"/>
          <w:sz w:val="22"/>
          <w:szCs w:val="22"/>
          <w:shd w:fill="auto" w:val="clear"/>
        </w:rPr>
        <w:t xml:space="preserve">telefone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 xml:space="preserve">(27) 3729-1300, </w:t>
      </w:r>
      <w:r>
        <w:rPr>
          <w:rFonts w:cs="Arial"/>
          <w:bCs/>
          <w:color w:val="000000"/>
          <w:sz w:val="22"/>
          <w:szCs w:val="22"/>
        </w:rPr>
        <w:t xml:space="preserve">o e-mail: desenvolvimentoeconomico@saoroquedocanaa.es.gov.br. </w:t>
      </w:r>
      <w:r>
        <w:rPr>
          <w:rFonts w:cs="Arial"/>
          <w:color w:val="000000"/>
          <w:sz w:val="22"/>
          <w:szCs w:val="22"/>
        </w:rPr>
        <w:t xml:space="preserve">ou por meio do atendimento presencial, na sede localizada na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Rua Lourenço Roldi, nº 88 – Bairro São Roquinho – CEP: 29665000</w:t>
      </w:r>
      <w:r>
        <w:rPr>
          <w:rFonts w:cs="Arial"/>
          <w:bCs/>
          <w:color w:val="000000"/>
          <w:sz w:val="22"/>
          <w:szCs w:val="22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2"/>
          <w:szCs w:val="22"/>
        </w:rPr>
        <w:t>contratação de empresa especializada na prestação de serviços de revisão veicular complementar com fornecimento de peças, se necessário</w:t>
      </w:r>
      <w:r>
        <w:rPr>
          <w:rFonts w:cs="Arial"/>
          <w:bCs/>
          <w:color w:val="000000"/>
          <w:sz w:val="22"/>
          <w:szCs w:val="22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Times New Roman" w:cs="Arial"/>
          <w:color w:val="000000" w:themeColor="text1"/>
          <w:sz w:val="22"/>
          <w:szCs w:val="22"/>
          <w:lang w:eastAsia="pt-BR"/>
        </w:rPr>
        <w:t>Sabe-se que  é responsabilidade da Secretaria Municipal de Desenvolvimento Econômico a infraestrutura e manutenças das estradas. A maioria das estradas vicinais</w:t>
      </w:r>
      <w:r>
        <w:rPr>
          <w:rStyle w:val="Fontepargpadro"/>
          <w:rFonts w:cs="Arial"/>
          <w:sz w:val="22"/>
          <w:szCs w:val="22"/>
        </w:rPr>
        <w:t xml:space="preserve"> deste município, são estradas não pavimentadas (estradas rurais) que necessitam de uma maior atenção quanto a sua conservação.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2"/>
          <w:szCs w:val="22"/>
        </w:rPr>
        <w:t>Nesse sentido o aprimoramento das estradas vicinais de São Roque do Canaã é uma das metas desta Municipalidade, pois estas são imprescindíveis para a melhoria das condições de vida das famílias que aí residem, afastadas do centro da cidade, mas que merecem igual atenção, e que é justamente nesse espaço que as mesmas desenvolvem suas atividades econômicas, as quais são responsáveis pela garantia de sua sobrevivência e pelo desenvolvimento da economia do nosso Município.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sz w:val="22"/>
          <w:szCs w:val="22"/>
        </w:rPr>
        <w:t>O Município de São Roque do Canaã – ES estima uma população aproximada em 13.000 habitantes, sendo estruturada em três distritos contando com vários bairros e comunidades. Algumas ruas e acessos às principais localidades e bairros, apresentam deficiências quanto à pavimentação, especialmente as vias estruturais de ligação, que atendem a mobilidade urbana e as linhas de transporte coletivo, intermunicipal, o abastecimento de mercadorias além do atendimento às funções e serviços básicos como acesso aos moradores para suas residências, para os locais de trabalho, escola, posto de saúde, etc.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2"/>
          <w:szCs w:val="22"/>
        </w:rPr>
        <w:t xml:space="preserve">A dificuldade de locomoção e de acessibilidade dos moradores se dá pelas más condições da estrada existente. Assim, visando a funcionalidade e continuidade dos bons serviços prestados por esta Unidade Gestora aos nossos munícipes, em especial aos agricultores e produtores rurais e considerando a necessidade de manutenção das estradas principais e vicinais em nossa zona rural, </w:t>
      </w:r>
      <w:r>
        <w:rPr>
          <w:rStyle w:val="Fontepargpadro"/>
          <w:rFonts w:eastAsia="Calibri" w:cs="Arial" w:eastAsiaTheme="minorHAnsi"/>
          <w:color w:val="000000" w:themeColor="text1"/>
          <w:sz w:val="22"/>
          <w:szCs w:val="22"/>
          <w:lang w:eastAsia="en-US"/>
        </w:rPr>
        <w:t>faz-se necessária a revisão de garantia dos veículos de s</w:t>
      </w:r>
      <w:r>
        <w:rPr>
          <w:rStyle w:val="Fontepargpadro"/>
          <w:rFonts w:eastAsia="Calibri" w:cs="Arial" w:eastAsiaTheme="minorHAnsi"/>
          <w:color w:val="000000" w:themeColor="text1"/>
          <w:sz w:val="22"/>
          <w:szCs w:val="22"/>
          <w:shd w:fill="auto" w:val="clear"/>
          <w:lang w:eastAsia="en-US"/>
        </w:rPr>
        <w:t>ua frota que desempenham tais funções.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eastAsia="Calibri" w:cs="Arial" w:eastAsiaTheme="minorHAnsi"/>
          <w:color w:val="000000" w:themeColor="text1"/>
          <w:sz w:val="22"/>
          <w:szCs w:val="22"/>
          <w:highlight w:val="none"/>
          <w:shd w:fill="auto" w:val="clear"/>
          <w:lang w:eastAsia="en-US"/>
        </w:rPr>
      </w:pPr>
      <w:r>
        <w:rPr>
          <w:rFonts w:eastAsia="Calibri" w:cs="Arial" w:eastAsiaTheme="minorHAnsi"/>
          <w:color w:val="000000" w:themeColor="text1"/>
          <w:sz w:val="22"/>
          <w:szCs w:val="22"/>
          <w:shd w:fill="auto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2"/>
          <w:szCs w:val="22"/>
          <w:shd w:fill="auto" w:val="clear"/>
          <w:lang w:eastAsia="en-US"/>
        </w:rPr>
        <w:t xml:space="preserve">Informamos que o Veículo </w:t>
      </w:r>
      <w:r>
        <w:rPr>
          <w:rStyle w:val="Fontepargpadro"/>
          <w:rFonts w:eastAsia="Calibri" w:cs="Arial" w:eastAsiaTheme="minorHAnsi"/>
          <w:b/>
          <w:color w:val="000000" w:themeColor="text1"/>
          <w:sz w:val="22"/>
          <w:szCs w:val="22"/>
          <w:shd w:fill="auto" w:val="clear"/>
          <w:lang w:eastAsia="en-US"/>
        </w:rPr>
        <w:t>CAMINHÃO VOLKSVAGEM 24.260 CRM 6X2,</w:t>
      </w:r>
      <w:r>
        <w:rPr>
          <w:rStyle w:val="Fontepargpadro"/>
          <w:rFonts w:eastAsia="Calibri" w:cs="Arial"/>
          <w:color w:val="000000"/>
          <w:sz w:val="22"/>
          <w:szCs w:val="22"/>
          <w:shd w:fill="auto" w:val="clear"/>
          <w:lang w:eastAsia="en-US"/>
        </w:rPr>
        <w:t xml:space="preserve"> – Placa </w:t>
      </w:r>
      <w:r>
        <w:rPr>
          <w:rStyle w:val="Fontepargpadro"/>
          <w:rFonts w:eastAsia="Calibri" w:cs="Arial"/>
          <w:b/>
          <w:color w:val="000000"/>
          <w:sz w:val="22"/>
          <w:szCs w:val="22"/>
          <w:shd w:fill="auto" w:val="clear"/>
          <w:lang w:eastAsia="en-US"/>
        </w:rPr>
        <w:t>RQO6J02</w:t>
      </w:r>
      <w:r>
        <w:rPr>
          <w:rStyle w:val="Fontepargpadro"/>
          <w:rFonts w:eastAsia="Calibri" w:cs="Arial"/>
          <w:color w:val="000000"/>
          <w:sz w:val="22"/>
          <w:szCs w:val="22"/>
          <w:shd w:fill="auto" w:val="clear"/>
          <w:lang w:eastAsia="en-US"/>
        </w:rPr>
        <w:t>, sendo este um</w:t>
      </w:r>
      <w:r>
        <w:rPr>
          <w:rStyle w:val="Fontepargpadro"/>
          <w:rFonts w:eastAsia="Calibri" w:cs="Arial" w:eastAsiaTheme="minorHAnsi"/>
          <w:color w:val="000000" w:themeColor="text1"/>
          <w:sz w:val="22"/>
          <w:szCs w:val="22"/>
          <w:shd w:fill="auto" w:val="clear"/>
          <w:lang w:eastAsia="en-US"/>
        </w:rPr>
        <w:t xml:space="preserve"> caminhão tipo caçamba, presta serviços auxiliando na limpeza com retirada de barros, terras, matos, pedras, etc., dos rios (córrego), bem como manutenção e abertura de caixas seca nas estradas vicinais, retirada de entulhos, escavações de barrancos, abertura de valas, patrolamento de estradas vicinais, abertura e limpeza de carreadores, abertura e nivelamento de terreiros etc.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eastAsia="Calibri" w:cs="Arial" w:eastAsiaTheme="minorHAnsi"/>
          <w:color w:val="000000" w:themeColor="text1"/>
          <w:sz w:val="22"/>
          <w:szCs w:val="22"/>
          <w:highlight w:val="none"/>
          <w:shd w:fill="auto" w:val="clear"/>
          <w:lang w:eastAsia="en-US"/>
        </w:rPr>
      </w:pPr>
      <w:r>
        <w:rPr>
          <w:rFonts w:eastAsia="Calibri" w:cs="Arial" w:eastAsiaTheme="minorHAnsi"/>
          <w:color w:val="000000" w:themeColor="text1"/>
          <w:sz w:val="22"/>
          <w:szCs w:val="22"/>
          <w:shd w:fill="auto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</w:rPr>
      </w:pPr>
      <w:r>
        <w:rPr>
          <w:rFonts w:cs="Arial"/>
          <w:color w:val="000000" w:themeColor="text1"/>
          <w:sz w:val="22"/>
          <w:szCs w:val="22"/>
        </w:rPr>
        <w:t>Neste cenário, a interrupção dos serviços supracitados, poderia resultar em consequências adversas.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360" w:hanging="0"/>
        <w:rPr>
          <w:rFonts w:ascii="Times New Roman" w:hAnsi="Times New Roman" w:eastAsia="Times New Roman" w:cs="Arial"/>
          <w:color w:val="000000" w:themeColor="text1"/>
          <w:sz w:val="22"/>
          <w:szCs w:val="22"/>
          <w:lang w:eastAsia="pt-BR"/>
        </w:rPr>
      </w:pPr>
      <w:r>
        <w:rPr>
          <w:rFonts w:eastAsia="Times New Roman" w:cs="Arial" w:ascii="Times New Roman" w:hAnsi="Times New Roman"/>
          <w:color w:val="000000" w:themeColor="text1"/>
          <w:sz w:val="22"/>
          <w:szCs w:val="22"/>
          <w:lang w:eastAsia="pt-B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</w:rPr>
      </w:pPr>
      <w:r>
        <w:rPr>
          <w:rFonts w:cs="Arial"/>
          <w:color w:val="000000" w:themeColor="text1"/>
          <w:sz w:val="22"/>
          <w:szCs w:val="22"/>
        </w:rPr>
        <w:t xml:space="preserve">Nesse contexto, </w:t>
      </w:r>
      <w:r>
        <w:rPr>
          <w:rFonts w:cs="Arial"/>
          <w:b/>
          <w:color w:val="000000" w:themeColor="text1"/>
          <w:sz w:val="22"/>
          <w:szCs w:val="22"/>
        </w:rPr>
        <w:t>entende-se necessária a contratação de empresa especializada na prestação de serviços de revisão veicular complementar, com fornecimento de peças, se necessário</w:t>
      </w:r>
      <w:r>
        <w:rPr>
          <w:rFonts w:cs="Arial"/>
          <w:color w:val="000000" w:themeColor="text1"/>
          <w:sz w:val="22"/>
          <w:szCs w:val="22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</w:rPr>
      </w:pPr>
      <w:r>
        <w:rPr>
          <w:rFonts w:eastAsia="Calibri" w:cs="Arial" w:eastAsiaTheme="minorHAnsi"/>
          <w:color w:val="000000" w:themeColor="text1"/>
          <w:sz w:val="22"/>
          <w:szCs w:val="22"/>
          <w:lang w:eastAsia="en-US"/>
        </w:rPr>
        <w:t>Outrossim, se amolda a respectiva demanda na previsão expressa do Decreto Municipal nº 6.231/2023, que aprova o Plano Anual de Contratações (PAC) para o exercício de 2023. O respectivo plano, tendo como unidade requisitante, dentre outras, a Secretaria Municipal de Desenvolvimento Econômico, prevê em seu item “</w:t>
      </w:r>
      <w:r>
        <w:rPr>
          <w:rFonts w:eastAsia="Calibri" w:cs="Arial" w:eastAsiaTheme="minorHAnsi"/>
          <w:color w:val="000000" w:themeColor="text1"/>
          <w:sz w:val="22"/>
          <w:szCs w:val="22"/>
          <w:shd w:fill="auto" w:val="clear"/>
          <w:lang w:eastAsia="en-US"/>
        </w:rPr>
        <w:t>7) PLANO ANUAL DE CONTRATAÇÕES – EXERCÍCIO 2023”, a contratação de revisão de garantia de</w:t>
      </w:r>
      <w:r>
        <w:rPr>
          <w:rFonts w:eastAsia="Calibri" w:cs="Arial" w:eastAsiaTheme="minorHAnsi"/>
          <w:color w:val="000000" w:themeColor="text1"/>
          <w:sz w:val="22"/>
          <w:szCs w:val="22"/>
          <w:lang w:eastAsia="en-US"/>
        </w:rPr>
        <w:t xml:space="preserve"> veículos, em conformidade ao objeto pleiteado nesse instrumento.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2"/>
          <w:szCs w:val="22"/>
          <w:lang w:eastAsia="en-US"/>
        </w:rPr>
      </w:pPr>
      <w:r>
        <w:rPr>
          <w:rFonts w:eastAsia="Calibri" w:cs="Arial" w:eastAsiaTheme="minorHAnsi"/>
          <w:color w:val="000000" w:themeColor="text1"/>
          <w:sz w:val="22"/>
          <w:szCs w:val="22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</w:rPr>
      </w:pPr>
      <w:r>
        <w:rPr>
          <w:rFonts w:eastAsia="Calibri" w:cs="Arial" w:eastAsiaTheme="minorHAnsi"/>
          <w:color w:val="000000" w:themeColor="text1"/>
          <w:sz w:val="22"/>
          <w:szCs w:val="22"/>
          <w:lang w:eastAsia="en-US"/>
        </w:rPr>
        <w:t>O objeto aqui consignado, dessa forma, objetiva a realização de revisão veicular complementar, com fornecimento de peças, no</w:t>
      </w:r>
      <w:r>
        <w:rPr>
          <w:rFonts w:cs="Arial"/>
          <w:b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veículo CAMINHÃO VOLKSVAGEM 24.260 CRM 6X2, ano de fabricação 2021, ano modelo 2022, Placa RQO6J02, Chassi 9536K8241NR050231, pertencente á frota de veículos do Município de São Roque do Canaã/ES.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O veículo em questão foi adquirido da empresa AUTOBAHN CAMINHÕES E ÔNIBUS LTDA</w:t>
      </w:r>
      <w:r>
        <w:rPr>
          <w:rFonts w:cs="Arial"/>
          <w:sz w:val="22"/>
          <w:szCs w:val="22"/>
          <w:shd w:fill="auto" w:val="clear"/>
        </w:rPr>
        <w:t>, inscrita no CNPJ nº 01.266.272/0001-09, conforme Nota Fiscal nº 000.123.113, emitida em 07 de fevereiro de 2022.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  <w:highlight w:val="none"/>
          <w:shd w:fill="auto" w:val="clear"/>
        </w:rPr>
      </w:pPr>
      <w:r>
        <w:rPr>
          <w:rFonts w:cs="Arial"/>
          <w:color w:val="000000" w:themeColor="text1"/>
          <w:sz w:val="22"/>
          <w:szCs w:val="22"/>
          <w:shd w:fill="auto" w:val="clear"/>
        </w:rPr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Nesse sentido, a análise exaustiva da situação atual revela que a Secretaria de Desenvolvimento Econômico já realizou cerca de TREZE outros processos de revisão veicular, com fornecimento de peças, além de outros processos de revisões complementares para o veículo em questão, sendo por meio do: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2"/>
          <w:szCs w:val="22"/>
          <w:lang w:eastAsia="en-US"/>
        </w:rPr>
      </w:pPr>
      <w:r>
        <w:rPr>
          <w:rFonts w:eastAsia="Calibri" w:cs="Arial" w:eastAsiaTheme="minorHAnsi"/>
          <w:color w:val="000000" w:themeColor="text1"/>
          <w:sz w:val="22"/>
          <w:szCs w:val="22"/>
          <w:lang w:eastAsia="en-US"/>
        </w:rPr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 </w:t>
      </w:r>
      <w:r>
        <w:rPr>
          <w:rFonts w:cs="Arial"/>
          <w:color w:val="000000" w:themeColor="text1"/>
          <w:sz w:val="22"/>
          <w:szCs w:val="22"/>
        </w:rPr>
        <w:tab/>
      </w:r>
      <w:r>
        <w:rPr>
          <w:rFonts w:cs="Arial"/>
          <w:b/>
          <w:color w:val="000000" w:themeColor="text1"/>
          <w:sz w:val="22"/>
          <w:szCs w:val="22"/>
        </w:rPr>
        <w:t>MEMO/SMDE Nº. 043/2023</w:t>
      </w:r>
      <w:r>
        <w:rPr>
          <w:rFonts w:cs="Arial"/>
          <w:color w:val="000000" w:themeColor="text1"/>
          <w:sz w:val="22"/>
          <w:szCs w:val="22"/>
        </w:rPr>
        <w:t xml:space="preserve"> – 12/05/2023 – Revisão Veicular de 100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color w:val="000000" w:themeColor="text1"/>
          <w:sz w:val="22"/>
          <w:szCs w:val="22"/>
        </w:rPr>
        <w:tab/>
        <w:t>MEMO/SMDE Nº. 048/2023</w:t>
      </w:r>
      <w:r>
        <w:rPr>
          <w:rFonts w:cs="Arial"/>
          <w:color w:val="000000" w:themeColor="text1"/>
          <w:sz w:val="22"/>
          <w:szCs w:val="22"/>
        </w:rPr>
        <w:t xml:space="preserve"> – 27/06/2023 – Revisão Veicular de 20.000km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color w:val="000000" w:themeColor="text1"/>
          <w:sz w:val="22"/>
          <w:szCs w:val="22"/>
        </w:rPr>
        <w:tab/>
        <w:t>MEMO/SMDE Nº. 052/2023</w:t>
      </w:r>
      <w:r>
        <w:rPr>
          <w:rFonts w:cs="Arial"/>
          <w:color w:val="000000" w:themeColor="text1"/>
          <w:sz w:val="22"/>
          <w:szCs w:val="22"/>
        </w:rPr>
        <w:t xml:space="preserve"> – 06/07/2023 – Revisão Veicular de 1.500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color w:val="000000" w:themeColor="text1"/>
          <w:sz w:val="22"/>
          <w:szCs w:val="22"/>
        </w:rPr>
        <w:tab/>
        <w:t>MEMO/SMDE Nº. 053/2023</w:t>
      </w:r>
      <w:r>
        <w:rPr>
          <w:rFonts w:cs="Arial"/>
          <w:color w:val="000000" w:themeColor="text1"/>
          <w:sz w:val="22"/>
          <w:szCs w:val="22"/>
        </w:rPr>
        <w:t xml:space="preserve"> – 20/07/2023 – Revisão Veicular de 100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color w:val="000000" w:themeColor="text1"/>
          <w:sz w:val="22"/>
          <w:szCs w:val="22"/>
        </w:rPr>
        <w:tab/>
        <w:t>MEMO/SMDE Nº. 054/2023</w:t>
      </w:r>
      <w:r>
        <w:rPr>
          <w:rFonts w:cs="Arial"/>
          <w:color w:val="000000" w:themeColor="text1"/>
          <w:sz w:val="22"/>
          <w:szCs w:val="22"/>
        </w:rPr>
        <w:t xml:space="preserve"> – 26/07/2023 – Revisão Veicular de 250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color w:val="000000" w:themeColor="text1"/>
          <w:sz w:val="22"/>
          <w:szCs w:val="22"/>
        </w:rPr>
        <w:tab/>
        <w:t>MEMO/SMDE Nº. 055/2023</w:t>
      </w:r>
      <w:r>
        <w:rPr>
          <w:rFonts w:cs="Arial"/>
          <w:color w:val="000000" w:themeColor="text1"/>
          <w:sz w:val="22"/>
          <w:szCs w:val="22"/>
        </w:rPr>
        <w:t xml:space="preserve"> – 26/07/2023 – Revisão Veicular de 250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 </w:t>
      </w:r>
      <w:r>
        <w:rPr>
          <w:rFonts w:cs="Arial"/>
          <w:color w:val="000000" w:themeColor="text1"/>
          <w:sz w:val="22"/>
          <w:szCs w:val="22"/>
        </w:rPr>
        <w:tab/>
      </w:r>
      <w:r>
        <w:rPr>
          <w:rFonts w:cs="Arial"/>
          <w:b/>
          <w:bCs/>
          <w:color w:val="000000" w:themeColor="text1"/>
          <w:sz w:val="22"/>
          <w:szCs w:val="22"/>
        </w:rPr>
        <w:t xml:space="preserve">MEMO/SMDE Nº. 073/2023 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>– 14/09/2023</w:t>
      </w:r>
      <w:r>
        <w:rPr>
          <w:rFonts w:cs="Arial"/>
          <w:b/>
          <w:bCs/>
          <w:color w:val="000000" w:themeColor="text1"/>
          <w:sz w:val="22"/>
          <w:szCs w:val="22"/>
        </w:rPr>
        <w:t xml:space="preserve"> 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>– Revisão Veicular de 250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bCs/>
          <w:color w:val="000000" w:themeColor="text1"/>
          <w:sz w:val="22"/>
          <w:szCs w:val="22"/>
        </w:rPr>
        <w:tab/>
        <w:t>MEMO/SMDE Nº. 083/2023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 xml:space="preserve"> – 26/09/2023 – Revisão Veicular de 20.000km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 w:themeColor="text1"/>
          <w:sz w:val="22"/>
          <w:szCs w:val="22"/>
        </w:rPr>
        <w:t xml:space="preserve"> </w:t>
      </w:r>
      <w:r>
        <w:rPr>
          <w:rFonts w:cs="Arial"/>
          <w:b/>
          <w:bCs/>
          <w:color w:val="000000" w:themeColor="text1"/>
          <w:sz w:val="22"/>
          <w:szCs w:val="22"/>
        </w:rPr>
        <w:tab/>
        <w:t>DFD/SMDE      Nº. 001/2023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 xml:space="preserve">  – 04/10/2023 – Revisão Veicular de 15.000km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 w:themeColor="text1"/>
          <w:sz w:val="22"/>
          <w:szCs w:val="22"/>
        </w:rPr>
        <w:t>DFD/SMDE      Nº. 002/2023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 xml:space="preserve"> – 04/10/2023 – Revisão Veicular de 40.000km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 w:themeColor="text1"/>
          <w:sz w:val="22"/>
          <w:szCs w:val="22"/>
        </w:rPr>
        <w:t>DFD/SMDE      N°. 003/2023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 xml:space="preserve"> – 04/10/2023 – Revisão Veicular de 2.000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 w:themeColor="text1"/>
          <w:sz w:val="22"/>
          <w:szCs w:val="22"/>
        </w:rPr>
        <w:t>DFD/SMADE   N°. 004/2023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 xml:space="preserve"> – 04/10/2023 – Revisão Veicular de 500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 w:themeColor="text1"/>
          <w:sz w:val="22"/>
          <w:szCs w:val="22"/>
        </w:rPr>
        <w:t>DFD/SMADE   N°. 007/2023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 xml:space="preserve"> – 01/12/2023 – Revisão Veicular de 60.000 Km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b w:val="false"/>
          <w:b w:val="false"/>
          <w:bCs w:val="false"/>
          <w:color w:val="000000" w:themeColor="text1"/>
          <w:sz w:val="22"/>
          <w:szCs w:val="22"/>
          <w:lang w:eastAsia="en-US"/>
        </w:rPr>
      </w:pPr>
      <w:r>
        <w:rPr>
          <w:rFonts w:eastAsia="Calibri" w:cs="Arial" w:eastAsiaTheme="minorHAnsi"/>
          <w:b w:val="false"/>
          <w:bCs w:val="false"/>
          <w:color w:val="000000" w:themeColor="text1"/>
          <w:sz w:val="22"/>
          <w:szCs w:val="22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Com base nesses dados históricos, torna-se patente que a manutenção adequada e as revisões de garantia constituem um reflexo da inafastável responsabilidade da Secretaria de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/>
          <w:bCs/>
          <w:color w:val="000000" w:themeColor="text1"/>
          <w:sz w:val="22"/>
          <w:szCs w:val="22"/>
        </w:rPr>
        <w:t>empresa</w:t>
      </w:r>
      <w:r>
        <w:rPr>
          <w:rFonts w:cs="Arial"/>
          <w:b/>
          <w:bCs/>
          <w:sz w:val="22"/>
          <w:szCs w:val="22"/>
        </w:rPr>
        <w:t xml:space="preserve"> AUTOBHAN CAMINHÕES E ÔNIBUS, CNPJ nº 01.266.272/0001-09, localizada na RODOVIA GOVERNADOR MARIO COVAS, SERRA – ES, CEP 29162-703</w:t>
      </w:r>
      <w:r>
        <w:rPr>
          <w:rFonts w:cs="Arial"/>
          <w:color w:val="000000" w:themeColor="text1"/>
          <w:sz w:val="22"/>
          <w:szCs w:val="22"/>
        </w:rPr>
        <w:t>,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2"/>
          <w:szCs w:val="22"/>
          <w:lang w:eastAsia="en-US"/>
        </w:rPr>
      </w:pPr>
      <w:r>
        <w:rPr>
          <w:rFonts w:eastAsia="Calibri" w:cs="Arial" w:eastAsiaTheme="minorHAnsi"/>
          <w:color w:val="000000" w:themeColor="text1"/>
          <w:sz w:val="22"/>
          <w:szCs w:val="22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Calibri" w:cs="Arial" w:eastAsiaTheme="minorHAnsi"/>
          <w:color w:val="000000" w:themeColor="text1"/>
          <w:sz w:val="22"/>
          <w:szCs w:val="22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2. 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  <w:highlight w:val="lightGray"/>
        </w:rPr>
      </w:pPr>
      <w:r>
        <w:rPr>
          <w:rFonts w:cs="Arial"/>
          <w:color w:val="000000" w:themeColor="text1"/>
          <w:sz w:val="22"/>
          <w:szCs w:val="22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2"/>
          <w:szCs w:val="22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4.PREVISÃO DE DATA EM QUE DEVE SER INICIADA A CONCLUSÃO DA CONTRATAÇÃO OU REQUISIÇÃO DO BEM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  <w:highlight w:val="lightGray"/>
        </w:rPr>
      </w:pPr>
      <w:r>
        <w:rPr>
          <w:rFonts w:cs="Arial"/>
          <w:color w:val="000000" w:themeColor="text1"/>
          <w:sz w:val="22"/>
          <w:szCs w:val="22"/>
          <w:highlight w:val="lightGray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/>
          <w:b/>
          <w:color w:val="000000" w:themeColor="text1"/>
          <w:sz w:val="22"/>
          <w:szCs w:val="22"/>
        </w:rPr>
        <w:t>deverá ocorrer no mês de dezembro de 2023</w:t>
      </w:r>
      <w:r>
        <w:rPr>
          <w:rFonts w:cs="Arial"/>
          <w:color w:val="000000" w:themeColor="text1"/>
          <w:sz w:val="22"/>
          <w:szCs w:val="22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5.DA DISPENSABILIDADE DE ESTUDO TÉCNICO PRELIMINAR E DE PROCEDIMENTO LICITATÓRIO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/>
          <w:b/>
          <w:color w:val="000000" w:themeColor="text1"/>
          <w:sz w:val="22"/>
          <w:szCs w:val="22"/>
        </w:rPr>
        <w:t>é dispensada a licitação, nos termos do art. 75, IV, “a”, da Lei nº 14.133/2021</w:t>
      </w:r>
      <w:r>
        <w:rPr>
          <w:rFonts w:cs="Arial"/>
          <w:color w:val="000000" w:themeColor="text1"/>
          <w:sz w:val="22"/>
          <w:szCs w:val="22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/>
          <w:b/>
          <w:color w:val="000000" w:themeColor="text1"/>
          <w:sz w:val="22"/>
          <w:szCs w:val="22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6.</w:t>
        <w:tab/>
        <w:t>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6.1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6.1.1.</w:t>
        <w:tab/>
        <w:t>Documentos de regularização fiscal da empresa;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6.1.2.</w:t>
        <w:tab/>
        <w:t>Orçamento emitido pela concessionária;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6.1.3.</w:t>
        <w:tab/>
        <w:t>Pesquisa simples de mercado;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6.1.4.</w:t>
        <w:tab/>
        <w:t>Documento do veículo;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6.1.5.</w:t>
        <w:tab/>
        <w:t>Manual de garantia;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6.1.6.</w:t>
        <w:tab/>
        <w:t>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7.DADOS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  <w:highlight w:val="lightGray"/>
        </w:rPr>
      </w:pPr>
      <w:r>
        <w:rPr>
          <w:rFonts w:cs="Arial"/>
          <w:color w:val="000000" w:themeColor="text1"/>
          <w:sz w:val="22"/>
          <w:szCs w:val="22"/>
          <w:highlight w:val="lightGray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 w:val="false"/>
          <w:bCs w:val="false"/>
          <w:color w:val="000000" w:themeColor="text1"/>
          <w:sz w:val="22"/>
          <w:szCs w:val="22"/>
        </w:rPr>
        <w:t>7.1</w:t>
      </w:r>
      <w:r>
        <w:rPr>
          <w:rFonts w:cs="Arial"/>
          <w:b/>
          <w:color w:val="000000" w:themeColor="text1"/>
          <w:sz w:val="22"/>
          <w:szCs w:val="22"/>
        </w:rPr>
        <w:tab/>
        <w:t>Responsável pela Elaboração:</w:t>
      </w:r>
      <w:r>
        <w:rPr>
          <w:rFonts w:cs="Arial"/>
          <w:color w:val="000000" w:themeColor="text1"/>
          <w:sz w:val="22"/>
          <w:szCs w:val="22"/>
        </w:rPr>
        <w:t xml:space="preserve"> LIVIA CALSSE LORENZON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>7.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>2</w:t>
      </w:r>
      <w:r>
        <w:rPr>
          <w:rFonts w:cs="Arial"/>
          <w:b/>
          <w:color w:val="000000" w:themeColor="text1"/>
          <w:sz w:val="22"/>
          <w:szCs w:val="22"/>
        </w:rPr>
        <w:tab/>
        <w:t xml:space="preserve">Responsável pela Demanda: </w:t>
      </w:r>
      <w:r>
        <w:rPr>
          <w:rFonts w:cs="Arial"/>
          <w:b w:val="false"/>
          <w:bCs w:val="false"/>
          <w:color w:val="000000" w:themeColor="text1"/>
          <w:sz w:val="22"/>
          <w:szCs w:val="22"/>
        </w:rPr>
        <w:t>FABIO LOS LUCHI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 w:val="false"/>
          <w:bCs w:val="false"/>
          <w:color w:val="000000" w:themeColor="text1"/>
          <w:sz w:val="22"/>
          <w:szCs w:val="22"/>
        </w:rPr>
        <w:t>7.3</w:t>
      </w:r>
      <w:r>
        <w:rPr>
          <w:rFonts w:cs="Arial"/>
          <w:b/>
          <w:color w:val="000000" w:themeColor="text1"/>
          <w:sz w:val="22"/>
          <w:szCs w:val="22"/>
        </w:rPr>
        <w:tab/>
        <w:t>Gestor da Unidade Requisitante:</w:t>
      </w:r>
      <w:r>
        <w:rPr>
          <w:rFonts w:cs="Arial"/>
          <w:color w:val="000000" w:themeColor="text1"/>
          <w:sz w:val="22"/>
          <w:szCs w:val="22"/>
        </w:rPr>
        <w:t xml:space="preserve"> FÁBIO LOSS LUCHI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  <w:highlight w:val="lightGray"/>
        </w:rPr>
      </w:pPr>
      <w:r>
        <w:rPr>
          <w:rFonts w:cs="Arial"/>
          <w:color w:val="000000" w:themeColor="text1"/>
          <w:sz w:val="22"/>
          <w:szCs w:val="22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>São Roque do Canaã/ES</w:t>
      </w:r>
      <w:r>
        <w:rPr>
          <w:rFonts w:cs="Arial"/>
          <w:color w:val="000000" w:themeColor="text1"/>
          <w:sz w:val="22"/>
          <w:szCs w:val="22"/>
        </w:rPr>
        <w:t>, 04 de dezembro de 2023.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Assistente de controle Administrativo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 xml:space="preserve">Decreto Municipal n° </w:t>
            </w:r>
            <w:r>
              <w:rPr>
                <w:rFonts w:cs="Arial"/>
                <w:color w:val="000000"/>
                <w:kern w:val="0"/>
                <w:sz w:val="22"/>
                <w:szCs w:val="22"/>
                <w:shd w:fill="auto" w:val="clear"/>
                <w:lang w:val="pt-BR" w:eastAsia="pt-BR" w:bidi="ar-SA"/>
              </w:rPr>
              <w:t>6.511/2023.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  <w:t>FÁBIO LOSS LUCHI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Secretário Municipal de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Decreto Municipal nº 5.097/2021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AGRICULTURA E DESENVOLVIMENTO ECONÔMICO – SMADE | GABINETE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AGRICULTURA DESENVOLVIMENTO ECONÔMICO – SMADE | GABINETE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Application>LibreOffice/7.4.6.2$Windows_X86_64 LibreOffice_project/5b1f5509c2decdade7fda905e3e1429a67acd63d</Application>
  <AppVersion>15.0000</AppVersion>
  <Pages>5</Pages>
  <Words>1598</Words>
  <Characters>9617</Characters>
  <CharactersWithSpaces>11188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dcterms:modified xsi:type="dcterms:W3CDTF">2023-12-06T12:27:19Z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