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 DESCRIÇÃO DO OBJETO E 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 DESCRIÇÃO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Constitui objeto do presente Termo de Referência, estabelecer as condições e diretrizes que disciplinarão a </w:t>
      </w:r>
      <w:r>
        <w:rPr>
          <w:rFonts w:cs="Arial"/>
          <w:b/>
          <w:sz w:val="22"/>
          <w:szCs w:val="22"/>
        </w:rPr>
        <w:t xml:space="preserve">contratação da empresa </w:t>
      </w:r>
      <w:r>
        <w:rPr>
          <w:rFonts w:cs="Arial"/>
          <w:b/>
          <w:bCs/>
          <w:sz w:val="22"/>
          <w:szCs w:val="22"/>
        </w:rPr>
        <w:t>AUTOBHAN CAMINHÕES E ÔNIBUS, CNPJ nº 01.266.272/0001-09, localizada na RODOVIA GOVERNADOR MARIO COVAS, SERRA – ES, CEP 29162-703</w:t>
      </w:r>
      <w:r>
        <w:rPr>
          <w:rFonts w:cs="Arial"/>
          <w:sz w:val="22"/>
          <w:szCs w:val="22"/>
        </w:rPr>
        <w:t xml:space="preserve">, </w:t>
      </w:r>
      <w:r>
        <w:rPr>
          <w:rFonts w:cs="Arial"/>
          <w:b/>
          <w:sz w:val="22"/>
          <w:szCs w:val="22"/>
        </w:rPr>
        <w:t>objetivando a revisão complementar de 60.000 km do veículo CAMINHÃO VOLKSVAGEM  24.260 CRM 6X2, ano de fabricação 2021, ano modelo 2022, Placa RQO6J02, Chassi 9536K8241NR050231, pertencente á frota de veículos do Município de São Roque do Canaã/ES</w:t>
      </w:r>
      <w:r>
        <w:rPr>
          <w:rFonts w:cs="Arial"/>
          <w:sz w:val="22"/>
          <w:szCs w:val="22"/>
        </w:rPr>
        <w:t>, em atendimento à demanda da Secretaria Municipal de Agricultura e Desenvolvimento Econômico – SMADE/SRC.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Especificações: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tbl>
      <w:tblPr>
        <w:tblW w:w="5000" w:type="pct"/>
        <w:jc w:val="left"/>
        <w:tblInd w:w="-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372"/>
        <w:gridCol w:w="1370"/>
        <w:gridCol w:w="6329"/>
      </w:tblGrid>
      <w:tr>
        <w:trPr>
          <w:trHeight w:val="300" w:hRule="atLeast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Qnt.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4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PARAFUSO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TAMPA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CONE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ANEL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ANEL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COIFA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ANEL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JUNTA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LUVA COFRE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TAMPA</w:t>
            </w:r>
          </w:p>
        </w:tc>
      </w:tr>
      <w:tr>
        <w:trPr>
          <w:trHeight w:val="338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6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LUVA</w:t>
            </w:r>
          </w:p>
        </w:tc>
      </w:tr>
      <w:tr>
        <w:trPr>
          <w:trHeight w:val="243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CARDAN</w:t>
            </w:r>
          </w:p>
        </w:tc>
      </w:tr>
      <w:tr>
        <w:trPr>
          <w:trHeight w:val="243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ENGRENAGEM</w:t>
            </w:r>
          </w:p>
        </w:tc>
      </w:tr>
      <w:tr>
        <w:trPr>
          <w:trHeight w:val="243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JUNTA</w:t>
            </w:r>
          </w:p>
        </w:tc>
      </w:tr>
      <w:tr>
        <w:trPr>
          <w:trHeight w:val="243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RETENTOR</w:t>
            </w:r>
          </w:p>
        </w:tc>
      </w:tr>
      <w:tr>
        <w:trPr>
          <w:trHeight w:val="243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EIXO INTER</w:t>
            </w:r>
          </w:p>
        </w:tc>
      </w:tr>
      <w:tr>
        <w:trPr>
          <w:trHeight w:val="243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ANEL</w:t>
            </w:r>
          </w:p>
        </w:tc>
      </w:tr>
      <w:tr>
        <w:trPr>
          <w:trHeight w:val="243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ENGRENAGEM</w:t>
            </w:r>
          </w:p>
        </w:tc>
      </w:tr>
      <w:tr>
        <w:trPr>
          <w:trHeight w:val="243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ROLAMENTO</w:t>
            </w:r>
          </w:p>
        </w:tc>
      </w:tr>
      <w:tr>
        <w:trPr>
          <w:trHeight w:val="243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CORPOSINCR</w:t>
            </w:r>
          </w:p>
        </w:tc>
      </w:tr>
      <w:tr>
        <w:trPr>
          <w:trHeight w:val="243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8,20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Horas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CJ ENGRENAGENS DA REREMOV/INST</w:t>
            </w:r>
          </w:p>
        </w:tc>
      </w:tr>
      <w:tr>
        <w:trPr>
          <w:trHeight w:val="243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2,80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Horas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CAIXA DE MUDANÇAS REMOVER E INSTALAR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Os bens objeto desta contratação são </w:t>
      </w:r>
      <w:r>
        <w:rPr>
          <w:rFonts w:cs="Arial"/>
          <w:b/>
          <w:sz w:val="22"/>
          <w:szCs w:val="22"/>
        </w:rPr>
        <w:t>caracterizados como de natureza comum</w:t>
      </w:r>
      <w:r>
        <w:rPr>
          <w:rFonts w:cs="Arial"/>
          <w:sz w:val="22"/>
          <w:szCs w:val="22"/>
        </w:rPr>
        <w:t>, uma vez ser possível estabelecer, para efeito de julgamento das propostas, especificações utilizadas no mercado, padrões de qualidade e desempenho peculiares ao objeto, conforme justificativa constante no Documento de Formalização de Demanda e neste Termo de Referência, atendendo ao disposto do art. 6º, XIII,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O objeto da presente contratação </w:t>
      </w:r>
      <w:r>
        <w:rPr>
          <w:rFonts w:cs="Arial"/>
          <w:b/>
          <w:sz w:val="22"/>
          <w:szCs w:val="22"/>
        </w:rPr>
        <w:t>não se enquadra, ainda, como sendo bem de luxo</w:t>
      </w:r>
      <w:r>
        <w:rPr>
          <w:rFonts w:cs="Arial"/>
          <w:sz w:val="22"/>
          <w:szCs w:val="22"/>
        </w:rPr>
        <w:t>, atendendo ao disposto no art. 20,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Tratando-se de contratação imediata, a do presente objeto, esta ficará adstrita à vigência do exercício financeiro correspondente</w:t>
      </w:r>
      <w:r>
        <w:rPr>
          <w:rFonts w:cs="Arial"/>
          <w:sz w:val="22"/>
          <w:szCs w:val="22"/>
        </w:rPr>
        <w:t>, nos termos do art. 105, da Lei nº 14.133/2021.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DO OBJETIVO E DA JUSTIFICATIVA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Licitação é o procedimento administrativo formal em que a Administração convoca, mediante condições estabelecidas em ato próprio (edital), empresas interessadas na apresentação de propostas para o oferecimento de bens e serviços. O ordenamento brasileiro, em sua Carta Magna (art. 37, inciso XXI), determinou a obrigatoriedade da licitação para todas as aquisições de bens e contratações de serviços e obras realizadas pela Administração no exercício de suas funções. Nessa perspectiva, a Lei Federal nº 14.133/2021 estabelece as normas gerais sobre licitações e contratos.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A fundamentação pormenorizada quanto à necessidade de contratação do presente objeto pode ser encontrada no Documento de Formalização de Demanda e neste instrumento referencial, de modo que, em virtude na natureza do objeto a ser contratado, nos termos do art. 75, IV, a, da Lei nº 14.133/2021, dispensa-se a elaboração de Estudo Técnico Preliminar (ETP), bem como a realização de procedimento licitatório.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Portanto, </w:t>
      </w:r>
      <w:r>
        <w:rPr>
          <w:rFonts w:cs="Arial"/>
          <w:b/>
          <w:sz w:val="22"/>
          <w:szCs w:val="22"/>
        </w:rPr>
        <w:t>sob a égide do art. 75, IV, a, da Lei nº 14.133/2021, destacamos que a respectiva contratação se dará por meio de dispensa de licitação</w:t>
      </w:r>
      <w:r>
        <w:rPr>
          <w:rFonts w:cs="Arial"/>
          <w:sz w:val="22"/>
          <w:szCs w:val="22"/>
        </w:rPr>
        <w:t xml:space="preserve">, asseverando, ainda, a conformidade ao regulamento normativo municipal. De igual modo, </w:t>
      </w:r>
      <w:r>
        <w:rPr>
          <w:rFonts w:cs="Arial"/>
          <w:b/>
          <w:sz w:val="22"/>
          <w:szCs w:val="22"/>
        </w:rPr>
        <w:t>o objeto da presente contratação se encontra previsto no Plano Anual de Contratações (PAC) para o exercício de 2023</w:t>
      </w:r>
      <w:r>
        <w:rPr>
          <w:rFonts w:cs="Arial"/>
          <w:sz w:val="22"/>
          <w:szCs w:val="22"/>
        </w:rPr>
        <w:t>, aprovado pelo Decreto Municipal nº</w:t>
      </w:r>
      <w:r>
        <w:rPr>
          <w:rFonts w:cs="Arial"/>
          <w:sz w:val="22"/>
          <w:szCs w:val="22"/>
          <w:shd w:fill="auto" w:val="clear"/>
        </w:rPr>
        <w:t xml:space="preserve"> 6.231/2023 e publicado em 23 de fevereiro de 2023,</w:t>
      </w:r>
      <w:r>
        <w:rPr>
          <w:rFonts w:cs="Arial"/>
          <w:b/>
          <w:sz w:val="22"/>
          <w:szCs w:val="22"/>
        </w:rPr>
        <w:t xml:space="preserve"> não sendo necessária a atualização do respectivo plano.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Os quantitativos previstos nesse Termo de Referência levaram em </w:t>
      </w:r>
      <w:r>
        <w:rPr>
          <w:rFonts w:cs="Arial"/>
          <w:b/>
          <w:sz w:val="22"/>
          <w:szCs w:val="22"/>
        </w:rPr>
        <w:t>consideração a demanda da Secretaria Municipal Requisitante, por meio do Setor de Transporte Agrícola,</w:t>
      </w:r>
      <w:r>
        <w:rPr>
          <w:rFonts w:cs="Arial"/>
          <w:sz w:val="22"/>
          <w:szCs w:val="22"/>
        </w:rPr>
        <w:t xml:space="preserve"> mediante o controle realizado, pelo respectivo setor, nos cuidados com os veículos da frota municipal. Assim, a presente contratação tem como finalidade o suprimento das demandas apresentadas pela Secretaria, ante a viabilidade demonstrada pelo Documento de Formalização de Demanda e por meio deste instrumento.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A descrição técnica dos objetos/produtos a serem contratados, e posteriormente adquiridos conforme necessidades da Secretaria Requerente constam, inclusive quantitativamente, na tabela presente no </w:t>
      </w:r>
      <w:r>
        <w:rPr>
          <w:rFonts w:cs="Arial"/>
          <w:b/>
          <w:sz w:val="22"/>
          <w:szCs w:val="22"/>
        </w:rPr>
        <w:t>subitem 1.1.2.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Justificando, o presente Termo de Referência visa </w:t>
      </w:r>
      <w:r>
        <w:rPr>
          <w:rFonts w:cs="Arial"/>
          <w:b/>
          <w:sz w:val="22"/>
          <w:szCs w:val="22"/>
        </w:rPr>
        <w:t>esclarecer e direcionar os procedimentos essenciais para elaboração da Dispensa de Licitação, nos termos do art. 75, IV, a, da Lei nº 14.133/2021.</w:t>
      </w:r>
      <w:r>
        <w:rPr>
          <w:rFonts w:cs="Arial"/>
          <w:sz w:val="22"/>
          <w:szCs w:val="22"/>
        </w:rPr>
        <w:t xml:space="preserve"> No Termo de Referência, apresentam-se sugestões básicas sobre os procedimentos administrativos mais comuns nas licitações públicas municipais e o atendimento aos requisitos estabelecidos evitará equívocos nas compras e contrações a serem realizadas.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 FORMALIZAÇÃO DA ATA DE REGISTRO DE PREÇOS, DOS USUÁRIOS DO REGISTRO DE PREÇOS E DO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i/>
          <w:sz w:val="22"/>
          <w:szCs w:val="22"/>
        </w:rPr>
        <w:t>Não se aplica a presente contratação</w:t>
      </w:r>
      <w:r>
        <w:rPr>
          <w:rFonts w:cs="Arial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DO OBJETO LICITADO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 SOLUÇÃO E DO CICLO DE VIDA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A descrição da solução como um todo se encontra pormenorizada na própria Lei nº 14.133/2021</w:t>
      </w:r>
      <w:r>
        <w:rPr>
          <w:rFonts w:cs="Arial"/>
          <w:sz w:val="22"/>
          <w:szCs w:val="22"/>
        </w:rPr>
        <w:t>, ao passo que se estabelece ser dispensável a licitação nos casos em que a contratação tenha por objeto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 (art. 75, IV, a, Lei nº 14.133/2021).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Na presente contratação será admitida, apenas, a oferta do objeto em consonância com as características e justificativas contidas neste instrumento referencial.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DOS REQUISITOS DA CONTRATAÇÃO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A contratação será realizada em razão da necessidade e periodicidade de revisões veiculares de garantia, nos veículos da Secretaria Municipal de Desenvolvimento Econômico.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A contratação em comento leva em conta a necessidade da Secretaria para o exercício financeiro, sendo que tal contratação faz parte do planejamento estabelecido pela equipe técnica do setor, estando contemplado, ainda, no Plano Anual de Contratações. Assim, demonstra-se que a pretensão se encontra plenamente alinhada com o planejamento realizado pela requerente.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Para a contratação será aferida a verificação da habilitação social, fiscal, trabalhista e técnica da empresa, de acordo com as premissas da Lei Federal nº 14.133/2021, em seu Capítulo VI.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DO FORNECIMENTO E RECEBIMENTO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O objeto da presente contratação será fornecido </w:t>
      </w:r>
      <w:r>
        <w:rPr>
          <w:rFonts w:cs="Arial"/>
          <w:b/>
          <w:bCs/>
          <w:sz w:val="22"/>
          <w:szCs w:val="22"/>
        </w:rPr>
        <w:t>integralmente de acordo com a solicitação</w:t>
      </w:r>
      <w:r>
        <w:rPr>
          <w:rFonts w:cs="Arial"/>
          <w:sz w:val="22"/>
          <w:szCs w:val="22"/>
        </w:rPr>
        <w:t xml:space="preserve">, sendo que será emitido um atestado – </w:t>
      </w:r>
      <w:r>
        <w:rPr>
          <w:rFonts w:cs="Arial"/>
          <w:b/>
          <w:sz w:val="22"/>
          <w:szCs w:val="22"/>
        </w:rPr>
        <w:t>“Termo de Recebimento”</w:t>
      </w:r>
      <w:r>
        <w:rPr>
          <w:rFonts w:cs="Arial"/>
          <w:sz w:val="22"/>
          <w:szCs w:val="22"/>
        </w:rPr>
        <w:t>, apurando a qualidade do fornecimento, informando a quantidade recebida e os descritivos dos mesmos constantes no contrato, obrigando-se a proponente a substituir, as suas expensas, aqueles que vierem a ser recusados.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O recebimento dar-se-á mediante a apresentação das Notas Fiscais, em conformidade ao objeto.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A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 xml:space="preserve"> terá o </w:t>
      </w:r>
      <w:r>
        <w:rPr>
          <w:rFonts w:cs="Arial"/>
          <w:b/>
          <w:bCs/>
          <w:sz w:val="22"/>
          <w:szCs w:val="22"/>
        </w:rPr>
        <w:t>prazo imediato para o fornecimento do objeto solicitado</w:t>
      </w:r>
      <w:r>
        <w:rPr>
          <w:rFonts w:cs="Arial"/>
          <w:bCs/>
          <w:sz w:val="22"/>
          <w:szCs w:val="22"/>
        </w:rPr>
        <w:t xml:space="preserve">, contados a partir da respectiva Autorização de Fornecimento (AF), expedida pelo Setor de Compras do </w:t>
      </w:r>
      <w:r>
        <w:rPr>
          <w:rFonts w:cs="Arial"/>
          <w:b/>
          <w:bCs/>
          <w:sz w:val="22"/>
          <w:szCs w:val="22"/>
        </w:rPr>
        <w:t>CONTRATANTE</w:t>
      </w:r>
      <w:r>
        <w:rPr>
          <w:rFonts w:cs="Arial"/>
          <w:bCs/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DAS CONDIÇÕES DE RECEBIMENTO DO OBJETO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No recebimento e aceitação do objeto deste Termo de Referência serão observados, no que couberem, as disposições contidas no artigo 140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O fornecimento será recebido: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P</w:t>
      </w:r>
      <w:r>
        <w:rPr>
          <w:rFonts w:cs="Arial"/>
          <w:b/>
          <w:bCs/>
          <w:color w:val="000000"/>
          <w:sz w:val="22"/>
          <w:szCs w:val="22"/>
        </w:rPr>
        <w:t>rovisoriamente</w:t>
      </w:r>
      <w:r>
        <w:rPr>
          <w:rFonts w:cs="Arial"/>
          <w:bCs/>
          <w:color w:val="000000"/>
          <w:sz w:val="22"/>
          <w:szCs w:val="22"/>
        </w:rPr>
        <w:t>, pelo responsável por seu acompanhamento e fiscalização, mediante termo detalhado, quando verificado o cumprimento das exigências de caráter técnico</w:t>
      </w:r>
      <w:r>
        <w:rPr>
          <w:rFonts w:cs="Arial"/>
          <w:color w:val="000000"/>
          <w:sz w:val="22"/>
          <w:szCs w:val="22"/>
        </w:rPr>
        <w:t>, em até 05 (cinco) dias; e,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Definitivamente</w:t>
      </w:r>
      <w:r>
        <w:rPr>
          <w:rFonts w:cs="Arial"/>
          <w:color w:val="000000"/>
          <w:sz w:val="22"/>
          <w:szCs w:val="22"/>
        </w:rPr>
        <w:t xml:space="preserve">, </w:t>
      </w:r>
      <w:r>
        <w:rPr>
          <w:rFonts w:eastAsia="SimSun" w:cs="Arial"/>
          <w:color w:val="000000"/>
          <w:sz w:val="22"/>
          <w:szCs w:val="22"/>
        </w:rPr>
        <w:t>por servidor ou comissão designada pela autoridade competente, mediante termo detalhado que comprove o atendimento das exigências contratuais</w:t>
      </w:r>
      <w:r>
        <w:rPr>
          <w:rFonts w:cs="Arial"/>
          <w:color w:val="000000"/>
          <w:sz w:val="22"/>
          <w:szCs w:val="22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Será rejeitado no recebimento, o objeto fornecido com especificações e marcas (quando for o caso) diferentes das constantes da proposta comercial apresentada pela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devendo a sua substituição ocorrer na forma e prazo definidos a seguir.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Constatadas irregularidades no fornecimento, o </w:t>
      </w:r>
      <w:r>
        <w:rPr>
          <w:rFonts w:cs="Arial"/>
          <w:b/>
          <w:color w:val="000000"/>
          <w:sz w:val="22"/>
          <w:szCs w:val="22"/>
        </w:rPr>
        <w:t>CONTRATANTE,</w:t>
      </w:r>
      <w:r>
        <w:rPr>
          <w:rFonts w:cs="Arial"/>
          <w:color w:val="000000"/>
          <w:sz w:val="22"/>
          <w:szCs w:val="22"/>
        </w:rPr>
        <w:t xml:space="preserve"> através do representante da Secretaria Requerente, poderá: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5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Se disser respeito à especificação do fornecimento, ou qualquer dos demais motivos elencados neste item, rejeitá-lo em parte ou no todo, determinando sua substituição ou rescindindo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numPr>
          <w:ilvl w:val="0"/>
          <w:numId w:val="3"/>
        </w:numPr>
        <w:ind w:left="0" w:hanging="0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Na hipótese de substituição,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deverá fazê-la em conformidade com a indicação da Administração, no prazo máximo de </w:t>
      </w:r>
      <w:r>
        <w:rPr>
          <w:rFonts w:cs="Arial"/>
          <w:sz w:val="22"/>
          <w:szCs w:val="22"/>
        </w:rPr>
        <w:t>05 (cinco) dias úteis</w:t>
      </w:r>
      <w:r>
        <w:rPr>
          <w:rFonts w:cs="Arial"/>
          <w:color w:val="000000"/>
          <w:sz w:val="22"/>
          <w:szCs w:val="22"/>
        </w:rPr>
        <w:t>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5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Se diz respeito à diferença de quantidade ou de partes, determinar a sua complementação ou rescindir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numPr>
          <w:ilvl w:val="0"/>
          <w:numId w:val="4"/>
        </w:numPr>
        <w:ind w:left="0" w:hanging="0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Na hipótese de complementação,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deverá fazê-la em conformidade com a indicação do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>, no prazo máximo de 05 (cinco) dias úteis,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O recebimento do objeto compreenderá, dentre outras, as seguintes verificações: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10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Compatibilidade do fornecimento com as especificações exigidas no termo de referência e constantes da proposta da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>, incluindo-se marcas (se houver) e quantidades, devendo o fornecimento acontecer nas mesmas condições indicadas nas propostas de preços;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10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Apresentação do documento fiscal, com identificação do fornecedor e do comprador, descrição do material entregue, quantidade, preços unitários e total.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Reserva-se 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 o direito de não aceitar o fornecimento cuja qualidade seja comprovadamente baixa.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Somente será aceito pelo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, o fornecimento integral de acordo com o quantitativo total e especificações constantes das Autorizações de Fornecimento e, caso seja rejeitado, o objeto do fornecimento ficará disponível para solução pela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>, sob pena de sofrer as sanções previstas na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Todas as despesas de recolhimento e transporte, quando houver, ficarão a cargo da </w:t>
      </w:r>
      <w:r>
        <w:rPr>
          <w:rFonts w:cs="Arial"/>
          <w:b/>
          <w:color w:val="000000"/>
          <w:sz w:val="22"/>
          <w:szCs w:val="22"/>
        </w:rPr>
        <w:t>CONTRATADA.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DAS OBRIGAÇÕES E RESPONSABILIDADES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DAS OBRIGAÇÕES E RESPONSABILIDADES DA CONTRATADA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Além das obrigações resultantes da observância da Lei Federal nº 14.133/2021, em atendimento ao seu art. 89, §2º, são obrigações da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Cumprir fielmente, os compromissos avençados de forma que o fornecimento seja efetuado com pontualidade, dentro do prazo estipulado, bem como seja feita com esmero e perfeição e devendo ainda solucionar os problemas que porventura venham a surgir;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Comunicar imediatamente e por escrito a Administração Municipal, através da Fiscalização, qualquer anormalidade verificada, para que sejam adotadas as providências de regularização necessárias;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Atender com prontidão as reclamações por parte do recebedor do fornecimento, objeto da presente aquisição;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Suportar todas as despesas com deslocamento, encargos fiscais, previdenciários e trabalhistas, além de quaisquer outras que se fizerem necessários ao cumprimento da presente contratação;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Trocar às suas expensas, todo o objeto comprovadamente fornecido de forma inadequada, a critério da fiscalização do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Assumir a responsabilidade, presente e futura, de qualquer compromisso ou ônus decorrentes do inadimplemento relativos às obrigações aqui assumidas, ficando essas ao seu encargo, exclusivamente, em qualquer momento que vierem a ocorrer;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Dispor de equipamento, material, peças e pessoal especializado no quantitativo necessário ao cumprimento do objeto adquirido, respeitando as normas de higiene e segurança no trabalho;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Entregar o objeto de primeira qualidade, dentro do prazo de validade exigido pela legislação vigente;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eastAsia="SimSun" w:cs="Arial"/>
          <w:color w:val="000000"/>
          <w:sz w:val="22"/>
          <w:szCs w:val="22"/>
          <w:lang w:eastAsia="zh-CN"/>
        </w:rPr>
        <w:t>O</w:t>
      </w:r>
      <w:r>
        <w:rPr>
          <w:rFonts w:cs="Arial"/>
          <w:sz w:val="22"/>
          <w:szCs w:val="22"/>
        </w:rPr>
        <w:t xml:space="preserve">bedecer ao prazo de execução dos serviços, nas datas, condições e locais definidos, nas quantidades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>s, acrescidas se necessário;</w:t>
      </w:r>
    </w:p>
    <w:p>
      <w:pPr>
        <w:pStyle w:val="Corpodetexto23"/>
        <w:tabs>
          <w:tab w:val="clear" w:pos="708"/>
          <w:tab w:val="left" w:pos="1302" w:leader="none"/>
        </w:tabs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Responsabilizar-se pelos danos que causar ao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 ou a terceiros, decorrentes de culpa ou dolo, durante a execução;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A inadimplência da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 xml:space="preserve">, com referência aos encargos trabalhistas, fiscais e comerciais, não transfere ao </w:t>
      </w:r>
      <w:r>
        <w:rPr>
          <w:rFonts w:cs="Arial"/>
          <w:b/>
          <w:sz w:val="22"/>
          <w:szCs w:val="22"/>
        </w:rPr>
        <w:t>CONTRATANTE</w:t>
      </w:r>
      <w:r>
        <w:rPr>
          <w:rFonts w:cs="Arial"/>
          <w:sz w:val="22"/>
          <w:szCs w:val="22"/>
        </w:rPr>
        <w:t xml:space="preserve"> ou a terceiros a responsabilidade por seu pagamento;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Responder, integralmente, por perdas e danos que vier a causar ao </w:t>
      </w:r>
      <w:r>
        <w:rPr>
          <w:rFonts w:cs="Arial"/>
          <w:b/>
          <w:sz w:val="22"/>
          <w:szCs w:val="22"/>
        </w:rPr>
        <w:t>CONTRATANTE</w:t>
      </w:r>
      <w:r>
        <w:rPr>
          <w:rFonts w:cs="Arial"/>
          <w:sz w:val="22"/>
          <w:szCs w:val="22"/>
        </w:rPr>
        <w:t xml:space="preserve"> ou a terceiros em razão de ação ou omissão, dolosa ou culposa, sua ou dos seus prepostos, independentemente de outras cominações contratuais ou legais a que estiver sujeita;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O </w:t>
      </w:r>
      <w:r>
        <w:rPr>
          <w:rFonts w:cs="Arial"/>
          <w:b/>
          <w:sz w:val="22"/>
          <w:szCs w:val="22"/>
        </w:rPr>
        <w:t xml:space="preserve">CONTRATANTE </w:t>
      </w:r>
      <w:r>
        <w:rPr>
          <w:rFonts w:cs="Arial"/>
          <w:sz w:val="22"/>
          <w:szCs w:val="22"/>
        </w:rPr>
        <w:t xml:space="preserve">não aceitará, sob nenhum pretexto, a transferência de responsabilidade da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 xml:space="preserve"> para outras entidades, sejam fabricantes, técnicos ou quaisquer outros;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Manter, em compatibilidade com as obrigações aqui assumidas, todas as condições de habilitação e qualificação exigidas na contratação, que possa comprometer a continuidade do fornecimento, bem como substituir os documentos com prazo de validade expirado;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Permitir que o fornecimento seja fiscalizado no ato de sua entrega.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DAS OBRIGAÇÕES E RESPONSABILIDADES DO CONTRATANTE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Além das obrigações resultantes da observância da Lei Federal nº 14.133/2021, em atendimento ao seu art. 89, §2º, são obrigações do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Cumprir todos os compromissos financeiros assumidos com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>, em conformidade com Autorização de Fornecimento, sendo que o pagamento da Nota Fiscal fica condicionado ao cumprimento dos critérios de recebimento do fornecimento e os procedimentos burocráticos;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Fornecer a qualquer tempo e com presteza, mediante solicitação das empresas proponentes vencedoras do certame, informações adicionais, dirimir dúvidas e orientá-la em todos os casos omissos;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Fiscalizar rigorosamente, através do fiscal designado, se o objeto fornecido obedece às condições exigidas, inclusive, se necessário e a qualquer tempo, quanto às propriedades sanitárias, físicas ou químicas a depender do seu gênero e condições da empresa ou filial em que forem armazenados, produzidos ou fabricado o objeto;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Notificar por escrito, formal e tempestivamente, a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 xml:space="preserve"> sobre as irregularidades observadas na execução do contrato ou instrumento substitutivo, inclusive sobre multas, penalidades e quaisquer débitos de sua responsabilidade;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Aplicar as sanções administrativas contratuais pertinentes, em caso de inadimplemento.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Comunicar a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 xml:space="preserve"> qualquer irregularidade manifestada na prestação dos serviços e interromper imediatamente, caso necessário.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 não assumirá em nenhuma hipótese, a responsabilidade, presente ou futura, de qualquer compromisso ou ônus decorrentes do inadimplemento das empresas vencedoras da presente aquisição relativa às obrigações aqui assumidas, ficando essas a seu encargo, exclusivamente, em qualquer momento que vierem a ocorrer.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 GESTÃO / FISCALIZAÇÃO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 fiscalização de todas as fases, será feita pelo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, por intermédio da(o) Gestor(a) Fiscal do Contrato, de acordo com o estabelecido no art. 117 da Lei Federal nº 14.133/2021, com autoridade para exercer em nome do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, a fiscalização do objeto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e toda e qualquer ação de orientação geral, controle e fiscalização, obrigando-se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a facilitar, de modo amplo e completo, a ação do fiscal.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O gestor/fiscal deverá fiscalizar e acompanhar a execução da referida contratação, com poderes amplos e irrestritos para receber provisoriamente o fornecimento, conforme local indicado pela unidade requisitante, procedendo com a verificação das especificações, prazos e demais condições, e após realizar o recebimento definitivo dos mesmos, e bem como propor penalidades e analisar documentos.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 contratação terá como gestor/fiscal, o servidor </w:t>
      </w:r>
      <w:r>
        <w:rPr>
          <w:rFonts w:cs="Arial"/>
          <w:b/>
          <w:bCs/>
          <w:color w:val="000000"/>
          <w:sz w:val="22"/>
          <w:szCs w:val="22"/>
        </w:rPr>
        <w:t>FÁBIO LOSS LUCHI,</w:t>
      </w:r>
      <w:r>
        <w:rPr>
          <w:rFonts w:cs="Arial"/>
          <w:color w:val="000000"/>
          <w:sz w:val="22"/>
          <w:szCs w:val="22"/>
        </w:rPr>
        <w:t xml:space="preserve"> o qual será designado, oficialmente, por meio de ato próprio da Secretária Municipal de Desenvolvimento Econômico, numerado, datado e publicado no Diário Oficial dos Municípios do Estado do Espírito Santo – DOM/ES.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 fiscalização será exercida no interesse do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, e não exclui e nem reduz a responsabilidade da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>, inclusive perante terceiros, por quaisquer irregularidades, e, na sua ocorrência, não implica corresponsabilidade do Poder Público ou de seus agentes e prepostos.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 Fiscalização poderá determinar, a ônus da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a substituição do fornecimento julgado deficiente ou não-conforme com as especificações definidas, cabendo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>, providenciar a troca dos mesmos no prazo máximo definido pela fiscalização, sem direito à extensão do prazo final de fornecimento.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Caso o Secretário Municipal Requerente não designe nenhum servidor para acompanhar o fornecimento e fiscalização, o mesmo assumirá tal responsabilidade.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, através do fiscal do contrato comunicará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>, por escrito, as deficiências porventura verificadas no fornecimento, para imediata correção.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 presença da fiscalização do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, não elide nem diminui a responsabilidade da </w:t>
      </w:r>
      <w:r>
        <w:rPr>
          <w:rFonts w:cs="Arial"/>
          <w:b/>
          <w:color w:val="000000"/>
          <w:sz w:val="22"/>
          <w:szCs w:val="22"/>
        </w:rPr>
        <w:t>CONTRATADA.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O Gestor/Fiscal do Contrato indicado anotará em registro próprio todas as ocorrências relacionadas com o fornecimento, determinando o que for necessário à regularização das faltas ou defeitos observados.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é obrigada a reparar, corrigir ou substituir, às suas expensas, no total ou em parte, o objeto em que se verificarem vícios, defeitos ou incorreções resultantes da execução.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As decisões e providências que ultrapassarem a competência do Gestor/Fiscal do Contrato deverão ser solicitadas ao Secretário Municipal Requisitante do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>, em tempo hábil, para a adoção das medidas convenientes.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 GARANTIA PELO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A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 xml:space="preserve"> deverá garantir, pelo prazo legal, sem prejuízo das garantias fornecidas por ela, fabricantes ou qualquer outro, a execução dos serviços em comento, bem como pelo fornecimento de peças que dela decorrer.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Durante o prazo de garantia, a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 xml:space="preserve"> fica obrigada a substituir os bens e serviços que houver vícios, no prazo máximo de 05 (cinco) dias úteis, a contar da data de recebimento da notificação do problema, sem ônus para o </w:t>
      </w:r>
      <w:r>
        <w:rPr>
          <w:rFonts w:cs="Arial"/>
          <w:b/>
          <w:sz w:val="22"/>
          <w:szCs w:val="22"/>
        </w:rPr>
        <w:t>CONTRATANTE</w:t>
      </w:r>
      <w:r>
        <w:rPr>
          <w:rFonts w:cs="Arial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A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>, ainda, deverá assumir, durante a vigência da garantia, os custos de devolução, frete e outros que por ventura decorrerem dessas situações.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Se, decorrente do fornecimento de peças, estes se deteriorarem e/ou perderem suas características, no prazo de validade ou tempo de vida útil e/ou em condições normais de estocagem e usabilidade, deverão ser trocados, pela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 xml:space="preserve">, no prazo máximo de 02 (dois) dias úteis, contados da comunicação, por conta e ônus da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A garantia aqui requerida não trará prejuízos a eventuais garantias adicionais fornecidas pela </w:t>
      </w:r>
      <w:r>
        <w:rPr>
          <w:rFonts w:cs="Arial"/>
          <w:b/>
          <w:sz w:val="22"/>
          <w:szCs w:val="22"/>
        </w:rPr>
        <w:t>CONTRATADA</w:t>
      </w:r>
      <w:r>
        <w:rPr>
          <w:rFonts w:cs="Arial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DAS AMOSTRAS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i/>
          <w:sz w:val="22"/>
          <w:szCs w:val="22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 GESTÃO DO CONTRATO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i/>
          <w:sz w:val="22"/>
          <w:szCs w:val="22"/>
        </w:rPr>
        <w:t>Não se aplica a presente contratação. Informações referentes à fiscalização e acompanhamento da contratação podem ser vislumbradas no item 5.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DO FATURAMENTO E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O faturamento do objeto ocorrerá mensalmente, conforme a Autorização de fornecimento e nota de empenho, mediante apresentação do(s) documento(s) fiscal(is) hábil(eis) de fornecimento, sem emendas ou rasuras, e dos documentos de regularidade fiscal exigidos pelo art. 68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Recebida a Nota Fiscal ou documento de cobrança equivalente, correrá o prazo de dez dias úteis para fins de liquidação, prorrogáveis por igual período.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a)</w:t>
        <w:tab/>
        <w:t>o prazo de validade;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b)</w:t>
        <w:tab/>
        <w:t xml:space="preserve">a data da emissão;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c)</w:t>
        <w:tab/>
        <w:t xml:space="preserve">os dados do contrato e do órgão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;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d)</w:t>
        <w:tab/>
        <w:t xml:space="preserve">o período respectivo de execução do contrato;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e)</w:t>
        <w:tab/>
        <w:t xml:space="preserve">o valor a pagar; e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f)</w:t>
        <w:tab/>
        <w:t>eventual destaque do valor de retenções tributárias cabíveis.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Havendo erro na apresentação da nota fiscal ou instrumento de cobrança equivalente, ou circunstância que impeça a liquidação da despesa, esta ficará sobrestada até que o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providencie as medidas saneadoras, reiniciando-se o prazo após a comprovação da regularização da situação, sem ônus ao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Os documentos fiscais, após conferidos e visados, serão encaminhados para processamento e pagamento após o recebimento dos mesmos.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Constatando-se, junto ao SICAF ou cadastro próprio do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, a situação de irregularidade do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Persistindo a irregularidade, 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 deverá adotar as medidas necessárias à rescisão contratual nos autos do processo administrativo correspondente, assegurada ao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a ampla defesa.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Havendo a efetiva execução do objeto, os pagamentos serão realizados normalmente, até que se decida pela rescisão do contrato, caso o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não regularize sua situação junto ao SICAF ou cadastro próprio do Município.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O pagamento dar-se-á à vista até o 5º (quinto) dia útil contados da finalização da liquidação da despesa, em favor da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, mediante ordem bancária em conta corrente em nome do mesmo, desde que não haja fator impeditivo provocado pela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Após o prazo acima referenciado será paga multa financeira nos seguintes termos: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jc w:val="center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VM = </w:t>
      </w:r>
      <w:r>
        <w:rPr>
          <w:rFonts w:cs="Arial"/>
          <w:color w:val="000000"/>
          <w:sz w:val="22"/>
          <w:szCs w:val="22"/>
          <w:u w:val="single"/>
        </w:rPr>
        <w:t>VF x 0,067 x ND</w:t>
      </w:r>
    </w:p>
    <w:p>
      <w:pPr>
        <w:pStyle w:val="Corpodetexto23"/>
        <w:jc w:val="center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100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VM = Valor da Multa Financeira.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VF = Valor da Nota Fiscal referente ao mês em atraso.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ND = Número de dias em atraso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Incumbirá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a iniciativa e o encargo do cálculo minucioso de cada fatura devida, a ser revisto e aprovado pelo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>, juntando-se à respectiva discriminação do fornecimento efetuado, e o memorial de cálculo da fatura.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Serão retidos na fonte, os tributos e contribuições sobre os pagamentos mensalmente efetuados, utilizando-se as alíquotas previstas para cada tipo de serviço, exceto se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for optante do SIMPLES NACIONAL, que obedecer a legislação específica.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Fica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obrigada a informar qualquer alteração de sua condição de optante pelo SIMPLES NACIONAL, sob pena de aplicação das sanções contratuais e legais cabíveis.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DA</w:t>
      </w:r>
      <w:r>
        <w:rPr>
          <w:rFonts w:cs="Arial"/>
          <w:b/>
          <w:sz w:val="22"/>
          <w:szCs w:val="22"/>
        </w:rPr>
        <w:t xml:space="preserve"> ANTECIPAÇÃO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i/>
          <w:sz w:val="22"/>
          <w:szCs w:val="22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 FORMA E CRITÉRIOS DE SELEÇÃO DO FORNECEDOR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i/>
          <w:sz w:val="22"/>
          <w:szCs w:val="22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DO VALOR MÁXIMO E DOS RECURSOS ORÇAMENTÁRIOS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O valor máximo estimado para a presente contratação será de</w:t>
      </w:r>
      <w:r>
        <w:rPr>
          <w:rFonts w:cs="Arial"/>
          <w:b/>
          <w:sz w:val="22"/>
          <w:szCs w:val="22"/>
        </w:rPr>
        <w:t xml:space="preserve"> R$ 19.187,93 (dezenove mil, cento e oitenta e sete reais e noventa e três centavos)</w:t>
      </w:r>
      <w:r>
        <w:rPr>
          <w:rFonts w:cs="Arial"/>
          <w:sz w:val="22"/>
          <w:szCs w:val="22"/>
        </w:rPr>
        <w:t>, compostos da seguinte forma: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MANUTENÇÃO E PEÇAS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GESTÃO AS ATIVIDADES DA SEC. DE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0808.206060011211.020 – 33903000000 – FR 1500000000 – F 0000224</w:t>
      </w:r>
    </w:p>
    <w:tbl>
      <w:tblPr>
        <w:tblW w:w="8936" w:type="dxa"/>
        <w:jc w:val="left"/>
        <w:tblInd w:w="7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29"/>
        <w:gridCol w:w="1486"/>
        <w:gridCol w:w="1798"/>
        <w:gridCol w:w="2342"/>
        <w:gridCol w:w="2681"/>
      </w:tblGrid>
      <w:tr>
        <w:trPr>
          <w:trHeight w:val="420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Qnt.</w:t>
            </w:r>
          </w:p>
        </w:tc>
        <w:tc>
          <w:tcPr>
            <w:tcW w:w="14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23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Unitário</w:t>
            </w:r>
          </w:p>
        </w:tc>
        <w:tc>
          <w:tcPr>
            <w:tcW w:w="26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4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PARAFUSO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R$27,63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R$ 110,52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TAMPA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R$ 69,99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R$ 69,99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CONE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R$ 235,35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R$ 235,35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ANEL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R$ 51,42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R$ 51,42</w:t>
            </w:r>
          </w:p>
        </w:tc>
      </w:tr>
      <w:tr>
        <w:trPr>
          <w:trHeight w:val="234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ANEL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R$ 14,16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R$ 28,32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COIFA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R$ 23,36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R$ 23,36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ANEL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 51,42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R$ 51,42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JUNTA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 128,41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R$ 128,41</w:t>
            </w:r>
          </w:p>
        </w:tc>
      </w:tr>
      <w:tr>
        <w:trPr>
          <w:trHeight w:val="234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LUVA COFRE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R$ 461,39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R$ 461,39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TAMPA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R$ 89,25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R$ 89,25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6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LUVA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R$ 89,08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R$534,48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CARDAN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R$ 2.074,96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R$ 2.074,96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ENGRENAGEM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R$ 1.330,11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R$ 1.330,11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JUNTA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R$ 245,56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R$ 245,56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RETENTOR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 107,56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R$ 215,12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EIXO INTER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R$3.895,76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R$3.895,76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ANEL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R$ 91,13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R$ 91,13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ENGRENAGEM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R$1.773,52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R$1.773,52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ROLAMENTO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R$ 571,62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R$ 571,62</w:t>
            </w:r>
          </w:p>
        </w:tc>
      </w:tr>
      <w:tr>
        <w:trPr>
          <w:trHeight w:val="28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17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CORPOSINCR</w:t>
            </w:r>
          </w:p>
        </w:tc>
        <w:tc>
          <w:tcPr>
            <w:tcW w:w="2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R$ 3.855,15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R$ 3.855,15</w:t>
            </w:r>
          </w:p>
        </w:tc>
      </w:tr>
      <w:tr>
        <w:trPr>
          <w:trHeight w:val="360" w:hRule="atLeast"/>
        </w:trPr>
        <w:tc>
          <w:tcPr>
            <w:tcW w:w="62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b/>
                <w:color w:val="000000"/>
                <w:sz w:val="22"/>
                <w:szCs w:val="22"/>
                <w:lang w:eastAsia="pt-BR"/>
              </w:rPr>
              <w:t>Valor Total</w:t>
            </w:r>
          </w:p>
        </w:tc>
        <w:tc>
          <w:tcPr>
            <w:tcW w:w="2681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R$  16.298,23</w:t>
            </w:r>
          </w:p>
        </w:tc>
      </w:tr>
    </w:tbl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COMBUSTÍVEIS E LUBRIFICANTES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GESTÃO AS ATIVIDADES DA SEC. DE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0808.206060011211.020 – 33903000000 – FR 150000000000 – F 0000225</w:t>
      </w:r>
    </w:p>
    <w:tbl>
      <w:tblPr>
        <w:tblW w:w="5000" w:type="pct"/>
        <w:jc w:val="left"/>
        <w:tblInd w:w="-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87"/>
        <w:gridCol w:w="888"/>
        <w:gridCol w:w="4140"/>
        <w:gridCol w:w="1622"/>
        <w:gridCol w:w="1534"/>
      </w:tblGrid>
      <w:tr>
        <w:trPr>
          <w:trHeight w:val="285" w:hRule="atLeast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Qnt.</w:t>
            </w:r>
          </w:p>
        </w:tc>
        <w:tc>
          <w:tcPr>
            <w:tcW w:w="8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41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Unitário</w:t>
            </w:r>
          </w:p>
        </w:tc>
        <w:tc>
          <w:tcPr>
            <w:tcW w:w="1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8,20</w:t>
            </w:r>
          </w:p>
        </w:tc>
        <w:tc>
          <w:tcPr>
            <w:tcW w:w="8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Horas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CJ ENGRENAGENS DA REREMOV/INST</w:t>
            </w:r>
          </w:p>
        </w:tc>
        <w:tc>
          <w:tcPr>
            <w:tcW w:w="16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R$275,00</w:t>
            </w:r>
          </w:p>
        </w:tc>
        <w:tc>
          <w:tcPr>
            <w:tcW w:w="15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R$2.255,00</w:t>
            </w:r>
          </w:p>
        </w:tc>
      </w:tr>
      <w:tr>
        <w:trPr>
          <w:trHeight w:val="285" w:hRule="atLeast"/>
        </w:trPr>
        <w:tc>
          <w:tcPr>
            <w:tcW w:w="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2,80</w:t>
            </w:r>
          </w:p>
        </w:tc>
        <w:tc>
          <w:tcPr>
            <w:tcW w:w="8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Horas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CAIXA DE MUDANÇAS REMOVER E INSTALAR</w:t>
            </w:r>
          </w:p>
        </w:tc>
        <w:tc>
          <w:tcPr>
            <w:tcW w:w="16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R$226,68</w:t>
            </w:r>
          </w:p>
        </w:tc>
        <w:tc>
          <w:tcPr>
            <w:tcW w:w="15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R$ 634,70</w:t>
            </w:r>
          </w:p>
        </w:tc>
      </w:tr>
      <w:tr>
        <w:trPr>
          <w:trHeight w:val="285" w:hRule="atLeast"/>
        </w:trPr>
        <w:tc>
          <w:tcPr>
            <w:tcW w:w="7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color w:val="000000"/>
                <w:sz w:val="22"/>
                <w:szCs w:val="22"/>
                <w:lang w:eastAsia="pt-BR"/>
              </w:rPr>
              <w:t>Valor Total</w:t>
            </w:r>
          </w:p>
        </w:tc>
        <w:tc>
          <w:tcPr>
            <w:tcW w:w="1534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R$2.889,70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DAS SANÇÕES E PENALIDADES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 xml:space="preserve">Comete infração administrativa, nos termos do art. 155, da Lei Federal nº 14.133/2021, a </w:t>
      </w:r>
      <w:r>
        <w:rPr>
          <w:rFonts w:cs="Arial"/>
          <w:b/>
          <w:bCs/>
          <w:color w:val="000000"/>
          <w:sz w:val="22"/>
          <w:szCs w:val="22"/>
        </w:rPr>
        <w:t>CONTRATADA</w:t>
      </w:r>
      <w:r>
        <w:rPr>
          <w:rFonts w:cs="Arial"/>
          <w:bCs/>
          <w:color w:val="000000"/>
          <w:sz w:val="22"/>
          <w:szCs w:val="22"/>
        </w:rPr>
        <w:t xml:space="preserve"> que: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Der causa à inexecução parcial do contrato;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Der causa à inexecução parcial do contrato que cause grave dano à Administração ou ao funcionamento dos serviços públicos ou ao interesse coletivo;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Der causa à inexecução total do contrato;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Deixar de entregar a documentação exigida para o certame;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Não manter a proposta, salvo em decorrência de fato superveniente devidamente justificado;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Não celebrar o contrato ou não entregar a documentação exigida para a contratação, quando convocado dentro do prazo de validade de sua proposta;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Ensejar o retardamento da execução ou da entrega do objeto da contratação sem motivo justificado;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Apresentar declaração ou documentação falsa exigida para o certame ou prestar declaração falsa durante a dispensa eletrônica ou execução do contrato;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Fraudar a contratação ou praticar ato fraudulento na execução do contrato;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Comportar-se de modo inidôneo ou cometer fraude de qualquer natureza;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Praticar atos ilícitos com vistas a frustrar os objetivos da contratação;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Praticar ato lesivo previsto no art. 5º da Lei nº 12.846, de 1º de agosto de 2013;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Praticar demais atos não previstos no presente tópico, mas apurados na execução do contrato.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Serão aplicadas ao responsável pelas infrações administrativas previstas no item 12.1, as seguintes sanções e penalidades: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Advertência:</w:t>
      </w:r>
      <w:r>
        <w:rPr>
          <w:rFonts w:cs="Arial"/>
          <w:bCs/>
          <w:color w:val="000000"/>
          <w:sz w:val="22"/>
          <w:szCs w:val="22"/>
        </w:rPr>
        <w:t xml:space="preserve"> quanto a </w:t>
      </w:r>
      <w:r>
        <w:rPr>
          <w:rFonts w:cs="Arial"/>
          <w:b/>
          <w:bCs/>
          <w:color w:val="000000"/>
          <w:sz w:val="22"/>
          <w:szCs w:val="22"/>
        </w:rPr>
        <w:t>CONTRATADA</w:t>
      </w:r>
      <w:r>
        <w:rPr>
          <w:rFonts w:cs="Arial"/>
          <w:bCs/>
          <w:color w:val="000000"/>
          <w:sz w:val="22"/>
          <w:szCs w:val="22"/>
        </w:rPr>
        <w:t xml:space="preserve"> der causa à inexecução parcial do contrato, sempre que não se justificar a imposição de penalidade mais grave, nos termos do art. 156, §2º,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Impedimento de licitar e contratar</w:t>
      </w:r>
      <w:r>
        <w:rPr>
          <w:rFonts w:cs="Arial"/>
          <w:bCs/>
          <w:color w:val="000000"/>
          <w:sz w:val="22"/>
          <w:szCs w:val="22"/>
        </w:rPr>
        <w:t>: quando praticadas as condutas descritas nas alíneas b, c, d, e, f e g do subitem 12.1, sempre que não se justificar a imposição de penalidade mais grave, nos termos do art. 156, §4º,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Declaração de inidoneidade para licitar e contratar</w:t>
      </w:r>
      <w:r>
        <w:rPr>
          <w:rFonts w:cs="Arial"/>
          <w:bCs/>
          <w:color w:val="000000"/>
          <w:sz w:val="22"/>
          <w:szCs w:val="22"/>
        </w:rPr>
        <w:t>: quando praticadas as condutas descritas nas alíneas h, i, j, k e l do subitem 12.1, bem como nas alíneas b, c, d, e, f e g, que justifiquem a imposição de penalidade mais grave, nos termos do art. 156, §5º,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Multa: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/>
          <w:b/>
          <w:color w:val="000000"/>
          <w:sz w:val="22"/>
          <w:szCs w:val="22"/>
          <w:u w:val="single"/>
        </w:rPr>
      </w:pPr>
      <w:r>
        <w:rPr>
          <w:rFonts w:cs="Arial" w:ascii="Times New Roman" w:hAnsi="Times New Roman"/>
          <w:b/>
          <w:color w:val="000000"/>
          <w:sz w:val="22"/>
          <w:szCs w:val="22"/>
          <w:u w:val="single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Moratória</w:t>
      </w:r>
      <w:r>
        <w:rPr>
          <w:rFonts w:cs="Arial"/>
          <w:bCs/>
          <w:color w:val="000000"/>
          <w:sz w:val="22"/>
          <w:szCs w:val="22"/>
        </w:rPr>
        <w:t xml:space="preserve"> de 1 % (um por cento) por dia de atraso injustificado sobre o valor da parcela inadimplida, até o limite de 30 (trinta) dias;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Compensatória</w:t>
      </w:r>
      <w:r>
        <w:rPr>
          <w:rFonts w:cs="Arial"/>
          <w:bCs/>
          <w:color w:val="000000"/>
          <w:sz w:val="22"/>
          <w:szCs w:val="22"/>
        </w:rPr>
        <w:t xml:space="preserve"> de 10% (dez por cento) sobre o valor total do contrato, no caso de inexecução total do objeto ou sobre o valor da parcela inadimplida, no caso de inexecução parcial;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 xml:space="preserve">A aplicação das sanções previstas neste Termo não exclui, em hipótese alguma, a obrigação de reparação integral do dano causado ao </w:t>
      </w:r>
      <w:r>
        <w:rPr>
          <w:rFonts w:cs="Arial"/>
          <w:b/>
          <w:bCs/>
          <w:color w:val="000000"/>
          <w:sz w:val="22"/>
          <w:szCs w:val="22"/>
        </w:rPr>
        <w:t>CONTRATANTE</w:t>
      </w:r>
      <w:r>
        <w:rPr>
          <w:rFonts w:cs="Arial"/>
          <w:bCs/>
          <w:color w:val="000000"/>
          <w:sz w:val="22"/>
          <w:szCs w:val="22"/>
        </w:rPr>
        <w:t>, consoante o disposto no art. 156, §9º,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Todas as sanções previstas neste tópico poderão ser aplicadas cumulativamente com a multa, consoante o disposto no art. 156, §7º,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Antes da aplicação da multa será facultada a defesa do interessado no prazo de 15 (quinze) dias úteis, contado da data de sua intimação, nos termos do art. 157,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 xml:space="preserve"> </w:t>
      </w:r>
      <w:r>
        <w:rPr>
          <w:rFonts w:cs="Arial"/>
          <w:bCs/>
          <w:color w:val="000000"/>
          <w:sz w:val="22"/>
          <w:szCs w:val="22"/>
        </w:rPr>
        <w:t xml:space="preserve">Se a multa aplicada e as indenizações cabíveis forem superiores ao valor do pagamento eventualmente devido pelo </w:t>
      </w:r>
      <w:r>
        <w:rPr>
          <w:rFonts w:cs="Arial"/>
          <w:b/>
          <w:bCs/>
          <w:color w:val="000000"/>
          <w:sz w:val="22"/>
          <w:szCs w:val="22"/>
        </w:rPr>
        <w:t>CONTRATANTE</w:t>
      </w:r>
      <w:r>
        <w:rPr>
          <w:rFonts w:cs="Arial"/>
          <w:bCs/>
          <w:color w:val="000000"/>
          <w:sz w:val="22"/>
          <w:szCs w:val="22"/>
        </w:rPr>
        <w:t xml:space="preserve"> a </w:t>
      </w:r>
      <w:r>
        <w:rPr>
          <w:rFonts w:cs="Arial"/>
          <w:b/>
          <w:bCs/>
          <w:color w:val="000000"/>
          <w:sz w:val="22"/>
          <w:szCs w:val="22"/>
        </w:rPr>
        <w:t>CONTRATADA</w:t>
      </w:r>
      <w:r>
        <w:rPr>
          <w:rFonts w:cs="Arial"/>
          <w:bCs/>
          <w:color w:val="000000"/>
          <w:sz w:val="22"/>
          <w:szCs w:val="22"/>
        </w:rPr>
        <w:t>, além da perda desse valor, a diferença será descontada da garantia prestada ou será cobrada judicialmente, conforme o disposto no art. 156, §8º,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 xml:space="preserve">A aplicação das sanções realizar-se-á em processo administrativo que assegure o contraditório e a ampla defesa a </w:t>
      </w:r>
      <w:r>
        <w:rPr>
          <w:rFonts w:cs="Arial"/>
          <w:b/>
          <w:bCs/>
          <w:color w:val="000000"/>
          <w:sz w:val="22"/>
          <w:szCs w:val="22"/>
        </w:rPr>
        <w:t>CONTRATADA</w:t>
      </w:r>
      <w:r>
        <w:rPr>
          <w:rFonts w:cs="Arial"/>
          <w:bCs/>
          <w:color w:val="000000"/>
          <w:sz w:val="22"/>
          <w:szCs w:val="22"/>
        </w:rPr>
        <w:t>, observando-se o procedimento previsto no caput e parágrafos do art. 158 da Lei nº 14.133/2021, para as penalidades de impedimento de licitar e contratar e de declaração de inidoneidade para licitar ou contratar;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Na aplicação das sanções serão considerados: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a natureza e a gravidade da infração cometida;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as peculiaridades do caso concreto;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as circunstâncias agravantes ou atenuantes;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 xml:space="preserve">os danos que dela provierem para o </w:t>
      </w:r>
      <w:r>
        <w:rPr>
          <w:rFonts w:cs="Arial"/>
          <w:b/>
          <w:bCs/>
          <w:color w:val="000000"/>
          <w:sz w:val="22"/>
          <w:szCs w:val="22"/>
        </w:rPr>
        <w:t>CONTRATANTE</w:t>
      </w:r>
      <w:r>
        <w:rPr>
          <w:rFonts w:cs="Arial"/>
          <w:bCs/>
          <w:color w:val="000000"/>
          <w:sz w:val="22"/>
          <w:szCs w:val="22"/>
        </w:rPr>
        <w:t>;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a implantação ou o aperfeiçoamento de programa de integridade, conforme normas e orientações dos órgãos de controle.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 xml:space="preserve">A personalidade jurídica da </w:t>
      </w:r>
      <w:r>
        <w:rPr>
          <w:rFonts w:cs="Arial"/>
          <w:b/>
          <w:bCs/>
          <w:color w:val="000000"/>
          <w:sz w:val="22"/>
          <w:szCs w:val="22"/>
        </w:rPr>
        <w:t>CONTRATADA</w:t>
      </w:r>
      <w:r>
        <w:rPr>
          <w:rFonts w:cs="Arial"/>
          <w:bCs/>
          <w:color w:val="000000"/>
          <w:sz w:val="22"/>
          <w:szCs w:val="22"/>
        </w:rPr>
        <w:t xml:space="preserve"> poderá ser desconsiderada sempre que utilizada com abuso do direito para facilitar, encobrir ou dissimular a prática dos atos ilícitos previstos em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</w:t>
      </w:r>
      <w:r>
        <w:rPr>
          <w:rFonts w:cs="Arial"/>
          <w:b/>
          <w:bCs/>
          <w:color w:val="000000"/>
          <w:sz w:val="22"/>
          <w:szCs w:val="22"/>
        </w:rPr>
        <w:t>CONTRATADA</w:t>
      </w:r>
      <w:r>
        <w:rPr>
          <w:rFonts w:cs="Arial"/>
          <w:bCs/>
          <w:color w:val="000000"/>
          <w:sz w:val="22"/>
          <w:szCs w:val="22"/>
        </w:rPr>
        <w:t>, observados, em todos os casos, o contraditório, a ampla defesa e a obrigatoriedade de análise jurídica prévia, consoante o disposto no art. 160,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 xml:space="preserve">A </w:t>
      </w:r>
      <w:r>
        <w:rPr>
          <w:rFonts w:cs="Arial"/>
          <w:b/>
          <w:bCs/>
          <w:color w:val="000000"/>
          <w:sz w:val="22"/>
          <w:szCs w:val="22"/>
        </w:rPr>
        <w:t>CONTRATANTE</w:t>
      </w:r>
      <w:r>
        <w:rPr>
          <w:rFonts w:cs="Arial"/>
          <w:bCs/>
          <w:color w:val="000000"/>
          <w:sz w:val="22"/>
          <w:szCs w:val="22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Federal, conforme disposição do art. 161,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As sanções de impedimento de licitar e contratar e declaração de inidoneidade para licitar ou contratar são passíveis de reabilitação na forma do art. 163 da Lei Federal nº 14.133/21.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DA UNIDADE REQUISITANTE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Secretaria Municipal de Desenvolvimento Econômico.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>DO RESPONSÁVEL PELA ELABORAÇÃO DO 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>Responsável pela Elaboração:</w:t>
      </w:r>
      <w:r>
        <w:rPr>
          <w:rFonts w:cs="Arial"/>
          <w:color w:val="000000" w:themeColor="text1"/>
          <w:sz w:val="22"/>
          <w:szCs w:val="22"/>
        </w:rPr>
        <w:t xml:space="preserve"> LIVIA CALSSE LORENZON.</w:t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>Responsável pela Demanda:</w:t>
      </w:r>
      <w:r>
        <w:rPr>
          <w:rFonts w:cs="Arial"/>
          <w:color w:val="000000" w:themeColor="text1"/>
          <w:sz w:val="22"/>
          <w:szCs w:val="22"/>
        </w:rPr>
        <w:t xml:space="preserve"> FÁBIO LOSS LUCHI</w:t>
      </w:r>
    </w:p>
    <w:p>
      <w:pPr>
        <w:pStyle w:val="ListParagraph"/>
        <w:numPr>
          <w:ilvl w:val="1"/>
          <w:numId w:val="2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>Gestor da Unidade Requisitante:</w:t>
      </w:r>
      <w:r>
        <w:rPr>
          <w:rFonts w:cs="Arial"/>
          <w:color w:val="000000" w:themeColor="text1"/>
          <w:sz w:val="22"/>
          <w:szCs w:val="22"/>
        </w:rPr>
        <w:t xml:space="preserve"> FÁBIO LOSS LUCHI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São Roque do Canaã/ES</w:t>
      </w:r>
      <w:r>
        <w:rPr>
          <w:rFonts w:cs="Arial" w:ascii="Times New Roman" w:hAnsi="Times New Roman"/>
          <w:sz w:val="22"/>
          <w:szCs w:val="22"/>
        </w:rPr>
        <w:t>, 04 de dezembro 2023.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2"/>
          <w:szCs w:val="22"/>
          <w:highlight w:val="lightGray"/>
        </w:rPr>
      </w:pPr>
      <w:r>
        <w:rPr>
          <w:rFonts w:cs="Arial"/>
          <w:color w:val="000000" w:themeColor="text1"/>
          <w:sz w:val="22"/>
          <w:szCs w:val="22"/>
          <w:highlight w:val="lightGray"/>
        </w:rPr>
      </w:r>
    </w:p>
    <w:tbl>
      <w:tblPr>
        <w:tblStyle w:val="Tabelacomgrade"/>
        <w:tblW w:w="921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5"/>
        <w:gridCol w:w="4605"/>
      </w:tblGrid>
      <w:tr>
        <w:trPr/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  <w:t>LIVIA CALSSE LORENZON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>Assistente de controle Administrativo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 xml:space="preserve">Decreto Municipal n° </w:t>
            </w:r>
            <w:r>
              <w:rPr>
                <w:rFonts w:cs="Arial"/>
                <w:color w:val="000000"/>
                <w:kern w:val="0"/>
                <w:sz w:val="22"/>
                <w:szCs w:val="22"/>
                <w:shd w:fill="auto" w:val="clear"/>
                <w:lang w:val="pt-BR" w:eastAsia="pt-BR" w:bidi="ar-SA"/>
              </w:rPr>
              <w:t>6.511/2023.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  <w:t>FÁBIO LOSS LUCHI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>Secretário Municipal de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>Decreto Municipal nº 5.097/2021</w:t>
            </w:r>
          </w:p>
        </w:tc>
      </w:tr>
    </w:tbl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Arial">
    <w:charset w:val="00"/>
    <w:family w:val="roman"/>
    <w:pitch w:val="variable"/>
  </w:font>
  <w:font w:name="Arial Unicode MS">
    <w:charset w:val="00"/>
    <w:family w:val="roman"/>
    <w:pitch w:val="variable"/>
  </w:font>
  <w:font w:name="Segoe U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Segoe UI Symbol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mic Sans MS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spacing w:before="0" w:after="160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AGRICULTURA DESENVOLVIMENTO ECONÔMICO – SMADE | GABINETE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uiPriority="0" w:qFormat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uiPriority="0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uiPriority="0" w:qFormat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DengXian" w:cs="Calibri" w:asciiTheme="minorHAnsi" w:hAnsiTheme="minorHAnsi"/>
      <w:color w:val="auto"/>
      <w:kern w:val="0"/>
      <w:sz w:val="22"/>
      <w:szCs w:val="22"/>
      <w:lang w:val="pt-BR" w:eastAsia="zh-CN" w:bidi="ar-SA"/>
    </w:rPr>
  </w:style>
  <w:style w:type="paragraph" w:styleId="Ttulo1">
    <w:name w:val="Heading 1"/>
    <w:basedOn w:val="Normal"/>
    <w:next w:val="Normal"/>
    <w:link w:val="Ttulo1Char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libri Light" w:hAnsi="Calibri Light" w:eastAsia="DengXian Light" w:cs="Calibri Light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pPr>
      <w:widowControl w:val="false"/>
      <w:numPr>
        <w:ilvl w:val="1"/>
        <w:numId w:val="1"/>
      </w:numPr>
      <w:spacing w:lineRule="auto" w:line="240" w:before="0" w:after="0"/>
      <w:ind w:left="196" w:hanging="0"/>
      <w:outlineLvl w:val="1"/>
    </w:pPr>
    <w:rPr>
      <w:rFonts w:ascii="Arial" w:hAnsi="Arial" w:eastAsia="Times New Roman" w:cs="Arial"/>
      <w:b/>
      <w:bCs/>
      <w:sz w:val="20"/>
      <w:szCs w:val="20"/>
      <w:lang w:val="pt-PT"/>
    </w:rPr>
  </w:style>
  <w:style w:type="paragraph" w:styleId="Ttulo3">
    <w:name w:val="Heading 3"/>
    <w:basedOn w:val="Normal"/>
    <w:next w:val="Normal"/>
    <w:link w:val="Ttulo3Char"/>
    <w:qFormat/>
    <w:pPr>
      <w:keepNext w:val="true"/>
      <w:keepLines/>
      <w:numPr>
        <w:ilvl w:val="2"/>
        <w:numId w:val="1"/>
      </w:numPr>
      <w:spacing w:before="40" w:after="0"/>
      <w:outlineLvl w:val="2"/>
    </w:pPr>
    <w:rPr>
      <w:rFonts w:ascii="Calibri Light" w:hAnsi="Calibri Light" w:eastAsia="DengXian Light"/>
      <w:color w:val="1F3864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pPr>
      <w:keepNext w:val="true"/>
      <w:keepLines/>
      <w:widowControl w:val="false"/>
      <w:numPr>
        <w:ilvl w:val="3"/>
        <w:numId w:val="1"/>
      </w:numPr>
      <w:spacing w:lineRule="auto" w:line="240" w:before="40" w:after="0"/>
      <w:outlineLvl w:val="3"/>
    </w:pPr>
    <w:rPr>
      <w:rFonts w:ascii="Calibri Light" w:hAnsi="Calibri Light" w:eastAsia="DengXian Light"/>
      <w:i/>
      <w:iCs/>
      <w:color w:val="2F5496"/>
      <w:lang w:val="pt-PT" w:bidi="pt-PT"/>
    </w:rPr>
  </w:style>
  <w:style w:type="paragraph" w:styleId="Ttulo5">
    <w:name w:val="Heading 5"/>
    <w:basedOn w:val="Normal"/>
    <w:next w:val="Normal"/>
    <w:link w:val="Ttulo5Char"/>
    <w:qFormat/>
    <w:pPr>
      <w:keepNext w:val="true"/>
      <w:numPr>
        <w:ilvl w:val="4"/>
        <w:numId w:val="1"/>
      </w:numPr>
      <w:tabs>
        <w:tab w:val="clear" w:pos="708"/>
        <w:tab w:val="left" w:pos="1008" w:leader="none"/>
      </w:tabs>
      <w:spacing w:lineRule="auto" w:line="240" w:before="0" w:after="0"/>
      <w:ind w:left="1008" w:hanging="1008"/>
      <w:jc w:val="center"/>
      <w:outlineLvl w:val="4"/>
    </w:pPr>
    <w:rPr>
      <w:rFonts w:ascii="Arial" w:hAnsi="Arial" w:eastAsia="Times New Roman" w:cs="Arial"/>
      <w:b/>
      <w:i/>
      <w:sz w:val="32"/>
      <w:szCs w:val="20"/>
    </w:rPr>
  </w:style>
  <w:style w:type="paragraph" w:styleId="Ttulo6">
    <w:name w:val="Heading 6"/>
    <w:basedOn w:val="Normal"/>
    <w:next w:val="Normal"/>
    <w:link w:val="Ttulo6Char"/>
    <w:qFormat/>
    <w:pPr>
      <w:keepNext w:val="true"/>
      <w:numPr>
        <w:ilvl w:val="5"/>
        <w:numId w:val="1"/>
      </w:numPr>
      <w:tabs>
        <w:tab w:val="clear" w:pos="708"/>
        <w:tab w:val="left" w:pos="1152" w:leader="none"/>
      </w:tabs>
      <w:spacing w:lineRule="auto" w:line="240" w:before="0" w:after="0"/>
      <w:ind w:left="1152" w:hanging="1152"/>
      <w:jc w:val="both"/>
      <w:outlineLvl w:val="5"/>
    </w:pPr>
    <w:rPr>
      <w:rFonts w:ascii="Arial" w:hAnsi="Arial" w:eastAsia="Times New Roman" w:cs="Arial"/>
      <w:b/>
      <w:sz w:val="24"/>
      <w:szCs w:val="20"/>
    </w:rPr>
  </w:style>
  <w:style w:type="paragraph" w:styleId="Ttulo7">
    <w:name w:val="Heading 7"/>
    <w:basedOn w:val="Normal"/>
    <w:next w:val="Normal"/>
    <w:link w:val="Ttulo7Char"/>
    <w:qFormat/>
    <w:pPr>
      <w:keepNext w:val="true"/>
      <w:numPr>
        <w:ilvl w:val="6"/>
        <w:numId w:val="1"/>
      </w:numPr>
      <w:tabs>
        <w:tab w:val="clear" w:pos="708"/>
        <w:tab w:val="left" w:pos="1296" w:leader="none"/>
      </w:tabs>
      <w:spacing w:lineRule="auto" w:line="240" w:before="0" w:after="0"/>
      <w:ind w:left="1296" w:hanging="1296"/>
      <w:jc w:val="center"/>
      <w:outlineLvl w:val="6"/>
    </w:pPr>
    <w:rPr>
      <w:rFonts w:ascii="Arial" w:hAnsi="Arial" w:eastAsia="Times New Roman" w:cs="Arial"/>
      <w:b/>
      <w:sz w:val="24"/>
      <w:szCs w:val="20"/>
    </w:rPr>
  </w:style>
  <w:style w:type="paragraph" w:styleId="Ttulo8">
    <w:name w:val="Heading 8"/>
    <w:basedOn w:val="Normal"/>
    <w:next w:val="Normal"/>
    <w:link w:val="Ttulo8Char"/>
    <w:qFormat/>
    <w:pPr>
      <w:keepNext w:val="true"/>
      <w:numPr>
        <w:ilvl w:val="7"/>
        <w:numId w:val="1"/>
      </w:numPr>
      <w:tabs>
        <w:tab w:val="clear" w:pos="708"/>
        <w:tab w:val="left" w:pos="1440" w:leader="none"/>
      </w:tabs>
      <w:spacing w:lineRule="auto" w:line="240" w:before="0" w:after="0"/>
      <w:ind w:left="1440" w:hanging="1440"/>
      <w:outlineLvl w:val="7"/>
    </w:pPr>
    <w:rPr>
      <w:rFonts w:ascii="Arial" w:hAnsi="Arial" w:eastAsia="Times New Roman" w:cs="Arial"/>
      <w:b/>
      <w:sz w:val="24"/>
      <w:szCs w:val="20"/>
    </w:rPr>
  </w:style>
  <w:style w:type="paragraph" w:styleId="Ttulo9">
    <w:name w:val="Heading 9"/>
    <w:basedOn w:val="Normal"/>
    <w:next w:val="Normal"/>
    <w:link w:val="Ttulo9Char"/>
    <w:qFormat/>
    <w:pPr>
      <w:keepNext w:val="true"/>
      <w:numPr>
        <w:ilvl w:val="8"/>
        <w:numId w:val="1"/>
      </w:numPr>
      <w:tabs>
        <w:tab w:val="clear" w:pos="708"/>
        <w:tab w:val="left" w:pos="1584" w:leader="none"/>
      </w:tabs>
      <w:spacing w:lineRule="auto" w:line="240" w:before="0" w:after="0"/>
      <w:ind w:left="1584" w:hanging="1584"/>
      <w:jc w:val="center"/>
      <w:outlineLvl w:val="8"/>
    </w:pPr>
    <w:rPr>
      <w:rFonts w:ascii="Arial" w:hAnsi="Arial" w:eastAsia="Times New Roman" w:cs="Arial"/>
      <w:b/>
      <w:i/>
      <w:sz w:val="28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Pr>
      <w:b/>
      <w:bCs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Linkdainternetvisitado">
    <w:name w:val="FollowedHyperlink"/>
    <w:qFormat/>
    <w:rPr>
      <w:color w:val="800080"/>
      <w:u w:val="single"/>
    </w:rPr>
  </w:style>
  <w:style w:type="character" w:styleId="Nfase">
    <w:name w:val="Emphasis"/>
    <w:qFormat/>
    <w:rPr>
      <w:b/>
      <w:bCs/>
    </w:rPr>
  </w:style>
  <w:style w:type="character" w:styleId="LinkdaInternet">
    <w:name w:val="Hyperlink"/>
    <w:qFormat/>
    <w:rPr>
      <w:color w:val="0563C1"/>
      <w:u w:val="single"/>
    </w:rPr>
  </w:style>
  <w:style w:type="character" w:styleId="Pagenumber">
    <w:name w:val="page number"/>
    <w:qFormat/>
    <w:rPr/>
  </w:style>
  <w:style w:type="character" w:styleId="Ttulo1Char" w:customStyle="1">
    <w:name w:val="Título 1 Char"/>
    <w:basedOn w:val="DefaultParagraphFont"/>
    <w:qFormat/>
    <w:rPr>
      <w:rFonts w:ascii="Calibri Light" w:hAnsi="Calibri Light" w:eastAsia="DengXian Light" w:cs="Calibri Light"/>
      <w:b/>
      <w:bCs/>
      <w:kern w:val="2"/>
      <w:sz w:val="32"/>
      <w:szCs w:val="32"/>
      <w:lang w:eastAsia="zh-CN"/>
    </w:rPr>
  </w:style>
  <w:style w:type="character" w:styleId="Ttulo2Char" w:customStyle="1">
    <w:name w:val="Título 2 Char"/>
    <w:basedOn w:val="DefaultParagraphFont"/>
    <w:qFormat/>
    <w:rPr>
      <w:rFonts w:ascii="Arial" w:hAnsi="Arial" w:eastAsia="Times New Roman" w:cs="Arial"/>
      <w:b/>
      <w:bCs/>
      <w:sz w:val="20"/>
      <w:szCs w:val="20"/>
      <w:lang w:val="pt-PT" w:eastAsia="zh-CN"/>
    </w:rPr>
  </w:style>
  <w:style w:type="character" w:styleId="Ttulo3Char" w:customStyle="1">
    <w:name w:val="Título 3 Char"/>
    <w:basedOn w:val="DefaultParagraphFont"/>
    <w:qFormat/>
    <w:rPr>
      <w:rFonts w:ascii="Calibri Light" w:hAnsi="Calibri Light" w:eastAsia="DengXian Light" w:cs="Calibri"/>
      <w:color w:val="1F3864"/>
      <w:sz w:val="24"/>
      <w:szCs w:val="24"/>
      <w:lang w:eastAsia="zh-CN"/>
    </w:rPr>
  </w:style>
  <w:style w:type="character" w:styleId="Ttulo4Char" w:customStyle="1">
    <w:name w:val="Título 4 Char"/>
    <w:basedOn w:val="DefaultParagraphFont"/>
    <w:qFormat/>
    <w:rPr>
      <w:rFonts w:ascii="Calibri Light" w:hAnsi="Calibri Light" w:eastAsia="DengXian Light" w:cs="Calibri"/>
      <w:i/>
      <w:iCs/>
      <w:color w:val="2F5496"/>
      <w:lang w:val="pt-PT" w:eastAsia="zh-CN" w:bidi="pt-PT"/>
    </w:rPr>
  </w:style>
  <w:style w:type="character" w:styleId="Ttulo5Char" w:customStyle="1">
    <w:name w:val="Título 5 Char"/>
    <w:basedOn w:val="DefaultParagraphFont"/>
    <w:qFormat/>
    <w:rPr>
      <w:rFonts w:ascii="Arial" w:hAnsi="Arial" w:eastAsia="Times New Roman" w:cs="Arial"/>
      <w:b/>
      <w:i/>
      <w:sz w:val="32"/>
      <w:szCs w:val="20"/>
      <w:lang w:eastAsia="zh-CN"/>
    </w:rPr>
  </w:style>
  <w:style w:type="character" w:styleId="Ttulo6Char" w:customStyle="1">
    <w:name w:val="Título 6 Char"/>
    <w:basedOn w:val="DefaultParagraphFont"/>
    <w:qFormat/>
    <w:rPr>
      <w:rFonts w:ascii="Arial" w:hAnsi="Arial" w:eastAsia="Times New Roman" w:cs="Arial"/>
      <w:b/>
      <w:sz w:val="24"/>
      <w:szCs w:val="20"/>
      <w:lang w:eastAsia="zh-CN"/>
    </w:rPr>
  </w:style>
  <w:style w:type="character" w:styleId="Ttulo7Char" w:customStyle="1">
    <w:name w:val="Título 7 Char"/>
    <w:basedOn w:val="DefaultParagraphFont"/>
    <w:qFormat/>
    <w:rPr>
      <w:rFonts w:ascii="Arial" w:hAnsi="Arial" w:eastAsia="Times New Roman" w:cs="Arial"/>
      <w:b/>
      <w:sz w:val="24"/>
      <w:szCs w:val="20"/>
      <w:lang w:eastAsia="zh-CN"/>
    </w:rPr>
  </w:style>
  <w:style w:type="character" w:styleId="Ttulo8Char" w:customStyle="1">
    <w:name w:val="Título 8 Char"/>
    <w:basedOn w:val="DefaultParagraphFont"/>
    <w:qFormat/>
    <w:rPr>
      <w:rFonts w:ascii="Arial" w:hAnsi="Arial" w:eastAsia="Times New Roman" w:cs="Arial"/>
      <w:b/>
      <w:sz w:val="24"/>
      <w:szCs w:val="20"/>
      <w:lang w:eastAsia="zh-CN"/>
    </w:rPr>
  </w:style>
  <w:style w:type="character" w:styleId="Ttulo9Char" w:customStyle="1">
    <w:name w:val="Título 9 Char"/>
    <w:basedOn w:val="DefaultParagraphFont"/>
    <w:qFormat/>
    <w:rPr>
      <w:rFonts w:ascii="Arial" w:hAnsi="Arial" w:eastAsia="Times New Roman" w:cs="Arial"/>
      <w:b/>
      <w:i/>
      <w:sz w:val="28"/>
      <w:szCs w:val="20"/>
      <w:lang w:eastAsia="zh-CN"/>
    </w:rPr>
  </w:style>
  <w:style w:type="character" w:styleId="Fontepargpadro4" w:customStyle="1">
    <w:name w:val="Fonte parág. padrão4"/>
    <w:qFormat/>
    <w:rPr/>
  </w:style>
  <w:style w:type="character" w:styleId="CorpodetextoChar" w:customStyle="1">
    <w:name w:val="Corpo de texto Char"/>
    <w:basedOn w:val="DefaultParagraphFont"/>
    <w:qFormat/>
    <w:rPr>
      <w:rFonts w:ascii="Arial" w:hAnsi="Arial" w:eastAsia="Times New Roman" w:cs="Arial"/>
      <w:sz w:val="20"/>
      <w:szCs w:val="20"/>
      <w:lang w:val="pt-PT" w:eastAsia="zh-CN"/>
    </w:rPr>
  </w:style>
  <w:style w:type="character" w:styleId="PrformataoHTMLChar" w:customStyle="1">
    <w:name w:val="Pré-formatação HTML Char"/>
    <w:basedOn w:val="DefaultParagraphFont"/>
    <w:link w:val="HTMLPreformatted"/>
    <w:qFormat/>
    <w:rPr>
      <w:rFonts w:ascii="Arial Unicode MS" w:hAnsi="Arial Unicode MS" w:eastAsia="Arial Unicode MS" w:cs="Arial Unicode MS"/>
      <w:sz w:val="20"/>
      <w:szCs w:val="20"/>
      <w:lang w:eastAsia="zh-CN"/>
    </w:rPr>
  </w:style>
  <w:style w:type="character" w:styleId="CabealhoChar" w:customStyle="1">
    <w:name w:val="Cabeçalho Char"/>
    <w:basedOn w:val="DefaultParagraphFont"/>
    <w:qFormat/>
    <w:rPr>
      <w:rFonts w:ascii="Calibri" w:hAnsi="Calibri" w:eastAsia="DengXian" w:cs="Calibri"/>
      <w:lang w:eastAsia="zh-CN"/>
    </w:rPr>
  </w:style>
  <w:style w:type="character" w:styleId="RodapChar" w:customStyle="1">
    <w:name w:val="Rodapé Char"/>
    <w:basedOn w:val="DefaultParagraphFont"/>
    <w:uiPriority w:val="99"/>
    <w:qFormat/>
    <w:rPr>
      <w:rFonts w:ascii="Calibri" w:hAnsi="Calibri" w:eastAsia="DengXian" w:cs="Calibri"/>
      <w:lang w:eastAsia="zh-CN"/>
    </w:rPr>
  </w:style>
  <w:style w:type="character" w:styleId="TextodebaloChar" w:customStyle="1">
    <w:name w:val="Texto de balão Char"/>
    <w:basedOn w:val="DefaultParagraphFont"/>
    <w:link w:val="BalloonText"/>
    <w:qFormat/>
    <w:rPr>
      <w:rFonts w:ascii="Segoe UI" w:hAnsi="Segoe UI" w:eastAsia="DengXian" w:cs="Segoe UI"/>
      <w:sz w:val="18"/>
      <w:szCs w:val="18"/>
      <w:lang w:eastAsia="zh-CN"/>
    </w:rPr>
  </w:style>
  <w:style w:type="character" w:styleId="SubttuloChar" w:customStyle="1">
    <w:name w:val="Subtítulo Char"/>
    <w:basedOn w:val="DefaultParagraphFont"/>
    <w:qFormat/>
    <w:rPr>
      <w:rFonts w:ascii="Times New Roman" w:hAnsi="Times New Roman" w:eastAsia="Times New Roman" w:cs="Times New Roman"/>
      <w:b/>
      <w:sz w:val="26"/>
      <w:szCs w:val="24"/>
      <w:lang w:eastAsia="zh-CN"/>
    </w:rPr>
  </w:style>
  <w:style w:type="character" w:styleId="RecuodecorpodetextoChar" w:customStyle="1">
    <w:name w:val="Recuo de corpo de texto Char"/>
    <w:basedOn w:val="DefaultParagraphFont"/>
    <w:qFormat/>
    <w:rPr>
      <w:rFonts w:ascii="Times New Roman" w:hAnsi="Times New Roman" w:eastAsia="Times New Roman" w:cs="Times New Roman"/>
      <w:sz w:val="24"/>
      <w:szCs w:val="24"/>
      <w:lang w:val="zh-CN" w:eastAsia="zh-CN"/>
    </w:rPr>
  </w:style>
  <w:style w:type="character" w:styleId="WW8Num4z0" w:customStyle="1">
    <w:name w:val="WW8Num4z0"/>
    <w:qFormat/>
    <w:rPr>
      <w:rFonts w:ascii="Wingdings" w:hAnsi="Wingdings" w:cs="Wingdings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2z0" w:customStyle="1">
    <w:name w:val="WW8Num12z0"/>
    <w:qFormat/>
    <w:rPr>
      <w:rFonts w:ascii="Arial" w:hAnsi="Arial" w:eastAsia="Arial" w:cs="Arial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WW8Num12z1" w:customStyle="1">
    <w:name w:val="WW8Num12z1"/>
    <w:qFormat/>
    <w:rPr>
      <w:rFonts w:ascii="Segoe UI Symbol" w:hAnsi="Segoe UI Symbol" w:eastAsia="Segoe UI Symbol" w:cs="Segoe UI Symbol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WW8Num14z0" w:customStyle="1">
    <w:name w:val="WW8Num14z0"/>
    <w:qFormat/>
    <w:rPr/>
  </w:style>
  <w:style w:type="character" w:styleId="WW8Num15z0" w:customStyle="1">
    <w:name w:val="WW8Num15z0"/>
    <w:qFormat/>
    <w:rPr/>
  </w:style>
  <w:style w:type="character" w:styleId="WW8Num16z0" w:customStyle="1">
    <w:name w:val="WW8Num16z0"/>
    <w:qFormat/>
    <w:rPr/>
  </w:style>
  <w:style w:type="character" w:styleId="WW8Num17z0" w:customStyle="1">
    <w:name w:val="WW8Num17z0"/>
    <w:qFormat/>
    <w:rPr>
      <w:rFonts w:ascii="Symbol" w:hAnsi="Symbol" w:cs="Symbol"/>
      <w:b/>
    </w:rPr>
  </w:style>
  <w:style w:type="character" w:styleId="WW8Num17z1" w:customStyle="1">
    <w:name w:val="WW8Num17z1"/>
    <w:qFormat/>
    <w:rPr>
      <w:rFonts w:ascii="Courier New" w:hAnsi="Courier New" w:cs="Courier New"/>
    </w:rPr>
  </w:style>
  <w:style w:type="character" w:styleId="WW8Num17z2" w:customStyle="1">
    <w:name w:val="WW8Num17z2"/>
    <w:qFormat/>
    <w:rPr>
      <w:rFonts w:ascii="Wingdings" w:hAnsi="Wingdings" w:cs="Wingdings"/>
    </w:rPr>
  </w:style>
  <w:style w:type="character" w:styleId="WW8Num17z3" w:customStyle="1">
    <w:name w:val="WW8Num17z3"/>
    <w:qFormat/>
    <w:rPr>
      <w:rFonts w:ascii="Symbol" w:hAnsi="Symbol" w:cs="Symbol"/>
    </w:rPr>
  </w:style>
  <w:style w:type="character" w:styleId="WW8Num19z0" w:customStyle="1">
    <w:name w:val="WW8Num19z0"/>
    <w:qFormat/>
    <w:rPr/>
  </w:style>
  <w:style w:type="character" w:styleId="WW8Num20z0" w:customStyle="1">
    <w:name w:val="WW8Num20z0"/>
    <w:qFormat/>
    <w:rPr>
      <w:rFonts w:ascii="Symbol" w:hAnsi="Symbol" w:cs="Symbol"/>
    </w:rPr>
  </w:style>
  <w:style w:type="character" w:styleId="WW8Num20z1" w:customStyle="1">
    <w:name w:val="WW8Num20z1"/>
    <w:qFormat/>
    <w:rPr>
      <w:rFonts w:ascii="Courier New" w:hAnsi="Courier New" w:cs="Courier New"/>
    </w:rPr>
  </w:style>
  <w:style w:type="character" w:styleId="WW8Num20z2" w:customStyle="1">
    <w:name w:val="WW8Num20z2"/>
    <w:qFormat/>
    <w:rPr>
      <w:rFonts w:ascii="Wingdings" w:hAnsi="Wingdings" w:cs="Wingdings"/>
    </w:rPr>
  </w:style>
  <w:style w:type="character" w:styleId="WW8Num21z0" w:customStyle="1">
    <w:name w:val="WW8Num21z0"/>
    <w:qFormat/>
    <w:rPr>
      <w:b/>
    </w:rPr>
  </w:style>
  <w:style w:type="character" w:styleId="WW8Num22z0" w:customStyle="1">
    <w:name w:val="WW8Num22z0"/>
    <w:qFormat/>
    <w:rPr/>
  </w:style>
  <w:style w:type="character" w:styleId="WW8Num23z0" w:customStyle="1">
    <w:name w:val="WW8Num23z0"/>
    <w:qFormat/>
    <w:rPr>
      <w:b/>
    </w:rPr>
  </w:style>
  <w:style w:type="character" w:styleId="WW8Num24z0" w:customStyle="1">
    <w:name w:val="WW8Num24z0"/>
    <w:qFormat/>
    <w:rPr>
      <w:rFonts w:eastAsia="Calibri"/>
      <w:b/>
    </w:rPr>
  </w:style>
  <w:style w:type="character" w:styleId="WW8Num25z0" w:customStyle="1">
    <w:name w:val="WW8Num25z0"/>
    <w:qFormat/>
    <w:rPr>
      <w:rFonts w:ascii="Arial" w:hAnsi="Arial" w:eastAsia="Times New Roman" w:cs="Arial"/>
    </w:rPr>
  </w:style>
  <w:style w:type="character" w:styleId="WW8Num25z1" w:customStyle="1">
    <w:name w:val="WW8Num25z1"/>
    <w:qFormat/>
    <w:rPr/>
  </w:style>
  <w:style w:type="character" w:styleId="WW8Num26z0" w:customStyle="1">
    <w:name w:val="WW8Num26z0"/>
    <w:qFormat/>
    <w:rPr/>
  </w:style>
  <w:style w:type="character" w:styleId="WW8Num26z1" w:customStyle="1">
    <w:name w:val="WW8Num26z1"/>
    <w:qFormat/>
    <w:rPr>
      <w:color w:val="000000"/>
    </w:rPr>
  </w:style>
  <w:style w:type="character" w:styleId="WW8Num27z0" w:customStyle="1">
    <w:name w:val="WW8Num27z0"/>
    <w:qFormat/>
    <w:rPr>
      <w:b/>
    </w:rPr>
  </w:style>
  <w:style w:type="character" w:styleId="WW8Num28z0" w:customStyle="1">
    <w:name w:val="WW8Num28z0"/>
    <w:qFormat/>
    <w:rPr>
      <w:rFonts w:ascii="Symbol" w:hAnsi="Symbol" w:cs="Symbol"/>
    </w:rPr>
  </w:style>
  <w:style w:type="character" w:styleId="WW8Num28z1" w:customStyle="1">
    <w:name w:val="WW8Num28z1"/>
    <w:qFormat/>
    <w:rPr>
      <w:rFonts w:ascii="Courier New" w:hAnsi="Courier New" w:cs="Courier New"/>
    </w:rPr>
  </w:style>
  <w:style w:type="character" w:styleId="WW8Num28z2" w:customStyle="1">
    <w:name w:val="WW8Num28z2"/>
    <w:qFormat/>
    <w:rPr>
      <w:rFonts w:ascii="Wingdings" w:hAnsi="Wingdings" w:cs="Wingdings"/>
    </w:rPr>
  </w:style>
  <w:style w:type="character" w:styleId="WW8Num29z0" w:customStyle="1">
    <w:name w:val="WW8Num29z0"/>
    <w:qFormat/>
    <w:rPr>
      <w:b/>
      <w:sz w:val="28"/>
    </w:rPr>
  </w:style>
  <w:style w:type="character" w:styleId="WW8Num29z2" w:customStyle="1">
    <w:name w:val="WW8Num29z2"/>
    <w:qFormat/>
    <w:rPr>
      <w:b/>
      <w:sz w:val="24"/>
      <w:szCs w:val="24"/>
    </w:rPr>
  </w:style>
  <w:style w:type="character" w:styleId="WW8Num30z0" w:customStyle="1">
    <w:name w:val="WW8Num30z0"/>
    <w:qFormat/>
    <w:rPr/>
  </w:style>
  <w:style w:type="character" w:styleId="WW8Num31z0" w:customStyle="1">
    <w:name w:val="WW8Num31z0"/>
    <w:qFormat/>
    <w:rPr/>
  </w:style>
  <w:style w:type="character" w:styleId="WW8Num32z0" w:customStyle="1">
    <w:name w:val="WW8Num32z0"/>
    <w:qFormat/>
    <w:rPr/>
  </w:style>
  <w:style w:type="character" w:styleId="WW8Num33z0" w:customStyle="1">
    <w:name w:val="WW8Num33z0"/>
    <w:qFormat/>
    <w:rPr/>
  </w:style>
  <w:style w:type="character" w:styleId="WW8Num34z0" w:customStyle="1">
    <w:name w:val="WW8Num34z0"/>
    <w:qFormat/>
    <w:rPr/>
  </w:style>
  <w:style w:type="character" w:styleId="WW8Num35z0" w:customStyle="1">
    <w:name w:val="WW8Num35z0"/>
    <w:qFormat/>
    <w:rPr>
      <w:rFonts w:ascii="Wingdings" w:hAnsi="Wingdings" w:cs="Wingdings"/>
    </w:rPr>
  </w:style>
  <w:style w:type="character" w:styleId="WW8Num35z1" w:customStyle="1">
    <w:name w:val="WW8Num35z1"/>
    <w:qFormat/>
    <w:rPr>
      <w:rFonts w:ascii="Courier New" w:hAnsi="Courier New" w:cs="Courier New"/>
    </w:rPr>
  </w:style>
  <w:style w:type="character" w:styleId="WW8Num35z3" w:customStyle="1">
    <w:name w:val="WW8Num35z3"/>
    <w:qFormat/>
    <w:rPr>
      <w:rFonts w:ascii="Symbol" w:hAnsi="Symbol" w:cs="Symbol"/>
    </w:rPr>
  </w:style>
  <w:style w:type="character" w:styleId="WW8Num36z0" w:customStyle="1">
    <w:name w:val="WW8Num36z0"/>
    <w:qFormat/>
    <w:rPr>
      <w:rFonts w:ascii="Arial" w:hAnsi="Arial" w:eastAsia="Times New Roman" w:cs="Arial"/>
    </w:rPr>
  </w:style>
  <w:style w:type="character" w:styleId="WW8Num37z0" w:customStyle="1">
    <w:name w:val="WW8Num37z0"/>
    <w:qFormat/>
    <w:rPr>
      <w:rFonts w:ascii="Symbol" w:hAnsi="Symbol" w:eastAsia="Times New Roman" w:cs="Times New Roman"/>
    </w:rPr>
  </w:style>
  <w:style w:type="character" w:styleId="WW8Num38z0" w:customStyle="1">
    <w:name w:val="WW8Num38z0"/>
    <w:qFormat/>
    <w:rPr/>
  </w:style>
  <w:style w:type="character" w:styleId="WW8Num39z0" w:customStyle="1">
    <w:name w:val="WW8Num39z0"/>
    <w:qFormat/>
    <w:rPr>
      <w:rFonts w:ascii="Courier New" w:hAnsi="Courier New" w:cs="Courier New"/>
    </w:rPr>
  </w:style>
  <w:style w:type="character" w:styleId="WW8Num39z2" w:customStyle="1">
    <w:name w:val="WW8Num39z2"/>
    <w:qFormat/>
    <w:rPr>
      <w:rFonts w:ascii="Wingdings" w:hAnsi="Wingdings" w:cs="Wingdings"/>
    </w:rPr>
  </w:style>
  <w:style w:type="character" w:styleId="WW8Num39z3" w:customStyle="1">
    <w:name w:val="WW8Num39z3"/>
    <w:qFormat/>
    <w:rPr>
      <w:rFonts w:ascii="Symbol" w:hAnsi="Symbol" w:cs="Symbol"/>
    </w:rPr>
  </w:style>
  <w:style w:type="character" w:styleId="WW8Num40z0" w:customStyle="1">
    <w:name w:val="WW8Num40z0"/>
    <w:qFormat/>
    <w:rPr>
      <w:rFonts w:ascii="Wingdings" w:hAnsi="Wingdings" w:cs="Wingdings"/>
    </w:rPr>
  </w:style>
  <w:style w:type="character" w:styleId="WW8Num40z1" w:customStyle="1">
    <w:name w:val="WW8Num40z1"/>
    <w:qFormat/>
    <w:rPr>
      <w:rFonts w:ascii="Courier New" w:hAnsi="Courier New" w:cs="Courier New"/>
    </w:rPr>
  </w:style>
  <w:style w:type="character" w:styleId="WW8Num40z3" w:customStyle="1">
    <w:name w:val="WW8Num40z3"/>
    <w:qFormat/>
    <w:rPr>
      <w:rFonts w:ascii="Symbol" w:hAnsi="Symbol" w:cs="Symbol"/>
    </w:rPr>
  </w:style>
  <w:style w:type="character" w:styleId="WW8Num41z0" w:customStyle="1">
    <w:name w:val="WW8Num41z0"/>
    <w:qFormat/>
    <w:rPr>
      <w:rFonts w:ascii="Courier New" w:hAnsi="Courier New" w:cs="Courier New"/>
    </w:rPr>
  </w:style>
  <w:style w:type="character" w:styleId="WW8Num41z2" w:customStyle="1">
    <w:name w:val="WW8Num41z2"/>
    <w:qFormat/>
    <w:rPr>
      <w:rFonts w:ascii="Wingdings" w:hAnsi="Wingdings" w:cs="Wingdings"/>
    </w:rPr>
  </w:style>
  <w:style w:type="character" w:styleId="WW8Num41z3" w:customStyle="1">
    <w:name w:val="WW8Num41z3"/>
    <w:qFormat/>
    <w:rPr>
      <w:rFonts w:ascii="Symbol" w:hAnsi="Symbol" w:cs="Symbol"/>
    </w:rPr>
  </w:style>
  <w:style w:type="character" w:styleId="WW8Num42z0" w:customStyle="1">
    <w:name w:val="WW8Num42z0"/>
    <w:qFormat/>
    <w:rPr/>
  </w:style>
  <w:style w:type="character" w:styleId="WW8Num43z0" w:customStyle="1">
    <w:name w:val="WW8Num43z0"/>
    <w:qFormat/>
    <w:rPr/>
  </w:style>
  <w:style w:type="character" w:styleId="WW8Num44z0" w:customStyle="1">
    <w:name w:val="WW8Num44z0"/>
    <w:qFormat/>
    <w:rPr/>
  </w:style>
  <w:style w:type="character" w:styleId="WW8Num45z0" w:customStyle="1">
    <w:name w:val="WW8Num45z0"/>
    <w:qFormat/>
    <w:rPr/>
  </w:style>
  <w:style w:type="character" w:styleId="WW8Num46z0" w:customStyle="1">
    <w:name w:val="WW8Num46z0"/>
    <w:qFormat/>
    <w:rPr>
      <w:rFonts w:ascii="Symbol" w:hAnsi="Symbol" w:cs="Symbol"/>
    </w:rPr>
  </w:style>
  <w:style w:type="character" w:styleId="WW8Num46z1" w:customStyle="1">
    <w:name w:val="WW8Num46z1"/>
    <w:qFormat/>
    <w:rPr>
      <w:rFonts w:ascii="Courier New" w:hAnsi="Courier New" w:cs="Courier New"/>
    </w:rPr>
  </w:style>
  <w:style w:type="character" w:styleId="WW8Num46z2" w:customStyle="1">
    <w:name w:val="WW8Num46z2"/>
    <w:qFormat/>
    <w:rPr>
      <w:rFonts w:ascii="Wingdings" w:hAnsi="Wingdings" w:cs="Wingdings"/>
    </w:rPr>
  </w:style>
  <w:style w:type="character" w:styleId="WW8Num6z1" w:customStyle="1">
    <w:name w:val="WW8Num6z1"/>
    <w:qFormat/>
    <w:rPr/>
  </w:style>
  <w:style w:type="character" w:styleId="WW8Num7z1" w:customStyle="1">
    <w:name w:val="WW8Num7z1"/>
    <w:qFormat/>
    <w:rPr/>
  </w:style>
  <w:style w:type="character" w:styleId="WW8Num8z1" w:customStyle="1">
    <w:name w:val="WW8Num8z1"/>
    <w:qFormat/>
    <w:rPr/>
  </w:style>
  <w:style w:type="character" w:styleId="WW8Num9z1" w:customStyle="1">
    <w:name w:val="WW8Num9z1"/>
    <w:qFormat/>
    <w:rPr/>
  </w:style>
  <w:style w:type="character" w:styleId="WW8Num10z1" w:customStyle="1">
    <w:name w:val="WW8Num10z1"/>
    <w:qFormat/>
    <w:rPr/>
  </w:style>
  <w:style w:type="character" w:styleId="WW8Num11z1" w:customStyle="1">
    <w:name w:val="WW8Num11z1"/>
    <w:qFormat/>
    <w:rPr/>
  </w:style>
  <w:style w:type="character" w:styleId="WW8Num13z0" w:customStyle="1">
    <w:name w:val="WW8Num13z0"/>
    <w:qFormat/>
    <w:rPr/>
  </w:style>
  <w:style w:type="character" w:styleId="WW8Num15z1" w:customStyle="1">
    <w:name w:val="WW8Num15z1"/>
    <w:qFormat/>
    <w:rPr>
      <w:rFonts w:ascii="Arial" w:hAnsi="Arial" w:cs="Arial"/>
    </w:rPr>
  </w:style>
  <w:style w:type="character" w:styleId="WW8Num15z2" w:customStyle="1">
    <w:name w:val="WW8Num15z2"/>
    <w:qFormat/>
    <w:rPr/>
  </w:style>
  <w:style w:type="character" w:styleId="Fontepargpadro3" w:customStyle="1">
    <w:name w:val="Fonte parág. padrão3"/>
    <w:qFormat/>
    <w:rPr/>
  </w:style>
  <w:style w:type="character" w:styleId="Fontepargpadro2" w:customStyle="1">
    <w:name w:val="Fonte parág. padrão2"/>
    <w:qFormat/>
    <w:rPr/>
  </w:style>
  <w:style w:type="character" w:styleId="WW8Num3z0" w:customStyle="1">
    <w:name w:val="WW8Num3z0"/>
    <w:qFormat/>
    <w:rPr>
      <w:rFonts w:ascii="Wingdings" w:hAnsi="Wingdings" w:cs="Wingdings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14z1" w:customStyle="1">
    <w:name w:val="WW8Num14z1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Forte1" w:customStyle="1">
    <w:name w:val="Forte1"/>
    <w:qFormat/>
    <w:rPr>
      <w:b/>
      <w:bCs/>
    </w:rPr>
  </w:style>
  <w:style w:type="character" w:styleId="Refdecomentrio1" w:customStyle="1">
    <w:name w:val="Ref. de comentário1"/>
    <w:qFormat/>
    <w:rPr>
      <w:sz w:val="16"/>
      <w:szCs w:val="16"/>
    </w:rPr>
  </w:style>
  <w:style w:type="character" w:styleId="Nmerodepgina1" w:customStyle="1">
    <w:name w:val="Número de página1"/>
    <w:qFormat/>
    <w:rPr>
      <w:rFonts w:cs="Times New Roman"/>
    </w:rPr>
  </w:style>
  <w:style w:type="character" w:styleId="TtuloChar" w:customStyle="1">
    <w:name w:val="Título Char"/>
    <w:qFormat/>
    <w:rPr>
      <w:rFonts w:ascii="Arial" w:hAnsi="Arial" w:eastAsia="Times New Roman" w:cs="Arial"/>
      <w:b/>
      <w:bCs/>
      <w:szCs w:val="24"/>
      <w:u w:val="single"/>
      <w:lang w:val="zh-CN" w:eastAsia="zh-CN"/>
    </w:rPr>
  </w:style>
  <w:style w:type="character" w:styleId="MenoPendente1" w:customStyle="1">
    <w:name w:val="Menção Pendente1"/>
    <w:qFormat/>
    <w:rPr>
      <w:color w:val="808080"/>
      <w:shd w:fill="E6E6E6" w:val="clear"/>
    </w:rPr>
  </w:style>
  <w:style w:type="character" w:styleId="Recuodecorpodetexto2Char" w:customStyle="1">
    <w:name w:val="Recuo de corpo de texto 2 Char"/>
    <w:qFormat/>
    <w:rPr/>
  </w:style>
  <w:style w:type="character" w:styleId="Corpodetexto2Char" w:customStyle="1">
    <w:name w:val="Corpo de texto 2 Char"/>
    <w:qFormat/>
    <w:rPr/>
  </w:style>
  <w:style w:type="character" w:styleId="Corpodetexto3Char" w:customStyle="1">
    <w:name w:val="Corpo de texto 3 Char"/>
    <w:qFormat/>
    <w:rPr>
      <w:sz w:val="16"/>
      <w:szCs w:val="16"/>
    </w:rPr>
  </w:style>
  <w:style w:type="character" w:styleId="Recuodecorpodetexto3Char" w:customStyle="1">
    <w:name w:val="Recuo de corpo de texto 3 Char"/>
    <w:qFormat/>
    <w:rPr>
      <w:rFonts w:ascii="Times New Roman" w:hAnsi="Times New Roman" w:eastAsia="Times New Roman" w:cs="Times New Roman"/>
      <w:sz w:val="16"/>
      <w:szCs w:val="16"/>
      <w:lang w:val="zh-CN" w:eastAsia="zh-CN"/>
    </w:rPr>
  </w:style>
  <w:style w:type="character" w:styleId="Appleconvertedspace" w:customStyle="1">
    <w:name w:val="apple-converted-space"/>
    <w:qFormat/>
    <w:rPr/>
  </w:style>
  <w:style w:type="character" w:styleId="Normaltextrunscx88128021" w:customStyle="1">
    <w:name w:val="normaltextrun scx88128021"/>
    <w:qFormat/>
    <w:rPr/>
  </w:style>
  <w:style w:type="character" w:styleId="TextodecomentrioChar" w:customStyle="1">
    <w:name w:val="Texto de comentário Char"/>
    <w:uiPriority w:val="99"/>
    <w:qFormat/>
    <w:rPr>
      <w:rFonts w:ascii="Times New Roman" w:hAnsi="Times New Roman" w:eastAsia="Times New Roman" w:cs="Times New Roman"/>
      <w:sz w:val="20"/>
      <w:szCs w:val="20"/>
    </w:rPr>
  </w:style>
  <w:style w:type="character" w:styleId="AssuntodocomentrioChar" w:customStyle="1">
    <w:name w:val="Assunto do comentário Char"/>
    <w:qFormat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MenoPendente2" w:customStyle="1">
    <w:name w:val="Menção Pendente2"/>
    <w:qFormat/>
    <w:rPr>
      <w:color w:val="605E5C"/>
      <w:shd w:fill="E1DFDD" w:val="clear"/>
    </w:rPr>
  </w:style>
  <w:style w:type="character" w:styleId="Tex31" w:customStyle="1">
    <w:name w:val="tex31"/>
    <w:qFormat/>
    <w:rPr>
      <w:rFonts w:ascii="Verdana" w:hAnsi="Verdana" w:cs="Verdana"/>
      <w:color w:val="000000"/>
      <w:sz w:val="21"/>
      <w:szCs w:val="21"/>
    </w:rPr>
  </w:style>
  <w:style w:type="character" w:styleId="MenoPendente3" w:customStyle="1">
    <w:name w:val="Menção Pendente3"/>
    <w:qFormat/>
    <w:rPr>
      <w:color w:val="605E5C"/>
      <w:shd w:fill="E1DFDD" w:val="clear"/>
    </w:rPr>
  </w:style>
  <w:style w:type="character" w:styleId="Normalchar1" w:customStyle="1">
    <w:name w:val="normal__char1"/>
    <w:qFormat/>
    <w:rPr>
      <w:rFonts w:ascii="Times New Roman" w:hAnsi="Times New Roman" w:cs="Times New Roman"/>
      <w:sz w:val="24"/>
      <w:szCs w:val="24"/>
      <w:u w:val="none"/>
    </w:rPr>
  </w:style>
  <w:style w:type="character" w:styleId="TtuloChar1" w:customStyle="1">
    <w:name w:val="Título Char1"/>
    <w:qFormat/>
    <w:rPr>
      <w:rFonts w:ascii="Arial" w:hAnsi="Arial" w:eastAsia="Arial" w:cs="Arial"/>
      <w:b/>
      <w:bCs/>
      <w:sz w:val="22"/>
      <w:szCs w:val="24"/>
      <w:u w:val="single"/>
    </w:rPr>
  </w:style>
  <w:style w:type="character" w:styleId="PargrafodaListaChar" w:customStyle="1">
    <w:name w:val="Parágrafo da Lista Char"/>
    <w:qFormat/>
    <w:rPr>
      <w:rFonts w:eastAsia="SimSun"/>
      <w:lang w:eastAsia="zh-CN"/>
    </w:rPr>
  </w:style>
  <w:style w:type="character" w:styleId="TextodebaloChar1" w:customStyle="1">
    <w:name w:val="Texto de balão Char1"/>
    <w:qFormat/>
    <w:rPr>
      <w:rFonts w:ascii="Segoe UI" w:hAnsi="Segoe UI" w:eastAsia="DengXian" w:cs="Segoe UI"/>
      <w:sz w:val="18"/>
      <w:szCs w:val="18"/>
      <w:lang w:eastAsia="zh-CN"/>
    </w:rPr>
  </w:style>
  <w:style w:type="character" w:styleId="TtuloChar2" w:customStyle="1">
    <w:name w:val="Título Char2"/>
    <w:qFormat/>
    <w:rPr>
      <w:rFonts w:ascii="Calibri Light" w:hAnsi="Calibri Light" w:eastAsia="Times New Roman" w:cs="Times New Roman"/>
      <w:b/>
      <w:bCs/>
      <w:kern w:val="2"/>
      <w:sz w:val="32"/>
      <w:szCs w:val="32"/>
      <w:lang w:eastAsia="zh-CN"/>
    </w:rPr>
  </w:style>
  <w:style w:type="character" w:styleId="Recuodecorpodetexto3Char1" w:customStyle="1">
    <w:name w:val="Recuo de corpo de texto 3 Char1"/>
    <w:qFormat/>
    <w:rPr>
      <w:rFonts w:ascii="Calibri" w:hAnsi="Calibri" w:eastAsia="DengXian" w:cs="Calibri"/>
      <w:sz w:val="16"/>
      <w:szCs w:val="16"/>
      <w:lang w:eastAsia="zh-CN"/>
    </w:rPr>
  </w:style>
  <w:style w:type="character" w:styleId="Recuodecorpodetexto2Char1" w:customStyle="1">
    <w:name w:val="Recuo de corpo de texto 2 Char1"/>
    <w:qFormat/>
    <w:rPr>
      <w:rFonts w:ascii="Calibri" w:hAnsi="Calibri" w:eastAsia="DengXian" w:cs="Calibri"/>
      <w:sz w:val="22"/>
      <w:szCs w:val="22"/>
      <w:lang w:eastAsia="zh-CN"/>
    </w:rPr>
  </w:style>
  <w:style w:type="character" w:styleId="Corpodetexto3Char1" w:customStyle="1">
    <w:name w:val="Corpo de texto 3 Char1"/>
    <w:qFormat/>
    <w:rPr>
      <w:rFonts w:ascii="Calibri" w:hAnsi="Calibri" w:eastAsia="DengXian" w:cs="Calibri"/>
      <w:sz w:val="16"/>
      <w:szCs w:val="16"/>
      <w:lang w:eastAsia="zh-CN"/>
    </w:rPr>
  </w:style>
  <w:style w:type="character" w:styleId="PrformataoHTMLChar1" w:customStyle="1">
    <w:name w:val="Pré-formatação HTML Char1"/>
    <w:qFormat/>
    <w:rPr>
      <w:rFonts w:ascii="Courier New" w:hAnsi="Courier New" w:eastAsia="DengXian" w:cs="Courier New"/>
      <w:lang w:eastAsia="zh-CN"/>
    </w:rPr>
  </w:style>
  <w:style w:type="character" w:styleId="Corpodetexto2Char1" w:customStyle="1">
    <w:name w:val="Corpo de texto 2 Char1"/>
    <w:qFormat/>
    <w:rPr>
      <w:rFonts w:ascii="Calibri" w:hAnsi="Calibri" w:eastAsia="DengXian" w:cs="Calibri"/>
      <w:sz w:val="22"/>
      <w:szCs w:val="22"/>
      <w:lang w:eastAsia="zh-CN"/>
    </w:rPr>
  </w:style>
  <w:style w:type="character" w:styleId="TextodecomentrioChar1" w:customStyle="1">
    <w:name w:val="Texto de comentário Char1"/>
    <w:basedOn w:val="DefaultParagraphFont"/>
    <w:link w:val="Annotationtext"/>
    <w:uiPriority w:val="99"/>
    <w:qFormat/>
    <w:rPr>
      <w:rFonts w:ascii="Calibri" w:hAnsi="Calibri" w:eastAsia="DengXian" w:cs="Calibri"/>
      <w:sz w:val="20"/>
      <w:szCs w:val="20"/>
      <w:lang w:eastAsia="zh-CN"/>
    </w:rPr>
  </w:style>
  <w:style w:type="character" w:styleId="AssuntodocomentrioChar1" w:customStyle="1">
    <w:name w:val="Assunto do comentário Char1"/>
    <w:basedOn w:val="TextodecomentrioChar1"/>
    <w:link w:val="Annotationsubject"/>
    <w:uiPriority w:val="99"/>
    <w:semiHidden/>
    <w:qFormat/>
    <w:rPr>
      <w:rFonts w:ascii="Calibri" w:hAnsi="Calibri" w:eastAsia="DengXian" w:cs="Calibri"/>
      <w:b/>
      <w:bCs/>
      <w:sz w:val="20"/>
      <w:szCs w:val="20"/>
      <w:lang w:eastAsia="zh-CN"/>
    </w:rPr>
  </w:style>
  <w:style w:type="character" w:styleId="MenoPendente4" w:customStyle="1">
    <w:name w:val="Menção Pendente4"/>
    <w:uiPriority w:val="99"/>
    <w:semiHidden/>
    <w:unhideWhenUsed/>
    <w:qFormat/>
    <w:rPr>
      <w:color w:val="605E5C"/>
      <w:shd w:fill="E1DFDD" w:val="clear"/>
    </w:rPr>
  </w:style>
  <w:style w:type="character" w:styleId="15" w:customStyle="1">
    <w:name w:val="15"/>
    <w:basedOn w:val="DefaultParagraphFont"/>
    <w:qFormat/>
    <w:rsid w:val="00317f15"/>
    <w:rPr>
      <w:rFonts w:ascii="Calibri" w:hAnsi="Calibri" w:cs="Calibri"/>
      <w:color w:val="0563C1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pPr>
      <w:widowControl w:val="false"/>
      <w:spacing w:lineRule="auto" w:line="240" w:before="0" w:after="0"/>
    </w:pPr>
    <w:rPr>
      <w:rFonts w:ascii="Arial" w:hAnsi="Arial" w:eastAsia="Times New Roman" w:cs="Arial"/>
      <w:sz w:val="20"/>
      <w:szCs w:val="20"/>
      <w:lang w:val="pt-PT"/>
    </w:rPr>
  </w:style>
  <w:style w:type="paragraph" w:styleId="Lista">
    <w:name w:val="List"/>
    <w:basedOn w:val="Normal"/>
    <w:pPr>
      <w:spacing w:lineRule="auto" w:line="240" w:before="280" w:after="280"/>
      <w:ind w:hanging="283"/>
      <w:jc w:val="center"/>
    </w:pPr>
    <w:rPr>
      <w:rFonts w:ascii="Times New Roman" w:hAnsi="Times New Roman" w:eastAsia="Times New Roman" w:cs="Times New Roman"/>
      <w:sz w:val="28"/>
      <w:szCs w:val="20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imes New Roman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next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umrio2">
    <w:name w:val="TOC 2"/>
    <w:basedOn w:val="Normal"/>
    <w:next w:val="Normal"/>
    <w:qFormat/>
    <w:pPr>
      <w:spacing w:lineRule="auto" w:line="276" w:before="0" w:after="100"/>
      <w:ind w:left="240" w:hanging="0"/>
    </w:pPr>
    <w:rPr>
      <w:rFonts w:ascii="Arial" w:hAnsi="Arial" w:eastAsia="Calibri" w:cs="Arial"/>
      <w:sz w:val="24"/>
    </w:rPr>
  </w:style>
  <w:style w:type="paragraph" w:styleId="Annotationtext">
    <w:name w:val="annotation text"/>
    <w:basedOn w:val="Normal"/>
    <w:link w:val="TextodecomentrioChar1"/>
    <w:uiPriority w:val="99"/>
    <w:unhideWhenUsed/>
    <w:qFormat/>
    <w:pPr/>
    <w:rPr>
      <w:sz w:val="20"/>
      <w:szCs w:val="20"/>
    </w:rPr>
  </w:style>
  <w:style w:type="paragraph" w:styleId="NormalWeb">
    <w:name w:val="Normal (Web)"/>
    <w:basedOn w:val="Normal"/>
    <w:uiPriority w:val="99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Envelopeaddress">
    <w:name w:val="envelope address"/>
    <w:basedOn w:val="Normal"/>
    <w:qFormat/>
    <w:pPr>
      <w:suppressAutoHyphens w:val="false"/>
      <w:spacing w:lineRule="auto" w:line="276" w:before="0" w:after="200"/>
      <w:ind w:left="2835" w:hanging="0"/>
    </w:pPr>
    <w:rPr>
      <w:rFonts w:ascii="Comic Sans MS" w:hAnsi="Comic Sans MS" w:eastAsia="Times New Roman" w:cs="Times New Roman"/>
      <w:sz w:val="24"/>
    </w:rPr>
  </w:style>
  <w:style w:type="paragraph" w:styleId="HTMLPreformatted">
    <w:name w:val="HTML Preformatted"/>
    <w:basedOn w:val="Normal"/>
    <w:link w:val="PrformataoHTMLChar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  <w:spacing w:lineRule="auto" w:line="240" w:before="0" w:after="0"/>
    </w:pPr>
    <w:rPr>
      <w:rFonts w:ascii="Arial Unicode MS" w:hAnsi="Arial Unicode MS" w:eastAsia="Arial Unicode MS" w:cs="Arial Unicode MS"/>
      <w:sz w:val="20"/>
      <w:szCs w:val="20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Annotationsubject">
    <w:name w:val="annotation subject"/>
    <w:basedOn w:val="Annotationtext"/>
    <w:next w:val="Annotationtext"/>
    <w:link w:val="AssuntodocomentrioChar1"/>
    <w:uiPriority w:val="99"/>
    <w:semiHidden/>
    <w:unhideWhenUsed/>
    <w:qFormat/>
    <w:pPr/>
    <w:rPr>
      <w:b/>
      <w:bCs/>
    </w:rPr>
  </w:style>
  <w:style w:type="paragraph" w:styleId="Rodap">
    <w:name w:val="Footer"/>
    <w:basedOn w:val="Normal"/>
    <w:link w:val="RodapChar"/>
    <w:uiPriority w:val="9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Corpodotexto"/>
    <w:link w:val="SubttuloChar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6"/>
      <w:szCs w:val="24"/>
    </w:rPr>
  </w:style>
  <w:style w:type="paragraph" w:styleId="Sumrio1">
    <w:name w:val="TOC 1"/>
    <w:basedOn w:val="Normal"/>
    <w:next w:val="Normal"/>
    <w:qFormat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Corpodotextorecuado">
    <w:name w:val="Body Text Indent"/>
    <w:basedOn w:val="Normal"/>
    <w:link w:val="RecuodecorpodetextoChar"/>
    <w:pPr>
      <w:widowControl w:val="false"/>
      <w:tabs>
        <w:tab w:val="clear" w:pos="708"/>
        <w:tab w:val="left" w:pos="1703" w:leader="none"/>
      </w:tabs>
      <w:spacing w:lineRule="auto" w:line="240" w:before="0" w:after="0"/>
      <w:ind w:left="2" w:hanging="0"/>
      <w:jc w:val="both"/>
    </w:pPr>
    <w:rPr>
      <w:rFonts w:ascii="Times New Roman" w:hAnsi="Times New Roman" w:eastAsia="Times New Roman" w:cs="Times New Roman"/>
      <w:sz w:val="24"/>
      <w:szCs w:val="24"/>
      <w:lang w:val="zh-CN"/>
    </w:rPr>
  </w:style>
  <w:style w:type="paragraph" w:styleId="Ttulo51" w:customStyle="1">
    <w:name w:val="Título5"/>
    <w:basedOn w:val="Normal"/>
    <w:next w:val="Corpodotexto"/>
    <w:qFormat/>
    <w:pPr>
      <w:suppressAutoHyphens w:val="false"/>
      <w:spacing w:lineRule="auto" w:line="240" w:before="0" w:after="0"/>
      <w:jc w:val="center"/>
    </w:pPr>
    <w:rPr>
      <w:rFonts w:ascii="Arial" w:hAnsi="Arial" w:eastAsia="Times New Roman" w:cs="Arial"/>
      <w:b/>
      <w:bCs/>
      <w:sz w:val="20"/>
      <w:szCs w:val="24"/>
      <w:u w:val="single"/>
      <w:lang w:val="zh-CN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Times New Roman"/>
      <w:color w:val="auto"/>
      <w:kern w:val="0"/>
      <w:sz w:val="20"/>
      <w:szCs w:val="20"/>
      <w:lang w:val="pt-BR" w:eastAsia="zh-CN" w:bidi="ar-SA"/>
    </w:rPr>
  </w:style>
  <w:style w:type="paragraph" w:styleId="Ttulo41" w:customStyle="1">
    <w:name w:val="Título4"/>
    <w:basedOn w:val="Standard"/>
    <w:next w:val="Corpodotexto"/>
    <w:qFormat/>
    <w:pPr>
      <w:jc w:val="center"/>
    </w:pPr>
    <w:rPr>
      <w:rFonts w:ascii="Arial" w:hAnsi="Arial" w:eastAsia="Arial" w:cs="Arial"/>
      <w:b/>
      <w:bCs/>
      <w:sz w:val="22"/>
      <w:szCs w:val="24"/>
      <w:u w:val="single"/>
    </w:rPr>
  </w:style>
  <w:style w:type="paragraph" w:styleId="Ttulo31" w:customStyle="1">
    <w:name w:val="Título3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1" w:customStyle="1">
    <w:name w:val="Título2"/>
    <w:basedOn w:val="Normal"/>
    <w:next w:val="Corpodotexto"/>
    <w:qFormat/>
    <w:pPr>
      <w:spacing w:lineRule="auto" w:line="240" w:before="0" w:after="0"/>
      <w:jc w:val="center"/>
    </w:pPr>
    <w:rPr>
      <w:rFonts w:ascii="Arial" w:hAnsi="Arial" w:eastAsia="Times New Roman" w:cs="Arial"/>
      <w:b/>
      <w:bCs/>
      <w:szCs w:val="24"/>
      <w:u w:val="single"/>
      <w:lang w:val="zh-CN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oembloco1" w:customStyle="1">
    <w:name w:val="Texto em bloco1"/>
    <w:basedOn w:val="Normal"/>
    <w:qFormat/>
    <w:pPr>
      <w:tabs>
        <w:tab w:val="clear" w:pos="708"/>
        <w:tab w:val="left" w:pos="1134" w:leader="none"/>
      </w:tabs>
      <w:spacing w:lineRule="auto" w:line="240" w:before="0" w:after="0"/>
      <w:ind w:left="1843" w:right="2" w:hanging="709"/>
      <w:jc w:val="both"/>
    </w:pPr>
    <w:rPr>
      <w:rFonts w:ascii="Times New Roman" w:hAnsi="Times New Roman" w:eastAsia="Times New Roman" w:cs="Times New Roman"/>
    </w:rPr>
  </w:style>
  <w:style w:type="paragraph" w:styleId="Textodecomentrio1" w:customStyle="1">
    <w:name w:val="Texto de comentário1"/>
    <w:basedOn w:val="Normal"/>
    <w:qFormat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Destinatrio1" w:customStyle="1">
    <w:name w:val="Destinatário1"/>
    <w:basedOn w:val="Normal"/>
    <w:qFormat/>
    <w:pPr>
      <w:spacing w:lineRule="auto" w:line="276" w:before="0" w:after="200"/>
      <w:ind w:left="2835" w:hanging="0"/>
    </w:pPr>
    <w:rPr>
      <w:rFonts w:ascii="Comic Sans MS" w:hAnsi="Comic Sans MS" w:eastAsia="DengXian Light"/>
      <w:sz w:val="24"/>
    </w:rPr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PrformataoHTML1" w:customStyle="1">
    <w:name w:val="Pré-formatação HTML1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Arial Unicode MS" w:hAnsi="Arial Unicode MS" w:eastAsia="Arial Unicode MS" w:cs="Arial Unicode MS"/>
      <w:sz w:val="20"/>
      <w:szCs w:val="20"/>
    </w:rPr>
  </w:style>
  <w:style w:type="paragraph" w:styleId="Corpodetexto21" w:customStyle="1">
    <w:name w:val="Corpo de texto 21"/>
    <w:basedOn w:val="Normal"/>
    <w:qFormat/>
    <w:pPr>
      <w:spacing w:lineRule="auto" w:line="480" w:before="0" w:after="120"/>
    </w:pPr>
    <w:rPr/>
  </w:style>
  <w:style w:type="paragraph" w:styleId="Assuntodocomentrio1" w:customStyle="1">
    <w:name w:val="Assunto do comentário1"/>
    <w:basedOn w:val="Textodecomentrio1"/>
    <w:next w:val="Textodecomentrio1"/>
    <w:qFormat/>
    <w:pPr/>
    <w:rPr>
      <w:b/>
      <w:bCs/>
    </w:rPr>
  </w:style>
  <w:style w:type="paragraph" w:styleId="Recuodecorpodetexto31" w:customStyle="1">
    <w:name w:val="Recuo de corpo de texto 31"/>
    <w:basedOn w:val="Normal"/>
    <w:qFormat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16"/>
      <w:szCs w:val="16"/>
      <w:lang w:val="zh-CN"/>
    </w:rPr>
  </w:style>
  <w:style w:type="paragraph" w:styleId="Textodebalo1" w:customStyle="1">
    <w:name w:val="Texto de balão1"/>
    <w:basedOn w:val="Normal"/>
    <w:qFormat/>
    <w:pPr>
      <w:widowControl w:val="false"/>
      <w:spacing w:lineRule="auto" w:line="240" w:before="0" w:after="0"/>
    </w:pPr>
    <w:rPr>
      <w:rFonts w:ascii="Segoe UI" w:hAnsi="Segoe UI" w:eastAsia="Arial" w:cs="Segoe UI"/>
      <w:sz w:val="18"/>
      <w:szCs w:val="18"/>
      <w:lang w:val="pt-PT" w:bidi="pt-PT"/>
    </w:rPr>
  </w:style>
  <w:style w:type="paragraph" w:styleId="PargrafodaLista1" w:customStyle="1">
    <w:name w:val="Parágrafo da Lista1"/>
    <w:basedOn w:val="Normal"/>
    <w:qFormat/>
    <w:pPr>
      <w:widowControl w:val="false"/>
      <w:spacing w:lineRule="auto" w:line="240" w:before="0" w:after="0"/>
      <w:ind w:left="196" w:hanging="0"/>
      <w:jc w:val="both"/>
    </w:pPr>
    <w:rPr>
      <w:rFonts w:ascii="Arial" w:hAnsi="Arial" w:eastAsia="Times New Roman" w:cs="Arial"/>
      <w:lang w:val="pt-PT"/>
    </w:rPr>
  </w:style>
  <w:style w:type="paragraph" w:styleId="TableParagraph" w:customStyle="1">
    <w:name w:val="Table Paragraph"/>
    <w:basedOn w:val="Normal"/>
    <w:qFormat/>
    <w:pPr>
      <w:widowControl w:val="false"/>
      <w:spacing w:lineRule="exact" w:line="223" w:before="11" w:after="0"/>
      <w:ind w:left="102" w:right="95" w:hanging="0"/>
      <w:jc w:val="center"/>
    </w:pPr>
    <w:rPr>
      <w:rFonts w:ascii="Arial" w:hAnsi="Arial" w:eastAsia="Times New Roman" w:cs="Arial"/>
      <w:lang w:val="pt-PT"/>
    </w:rPr>
  </w:style>
  <w:style w:type="paragraph" w:styleId="Nvel2" w:customStyle="1">
    <w:name w:val="Nível 2"/>
    <w:basedOn w:val="Normal"/>
    <w:next w:val="Normal"/>
    <w:qFormat/>
    <w:pPr>
      <w:spacing w:lineRule="auto" w:line="240" w:before="0" w:after="120"/>
      <w:jc w:val="both"/>
    </w:pPr>
    <w:rPr>
      <w:rFonts w:ascii="Arial" w:hAnsi="Arial" w:eastAsia="Times New Roman" w:cs="Arial"/>
      <w:b/>
      <w:bCs/>
      <w:sz w:val="24"/>
      <w:szCs w:val="24"/>
    </w:rPr>
  </w:style>
  <w:style w:type="paragraph" w:styleId="Estilo1" w:customStyle="1">
    <w:name w:val="Estilo1"/>
    <w:basedOn w:val="Normal"/>
    <w:qFormat/>
    <w:pPr>
      <w:tabs>
        <w:tab w:val="clear" w:pos="708"/>
        <w:tab w:val="left" w:pos="2268" w:leader="none"/>
      </w:tabs>
      <w:spacing w:lineRule="auto" w:line="240" w:before="0" w:after="0"/>
      <w:ind w:left="2410" w:hanging="992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Estilo2" w:customStyle="1">
    <w:name w:val="Estilo2"/>
    <w:basedOn w:val="Estilo1"/>
    <w:qFormat/>
    <w:pPr>
      <w:ind w:left="2694" w:hanging="284"/>
    </w:pPr>
    <w:rPr/>
  </w:style>
  <w:style w:type="paragraph" w:styleId="Blockquote" w:customStyle="1">
    <w:name w:val="Blockquote"/>
    <w:basedOn w:val="Normal"/>
    <w:qFormat/>
    <w:pPr>
      <w:spacing w:lineRule="auto" w:line="240" w:before="100" w:after="100"/>
      <w:ind w:left="360" w:right="360" w:hanging="0"/>
    </w:pPr>
    <w:rPr>
      <w:rFonts w:ascii="Times New Roman" w:hAnsi="Times New Roman" w:eastAsia="Times New Roman" w:cs="Times New Roman"/>
      <w:sz w:val="24"/>
      <w:szCs w:val="24"/>
    </w:rPr>
  </w:style>
  <w:style w:type="paragraph" w:styleId="P30" w:customStyle="1">
    <w:name w:val="P30"/>
    <w:basedOn w:val="Normal"/>
    <w:qFormat/>
    <w:pPr>
      <w:spacing w:lineRule="auto" w:line="240" w:before="0" w:after="0"/>
      <w:jc w:val="both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N21" w:customStyle="1">
    <w:name w:val="N21"/>
    <w:basedOn w:val="Normal"/>
    <w:qFormat/>
    <w:pPr>
      <w:spacing w:lineRule="auto" w:line="240" w:before="60" w:after="0"/>
      <w:ind w:left="2268" w:hanging="425"/>
      <w:jc w:val="both"/>
    </w:pPr>
    <w:rPr>
      <w:rFonts w:ascii="Arial" w:hAnsi="Arial" w:eastAsia="Times New Roman" w:cs="Arial"/>
      <w:sz w:val="20"/>
      <w:szCs w:val="20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" w:cs="Times New Roman"/>
      <w:color w:val="000000"/>
      <w:kern w:val="0"/>
      <w:sz w:val="24"/>
      <w:szCs w:val="24"/>
      <w:lang w:val="pt-BR" w:eastAsia="zh-CN" w:bidi="ar-SA"/>
    </w:rPr>
  </w:style>
  <w:style w:type="paragraph" w:styleId="BodyText24" w:customStyle="1">
    <w:name w:val="Body Text 24"/>
    <w:basedOn w:val="Normal"/>
    <w:qFormat/>
    <w:pPr>
      <w:widowControl w:val="false"/>
      <w:spacing w:lineRule="auto" w:line="240" w:before="0" w:after="0"/>
      <w:jc w:val="both"/>
    </w:pPr>
    <w:rPr>
      <w:rFonts w:ascii="Times New Roman" w:hAnsi="Times New Roman" w:eastAsia="Times New Roman" w:cs="Times New Roman"/>
      <w:sz w:val="28"/>
      <w:szCs w:val="20"/>
    </w:rPr>
  </w:style>
  <w:style w:type="paragraph" w:styleId="Corpodetexto211" w:customStyle="1">
    <w:name w:val="Corpo de texto 211"/>
    <w:basedOn w:val="Normal"/>
    <w:qFormat/>
    <w:pPr>
      <w:tabs>
        <w:tab w:val="clear" w:pos="708"/>
        <w:tab w:val="left" w:pos="-414" w:leader="none"/>
        <w:tab w:val="left" w:pos="0" w:leader="none"/>
        <w:tab w:val="left" w:pos="306" w:leader="none"/>
        <w:tab w:val="left" w:pos="1026" w:leader="none"/>
        <w:tab w:val="left" w:pos="1530" w:leader="none"/>
        <w:tab w:val="left" w:pos="2262" w:leader="none"/>
        <w:tab w:val="left" w:pos="2664" w:leader="none"/>
        <w:tab w:val="left" w:pos="3228" w:leader="none"/>
        <w:tab w:val="left" w:pos="6066" w:leader="none"/>
        <w:tab w:val="left" w:pos="6786" w:leader="none"/>
        <w:tab w:val="left" w:pos="7506" w:leader="none"/>
        <w:tab w:val="left" w:pos="8226" w:leader="none"/>
        <w:tab w:val="left" w:pos="8946" w:leader="none"/>
        <w:tab w:val="left" w:pos="9666" w:leader="none"/>
      </w:tabs>
      <w:spacing w:lineRule="auto" w:line="240" w:before="0" w:after="0"/>
      <w:jc w:val="both"/>
      <w:textAlignment w:val="baseline"/>
    </w:pPr>
    <w:rPr>
      <w:rFonts w:ascii="Arial" w:hAnsi="Arial" w:eastAsia="Times New Roman" w:cs="Arial"/>
      <w:sz w:val="24"/>
      <w:szCs w:val="20"/>
    </w:rPr>
  </w:style>
  <w:style w:type="paragraph" w:styleId="TextosemFormatao1" w:customStyle="1">
    <w:name w:val="Texto sem Formatação1"/>
    <w:basedOn w:val="Normal"/>
    <w:qFormat/>
    <w:pPr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val="pt-PT"/>
    </w:rPr>
  </w:style>
  <w:style w:type="paragraph" w:styleId="SemEspaamento1" w:customStyle="1">
    <w:name w:val="Sem Espaçamento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BR" w:eastAsia="zh-CN" w:bidi="ar-SA"/>
    </w:rPr>
  </w:style>
  <w:style w:type="paragraph" w:styleId="Corpodetexto22" w:customStyle="1">
    <w:name w:val="Corpo de texto 22"/>
    <w:basedOn w:val="Normal"/>
    <w:qFormat/>
    <w:pPr>
      <w:tabs>
        <w:tab w:val="clear" w:pos="708"/>
        <w:tab w:val="left" w:pos="-414" w:leader="none"/>
        <w:tab w:val="left" w:pos="0" w:leader="none"/>
        <w:tab w:val="left" w:pos="306" w:leader="none"/>
        <w:tab w:val="left" w:pos="1026" w:leader="none"/>
        <w:tab w:val="left" w:pos="1530" w:leader="none"/>
        <w:tab w:val="left" w:pos="2262" w:leader="none"/>
        <w:tab w:val="left" w:pos="2664" w:leader="none"/>
        <w:tab w:val="left" w:pos="3228" w:leader="none"/>
        <w:tab w:val="left" w:pos="6066" w:leader="none"/>
        <w:tab w:val="left" w:pos="6786" w:leader="none"/>
        <w:tab w:val="left" w:pos="7506" w:leader="none"/>
        <w:tab w:val="left" w:pos="8226" w:leader="none"/>
        <w:tab w:val="left" w:pos="8946" w:leader="none"/>
        <w:tab w:val="left" w:pos="9666" w:leader="none"/>
      </w:tabs>
      <w:spacing w:lineRule="auto" w:line="240" w:before="0" w:after="0"/>
      <w:jc w:val="both"/>
      <w:textAlignment w:val="baseline"/>
    </w:pPr>
    <w:rPr>
      <w:rFonts w:ascii="Arial" w:hAnsi="Arial" w:eastAsia="Times New Roman" w:cs="Arial"/>
      <w:sz w:val="24"/>
      <w:szCs w:val="20"/>
    </w:rPr>
  </w:style>
  <w:style w:type="paragraph" w:styleId="Ttulo111" w:customStyle="1">
    <w:name w:val="Título 11"/>
    <w:basedOn w:val="Normal"/>
    <w:qFormat/>
    <w:pPr>
      <w:widowControl w:val="false"/>
      <w:spacing w:lineRule="auto" w:line="240" w:before="0" w:after="0"/>
      <w:ind w:left="895" w:hanging="0"/>
      <w:outlineLvl w:val="1"/>
    </w:pPr>
    <w:rPr>
      <w:rFonts w:ascii="Arial" w:hAnsi="Arial" w:eastAsia="Arial" w:cs="Arial"/>
      <w:b/>
      <w:bCs/>
      <w:sz w:val="20"/>
      <w:szCs w:val="20"/>
      <w:lang w:val="en-US"/>
    </w:rPr>
  </w:style>
  <w:style w:type="paragraph" w:styleId="Ttulo12" w:customStyle="1">
    <w:name w:val="Título 12"/>
    <w:basedOn w:val="Normal"/>
    <w:qFormat/>
    <w:pPr>
      <w:widowControl w:val="false"/>
      <w:spacing w:lineRule="auto" w:line="240" w:before="0" w:after="0"/>
      <w:ind w:left="895" w:hanging="0"/>
      <w:outlineLvl w:val="1"/>
    </w:pPr>
    <w:rPr>
      <w:rFonts w:ascii="Arial" w:hAnsi="Arial" w:eastAsia="Arial" w:cs="Arial"/>
      <w:b/>
      <w:bCs/>
      <w:sz w:val="20"/>
      <w:szCs w:val="20"/>
      <w:lang w:val="en-US"/>
    </w:rPr>
  </w:style>
  <w:style w:type="paragraph" w:styleId="CabealhodoSumrio1" w:customStyle="1">
    <w:name w:val="Cabeçalho do Sumário1"/>
    <w:basedOn w:val="Ttulo1"/>
    <w:next w:val="Normal"/>
    <w:qFormat/>
    <w:pPr>
      <w:keepLines/>
      <w:numPr>
        <w:ilvl w:val="0"/>
        <w:numId w:val="0"/>
      </w:numPr>
      <w:spacing w:lineRule="auto" w:line="276" w:before="480" w:after="0"/>
      <w:outlineLvl w:val="9"/>
    </w:pPr>
    <w:rPr>
      <w:color w:val="2F5496"/>
      <w:kern w:val="0"/>
      <w:sz w:val="28"/>
      <w:szCs w:val="28"/>
    </w:rPr>
  </w:style>
  <w:style w:type="paragraph" w:styleId="Recuodecorpodetexto32" w:customStyle="1">
    <w:name w:val="Recuo de corpo de texto 32"/>
    <w:basedOn w:val="Normal"/>
    <w:qFormat/>
    <w:pPr>
      <w:widowControl w:val="false"/>
      <w:spacing w:lineRule="auto" w:line="240" w:before="0" w:after="0"/>
      <w:ind w:left="1418" w:hanging="0"/>
      <w:jc w:val="both"/>
    </w:pPr>
    <w:rPr>
      <w:rFonts w:ascii="Arial" w:hAnsi="Arial" w:eastAsia="Times New Roman" w:cs="Arial"/>
      <w:sz w:val="24"/>
      <w:szCs w:val="20"/>
    </w:rPr>
  </w:style>
  <w:style w:type="paragraph" w:styleId="Normal1" w:customStyle="1">
    <w:name w:val="Normal1"/>
    <w:basedOn w:val="Normal"/>
    <w:qFormat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Contedodoquadro" w:customStyle="1">
    <w:name w:val="Conteúdo do quadro"/>
    <w:basedOn w:val="Normal"/>
    <w:qFormat/>
    <w:pPr/>
    <w:rPr/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istParagraph">
    <w:name w:val="List Paragraph"/>
    <w:basedOn w:val="Standard"/>
    <w:qFormat/>
    <w:pPr>
      <w:ind w:left="720" w:hanging="0"/>
    </w:pPr>
    <w:rPr/>
  </w:style>
  <w:style w:type="paragraph" w:styleId="Recuodecorpodetexto311" w:customStyle="1">
    <w:name w:val="Recuo de corpo de texto 311"/>
    <w:basedOn w:val="Normal"/>
    <w:qFormat/>
    <w:pPr>
      <w:suppressAutoHyphens w:val="false"/>
      <w:spacing w:lineRule="auto" w:line="240" w:before="0" w:after="0"/>
      <w:ind w:left="708" w:firstLine="851"/>
      <w:jc w:val="both"/>
    </w:pPr>
    <w:rPr>
      <w:rFonts w:ascii="Times New Roman" w:hAnsi="Times New Roman" w:eastAsia="Times New Roman" w:cs="Times New Roman"/>
      <w:sz w:val="16"/>
      <w:szCs w:val="16"/>
      <w:lang w:val="zh-CN"/>
    </w:rPr>
  </w:style>
  <w:style w:type="paragraph" w:styleId="Recuodecorpodetexto211" w:customStyle="1">
    <w:name w:val="Recuo de corpo de texto 211"/>
    <w:basedOn w:val="Normal"/>
    <w:qFormat/>
    <w:pPr>
      <w:suppressAutoHyphens w:val="false"/>
      <w:spacing w:lineRule="auto" w:line="240" w:before="0" w:after="0"/>
      <w:ind w:firstLine="851"/>
      <w:jc w:val="both"/>
    </w:pPr>
    <w:rPr>
      <w:rFonts w:ascii="Times New Roman" w:hAnsi="Times New Roman" w:eastAsia="SimSun" w:cs="Times New Roman"/>
      <w:sz w:val="20"/>
      <w:szCs w:val="20"/>
    </w:rPr>
  </w:style>
  <w:style w:type="paragraph" w:styleId="Corpodetexto311" w:customStyle="1">
    <w:name w:val="Corpo de texto 311"/>
    <w:basedOn w:val="Normal"/>
    <w:qFormat/>
    <w:pPr>
      <w:suppressAutoHyphens w:val="false"/>
      <w:spacing w:lineRule="auto" w:line="240" w:before="0" w:after="0"/>
    </w:pPr>
    <w:rPr>
      <w:rFonts w:ascii="Times New Roman" w:hAnsi="Times New Roman" w:eastAsia="SimSun" w:cs="Times New Roman"/>
      <w:sz w:val="16"/>
      <w:szCs w:val="16"/>
    </w:rPr>
  </w:style>
  <w:style w:type="paragraph" w:styleId="Corpodetexto23" w:customStyle="1">
    <w:name w:val="Corpo de texto 23"/>
    <w:basedOn w:val="Normal"/>
    <w:qFormat/>
    <w:pPr>
      <w:suppressAutoHyphens w:val="false"/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" w:cs="Times New Roman"/>
      <w:color w:val="auto"/>
      <w:kern w:val="0"/>
      <w:sz w:val="24"/>
      <w:szCs w:val="24"/>
      <w:lang w:val="pt-BR" w:eastAsia="zh-CN" w:bidi="ar-SA"/>
    </w:rPr>
  </w:style>
  <w:style w:type="paragraph" w:styleId="CabealhodoSumrio2" w:customStyle="1">
    <w:name w:val="Cabeçalho do Sumário2"/>
    <w:basedOn w:val="Ttulo1"/>
    <w:next w:val="Normal"/>
    <w:qFormat/>
    <w:pPr>
      <w:keepLines/>
      <w:numPr>
        <w:ilvl w:val="0"/>
        <w:numId w:val="0"/>
      </w:numPr>
      <w:suppressAutoHyphens w:val="false"/>
      <w:spacing w:lineRule="auto" w:line="276" w:before="480" w:after="0"/>
      <w:outlineLvl w:val="9"/>
    </w:pPr>
    <w:rPr>
      <w:rFonts w:ascii="Cambria" w:hAnsi="Cambria" w:eastAsia="Times New Roman" w:cs="Times New Roman"/>
      <w:color w:val="365F91"/>
      <w:kern w:val="0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LibreOffice/7.4.6.2$Windows_X86_64 LibreOffice_project/5b1f5509c2decdade7fda905e3e1429a67acd63d</Application>
  <AppVersion>15.0000</AppVersion>
  <Pages>14</Pages>
  <Words>4545</Words>
  <Characters>26009</Characters>
  <CharactersWithSpaces>30167</CharactersWithSpaces>
  <Paragraphs>388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2023-10-26T16:05:00Z</dcterms:created>
  <dc:creator>Marciano</dc:creator>
  <dc:description/>
  <dc:language>pt-BR</dc:language>
  <cp:lastModifiedBy/>
  <dcterms:modified xsi:type="dcterms:W3CDTF">2023-12-06T12:27:22Z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6CDFA65A142D4D958E2DD2042185B121</vt:lpwstr>
  </property>
  <property fmtid="{D5CDD505-2E9C-101B-9397-08002B2CF9AE}" pid="3" name="KSOProductBuildVer">
    <vt:lpwstr>1046-11.2.0.11513</vt:lpwstr>
  </property>
</Properties>
</file>