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rPr>
          <w:rFonts w:ascii="Arial" w:hAnsi="Arial" w:cs="Arial"/>
        </w:rPr>
      </w:pPr>
      <w:r>
        <w:rPr/>
      </w:r>
    </w:p>
    <w:p>
      <w:pPr>
        <w:pStyle w:val="Normal"/>
        <w:spacing w:lineRule="auto" w:line="360" w:before="0" w:after="0"/>
        <w:jc w:val="center"/>
        <w:rPr>
          <w:rFonts w:ascii="Times New Roman" w:hAnsi="Times New Roman"/>
          <w:sz w:val="24"/>
          <w:szCs w:val="24"/>
        </w:rPr>
      </w:pPr>
      <w:r>
        <w:rPr>
          <w:rFonts w:cs="Arial" w:ascii="Times New Roman" w:hAnsi="Times New Roman"/>
          <w:b/>
          <w:sz w:val="24"/>
          <w:szCs w:val="24"/>
        </w:rPr>
        <w:t>TERMO DE REFERÊNCIA</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DA DESCRIÇÃO DO OBJETO E DA VIGÊNCIA</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hd w:val="clear" w:color="auto" w:fill="F2F2F2" w:themeFill="background1" w:themeFillShade="f2"/>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DA DESCRIÇÃO DO OBJETO</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2"/>
          <w:numId w:val="3"/>
        </w:numPr>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Constitui objeto do presente Termo de Referência, estabelecer as condições e diretrizes que disciplinarão o empenho estimativo para </w:t>
      </w:r>
      <w:r>
        <w:rPr>
          <w:rFonts w:cs="Arial" w:ascii="Times New Roman" w:hAnsi="Times New Roman"/>
          <w:b/>
          <w:sz w:val="24"/>
          <w:szCs w:val="24"/>
        </w:rPr>
        <w:t>c</w:t>
      </w:r>
      <w:r>
        <w:rPr>
          <w:rFonts w:cs="Arial" w:ascii="Times New Roman" w:hAnsi="Times New Roman"/>
          <w:b/>
          <w:bCs/>
          <w:sz w:val="24"/>
          <w:szCs w:val="24"/>
        </w:rPr>
        <w:t>ustear as despesas decorrentes do consumo de energia elétrica pelas unidades relacionadas à Secretaria Municipal de Obras e Serviços Urbanos, no exercício de 2024</w:t>
      </w:r>
      <w:r>
        <w:rPr>
          <w:rFonts w:cs="Arial" w:ascii="Times New Roman" w:hAnsi="Times New Roman"/>
          <w:bCs/>
          <w:sz w:val="24"/>
          <w:szCs w:val="24"/>
        </w:rPr>
        <w:t>, em virtude do desempenho de suas atividades, em favor da empresa Luz e Força Santa Maria S/A</w:t>
      </w:r>
      <w:r>
        <w:rPr>
          <w:rFonts w:cs="Arial" w:ascii="Times New Roman" w:hAnsi="Times New Roman"/>
          <w:sz w:val="24"/>
          <w:szCs w:val="24"/>
        </w:rPr>
        <w:t xml:space="preserve">, </w:t>
      </w:r>
      <w:r>
        <w:rPr>
          <w:rFonts w:cs="Arial" w:ascii="Times New Roman" w:hAnsi="Times New Roman"/>
          <w:bCs/>
          <w:sz w:val="24"/>
          <w:szCs w:val="24"/>
        </w:rPr>
        <w:t xml:space="preserve">com fulcro no art. 60, da Lei Federal nº </w:t>
      </w:r>
      <w:r>
        <w:rPr>
          <w:rFonts w:cs="Arial" w:ascii="Times New Roman" w:hAnsi="Times New Roman"/>
          <w:sz w:val="24"/>
          <w:szCs w:val="24"/>
        </w:rPr>
        <w:t xml:space="preserve">4.320/1964, art. 74, </w:t>
      </w:r>
      <w:r>
        <w:rPr>
          <w:rFonts w:cs="Arial" w:ascii="Times New Roman" w:hAnsi="Times New Roman"/>
          <w:i/>
          <w:sz w:val="24"/>
          <w:szCs w:val="24"/>
        </w:rPr>
        <w:t>caput</w:t>
      </w:r>
      <w:r>
        <w:rPr>
          <w:rFonts w:cs="Arial" w:ascii="Times New Roman" w:hAnsi="Times New Roman"/>
          <w:sz w:val="24"/>
          <w:szCs w:val="24"/>
        </w:rPr>
        <w:t>, da Lei Federal nº 14.133/2021.</w:t>
      </w:r>
    </w:p>
    <w:p>
      <w:pPr>
        <w:pStyle w:val="ListParagraph"/>
        <w:spacing w:lineRule="auto" w:line="360" w:before="0" w:after="0"/>
        <w:ind w:left="0" w:hanging="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hd w:val="clear" w:color="auto" w:fill="F2F2F2" w:themeFill="background1" w:themeFillShade="f2"/>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DAS UNIDADES CONSUMIDORAS</w:t>
      </w:r>
    </w:p>
    <w:p>
      <w:pPr>
        <w:pStyle w:val="ListParagraph"/>
        <w:spacing w:lineRule="auto" w:line="360" w:before="0" w:after="0"/>
        <w:ind w:left="0" w:hanging="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2"/>
          <w:numId w:val="3"/>
        </w:numPr>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A</w:t>
      </w:r>
      <w:r>
        <w:rPr>
          <w:rFonts w:cs="Arial" w:ascii="Times New Roman" w:hAnsi="Times New Roman"/>
          <w:sz w:val="24"/>
          <w:szCs w:val="24"/>
          <w:shd w:fill="auto" w:val="clear"/>
        </w:rPr>
        <w:t xml:space="preserve"> demanda em questão objetiva o pleno e efetivo funcionamento dos estabelecimentos integrantes da Secretaria de Obras e Serviços Urbanos quais sejam:</w:t>
      </w:r>
    </w:p>
    <w:p>
      <w:pPr>
        <w:pStyle w:val="ListParagraph"/>
        <w:spacing w:lineRule="auto" w:line="360" w:before="0" w:after="0"/>
        <w:ind w:left="0" w:hanging="0"/>
        <w:contextualSpacing/>
        <w:jc w:val="both"/>
        <w:rPr>
          <w:rFonts w:ascii="Times New Roman" w:hAnsi="Times New Roman" w:cs="Arial"/>
          <w:sz w:val="24"/>
          <w:szCs w:val="24"/>
          <w:highlight w:val="none"/>
          <w:shd w:fill="FFFF00" w:val="clear"/>
        </w:rPr>
      </w:pPr>
      <w:r>
        <w:rPr>
          <w:rFonts w:cs="Arial" w:ascii="Times New Roman" w:hAnsi="Times New Roman"/>
          <w:sz w:val="24"/>
          <w:szCs w:val="24"/>
          <w:shd w:fill="FFFF00" w:val="clear"/>
        </w:rPr>
      </w:r>
    </w:p>
    <w:p>
      <w:pPr>
        <w:pStyle w:val="ListParagraph"/>
        <w:spacing w:lineRule="auto" w:line="360" w:before="0" w:after="0"/>
        <w:ind w:left="0" w:hanging="0"/>
        <w:contextualSpacing/>
        <w:jc w:val="both"/>
        <w:rPr>
          <w:rFonts w:ascii="Times New Roman" w:hAnsi="Times New Roman"/>
          <w:b w:val="false"/>
          <w:b w:val="false"/>
          <w:bCs w:val="false"/>
          <w:sz w:val="24"/>
          <w:szCs w:val="24"/>
          <w:highlight w:val="none"/>
          <w:shd w:fill="auto" w:val="clear"/>
        </w:rPr>
      </w:pPr>
      <w:r>
        <w:rPr>
          <w:rFonts w:cs="Arial" w:ascii="Times New Roman" w:hAnsi="Times New Roman"/>
          <w:b w:val="false"/>
          <w:bCs w:val="false"/>
          <w:sz w:val="24"/>
          <w:szCs w:val="24"/>
          <w:shd w:fill="auto" w:val="clear"/>
        </w:rPr>
        <w:t xml:space="preserve">a) Iluminação Pública: </w:t>
      </w:r>
      <w:r>
        <w:rPr>
          <w:rFonts w:cs="Arial" w:ascii="Times New Roman" w:hAnsi="Times New Roman"/>
          <w:b/>
          <w:bCs/>
          <w:sz w:val="24"/>
          <w:szCs w:val="24"/>
          <w:shd w:fill="auto" w:val="clear"/>
        </w:rPr>
        <w:t>identificação nº 060254</w:t>
      </w:r>
      <w:r>
        <w:rPr>
          <w:rFonts w:cs="Arial" w:ascii="Times New Roman" w:hAnsi="Times New Roman"/>
          <w:b w:val="false"/>
          <w:bCs w:val="false"/>
          <w:sz w:val="24"/>
          <w:szCs w:val="24"/>
          <w:shd w:fill="auto" w:val="clear"/>
        </w:rPr>
        <w:t>;</w:t>
      </w:r>
    </w:p>
    <w:p>
      <w:pPr>
        <w:pStyle w:val="ListParagraph"/>
        <w:spacing w:lineRule="auto" w:line="360" w:before="0" w:after="0"/>
        <w:ind w:left="0" w:hanging="0"/>
        <w:contextualSpacing/>
        <w:jc w:val="both"/>
        <w:rPr>
          <w:rFonts w:ascii="Times New Roman" w:hAnsi="Times New Roman"/>
          <w:b w:val="false"/>
          <w:b w:val="false"/>
          <w:bCs w:val="false"/>
          <w:sz w:val="24"/>
          <w:szCs w:val="24"/>
          <w:highlight w:val="none"/>
          <w:shd w:fill="auto" w:val="clear"/>
        </w:rPr>
      </w:pPr>
      <w:r>
        <w:rPr>
          <w:rFonts w:cs="Arial" w:ascii="Times New Roman" w:hAnsi="Times New Roman"/>
          <w:b w:val="false"/>
          <w:bCs w:val="false"/>
          <w:sz w:val="24"/>
          <w:szCs w:val="24"/>
          <w:shd w:fill="auto" w:val="clear"/>
        </w:rPr>
        <w:t xml:space="preserve">b) Iluminação Pública Praça Vila Espanhola: </w:t>
      </w:r>
      <w:r>
        <w:rPr>
          <w:rFonts w:cs="Arial" w:ascii="Times New Roman" w:hAnsi="Times New Roman"/>
          <w:b/>
          <w:bCs/>
          <w:sz w:val="24"/>
          <w:szCs w:val="24"/>
          <w:shd w:fill="auto" w:val="clear"/>
        </w:rPr>
        <w:t>identificação nº 094342;</w:t>
      </w:r>
    </w:p>
    <w:p>
      <w:pPr>
        <w:pStyle w:val="ListParagraph"/>
        <w:spacing w:lineRule="auto" w:line="360" w:before="0" w:after="0"/>
        <w:ind w:left="0" w:hanging="0"/>
        <w:contextualSpacing/>
        <w:jc w:val="both"/>
        <w:rPr>
          <w:rFonts w:ascii="Times New Roman" w:hAnsi="Times New Roman"/>
          <w:b w:val="false"/>
          <w:b w:val="false"/>
          <w:bCs w:val="false"/>
          <w:sz w:val="24"/>
          <w:szCs w:val="24"/>
          <w:highlight w:val="none"/>
          <w:shd w:fill="auto" w:val="clear"/>
        </w:rPr>
      </w:pPr>
      <w:r>
        <w:rPr>
          <w:rFonts w:cs="Arial" w:ascii="Times New Roman" w:hAnsi="Times New Roman"/>
          <w:b w:val="false"/>
          <w:bCs w:val="false"/>
          <w:sz w:val="24"/>
          <w:szCs w:val="24"/>
          <w:shd w:fill="auto" w:val="clear"/>
        </w:rPr>
        <w:t xml:space="preserve">c) Iluminação Pública Nossa Senhora das Graças: </w:t>
      </w:r>
      <w:r>
        <w:rPr>
          <w:rFonts w:cs="Arial" w:ascii="Times New Roman" w:hAnsi="Times New Roman"/>
          <w:b/>
          <w:bCs/>
          <w:sz w:val="24"/>
          <w:szCs w:val="24"/>
          <w:shd w:fill="auto" w:val="clear"/>
        </w:rPr>
        <w:t>identificação 093049</w:t>
      </w:r>
      <w:r>
        <w:rPr>
          <w:rFonts w:cs="Arial" w:ascii="Times New Roman" w:hAnsi="Times New Roman"/>
          <w:b w:val="false"/>
          <w:bCs w:val="false"/>
          <w:sz w:val="24"/>
          <w:szCs w:val="24"/>
          <w:shd w:fill="auto" w:val="clear"/>
        </w:rPr>
        <w:t>;</w:t>
      </w:r>
    </w:p>
    <w:p>
      <w:pPr>
        <w:pStyle w:val="ListParagraph"/>
        <w:spacing w:lineRule="auto" w:line="360" w:before="0" w:after="0"/>
        <w:ind w:left="0" w:hanging="0"/>
        <w:contextualSpacing/>
        <w:jc w:val="both"/>
        <w:rPr>
          <w:rFonts w:ascii="Times New Roman" w:hAnsi="Times New Roman"/>
          <w:b w:val="false"/>
          <w:b w:val="false"/>
          <w:bCs w:val="false"/>
          <w:sz w:val="24"/>
          <w:szCs w:val="24"/>
          <w:highlight w:val="none"/>
          <w:shd w:fill="auto" w:val="clear"/>
        </w:rPr>
      </w:pPr>
      <w:r>
        <w:rPr>
          <w:rFonts w:cs="Arial" w:ascii="Times New Roman" w:hAnsi="Times New Roman"/>
          <w:b w:val="false"/>
          <w:bCs w:val="false"/>
          <w:sz w:val="24"/>
          <w:szCs w:val="24"/>
          <w:shd w:fill="auto" w:val="clear"/>
        </w:rPr>
        <w:t>d) Iluminação Pública Praça Sítio Recreio:</w:t>
      </w:r>
      <w:r>
        <w:rPr>
          <w:rFonts w:cs="Arial" w:ascii="Times New Roman" w:hAnsi="Times New Roman"/>
          <w:b/>
          <w:bCs/>
          <w:sz w:val="24"/>
          <w:szCs w:val="24"/>
          <w:shd w:fill="auto" w:val="clear"/>
        </w:rPr>
        <w:t xml:space="preserve"> identificação nº 142910;</w:t>
      </w:r>
    </w:p>
    <w:p>
      <w:pPr>
        <w:pStyle w:val="ListParagraph"/>
        <w:spacing w:lineRule="auto" w:line="360" w:before="0" w:after="0"/>
        <w:ind w:left="0" w:hanging="0"/>
        <w:contextualSpacing/>
        <w:jc w:val="both"/>
        <w:rPr>
          <w:rFonts w:ascii="Times New Roman" w:hAnsi="Times New Roman"/>
          <w:b w:val="false"/>
          <w:b w:val="false"/>
          <w:bCs w:val="false"/>
          <w:sz w:val="24"/>
          <w:szCs w:val="24"/>
          <w:highlight w:val="none"/>
          <w:shd w:fill="auto" w:val="clear"/>
        </w:rPr>
      </w:pPr>
      <w:r>
        <w:rPr>
          <w:rFonts w:cs="Arial" w:ascii="Times New Roman" w:hAnsi="Times New Roman"/>
          <w:b w:val="false"/>
          <w:bCs w:val="false"/>
          <w:sz w:val="24"/>
          <w:szCs w:val="24"/>
          <w:shd w:fill="auto" w:val="clear"/>
        </w:rPr>
        <w:t xml:space="preserve">e) Iluminação Pública Ponte: </w:t>
      </w:r>
      <w:r>
        <w:rPr>
          <w:rFonts w:cs="Arial" w:ascii="Times New Roman" w:hAnsi="Times New Roman"/>
          <w:b/>
          <w:bCs/>
          <w:color w:val="000000"/>
          <w:sz w:val="24"/>
          <w:szCs w:val="24"/>
          <w:shd w:fill="auto" w:val="clear"/>
        </w:rPr>
        <w:t>identificação nº 143100;</w:t>
      </w:r>
    </w:p>
    <w:p>
      <w:pPr>
        <w:pStyle w:val="ListParagraph"/>
        <w:spacing w:lineRule="auto" w:line="360" w:before="0" w:after="0"/>
        <w:ind w:left="0" w:hanging="0"/>
        <w:contextualSpacing/>
        <w:jc w:val="both"/>
        <w:rPr>
          <w:rFonts w:ascii="Times New Roman" w:hAnsi="Times New Roman"/>
          <w:b w:val="false"/>
          <w:b w:val="false"/>
          <w:bCs w:val="false"/>
          <w:sz w:val="24"/>
          <w:szCs w:val="24"/>
          <w:highlight w:val="none"/>
          <w:shd w:fill="auto" w:val="clear"/>
        </w:rPr>
      </w:pPr>
      <w:r>
        <w:rPr>
          <w:rFonts w:cs="Arial" w:ascii="Times New Roman" w:hAnsi="Times New Roman"/>
          <w:b w:val="false"/>
          <w:bCs w:val="false"/>
          <w:color w:val="000000"/>
          <w:sz w:val="24"/>
          <w:szCs w:val="24"/>
          <w:shd w:fill="auto" w:val="clear"/>
        </w:rPr>
        <w:t xml:space="preserve">f) Fábrica de Blocos: </w:t>
      </w:r>
      <w:r>
        <w:rPr>
          <w:rFonts w:cs="Arial" w:ascii="Times New Roman" w:hAnsi="Times New Roman"/>
          <w:b/>
          <w:bCs/>
          <w:color w:val="000000"/>
          <w:sz w:val="24"/>
          <w:szCs w:val="24"/>
          <w:shd w:fill="auto" w:val="clear"/>
        </w:rPr>
        <w:t>identificação nº 091516;</w:t>
      </w:r>
    </w:p>
    <w:p>
      <w:pPr>
        <w:pStyle w:val="ListParagraph"/>
        <w:spacing w:lineRule="auto" w:line="360" w:before="0" w:after="0"/>
        <w:ind w:left="0" w:hanging="0"/>
        <w:contextualSpacing/>
        <w:jc w:val="both"/>
        <w:rPr>
          <w:rFonts w:ascii="Times New Roman" w:hAnsi="Times New Roman"/>
          <w:b w:val="false"/>
          <w:b w:val="false"/>
          <w:bCs w:val="false"/>
          <w:sz w:val="24"/>
          <w:szCs w:val="24"/>
          <w:highlight w:val="none"/>
          <w:shd w:fill="auto" w:val="clear"/>
        </w:rPr>
      </w:pPr>
      <w:r>
        <w:rPr>
          <w:rFonts w:cs="Arial" w:ascii="Times New Roman" w:hAnsi="Times New Roman"/>
          <w:b w:val="false"/>
          <w:bCs w:val="false"/>
          <w:color w:val="000000"/>
          <w:sz w:val="24"/>
          <w:szCs w:val="24"/>
          <w:shd w:fill="auto" w:val="clear"/>
        </w:rPr>
        <w:t xml:space="preserve">g) Pátio/ Obras: </w:t>
      </w:r>
      <w:r>
        <w:rPr>
          <w:rFonts w:cs="Arial" w:ascii="Times New Roman" w:hAnsi="Times New Roman"/>
          <w:b/>
          <w:bCs/>
          <w:color w:val="000000"/>
          <w:sz w:val="24"/>
          <w:szCs w:val="24"/>
          <w:shd w:fill="auto" w:val="clear"/>
        </w:rPr>
        <w:t>identificação nº 130344.</w:t>
      </w:r>
    </w:p>
    <w:p>
      <w:pPr>
        <w:pStyle w:val="ListParagraph"/>
        <w:spacing w:lineRule="auto" w:line="360" w:before="0" w:after="0"/>
        <w:ind w:left="0" w:hanging="0"/>
        <w:contextualSpacing/>
        <w:jc w:val="both"/>
        <w:rPr>
          <w:rFonts w:ascii="Times New Roman" w:hAnsi="Times New Roman" w:cs="Arial"/>
          <w:b w:val="false"/>
          <w:b w:val="false"/>
          <w:bCs w:val="false"/>
          <w:sz w:val="24"/>
          <w:szCs w:val="24"/>
          <w:highlight w:val="none"/>
          <w:shd w:fill="auto" w:val="clear"/>
        </w:rPr>
      </w:pPr>
      <w:r>
        <w:rPr>
          <w:rFonts w:cs="Arial" w:ascii="Times New Roman" w:hAnsi="Times New Roman"/>
          <w:b w:val="false"/>
          <w:bCs w:val="false"/>
          <w:sz w:val="24"/>
          <w:szCs w:val="24"/>
          <w:shd w:fill="auto" w:val="clear"/>
        </w:rPr>
      </w:r>
    </w:p>
    <w:p>
      <w:pPr>
        <w:pStyle w:val="ListParagraph"/>
        <w:numPr>
          <w:ilvl w:val="1"/>
          <w:numId w:val="2"/>
        </w:numPr>
        <w:shd w:val="clear" w:color="auto" w:fill="F2F2F2" w:themeFill="background1" w:themeFillShade="f2"/>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DA VIGÊNCIA</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2"/>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O </w:t>
      </w:r>
      <w:r>
        <w:rPr>
          <w:rFonts w:cs="Arial" w:ascii="Times New Roman" w:hAnsi="Times New Roman"/>
          <w:b/>
          <w:sz w:val="24"/>
          <w:szCs w:val="24"/>
        </w:rPr>
        <w:t>empenho estimativo</w:t>
      </w:r>
      <w:r>
        <w:rPr>
          <w:rFonts w:cs="Arial" w:ascii="Times New Roman" w:hAnsi="Times New Roman"/>
          <w:sz w:val="24"/>
          <w:szCs w:val="24"/>
        </w:rPr>
        <w:t xml:space="preserve"> deverá ocorrer, preferencialmente, no mês de janeiro de 2024, com vigência programada para custeio das despesas relativas ao consumo de energia elétrica no </w:t>
      </w:r>
      <w:r>
        <w:rPr>
          <w:rFonts w:cs="Arial" w:ascii="Times New Roman" w:hAnsi="Times New Roman"/>
          <w:b/>
          <w:sz w:val="24"/>
          <w:szCs w:val="24"/>
        </w:rPr>
        <w:t>período de 01/01/2024 à 31/12/2024.</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DO OBJETIVO E DA JUSTIFICATIVA</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Licitação é o procedimento administrativo formal em que a Administração convoca, mediante condições estabelecidas em ato próprio (edital), empresas interessadas na apresentação de propostas para o oferecimento de bens e serviços. O ordenamento brasileiro, em sua Carta Magna (art. 37, inciso XXI), determinou a obrigatoriedade da licitação para todas as aquisições de bens e contratações de serviços e obras realizadas pela Administração no exercício de suas funções. Nessa perspectiva, a Lei Federal nº 14.133/2021 estabelece as normas gerais sobre licitações e contratos.</w:t>
      </w:r>
    </w:p>
    <w:p>
      <w:pPr>
        <w:pStyle w:val="Normal"/>
        <w:spacing w:lineRule="auto" w:line="360" w:before="0" w:after="0"/>
        <w:rPr>
          <w:rFonts w:ascii="Times New Roman" w:hAnsi="Times New Roman" w:cs="Arial"/>
          <w:sz w:val="24"/>
          <w:szCs w:val="24"/>
          <w:highlight w:val="yellow"/>
        </w:rPr>
      </w:pPr>
      <w:r>
        <w:rPr>
          <w:rFonts w:cs="Arial" w:ascii="Times New Roman" w:hAnsi="Times New Roman"/>
          <w:sz w:val="24"/>
          <w:szCs w:val="24"/>
          <w:highlight w:val="yellow"/>
        </w:rPr>
      </w:r>
    </w:p>
    <w:p>
      <w:pPr>
        <w:pStyle w:val="ListParagraph"/>
        <w:numPr>
          <w:ilvl w:val="1"/>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A fundamentação pormenorizada quanto à necessidade de contratação do presente objeto pode ser encontrada no Documento de Formalização de Demanda e neste instrumento referencial, de modo que, em virtude da natureza do objeto em questão, dispensa-se a elaboração do Estudo Técnico Preliminar (ETP), conforme se passa a demonstrar.</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Veja, em síntese, pode-se destacar que a dispensa do Estudo Técnico Preliminar (ETP) para a contratação em questão se fundamenta em uma série de circunstâncias específicas e de ordem jurídica, como a Lei Federal nº 4.320/1964. A respectiva norma dispõe em seu art. 60, que é </w:t>
      </w:r>
      <w:r>
        <w:rPr>
          <w:rFonts w:cs="Arial" w:ascii="Times New Roman" w:hAnsi="Times New Roman"/>
          <w:b/>
          <w:sz w:val="24"/>
          <w:szCs w:val="24"/>
        </w:rPr>
        <w:t>vedada a realização de despesas sem prévio empenho.</w:t>
      </w:r>
      <w:r>
        <w:rPr>
          <w:rFonts w:cs="Arial" w:ascii="Times New Roman" w:hAnsi="Times New Roman"/>
          <w:sz w:val="24"/>
          <w:szCs w:val="24"/>
        </w:rPr>
        <w:t xml:space="preserve"> O empenho, conceitualmente, trata-se do primeiro estágio da execução da despesa pública, o qual se caracteriza como um ato emanado da autoridade competente que compromete parcela de dotação orçamentária disponível, funcionando como uma garantia ao credor do ente público de que existe o crédito necessário para a liquidação de um compromisso assumido (art. 58, LRF).</w:t>
      </w:r>
    </w:p>
    <w:p>
      <w:pPr>
        <w:pStyle w:val="NormalWeb"/>
        <w:spacing w:lineRule="auto" w:line="360" w:beforeAutospacing="0" w:before="0" w:afterAutospacing="0" w:after="0"/>
        <w:jc w:val="both"/>
        <w:rPr>
          <w:rFonts w:ascii="Times New Roman" w:hAnsi="Times New Roman" w:cs="Arial"/>
          <w:sz w:val="24"/>
          <w:szCs w:val="24"/>
        </w:rPr>
      </w:pPr>
      <w:r>
        <w:rPr>
          <w:rFonts w:cs="Arial"/>
          <w:sz w:val="24"/>
          <w:szCs w:val="24"/>
        </w:rPr>
      </w:r>
    </w:p>
    <w:p>
      <w:pPr>
        <w:pStyle w:val="NormalWeb"/>
        <w:numPr>
          <w:ilvl w:val="1"/>
          <w:numId w:val="1"/>
        </w:numPr>
        <w:spacing w:lineRule="auto" w:line="360" w:beforeAutospacing="0" w:before="0" w:afterAutospacing="0" w:after="0"/>
        <w:ind w:left="0" w:hanging="0"/>
        <w:jc w:val="both"/>
        <w:rPr>
          <w:rFonts w:ascii="Times New Roman" w:hAnsi="Times New Roman"/>
          <w:sz w:val="24"/>
          <w:szCs w:val="24"/>
        </w:rPr>
      </w:pPr>
      <w:r>
        <w:rPr>
          <w:rFonts w:cs="Arial"/>
          <w:sz w:val="24"/>
          <w:szCs w:val="24"/>
        </w:rPr>
        <w:t xml:space="preserve">Nessa perspectiva, o art. 60, §2º, da Lei Federal nº 4.320/1964, disciplina que, nas hipóteses de o montante da despesa não for possível ser determinado, será feito o </w:t>
      </w:r>
      <w:r>
        <w:rPr>
          <w:rFonts w:cs="Arial"/>
          <w:b/>
          <w:sz w:val="24"/>
          <w:szCs w:val="24"/>
        </w:rPr>
        <w:t>empenho por estimativa.</w:t>
      </w:r>
      <w:r>
        <w:rPr>
          <w:rFonts w:cs="Arial"/>
          <w:sz w:val="24"/>
          <w:szCs w:val="24"/>
        </w:rPr>
        <w:t xml:space="preserve"> Tem-se, portanto, como aquele em que </w:t>
      </w:r>
      <w:r>
        <w:rPr>
          <w:rFonts w:cs="Arial"/>
          <w:b/>
          <w:sz w:val="24"/>
          <w:szCs w:val="24"/>
        </w:rPr>
        <w:t>não se pode determinar previamente o montante exato a ser pago</w:t>
      </w:r>
      <w:r>
        <w:rPr>
          <w:rFonts w:cs="Arial"/>
          <w:sz w:val="24"/>
          <w:szCs w:val="24"/>
        </w:rPr>
        <w:t>, como ocorre, em particular, com as contas de água, luz, gás e telefone.</w:t>
      </w:r>
    </w:p>
    <w:p>
      <w:pPr>
        <w:pStyle w:val="NormalWeb"/>
        <w:spacing w:lineRule="auto" w:line="360" w:beforeAutospacing="0" w:before="0" w:afterAutospacing="0" w:after="0"/>
        <w:jc w:val="both"/>
        <w:rPr>
          <w:rFonts w:ascii="Times New Roman" w:hAnsi="Times New Roman" w:cs="Arial"/>
          <w:sz w:val="24"/>
          <w:szCs w:val="24"/>
        </w:rPr>
      </w:pPr>
      <w:r>
        <w:rPr>
          <w:rFonts w:cs="Arial"/>
          <w:sz w:val="24"/>
          <w:szCs w:val="24"/>
        </w:rPr>
      </w:r>
    </w:p>
    <w:p>
      <w:pPr>
        <w:pStyle w:val="NormalWeb"/>
        <w:numPr>
          <w:ilvl w:val="1"/>
          <w:numId w:val="1"/>
        </w:numPr>
        <w:spacing w:lineRule="auto" w:line="360" w:beforeAutospacing="0" w:before="0" w:afterAutospacing="0" w:after="0"/>
        <w:ind w:left="0" w:hanging="0"/>
        <w:jc w:val="both"/>
        <w:rPr>
          <w:rFonts w:ascii="Times New Roman" w:hAnsi="Times New Roman"/>
          <w:sz w:val="24"/>
          <w:szCs w:val="24"/>
        </w:rPr>
      </w:pPr>
      <w:r>
        <w:rPr>
          <w:rFonts w:cs="Arial"/>
          <w:sz w:val="24"/>
          <w:szCs w:val="24"/>
        </w:rPr>
        <w:t xml:space="preserve">Ademais, a Lei Federal nº 14.133, por meio do art. 74, </w:t>
      </w:r>
      <w:r>
        <w:rPr>
          <w:rFonts w:cs="Arial"/>
          <w:i/>
          <w:sz w:val="24"/>
          <w:szCs w:val="24"/>
        </w:rPr>
        <w:t>caput</w:t>
      </w:r>
      <w:r>
        <w:rPr>
          <w:rFonts w:cs="Arial"/>
          <w:sz w:val="24"/>
          <w:szCs w:val="24"/>
        </w:rPr>
        <w:t>, determina a inexigibilidade de licitação nas hipóteses de ser inviável a competição. Desse modo, com base no Contrato de Concessão de Distribuição nº 20/99, celebrado entre a União e a Empresa Luz e Força Santa Maria S.A., cuja vigência se estende até 07 de julho de 2045, do qual o Município de São Roque do Canaã é integrante das áreas de concessão, torna-se evidente a exceção à regra.</w:t>
      </w:r>
    </w:p>
    <w:p>
      <w:pPr>
        <w:pStyle w:val="NormalWeb"/>
        <w:spacing w:lineRule="auto" w:line="360" w:beforeAutospacing="0" w:before="0" w:afterAutospacing="0" w:after="0"/>
        <w:jc w:val="both"/>
        <w:rPr>
          <w:rFonts w:ascii="Times New Roman" w:hAnsi="Times New Roman" w:cs="Arial"/>
          <w:sz w:val="24"/>
          <w:szCs w:val="24"/>
        </w:rPr>
      </w:pPr>
      <w:r>
        <w:rPr>
          <w:rFonts w:cs="Arial"/>
          <w:sz w:val="24"/>
          <w:szCs w:val="24"/>
        </w:rPr>
      </w:r>
    </w:p>
    <w:p>
      <w:pPr>
        <w:pStyle w:val="NormalWeb"/>
        <w:numPr>
          <w:ilvl w:val="1"/>
          <w:numId w:val="1"/>
        </w:numPr>
        <w:spacing w:lineRule="auto" w:line="360" w:beforeAutospacing="0" w:before="0" w:afterAutospacing="0" w:after="0"/>
        <w:ind w:left="0" w:hanging="0"/>
        <w:jc w:val="both"/>
        <w:rPr>
          <w:rFonts w:ascii="Times New Roman" w:hAnsi="Times New Roman"/>
          <w:sz w:val="24"/>
          <w:szCs w:val="24"/>
        </w:rPr>
      </w:pPr>
      <w:r>
        <w:rPr>
          <w:rFonts w:cs="Arial"/>
          <w:sz w:val="24"/>
          <w:szCs w:val="24"/>
        </w:rPr>
        <w:t xml:space="preserve">Assim, por consequência, dada à natureza do objeto em questão, </w:t>
      </w:r>
      <w:r>
        <w:rPr>
          <w:rFonts w:cs="Arial"/>
          <w:b/>
          <w:sz w:val="24"/>
          <w:szCs w:val="24"/>
        </w:rPr>
        <w:t>dispensa-se a elaboração do Estudo Técnico Preliminar (ETP)</w:t>
      </w:r>
      <w:r>
        <w:rPr>
          <w:rFonts w:cs="Arial"/>
          <w:sz w:val="24"/>
          <w:szCs w:val="24"/>
        </w:rPr>
        <w:t xml:space="preserve">, vez que a </w:t>
      </w:r>
      <w:r>
        <w:rPr>
          <w:rFonts w:cs="Arial"/>
          <w:b/>
          <w:sz w:val="24"/>
          <w:szCs w:val="24"/>
        </w:rPr>
        <w:t>solução adequada</w:t>
      </w:r>
      <w:r>
        <w:rPr>
          <w:rFonts w:cs="Arial"/>
          <w:sz w:val="24"/>
          <w:szCs w:val="24"/>
        </w:rPr>
        <w:t xml:space="preserve"> para o custeio das despesas decorrentes do consumo de energia elétrica pelas unidades relativas à Secretaria Municipal de Saúde, </w:t>
      </w:r>
      <w:r>
        <w:rPr>
          <w:rFonts w:cs="Arial"/>
          <w:b/>
          <w:sz w:val="24"/>
          <w:szCs w:val="24"/>
        </w:rPr>
        <w:t>é a realização de</w:t>
      </w:r>
      <w:r>
        <w:rPr>
          <w:rFonts w:cs="Arial"/>
          <w:sz w:val="24"/>
          <w:szCs w:val="24"/>
        </w:rPr>
        <w:t xml:space="preserve"> </w:t>
      </w:r>
      <w:r>
        <w:rPr>
          <w:rFonts w:cs="Arial"/>
          <w:b/>
          <w:sz w:val="24"/>
          <w:szCs w:val="24"/>
        </w:rPr>
        <w:t>empenho estimativo</w:t>
      </w:r>
      <w:r>
        <w:rPr>
          <w:rFonts w:cs="Arial"/>
          <w:bCs/>
          <w:sz w:val="24"/>
          <w:szCs w:val="24"/>
        </w:rPr>
        <w:t xml:space="preserve">, com fulcro no art. 60, da Lei Federal nº </w:t>
      </w:r>
      <w:r>
        <w:rPr>
          <w:rFonts w:cs="Arial"/>
          <w:sz w:val="24"/>
          <w:szCs w:val="24"/>
        </w:rPr>
        <w:t xml:space="preserve">4.320/1964 e art. 74, </w:t>
      </w:r>
      <w:r>
        <w:rPr>
          <w:rFonts w:cs="Arial"/>
          <w:i/>
          <w:sz w:val="24"/>
          <w:szCs w:val="24"/>
        </w:rPr>
        <w:t>caput</w:t>
      </w:r>
      <w:r>
        <w:rPr>
          <w:rFonts w:cs="Arial"/>
          <w:sz w:val="24"/>
          <w:szCs w:val="24"/>
        </w:rPr>
        <w:t>, da Lei Federal nº 14.133/2021.</w:t>
      </w:r>
    </w:p>
    <w:p>
      <w:pPr>
        <w:pStyle w:val="ListParagraph"/>
        <w:spacing w:lineRule="auto" w:line="360" w:before="0" w:after="0"/>
        <w:ind w:left="0" w:hanging="0"/>
        <w:contextualSpacing/>
        <w:jc w:val="both"/>
        <w:rPr>
          <w:rFonts w:ascii="Times New Roman" w:hAnsi="Times New Roman" w:cs="Arial"/>
          <w:sz w:val="24"/>
          <w:szCs w:val="24"/>
        </w:rPr>
      </w:pPr>
      <w:r>
        <w:rPr>
          <w:rFonts w:cs="Arial" w:ascii="Times New Roman" w:hAnsi="Times New Roman"/>
          <w:sz w:val="24"/>
          <w:szCs w:val="24"/>
        </w:rPr>
      </w:r>
    </w:p>
    <w:p>
      <w:pPr>
        <w:pStyle w:val="ListParagraph"/>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Justificando, o presente Termo de Referência visa </w:t>
      </w:r>
      <w:r>
        <w:rPr>
          <w:rFonts w:cs="Arial" w:ascii="Times New Roman" w:hAnsi="Times New Roman"/>
          <w:b/>
          <w:sz w:val="24"/>
          <w:szCs w:val="24"/>
        </w:rPr>
        <w:t xml:space="preserve">esclarecer e direcionar os procedimentos essenciais para a Inexigibilidade de Licitação e realização de Empenho por estimativa, </w:t>
      </w:r>
      <w:r>
        <w:rPr>
          <w:rFonts w:cs="Arial" w:ascii="Times New Roman" w:hAnsi="Times New Roman"/>
          <w:sz w:val="24"/>
          <w:szCs w:val="24"/>
        </w:rPr>
        <w:t>de modo que, apresentam-se sugestões básicas sobre os procedimentos administrativos mais comuns nas licitações públicas municipais e o atendimento aos requisitos estabelecidos evitará equívocos nas compras e contrações a serem realizadas, em decorrência da presente demanda.</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DA FORMALIZAÇÃO DA ATA DE REGISTRO DE PREÇOS, DOS USUÁRIOS DO REGISTRO DE PREÇOS E DO FORNECIMENTO</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r>
        <w:rPr>
          <w:rFonts w:cs="Arial" w:ascii="Times New Roman" w:hAnsi="Times New Roman"/>
          <w:sz w:val="24"/>
          <w:szCs w:val="24"/>
        </w:rPr>
        <w:t>.</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DO OBJETO LICITADO</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hd w:val="clear" w:color="auto" w:fill="F2F2F2" w:themeFill="background1" w:themeFillShade="f2"/>
        <w:spacing w:lineRule="auto" w:line="360" w:before="0" w:after="0"/>
        <w:ind w:left="0" w:hanging="0"/>
        <w:contextualSpacing/>
        <w:jc w:val="both"/>
        <w:rPr>
          <w:rFonts w:ascii="Times New Roman" w:hAnsi="Times New Roman"/>
          <w:sz w:val="24"/>
          <w:szCs w:val="24"/>
        </w:rPr>
      </w:pPr>
      <w:r>
        <w:rPr>
          <w:rFonts w:cs="Arial" w:ascii="Times New Roman" w:hAnsi="Times New Roman"/>
          <w:b/>
          <w:sz w:val="24"/>
          <w:szCs w:val="24"/>
        </w:rPr>
        <w:t>DA SOLUÇÃO E DO CICLO DE VIDA DO OBJETO</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2"/>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b/>
          <w:sz w:val="24"/>
          <w:szCs w:val="24"/>
        </w:rPr>
        <w:t>A descrição da solução como um todo se encontra pormenorizada na Lei Federal nº 14.133/2021, na Lei Federal nº 4.320/1964, na Concessão</w:t>
      </w:r>
      <w:r>
        <w:rPr>
          <w:rFonts w:cs="Arial" w:ascii="Times New Roman" w:hAnsi="Times New Roman"/>
          <w:sz w:val="24"/>
          <w:szCs w:val="24"/>
        </w:rPr>
        <w:t xml:space="preserve"> de Distribuição nº 20/99</w:t>
      </w:r>
      <w:r>
        <w:rPr>
          <w:rFonts w:cs="Arial" w:ascii="Times New Roman" w:hAnsi="Times New Roman"/>
          <w:b/>
          <w:sz w:val="24"/>
          <w:szCs w:val="24"/>
        </w:rPr>
        <w:t xml:space="preserve"> e demais normativas vigentes, inclusive municipais, bem como no Documento de Formalização de Demanda</w:t>
      </w:r>
      <w:r>
        <w:rPr>
          <w:rFonts w:cs="Arial" w:ascii="Times New Roman" w:hAnsi="Times New Roman"/>
          <w:sz w:val="24"/>
          <w:szCs w:val="24"/>
        </w:rPr>
        <w:t>, qual seja a inexigibilidade de licitação e a realização de empenho por estimativa para custear as despesas decorrentes do consumo de energia elétrica.</w:t>
      </w:r>
    </w:p>
    <w:p>
      <w:pPr>
        <w:pStyle w:val="ListParagraph"/>
        <w:spacing w:lineRule="auto" w:line="360" w:before="0" w:after="0"/>
        <w:ind w:left="0" w:hanging="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hd w:val="clear" w:color="auto" w:fill="F2F2F2" w:themeFill="background1" w:themeFillShade="f2"/>
        <w:spacing w:lineRule="auto" w:line="360" w:before="0" w:after="0"/>
        <w:ind w:left="0" w:hanging="0"/>
        <w:contextualSpacing/>
        <w:jc w:val="both"/>
        <w:rPr>
          <w:rFonts w:ascii="Times New Roman" w:hAnsi="Times New Roman"/>
          <w:sz w:val="24"/>
          <w:szCs w:val="24"/>
        </w:rPr>
      </w:pPr>
      <w:r>
        <w:rPr>
          <w:rFonts w:cs="Arial" w:ascii="Times New Roman" w:hAnsi="Times New Roman"/>
          <w:b/>
          <w:sz w:val="24"/>
          <w:szCs w:val="24"/>
        </w:rPr>
        <w:t>DOS REQUISITOS DA CONTRATAÇÃO</w:t>
      </w:r>
    </w:p>
    <w:p>
      <w:pPr>
        <w:pStyle w:val="Normal"/>
        <w:spacing w:lineRule="auto" w:line="36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2"/>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A contratação será realizada em razão da necessidade de custeio das despesas decorrentes do consumo de energia elétrica pelas unidades relacionadas à Secretaria Municipal de Obras e Serviços Urbanos, no exercício de 2024, em virtude do desempenho de suas atividades.</w:t>
      </w:r>
    </w:p>
    <w:p>
      <w:pPr>
        <w:pStyle w:val="Normal"/>
        <w:spacing w:lineRule="auto" w:line="36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2"/>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A demanda em comento leva em conta a necessidade da Secretaria para o exercício financeiro de 2024.</w:t>
      </w:r>
    </w:p>
    <w:p>
      <w:pPr>
        <w:pStyle w:val="ListParagraph"/>
        <w:spacing w:lineRule="auto" w:line="360" w:before="0" w:after="0"/>
        <w:ind w:left="0" w:hanging="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2"/>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Para a demanda em questão, se necessário, será aferida a verificação da habilitação social, fiscal, trabalhista e técnica da empresa, de acordo com as premissas da Lei Federal nº 14.133/2021, em seu Capítulo VI.</w:t>
      </w:r>
    </w:p>
    <w:p>
      <w:pPr>
        <w:pStyle w:val="ListParagraph"/>
        <w:spacing w:lineRule="auto" w:line="360" w:before="0" w:after="0"/>
        <w:ind w:left="0" w:hanging="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hd w:val="clear" w:color="auto" w:fill="F2F2F2" w:themeFill="background1" w:themeFillShade="f2"/>
        <w:spacing w:lineRule="auto" w:line="360" w:before="0" w:after="0"/>
        <w:ind w:left="0" w:hanging="0"/>
        <w:contextualSpacing/>
        <w:jc w:val="both"/>
        <w:rPr>
          <w:rFonts w:ascii="Times New Roman" w:hAnsi="Times New Roman"/>
          <w:sz w:val="24"/>
          <w:szCs w:val="24"/>
        </w:rPr>
      </w:pPr>
      <w:r>
        <w:rPr>
          <w:rFonts w:cs="Arial" w:ascii="Times New Roman" w:hAnsi="Times New Roman"/>
          <w:b/>
          <w:sz w:val="24"/>
          <w:szCs w:val="24"/>
        </w:rPr>
        <w:t>DO FORNECIMENTO E RECEBIMENTO</w:t>
      </w:r>
    </w:p>
    <w:p>
      <w:pPr>
        <w:pStyle w:val="Normal"/>
        <w:spacing w:lineRule="auto" w:line="36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2"/>
          <w:numId w:val="2"/>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36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ListParagraph"/>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360" w:before="0" w:after="0"/>
        <w:ind w:left="0" w:hanging="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hd w:val="clear" w:color="auto" w:fill="F2F2F2" w:themeFill="background1" w:themeFillShade="f2"/>
        <w:spacing w:lineRule="auto" w:line="360" w:before="0" w:after="0"/>
        <w:ind w:left="0" w:hanging="0"/>
        <w:contextualSpacing/>
        <w:jc w:val="both"/>
        <w:rPr>
          <w:rFonts w:ascii="Times New Roman" w:hAnsi="Times New Roman"/>
          <w:sz w:val="24"/>
          <w:szCs w:val="24"/>
        </w:rPr>
      </w:pPr>
      <w:r>
        <w:rPr>
          <w:rFonts w:cs="Arial" w:ascii="Times New Roman" w:hAnsi="Times New Roman"/>
          <w:b/>
          <w:sz w:val="24"/>
          <w:szCs w:val="24"/>
        </w:rPr>
        <w:t>DAS CONDIÇÕES DE RECEBIMENTO DO OBJETO</w:t>
      </w:r>
    </w:p>
    <w:p>
      <w:pPr>
        <w:pStyle w:val="Normal"/>
        <w:spacing w:lineRule="auto" w:line="36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2"/>
          <w:numId w:val="2"/>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36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360" w:before="0" w:after="0"/>
        <w:jc w:val="both"/>
        <w:rPr>
          <w:rFonts w:ascii="Times New Roman" w:hAnsi="Times New Roman" w:cs="Arial"/>
          <w:sz w:val="24"/>
          <w:szCs w:val="24"/>
          <w:highlight w:val="yellow"/>
        </w:rPr>
      </w:pPr>
      <w:r>
        <w:rPr>
          <w:rFonts w:cs="Arial" w:ascii="Times New Roman" w:hAnsi="Times New Roman"/>
          <w:sz w:val="24"/>
          <w:szCs w:val="24"/>
          <w:highlight w:val="yellow"/>
        </w:rPr>
      </w:r>
    </w:p>
    <w:p>
      <w:pPr>
        <w:pStyle w:val="ListParagraph"/>
        <w:numPr>
          <w:ilvl w:val="1"/>
          <w:numId w:val="2"/>
        </w:numPr>
        <w:shd w:val="clear" w:color="auto" w:fill="F2F2F2" w:themeFill="background1" w:themeFillShade="f2"/>
        <w:spacing w:lineRule="auto" w:line="360" w:before="0" w:after="0"/>
        <w:ind w:left="0" w:hanging="0"/>
        <w:contextualSpacing/>
        <w:jc w:val="both"/>
        <w:rPr>
          <w:rFonts w:ascii="Times New Roman" w:hAnsi="Times New Roman"/>
          <w:sz w:val="24"/>
          <w:szCs w:val="24"/>
        </w:rPr>
      </w:pPr>
      <w:r>
        <w:rPr>
          <w:rFonts w:cs="Arial" w:ascii="Times New Roman" w:hAnsi="Times New Roman"/>
          <w:b/>
          <w:sz w:val="24"/>
          <w:szCs w:val="24"/>
        </w:rPr>
        <w:t>DAS OBRIGAÇÕES E RESPONSABILIDADES</w:t>
      </w:r>
    </w:p>
    <w:p>
      <w:pPr>
        <w:pStyle w:val="Normal"/>
        <w:spacing w:lineRule="auto" w:line="360" w:before="0" w:after="0"/>
        <w:jc w:val="both"/>
        <w:rPr>
          <w:rFonts w:ascii="Times New Roman" w:hAnsi="Times New Roman" w:cs="Arial"/>
          <w:sz w:val="24"/>
          <w:szCs w:val="24"/>
          <w:highlight w:val="yellow"/>
        </w:rPr>
      </w:pPr>
      <w:r>
        <w:rPr>
          <w:rFonts w:cs="Arial" w:ascii="Times New Roman" w:hAnsi="Times New Roman"/>
          <w:sz w:val="24"/>
          <w:szCs w:val="24"/>
          <w:highlight w:val="yellow"/>
        </w:rPr>
      </w:r>
    </w:p>
    <w:p>
      <w:pPr>
        <w:pStyle w:val="ListParagraph"/>
        <w:numPr>
          <w:ilvl w:val="2"/>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b/>
          <w:sz w:val="24"/>
          <w:szCs w:val="24"/>
        </w:rPr>
        <w:t>DAS OBRIGAÇÕES E RESPONSABILIDADES DA EMPRESA CONTRATADA</w:t>
      </w:r>
    </w:p>
    <w:p>
      <w:pPr>
        <w:pStyle w:val="Normal"/>
        <w:spacing w:lineRule="auto" w:line="360" w:before="0" w:after="0"/>
        <w:jc w:val="both"/>
        <w:rPr>
          <w:rFonts w:ascii="Times New Roman" w:hAnsi="Times New Roman" w:cs="Arial"/>
          <w:sz w:val="24"/>
          <w:szCs w:val="24"/>
          <w:highlight w:val="yellow"/>
        </w:rPr>
      </w:pPr>
      <w:r>
        <w:rPr>
          <w:rFonts w:cs="Arial" w:ascii="Times New Roman" w:hAnsi="Times New Roman"/>
          <w:sz w:val="24"/>
          <w:szCs w:val="24"/>
          <w:highlight w:val="yellow"/>
        </w:rPr>
      </w:r>
    </w:p>
    <w:p>
      <w:pPr>
        <w:pStyle w:val="ListParagraph"/>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Caberá ao CONTRATADO o cumprimento das seguintes obrigações: </w:t>
      </w:r>
    </w:p>
    <w:p>
      <w:pPr>
        <w:pStyle w:val="ListParagraph"/>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1 - Prestar os serviços, objeto da Contratação; </w:t>
      </w:r>
    </w:p>
    <w:p>
      <w:pPr>
        <w:pStyle w:val="ListParagraph"/>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2 - Não subcontratar, ceder ou transferir, total ou parcialmente, o objeto da Contratação; </w:t>
      </w:r>
    </w:p>
    <w:p>
      <w:pPr>
        <w:pStyle w:val="ListParagraph"/>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3 - Responsabilizar-se pelos encargos trabalhistas, previdenciários, fiscais e comerciais, resultantes da execução do objeto deste projeto;</w:t>
      </w:r>
    </w:p>
    <w:p>
      <w:pPr>
        <w:pStyle w:val="ListParagraph"/>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4 - Executar fielmente o objeto da Contratação com fornecimento ininterrupto de energia durante 365 (trezentos e sessenta e cinco) dias do ano de 2024; </w:t>
      </w:r>
    </w:p>
    <w:p>
      <w:pPr>
        <w:pStyle w:val="ListParagraph"/>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5 - Dar plena garantia e qualidade do serviço prestado; </w:t>
      </w:r>
    </w:p>
    <w:p>
      <w:pPr>
        <w:pStyle w:val="ListParagraph"/>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6 - Manter durante toda a execução do Contrato, em compatibilidade com as obrigações por ele assumidas, todas as condições de habilitação e qualificação legalmente exigidas;</w:t>
      </w:r>
    </w:p>
    <w:p>
      <w:pPr>
        <w:pStyle w:val="ListParagraph"/>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7 - Prestar, de imediato, todos os esclarecimentos que forem solicitados pela contratante, obrigando-se a atender todas as reclamações a respeito da qualidade do serviço prestado; </w:t>
      </w:r>
    </w:p>
    <w:p>
      <w:pPr>
        <w:pStyle w:val="ListParagraph"/>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8 - Comunicar a contratante, de imediato e por escrito, qualquer irregularidade verificada durante a execução do serviço, para a adoção das medidas necessárias à sua regularização; </w:t>
      </w:r>
    </w:p>
    <w:p>
      <w:pPr>
        <w:pStyle w:val="ListParagraph"/>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9 - Acatar as determinações feitas pela Contratante no que tange ao cumprimento do objeto do Contrato.</w:t>
      </w:r>
    </w:p>
    <w:p>
      <w:pPr>
        <w:pStyle w:val="Western"/>
        <w:spacing w:lineRule="auto" w:line="360" w:beforeAutospacing="0" w:before="0" w:after="0"/>
        <w:jc w:val="both"/>
        <w:rPr>
          <w:rFonts w:ascii="Times New Roman" w:hAnsi="Times New Roman" w:cs="Arial"/>
          <w:sz w:val="24"/>
          <w:szCs w:val="24"/>
        </w:rPr>
      </w:pPr>
      <w:r>
        <w:rPr>
          <w:rFonts w:cs="Arial"/>
          <w:sz w:val="24"/>
          <w:szCs w:val="24"/>
        </w:rPr>
      </w:r>
    </w:p>
    <w:p>
      <w:pPr>
        <w:pStyle w:val="ListParagraph"/>
        <w:numPr>
          <w:ilvl w:val="2"/>
          <w:numId w:val="4"/>
        </w:numPr>
        <w:suppressAutoHyphens w:val="true"/>
        <w:spacing w:lineRule="auto" w:line="360" w:before="0" w:after="0"/>
        <w:contextualSpacing/>
        <w:jc w:val="both"/>
        <w:rPr>
          <w:rFonts w:ascii="Times New Roman" w:hAnsi="Times New Roman"/>
          <w:sz w:val="24"/>
          <w:szCs w:val="24"/>
        </w:rPr>
      </w:pPr>
      <w:r>
        <w:rPr>
          <w:rFonts w:cs="Arial" w:ascii="Times New Roman" w:hAnsi="Times New Roman"/>
          <w:b/>
          <w:sz w:val="24"/>
          <w:szCs w:val="24"/>
        </w:rPr>
        <w:t>DAS OBRIGAÇÕES E RESPONSABILIDADES DO MUNICÍPIO</w:t>
      </w:r>
    </w:p>
    <w:p>
      <w:pPr>
        <w:pStyle w:val="ListParagraph"/>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Caberá a Prefeitura Municipal de São Roque do Canaã/ES, como CONTRATANTE: </w:t>
      </w:r>
    </w:p>
    <w:p>
      <w:pPr>
        <w:pStyle w:val="ListParagraph"/>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1 - Fornecer à Contratada todas as informações relacionadas ao objeto da Contratação; </w:t>
      </w:r>
    </w:p>
    <w:p>
      <w:pPr>
        <w:pStyle w:val="ListParagraph"/>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2 - Notificar por escrito a Contratada, a respeito de qualquer irregularidade constatada na execução do objeto da Contratação; </w:t>
      </w:r>
    </w:p>
    <w:p>
      <w:pPr>
        <w:pStyle w:val="ListParagraph"/>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3 - Assegurar os recursos orçamentários e financeiros para custear as despesas do empenho estimativo; </w:t>
      </w:r>
    </w:p>
    <w:p>
      <w:pPr>
        <w:pStyle w:val="ListParagraph"/>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4 - Efetuar o pagamento nas condições e preços pactuados; </w:t>
      </w:r>
    </w:p>
    <w:p>
      <w:pPr>
        <w:pStyle w:val="ListParagraph"/>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5 - Acompanhar, verificar, fiscalizar e intervir na execução do serviço, para assegurar a fiel observância de suas cláusulas, bem como do que consta das especificações do presente Termo de Referência.</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DA FISCALIZAÇÃO E ACOMPANHAMENTO</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Corpodetexto23"/>
        <w:spacing w:lineRule="auto" w:line="360"/>
        <w:rPr>
          <w:rFonts w:ascii="Times New Roman" w:hAnsi="Times New Roman" w:cs="Arial"/>
          <w:sz w:val="24"/>
          <w:szCs w:val="24"/>
        </w:rPr>
      </w:pPr>
      <w:r>
        <w:rPr>
          <w:rFonts w:cs="Arial"/>
          <w:sz w:val="24"/>
          <w:szCs w:val="24"/>
        </w:rPr>
      </w:r>
    </w:p>
    <w:p>
      <w:pPr>
        <w:pStyle w:val="ListParagraph"/>
        <w:numPr>
          <w:ilvl w:val="0"/>
          <w:numId w:val="2"/>
        </w:numPr>
        <w:shd w:val="clear" w:color="auto" w:fill="D9D9D9" w:themeFill="background1" w:themeFillShade="d9"/>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DA GARANTIA PELO FORNECIMENTO</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DAS AMOSTRAS</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DA GESTÃO DO CONTRATO</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DO FATURAMENTO E DO PAGAMENTO</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Normal"/>
        <w:spacing w:lineRule="auto" w:line="360" w:before="0" w:after="0"/>
        <w:jc w:val="both"/>
        <w:rPr>
          <w:rFonts w:ascii="Times New Roman" w:hAnsi="Times New Roman"/>
          <w:sz w:val="24"/>
          <w:szCs w:val="24"/>
        </w:rPr>
      </w:pPr>
      <w:bookmarkStart w:id="0" w:name="_Hlk151990632"/>
      <w:r>
        <w:rPr>
          <w:rFonts w:cs="Arial" w:ascii="Times New Roman" w:hAnsi="Times New Roman"/>
          <w:sz w:val="24"/>
          <w:szCs w:val="24"/>
        </w:rPr>
        <w:t xml:space="preserve">O pagamento se realizará após a devida liquidação, conforme dispõe a Lei nº 4.320/64, que estatui normas gerais de Direito Financeiro para elaboração e controle dos orçamentos e balanços da União, dos Estados, dos Municípios e do Distrito Federal. </w:t>
      </w:r>
      <w:bookmarkEnd w:id="0"/>
    </w:p>
    <w:p>
      <w:pPr>
        <w:pStyle w:val="Normal"/>
        <w:spacing w:lineRule="auto" w:line="360" w:before="0" w:after="0"/>
        <w:jc w:val="both"/>
        <w:rPr>
          <w:rFonts w:ascii="Times New Roman" w:hAnsi="Times New Roman" w:cs="Arial"/>
          <w:sz w:val="24"/>
          <w:szCs w:val="24"/>
        </w:rPr>
      </w:pPr>
      <w:r>
        <w:rPr>
          <w:rFonts w:cs="Arial" w:ascii="Times New Roman" w:hAnsi="Times New Roman"/>
          <w:sz w:val="24"/>
          <w:szCs w:val="24"/>
        </w:rPr>
      </w:r>
    </w:p>
    <w:p>
      <w:pPr>
        <w:pStyle w:val="Normal"/>
        <w:spacing w:lineRule="auto" w:line="360" w:before="0" w:after="0"/>
        <w:jc w:val="both"/>
        <w:rPr>
          <w:rFonts w:ascii="Times New Roman" w:hAnsi="Times New Roman"/>
          <w:sz w:val="24"/>
          <w:szCs w:val="24"/>
        </w:rPr>
      </w:pPr>
      <w:r>
        <w:rPr>
          <w:rFonts w:cs="Arial" w:ascii="Times New Roman" w:hAnsi="Times New Roman"/>
          <w:sz w:val="24"/>
          <w:szCs w:val="24"/>
        </w:rPr>
        <w:t xml:space="preserve">A CONTRATADA deverá encaminhar à unidade administrativa responsável pela gestão do contrato, a fatura do fornecimento de água e esgoto correspondente à leitura do período de consumo abrangido, com o respectivo preço e com prazo de pagamento não inferior a 10 (dez) dias úteis contados a partir de sua apresentação. </w:t>
      </w:r>
    </w:p>
    <w:p>
      <w:pPr>
        <w:pStyle w:val="Normal"/>
        <w:spacing w:lineRule="auto" w:line="360" w:before="0" w:after="0"/>
        <w:jc w:val="both"/>
        <w:rPr>
          <w:rFonts w:ascii="Times New Roman" w:hAnsi="Times New Roman" w:cs="Arial"/>
          <w:sz w:val="24"/>
          <w:szCs w:val="24"/>
        </w:rPr>
      </w:pPr>
      <w:r>
        <w:rPr>
          <w:rFonts w:cs="Arial" w:ascii="Times New Roman" w:hAnsi="Times New Roman"/>
          <w:sz w:val="24"/>
          <w:szCs w:val="24"/>
        </w:rPr>
      </w:r>
    </w:p>
    <w:p>
      <w:pPr>
        <w:pStyle w:val="Normal"/>
        <w:spacing w:lineRule="auto" w:line="360" w:before="0" w:after="0"/>
        <w:jc w:val="both"/>
        <w:rPr>
          <w:rFonts w:ascii="Times New Roman" w:hAnsi="Times New Roman"/>
          <w:sz w:val="24"/>
          <w:szCs w:val="24"/>
        </w:rPr>
      </w:pPr>
      <w:r>
        <w:rPr>
          <w:rFonts w:cs="Arial" w:ascii="Times New Roman" w:hAnsi="Times New Roman"/>
          <w:sz w:val="24"/>
          <w:szCs w:val="24"/>
        </w:rPr>
        <w:t>Na ocorrência de rejeição da Nota Fiscal/Fatura, motivada por erro ou incorreções, o prazo para pagamento estipulado no item acima passará a ser contado a partir da data da sua reapresentação.</w:t>
      </w:r>
    </w:p>
    <w:p>
      <w:pPr>
        <w:pStyle w:val="Normal"/>
        <w:spacing w:lineRule="auto" w:line="360" w:before="0" w:after="0"/>
        <w:jc w:val="both"/>
        <w:rPr>
          <w:rFonts w:ascii="Times New Roman" w:hAnsi="Times New Roman" w:cs="Arial"/>
          <w:sz w:val="24"/>
          <w:szCs w:val="24"/>
        </w:rPr>
      </w:pPr>
      <w:r>
        <w:rPr>
          <w:rFonts w:cs="Arial" w:ascii="Times New Roman" w:hAnsi="Times New Roman"/>
          <w:sz w:val="24"/>
          <w:szCs w:val="24"/>
        </w:rPr>
      </w:r>
    </w:p>
    <w:p>
      <w:pPr>
        <w:pStyle w:val="Normal"/>
        <w:spacing w:lineRule="auto" w:line="360" w:before="0" w:after="0"/>
        <w:jc w:val="both"/>
        <w:rPr>
          <w:rFonts w:ascii="Times New Roman" w:hAnsi="Times New Roman"/>
          <w:sz w:val="24"/>
          <w:szCs w:val="24"/>
        </w:rPr>
      </w:pPr>
      <w:r>
        <w:rPr>
          <w:rFonts w:cs="Arial" w:ascii="Times New Roman" w:hAnsi="Times New Roman"/>
          <w:sz w:val="24"/>
          <w:szCs w:val="24"/>
        </w:rPr>
        <w:t xml:space="preserve">Para efeito de pagamento, junto com o Recibo, deverá ser anexado: </w:t>
      </w:r>
    </w:p>
    <w:p>
      <w:pPr>
        <w:pStyle w:val="Normal"/>
        <w:spacing w:lineRule="auto" w:line="360" w:before="0" w:after="0"/>
        <w:jc w:val="both"/>
        <w:rPr>
          <w:rFonts w:ascii="Times New Roman" w:hAnsi="Times New Roman"/>
          <w:sz w:val="24"/>
          <w:szCs w:val="24"/>
        </w:rPr>
      </w:pPr>
      <w:r>
        <w:rPr>
          <w:rFonts w:cs="Arial" w:ascii="Times New Roman" w:hAnsi="Times New Roman"/>
          <w:sz w:val="24"/>
          <w:szCs w:val="24"/>
        </w:rPr>
        <w:t xml:space="preserve">I - Certidão Negativa de Débitos Relativos às Contribuições Previdenciárias e às de Terceiros, expedida pela Secretaria da Receita Federal do Brasil (Anexo XI da Portaria Conjunta PGFN/RFB nº 3, de 2.5.2007), observado o disposto no art. 4º do Decreto nº 6.106, de 30.04.2007; </w:t>
      </w:r>
    </w:p>
    <w:p>
      <w:pPr>
        <w:pStyle w:val="Normal"/>
        <w:spacing w:lineRule="auto" w:line="360" w:before="0" w:after="0"/>
        <w:jc w:val="both"/>
        <w:rPr>
          <w:rFonts w:ascii="Times New Roman" w:hAnsi="Times New Roman"/>
          <w:sz w:val="24"/>
          <w:szCs w:val="24"/>
        </w:rPr>
      </w:pPr>
      <w:r>
        <w:rPr>
          <w:rFonts w:cs="Arial" w:ascii="Times New Roman" w:hAnsi="Times New Roman"/>
          <w:sz w:val="24"/>
          <w:szCs w:val="24"/>
        </w:rPr>
        <w:t xml:space="preserve">II - Certificado de Regularidade do Fundo de Garantia por Tempo de Serviço – FGTS, fornecido pela CEF – Caixa Econômica Federal, devidamente atualizado (Lei n.º 8.036/90); </w:t>
      </w:r>
    </w:p>
    <w:p>
      <w:pPr>
        <w:pStyle w:val="Normal"/>
        <w:spacing w:lineRule="auto" w:line="360" w:before="0" w:after="0"/>
        <w:jc w:val="both"/>
        <w:rPr>
          <w:rFonts w:ascii="Times New Roman" w:hAnsi="Times New Roman"/>
          <w:sz w:val="24"/>
          <w:szCs w:val="24"/>
        </w:rPr>
      </w:pPr>
      <w:r>
        <w:rPr>
          <w:rFonts w:cs="Arial" w:ascii="Times New Roman" w:hAnsi="Times New Roman"/>
          <w:sz w:val="24"/>
          <w:szCs w:val="24"/>
        </w:rPr>
        <w:t xml:space="preserve">III - Certidão de Regularidade com a Fazenda do Estado; </w:t>
      </w:r>
    </w:p>
    <w:p>
      <w:pPr>
        <w:pStyle w:val="Normal"/>
        <w:spacing w:lineRule="auto" w:line="360" w:before="0" w:after="0"/>
        <w:jc w:val="both"/>
        <w:rPr>
          <w:rFonts w:ascii="Times New Roman" w:hAnsi="Times New Roman"/>
          <w:sz w:val="24"/>
          <w:szCs w:val="24"/>
        </w:rPr>
      </w:pPr>
      <w:r>
        <w:rPr>
          <w:rFonts w:cs="Arial" w:ascii="Times New Roman" w:hAnsi="Times New Roman"/>
          <w:sz w:val="24"/>
          <w:szCs w:val="24"/>
        </w:rPr>
        <w:t xml:space="preserve">IV - Prova de regularidade com a Fazenda Federal por meio de Certidão Conjunto de débitos relativo aos tributos federais e a Dívida Ativa da União, expedida pelo Ministério da Fazenda/Secretaria da Receita Federal do Brasil; </w:t>
      </w:r>
    </w:p>
    <w:p>
      <w:pPr>
        <w:pStyle w:val="Normal"/>
        <w:spacing w:lineRule="auto" w:line="360" w:before="0" w:after="0"/>
        <w:jc w:val="both"/>
        <w:rPr>
          <w:rFonts w:ascii="Times New Roman" w:hAnsi="Times New Roman"/>
          <w:sz w:val="24"/>
          <w:szCs w:val="24"/>
        </w:rPr>
      </w:pPr>
      <w:r>
        <w:rPr>
          <w:rFonts w:cs="Arial" w:ascii="Times New Roman" w:hAnsi="Times New Roman"/>
          <w:sz w:val="24"/>
          <w:szCs w:val="24"/>
        </w:rPr>
        <w:t>V - Prova de regularidade relativa a débitos inadimplidos perante a Justiça do Trabalho, mediante a apresentação de certidão negativa ou positiva com efeito de negativa que poderá ser obtida no site www.tst.jus.br/certidão.</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b/>
          <w:sz w:val="24"/>
          <w:szCs w:val="24"/>
        </w:rPr>
        <w:t>DA ANTECIPAÇÃO DO PAGAMENTO</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2"/>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DA FORMA E CRITÉRIOS DE SELEÇÃO DO FORNECEDOR</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DO VALOR MÁXIMO E DOS RECURSOS ORÇAMENTÁRIOS</w:t>
      </w:r>
    </w:p>
    <w:p>
      <w:pPr>
        <w:pStyle w:val="Normal"/>
        <w:spacing w:lineRule="auto" w:line="36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hd w:val="clear" w:color="auto" w:fill="F2F2F2" w:themeFill="background1" w:themeFillShade="f2"/>
        <w:spacing w:lineRule="auto" w:line="360" w:before="0" w:after="0"/>
        <w:ind w:left="0" w:hanging="0"/>
        <w:contextualSpacing/>
        <w:jc w:val="both"/>
        <w:rPr>
          <w:rFonts w:ascii="Times New Roman" w:hAnsi="Times New Roman"/>
          <w:sz w:val="24"/>
          <w:szCs w:val="24"/>
        </w:rPr>
      </w:pPr>
      <w:r>
        <w:rPr>
          <w:rFonts w:cs="Arial" w:ascii="Times New Roman" w:hAnsi="Times New Roman"/>
          <w:b/>
          <w:sz w:val="24"/>
          <w:szCs w:val="24"/>
        </w:rPr>
        <w:t>DO VALOR ESTIMADO</w:t>
      </w:r>
    </w:p>
    <w:p>
      <w:pPr>
        <w:pStyle w:val="Normal"/>
        <w:spacing w:lineRule="auto" w:line="36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2"/>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color w:val="000000"/>
          <w:sz w:val="24"/>
          <w:szCs w:val="24"/>
        </w:rPr>
        <w:t xml:space="preserve"> </w:t>
      </w:r>
      <w:r>
        <w:rPr>
          <w:rFonts w:cs="Arial" w:ascii="Times New Roman" w:hAnsi="Times New Roman"/>
          <w:color w:val="000000"/>
          <w:sz w:val="24"/>
          <w:szCs w:val="24"/>
        </w:rPr>
        <w:t xml:space="preserve">O </w:t>
      </w:r>
      <w:r>
        <w:rPr>
          <w:rFonts w:cs="Arial" w:ascii="Times New Roman" w:hAnsi="Times New Roman"/>
          <w:b/>
          <w:color w:val="000000"/>
          <w:sz w:val="24"/>
          <w:szCs w:val="24"/>
        </w:rPr>
        <w:t>valor estimado</w:t>
      </w:r>
      <w:r>
        <w:rPr>
          <w:rFonts w:cs="Arial" w:ascii="Times New Roman" w:hAnsi="Times New Roman"/>
          <w:color w:val="000000"/>
          <w:sz w:val="24"/>
          <w:szCs w:val="24"/>
        </w:rPr>
        <w:t xml:space="preserve"> para custeio das despesas com o consumo de energia elétrica referente aos setores da Secretaria de Obras e Serviços Urbanos, no exercício de 2024, </w:t>
      </w:r>
      <w:r>
        <w:rPr>
          <w:rFonts w:cs="Arial" w:ascii="Times New Roman" w:hAnsi="Times New Roman"/>
          <w:b/>
          <w:color w:val="000000"/>
          <w:sz w:val="24"/>
          <w:szCs w:val="24"/>
        </w:rPr>
        <w:t>é de R$ 14.305,00</w:t>
      </w:r>
      <w:r>
        <w:rPr>
          <w:rFonts w:cs="Arial" w:ascii="Times New Roman" w:hAnsi="Times New Roman"/>
          <w:b/>
          <w:color w:val="000000"/>
          <w:sz w:val="24"/>
          <w:szCs w:val="24"/>
          <w:shd w:fill="auto" w:val="clear"/>
        </w:rPr>
        <w:t xml:space="preserve"> (quatorze mil, trezentos e cinco reais).</w:t>
      </w:r>
    </w:p>
    <w:p>
      <w:pPr>
        <w:pStyle w:val="Normal"/>
        <w:spacing w:lineRule="auto" w:line="36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hd w:val="clear" w:color="auto" w:fill="F2F2F2" w:themeFill="background1" w:themeFillShade="f2"/>
        <w:spacing w:lineRule="auto" w:line="360" w:before="0" w:after="0"/>
        <w:ind w:left="0" w:hanging="0"/>
        <w:contextualSpacing/>
        <w:jc w:val="both"/>
        <w:rPr>
          <w:rFonts w:ascii="Times New Roman" w:hAnsi="Times New Roman"/>
          <w:sz w:val="24"/>
          <w:szCs w:val="24"/>
        </w:rPr>
      </w:pPr>
      <w:r>
        <w:rPr>
          <w:rFonts w:cs="Arial" w:ascii="Times New Roman" w:hAnsi="Times New Roman"/>
          <w:b/>
          <w:sz w:val="24"/>
          <w:szCs w:val="24"/>
        </w:rPr>
        <w:t>DOS RECURSOS ORÇAMENTÁRIOS</w:t>
      </w:r>
    </w:p>
    <w:p>
      <w:pPr>
        <w:pStyle w:val="Normal"/>
        <w:spacing w:lineRule="auto" w:line="36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2"/>
          <w:numId w:val="2"/>
        </w:numPr>
        <w:spacing w:lineRule="auto" w:line="360" w:before="0" w:after="0"/>
        <w:ind w:left="0" w:hanging="0"/>
        <w:contextualSpacing/>
        <w:jc w:val="both"/>
        <w:rPr>
          <w:color w:val="000000"/>
        </w:rPr>
      </w:pPr>
      <w:r>
        <w:rPr>
          <w:rFonts w:cs="Arial" w:ascii="Times New Roman" w:hAnsi="Times New Roman"/>
          <w:color w:val="000000"/>
          <w:sz w:val="24"/>
          <w:szCs w:val="24"/>
        </w:rPr>
        <w:t xml:space="preserve">Para fins de cumprimento dos requisitos operacionais inerentes ao atendimento da realização do Empenho por estimativa, as despesas decorrentes do custeio em questão correrão por conta da dotação orçamentária consignada na </w:t>
      </w:r>
      <w:r>
        <w:rPr>
          <w:rFonts w:cs="Arial" w:ascii="Times New Roman" w:hAnsi="Times New Roman"/>
          <w:b/>
          <w:color w:val="000000"/>
          <w:sz w:val="24"/>
          <w:szCs w:val="24"/>
        </w:rPr>
        <w:t>Proposta de Lei Orçamentária Anual (PLOA) vinculada para o exercício financeiro de 2024</w:t>
      </w:r>
      <w:r>
        <w:rPr>
          <w:rFonts w:cs="Arial" w:ascii="Times New Roman" w:hAnsi="Times New Roman"/>
          <w:color w:val="000000"/>
          <w:sz w:val="24"/>
          <w:szCs w:val="24"/>
        </w:rPr>
        <w:t>, a qual será informada pelo requerente, após a aprovação da respectiva Lei.</w:t>
      </w:r>
    </w:p>
    <w:p>
      <w:pPr>
        <w:pStyle w:val="Normal"/>
        <w:spacing w:lineRule="auto" w:line="360" w:before="0" w:after="0"/>
        <w:jc w:val="both"/>
        <w:rPr>
          <w:rFonts w:ascii="Times New Roman" w:hAnsi="Times New Roman" w:cs="Arial"/>
          <w:sz w:val="24"/>
          <w:szCs w:val="24"/>
        </w:rPr>
      </w:pPr>
      <w:r>
        <w:rPr>
          <w:rFonts w:cs="Arial" w:ascii="Times New Roman" w:hAnsi="Times New Roman"/>
          <w:sz w:val="24"/>
          <w:szCs w:val="24"/>
        </w:rPr>
      </w:r>
    </w:p>
    <w:tbl>
      <w:tblPr>
        <w:tblStyle w:val="Tabelacomgrade"/>
        <w:tblW w:w="9179"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7513"/>
        <w:gridCol w:w="1665"/>
      </w:tblGrid>
      <w:tr>
        <w:trPr>
          <w:trHeight w:val="567" w:hRule="atLeast"/>
        </w:trPr>
        <w:tc>
          <w:tcPr>
            <w:tcW w:w="9178" w:type="dxa"/>
            <w:gridSpan w:val="2"/>
            <w:tcBorders/>
            <w:shd w:color="auto" w:fill="D9D9D9" w:themeFill="background1" w:themeFillShade="d9" w:val="clear"/>
            <w:vAlign w:val="center"/>
          </w:tcPr>
          <w:p>
            <w:pPr>
              <w:pStyle w:val="Normal"/>
              <w:widowControl w:val="false"/>
              <w:suppressAutoHyphens w:val="true"/>
              <w:spacing w:lineRule="auto" w:line="360" w:before="0" w:after="0"/>
              <w:jc w:val="center"/>
              <w:rPr>
                <w:color w:val="000000"/>
              </w:rPr>
            </w:pPr>
            <w:r>
              <w:rPr>
                <w:rFonts w:eastAsia="Calibri" w:cs="Arial" w:ascii="Times New Roman" w:hAnsi="Times New Roman"/>
                <w:b/>
                <w:color w:val="000000"/>
                <w:kern w:val="0"/>
                <w:sz w:val="24"/>
                <w:szCs w:val="24"/>
                <w:lang w:val="pt-BR" w:bidi="ar-SA"/>
              </w:rPr>
              <w:t>GESTÃO DAS ATIVIDADES DA SECRETARIA DE OBRAS E SERVIÇOS URBANOS</w:t>
            </w:r>
          </w:p>
          <w:p>
            <w:pPr>
              <w:pStyle w:val="Normal"/>
              <w:widowControl w:val="false"/>
              <w:suppressAutoHyphens w:val="true"/>
              <w:spacing w:lineRule="auto" w:line="360" w:before="0" w:after="0"/>
              <w:jc w:val="center"/>
              <w:rPr>
                <w:color w:val="000000"/>
              </w:rPr>
            </w:pPr>
            <w:r>
              <w:rPr>
                <w:rFonts w:eastAsia="Calibri" w:cs="Arial" w:ascii="Times New Roman" w:hAnsi="Times New Roman"/>
                <w:color w:val="000000"/>
                <w:kern w:val="0"/>
                <w:sz w:val="24"/>
                <w:szCs w:val="24"/>
                <w:lang w:val="pt-BR" w:bidi="ar-SA"/>
              </w:rPr>
              <w:t>Outros Serviços de Terceiros – Pessoa Jurídica</w:t>
            </w:r>
          </w:p>
        </w:tc>
      </w:tr>
      <w:tr>
        <w:trPr>
          <w:trHeight w:val="340" w:hRule="atLeast"/>
        </w:trPr>
        <w:tc>
          <w:tcPr>
            <w:tcW w:w="7513" w:type="dxa"/>
            <w:tcBorders/>
            <w:shd w:color="auto" w:fill="FFFFFF" w:themeFill="background1" w:val="clear"/>
            <w:vAlign w:val="center"/>
          </w:tcPr>
          <w:p>
            <w:pPr>
              <w:pStyle w:val="Normal"/>
              <w:widowControl w:val="false"/>
              <w:suppressAutoHyphens w:val="true"/>
              <w:spacing w:lineRule="auto" w:line="360" w:before="0" w:after="0"/>
              <w:jc w:val="center"/>
              <w:rPr>
                <w:highlight w:val="none"/>
                <w:shd w:fill="auto" w:val="clear"/>
              </w:rPr>
            </w:pPr>
            <w:r>
              <w:rPr>
                <w:rFonts w:eastAsia="Calibri" w:cs="Arial" w:ascii="Times New Roman" w:hAnsi="Times New Roman"/>
                <w:color w:val="000000"/>
                <w:kern w:val="0"/>
                <w:sz w:val="24"/>
                <w:szCs w:val="24"/>
                <w:shd w:fill="auto" w:val="clear"/>
                <w:lang w:val="pt-BR" w:bidi="ar-SA"/>
              </w:rPr>
              <w:t>0707.1545100102.019 – 339039000000 – FR 1720 – F 211</w:t>
            </w:r>
          </w:p>
        </w:tc>
        <w:tc>
          <w:tcPr>
            <w:tcW w:w="1665" w:type="dxa"/>
            <w:tcBorders/>
            <w:vAlign w:val="center"/>
          </w:tcPr>
          <w:p>
            <w:pPr>
              <w:pStyle w:val="Normal"/>
              <w:widowControl w:val="false"/>
              <w:suppressAutoHyphens w:val="true"/>
              <w:spacing w:lineRule="auto" w:line="360" w:before="0" w:after="0"/>
              <w:jc w:val="center"/>
              <w:rPr>
                <w:highlight w:val="none"/>
                <w:shd w:fill="auto" w:val="clear"/>
              </w:rPr>
            </w:pPr>
            <w:r>
              <w:rPr>
                <w:rFonts w:eastAsia="Calibri" w:cs="Arial" w:ascii="Times New Roman" w:hAnsi="Times New Roman"/>
                <w:b/>
                <w:color w:val="000000"/>
                <w:kern w:val="0"/>
                <w:sz w:val="24"/>
                <w:szCs w:val="24"/>
                <w:shd w:fill="auto" w:val="clear"/>
                <w:lang w:val="pt-BR" w:bidi="ar-SA"/>
              </w:rPr>
              <w:t>R$  14.305,00</w:t>
            </w:r>
          </w:p>
        </w:tc>
      </w:tr>
    </w:tbl>
    <w:p>
      <w:pPr>
        <w:pStyle w:val="Normal"/>
        <w:spacing w:lineRule="auto" w:line="36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DAS SANÇÕES E PENALIDADES</w:t>
      </w:r>
    </w:p>
    <w:p>
      <w:pPr>
        <w:pStyle w:val="Normal"/>
        <w:spacing w:lineRule="auto" w:line="36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pacing w:lineRule="auto" w:line="360" w:before="0" w:after="0"/>
        <w:contextualSpacing/>
        <w:jc w:val="both"/>
        <w:rPr>
          <w:rFonts w:ascii="Times New Roman" w:hAnsi="Times New Roman"/>
          <w:sz w:val="24"/>
          <w:szCs w:val="24"/>
        </w:rPr>
      </w:pPr>
      <w:bookmarkStart w:id="1" w:name="_Hlk151990699"/>
      <w:r>
        <w:rPr>
          <w:rFonts w:cs="Arial" w:ascii="Times New Roman" w:hAnsi="Times New Roman"/>
          <w:bCs/>
          <w:color w:val="000000"/>
          <w:sz w:val="24"/>
          <w:szCs w:val="24"/>
        </w:rPr>
        <w:t>Serão aplicadas as infrações administrativas disciplinadas na Lei Federal nº 14.133/2021, na forma de regulamento municipal.</w:t>
      </w:r>
      <w:bookmarkEnd w:id="1"/>
    </w:p>
    <w:p>
      <w:pPr>
        <w:pStyle w:val="Normal"/>
        <w:spacing w:lineRule="auto" w:line="36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DA QUALIFICAÇÃO TÉCNICA</w:t>
      </w:r>
    </w:p>
    <w:p>
      <w:pPr>
        <w:pStyle w:val="Normal"/>
        <w:spacing w:lineRule="auto" w:line="36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36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DA UNIDADE REQUISITANTE</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Constitui unidade requisitante da presente demanda a </w:t>
      </w:r>
      <w:r>
        <w:rPr>
          <w:rFonts w:cs="Arial" w:ascii="Times New Roman" w:hAnsi="Times New Roman"/>
          <w:b/>
          <w:sz w:val="24"/>
          <w:szCs w:val="24"/>
        </w:rPr>
        <w:t>Secretaria Municipal de Obras e Serviços Urbanos.</w:t>
      </w:r>
    </w:p>
    <w:p>
      <w:pPr>
        <w:pStyle w:val="Normal"/>
        <w:spacing w:lineRule="auto" w:line="36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360" w:before="0" w:after="0"/>
        <w:ind w:left="0" w:hanging="0"/>
        <w:contextualSpacing/>
        <w:rPr>
          <w:rFonts w:ascii="Times New Roman" w:hAnsi="Times New Roman"/>
          <w:sz w:val="24"/>
          <w:szCs w:val="24"/>
        </w:rPr>
      </w:pPr>
      <w:r>
        <w:rPr>
          <w:rFonts w:cs="Arial" w:ascii="Times New Roman" w:hAnsi="Times New Roman"/>
          <w:b/>
          <w:sz w:val="24"/>
          <w:szCs w:val="24"/>
        </w:rPr>
        <w:t>DO RESPONSÁVEL PELA ELABORAÇÃO DO TERMO DE REFERÊNCIA</w:t>
      </w:r>
    </w:p>
    <w:p>
      <w:pPr>
        <w:pStyle w:val="NormalWeb"/>
        <w:spacing w:lineRule="auto" w:line="360" w:beforeAutospacing="0" w:before="0" w:afterAutospacing="0" w:after="0"/>
        <w:jc w:val="both"/>
        <w:rPr>
          <w:rFonts w:ascii="Times New Roman" w:hAnsi="Times New Roman" w:cs="Arial"/>
          <w:sz w:val="24"/>
          <w:szCs w:val="24"/>
          <w:highlight w:val="lightGray"/>
        </w:rPr>
      </w:pPr>
      <w:r>
        <w:rPr>
          <w:rFonts w:cs="Arial"/>
          <w:sz w:val="24"/>
          <w:szCs w:val="24"/>
          <w:highlight w:val="lightGray"/>
        </w:rPr>
      </w:r>
    </w:p>
    <w:p>
      <w:pPr>
        <w:pStyle w:val="ListParagraph"/>
        <w:numPr>
          <w:ilvl w:val="1"/>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b/>
          <w:sz w:val="24"/>
          <w:szCs w:val="24"/>
        </w:rPr>
        <w:t>Responsável pela Elaboração:</w:t>
      </w:r>
      <w:r>
        <w:rPr>
          <w:rFonts w:cs="Arial" w:ascii="Times New Roman" w:hAnsi="Times New Roman"/>
          <w:sz w:val="24"/>
          <w:szCs w:val="24"/>
        </w:rPr>
        <w:t xml:space="preserve"> RAMILO POSSATTI LANI.</w:t>
      </w:r>
    </w:p>
    <w:p>
      <w:pPr>
        <w:pStyle w:val="ListParagraph"/>
        <w:numPr>
          <w:ilvl w:val="1"/>
          <w:numId w:val="2"/>
        </w:numPr>
        <w:spacing w:lineRule="auto" w:line="360" w:before="0" w:after="0"/>
        <w:ind w:left="0" w:hanging="0"/>
        <w:contextualSpacing/>
        <w:jc w:val="both"/>
        <w:rPr>
          <w:rFonts w:ascii="Times New Roman" w:hAnsi="Times New Roman"/>
          <w:sz w:val="24"/>
          <w:szCs w:val="24"/>
        </w:rPr>
      </w:pPr>
      <w:r>
        <w:rPr>
          <w:rFonts w:cs="Arial" w:ascii="Times New Roman" w:hAnsi="Times New Roman"/>
          <w:b/>
          <w:sz w:val="24"/>
          <w:szCs w:val="24"/>
        </w:rPr>
        <w:t>Gestor da Unidade Requisitante:</w:t>
      </w:r>
      <w:r>
        <w:rPr>
          <w:rFonts w:cs="Arial" w:ascii="Times New Roman" w:hAnsi="Times New Roman"/>
          <w:sz w:val="24"/>
          <w:szCs w:val="24"/>
        </w:rPr>
        <w:t xml:space="preserve"> JUNIOR PRIORI PERINNI.</w:t>
      </w:r>
    </w:p>
    <w:p>
      <w:pPr>
        <w:pStyle w:val="NormalWeb"/>
        <w:spacing w:lineRule="auto" w:line="360" w:beforeAutospacing="0" w:before="0" w:afterAutospacing="0" w:after="0"/>
        <w:jc w:val="both"/>
        <w:rPr>
          <w:rFonts w:ascii="Times New Roman" w:hAnsi="Times New Roman" w:cs="Arial"/>
          <w:sz w:val="24"/>
          <w:szCs w:val="24"/>
          <w:highlight w:val="lightGray"/>
        </w:rPr>
      </w:pPr>
      <w:r>
        <w:rPr>
          <w:rFonts w:cs="Arial"/>
          <w:sz w:val="24"/>
          <w:szCs w:val="24"/>
          <w:highlight w:val="lightGray"/>
        </w:rPr>
      </w:r>
    </w:p>
    <w:p>
      <w:pPr>
        <w:pStyle w:val="NormalWeb"/>
        <w:spacing w:lineRule="auto" w:line="360" w:beforeAutospacing="0" w:before="0" w:afterAutospacing="0" w:after="0"/>
        <w:jc w:val="right"/>
        <w:rPr>
          <w:rFonts w:ascii="Times New Roman" w:hAnsi="Times New Roman"/>
          <w:sz w:val="24"/>
          <w:szCs w:val="24"/>
        </w:rPr>
      </w:pPr>
      <w:r>
        <w:rPr>
          <w:rFonts w:cs="Arial"/>
          <w:b/>
          <w:sz w:val="24"/>
          <w:szCs w:val="24"/>
        </w:rPr>
        <w:t>São Roque do Canaã/ES</w:t>
      </w:r>
      <w:r>
        <w:rPr>
          <w:rFonts w:cs="Arial"/>
          <w:sz w:val="24"/>
          <w:szCs w:val="24"/>
        </w:rPr>
        <w:t>, 02 de janeiro de 2024.</w:t>
      </w:r>
    </w:p>
    <w:p>
      <w:pPr>
        <w:pStyle w:val="NormalWeb"/>
        <w:spacing w:lineRule="auto" w:line="360" w:beforeAutospacing="0" w:before="0" w:afterAutospacing="0" w:after="0"/>
        <w:rPr>
          <w:rFonts w:ascii="Times New Roman" w:hAnsi="Times New Roman" w:cs="Arial"/>
          <w:sz w:val="24"/>
          <w:szCs w:val="24"/>
        </w:rPr>
      </w:pPr>
      <w:r>
        <w:rPr>
          <w:rFonts w:cs="Arial"/>
          <w:sz w:val="24"/>
          <w:szCs w:val="24"/>
        </w:rPr>
      </w:r>
    </w:p>
    <w:tbl>
      <w:tblPr>
        <w:tblStyle w:val="Tabelacomgrade"/>
        <w:tblW w:w="921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605"/>
        <w:gridCol w:w="4605"/>
      </w:tblGrid>
      <w:tr>
        <w:trPr/>
        <w:tc>
          <w:tcPr>
            <w:tcW w:w="4605" w:type="dxa"/>
            <w:tcBorders>
              <w:top w:val="nil"/>
              <w:left w:val="nil"/>
              <w:bottom w:val="nil"/>
              <w:right w:val="nil"/>
            </w:tcBorders>
          </w:tcPr>
          <w:p>
            <w:pPr>
              <w:pStyle w:val="ListParagraph"/>
              <w:widowControl w:val="false"/>
              <w:suppressAutoHyphens w:val="true"/>
              <w:spacing w:lineRule="auto" w:line="360" w:before="0" w:after="0"/>
              <w:ind w:left="0" w:hanging="0"/>
              <w:contextualSpacing/>
              <w:jc w:val="center"/>
              <w:rPr>
                <w:b/>
                <w:b/>
                <w:bCs/>
                <w:shd w:fill="auto" w:val="clear"/>
              </w:rPr>
            </w:pPr>
            <w:r>
              <w:rPr>
                <w:b/>
                <w:bCs/>
                <w:shd w:fill="auto" w:val="clear"/>
              </w:rPr>
            </w:r>
          </w:p>
          <w:p>
            <w:pPr>
              <w:pStyle w:val="ListParagraph"/>
              <w:widowControl w:val="false"/>
              <w:suppressAutoHyphens w:val="true"/>
              <w:spacing w:lineRule="auto" w:line="360" w:before="0" w:after="0"/>
              <w:ind w:left="0" w:hanging="0"/>
              <w:contextualSpacing/>
              <w:jc w:val="center"/>
              <w:rPr>
                <w:rFonts w:ascii="Times New Roman" w:hAnsi="Times New Roman"/>
                <w:sz w:val="24"/>
                <w:szCs w:val="24"/>
              </w:rPr>
            </w:pPr>
            <w:r>
              <w:rPr>
                <w:rFonts w:ascii="Times New Roman" w:hAnsi="Times New Roman"/>
                <w:b/>
                <w:bCs/>
                <w:sz w:val="24"/>
                <w:szCs w:val="24"/>
                <w:shd w:fill="auto" w:val="clear"/>
              </w:rPr>
              <w:t>RAMILO POSSATTI LANI</w:t>
            </w:r>
          </w:p>
          <w:p>
            <w:pPr>
              <w:pStyle w:val="NormalWeb"/>
              <w:widowControl w:val="false"/>
              <w:suppressAutoHyphens w:val="true"/>
              <w:spacing w:lineRule="auto" w:line="360" w:beforeAutospacing="0" w:before="0" w:afterAutospacing="0" w:after="0"/>
              <w:jc w:val="center"/>
              <w:rPr>
                <w:rFonts w:ascii="Times New Roman" w:hAnsi="Times New Roman"/>
                <w:sz w:val="24"/>
                <w:szCs w:val="24"/>
              </w:rPr>
            </w:pPr>
            <w:r>
              <w:rPr>
                <w:rFonts w:cs="Arial"/>
                <w:color w:val="000000" w:themeColor="text1"/>
                <w:kern w:val="0"/>
                <w:sz w:val="24"/>
                <w:szCs w:val="24"/>
                <w:shd w:fill="auto" w:val="clear"/>
                <w:lang w:val="pt-BR" w:bidi="ar-SA"/>
              </w:rPr>
              <w:t>Subsecretário Municipal de Obras e Serviços Urbanos</w:t>
            </w:r>
          </w:p>
          <w:p>
            <w:pPr>
              <w:pStyle w:val="NormalWeb"/>
              <w:widowControl w:val="false"/>
              <w:suppressAutoHyphens w:val="true"/>
              <w:spacing w:lineRule="auto" w:line="360" w:beforeAutospacing="0" w:before="0" w:afterAutospacing="0" w:after="0"/>
              <w:jc w:val="center"/>
              <w:rPr>
                <w:rFonts w:ascii="Times New Roman" w:hAnsi="Times New Roman"/>
                <w:sz w:val="24"/>
                <w:szCs w:val="24"/>
              </w:rPr>
            </w:pPr>
            <w:r>
              <w:rPr>
                <w:rFonts w:cs="Arial"/>
                <w:b/>
                <w:color w:val="000000" w:themeColor="text1"/>
                <w:sz w:val="24"/>
                <w:szCs w:val="24"/>
                <w:shd w:fill="auto" w:val="clear"/>
              </w:rPr>
              <w:t>Decreto Municipal n° 5.964</w:t>
            </w:r>
            <w:r>
              <w:rPr>
                <w:rFonts w:cs="Arial"/>
                <w:b/>
                <w:color w:val="000000"/>
                <w:sz w:val="24"/>
                <w:szCs w:val="24"/>
                <w:shd w:fill="auto" w:val="clear"/>
                <w:lang w:eastAsia="pt-BR"/>
              </w:rPr>
              <w:t>/2022.</w:t>
            </w:r>
          </w:p>
        </w:tc>
        <w:tc>
          <w:tcPr>
            <w:tcW w:w="4605" w:type="dxa"/>
            <w:tcBorders>
              <w:top w:val="nil"/>
              <w:left w:val="nil"/>
              <w:bottom w:val="nil"/>
              <w:right w:val="nil"/>
            </w:tcBorders>
          </w:tcPr>
          <w:p>
            <w:pPr>
              <w:pStyle w:val="NormalWeb"/>
              <w:widowControl w:val="false"/>
              <w:suppressAutoHyphens w:val="true"/>
              <w:spacing w:lineRule="auto" w:line="360" w:beforeAutospacing="0" w:before="0" w:afterAutospacing="0" w:after="0"/>
              <w:jc w:val="center"/>
              <w:rPr>
                <w:rFonts w:ascii="Times New Roman" w:hAnsi="Times New Roman" w:cs="Arial"/>
                <w:color w:val="000000" w:themeColor="text1"/>
                <w:sz w:val="24"/>
                <w:szCs w:val="24"/>
                <w:highlight w:val="none"/>
                <w:shd w:fill="auto" w:val="clear"/>
              </w:rPr>
            </w:pPr>
            <w:r>
              <w:rPr>
                <w:rFonts w:cs="Arial"/>
                <w:color w:val="000000" w:themeColor="text1"/>
                <w:sz w:val="24"/>
                <w:szCs w:val="24"/>
                <w:shd w:fill="auto" w:val="clear"/>
              </w:rPr>
            </w:r>
          </w:p>
          <w:p>
            <w:pPr>
              <w:pStyle w:val="NormalWeb"/>
              <w:widowControl w:val="false"/>
              <w:suppressAutoHyphens w:val="true"/>
              <w:spacing w:lineRule="auto" w:line="360" w:beforeAutospacing="0" w:before="0" w:afterAutospacing="0" w:after="0"/>
              <w:jc w:val="center"/>
              <w:rPr>
                <w:rFonts w:ascii="Times New Roman" w:hAnsi="Times New Roman"/>
                <w:sz w:val="24"/>
                <w:szCs w:val="24"/>
              </w:rPr>
            </w:pPr>
            <w:r>
              <w:rPr>
                <w:rFonts w:cs="Arial"/>
                <w:b/>
                <w:color w:val="000000" w:themeColor="text1"/>
                <w:kern w:val="0"/>
                <w:sz w:val="24"/>
                <w:szCs w:val="24"/>
                <w:shd w:fill="auto" w:val="clear"/>
                <w:lang w:val="pt-BR" w:bidi="ar-SA"/>
              </w:rPr>
              <w:t>JÚNIOR PRIORI PERINNI</w:t>
            </w:r>
          </w:p>
          <w:p>
            <w:pPr>
              <w:pStyle w:val="NormalWeb"/>
              <w:widowControl w:val="false"/>
              <w:suppressAutoHyphens w:val="true"/>
              <w:spacing w:lineRule="auto" w:line="360" w:beforeAutospacing="0" w:before="0" w:afterAutospacing="0" w:after="0"/>
              <w:jc w:val="center"/>
              <w:rPr>
                <w:rFonts w:ascii="Times New Roman" w:hAnsi="Times New Roman"/>
                <w:sz w:val="24"/>
                <w:szCs w:val="24"/>
              </w:rPr>
            </w:pPr>
            <w:r>
              <w:rPr>
                <w:rFonts w:cs="Arial"/>
                <w:color w:val="000000" w:themeColor="text1"/>
                <w:kern w:val="0"/>
                <w:sz w:val="24"/>
                <w:szCs w:val="24"/>
                <w:shd w:fill="auto" w:val="clear"/>
                <w:lang w:val="pt-BR" w:bidi="ar-SA"/>
              </w:rPr>
              <w:t>Secretário Municipal de Obras e Serviços Urbanos</w:t>
            </w:r>
          </w:p>
          <w:p>
            <w:pPr>
              <w:pStyle w:val="NormalWeb"/>
              <w:widowControl w:val="false"/>
              <w:suppressAutoHyphens w:val="true"/>
              <w:spacing w:lineRule="auto" w:line="360" w:beforeAutospacing="0" w:before="0" w:afterAutospacing="0" w:after="0"/>
              <w:jc w:val="center"/>
              <w:rPr>
                <w:rFonts w:ascii="Times New Roman" w:hAnsi="Times New Roman"/>
                <w:sz w:val="24"/>
                <w:szCs w:val="24"/>
              </w:rPr>
            </w:pPr>
            <w:r>
              <w:rPr>
                <w:rFonts w:cs="Arial"/>
                <w:b/>
                <w:color w:val="000000" w:themeColor="text1"/>
                <w:sz w:val="24"/>
                <w:szCs w:val="24"/>
                <w:shd w:fill="auto" w:val="clear"/>
              </w:rPr>
              <w:t>Decreto Municipal nº 6.245/2023</w:t>
            </w:r>
          </w:p>
        </w:tc>
      </w:tr>
    </w:tbl>
    <w:p>
      <w:pPr>
        <w:pStyle w:val="NormalWeb"/>
        <w:spacing w:lineRule="auto" w:line="360" w:beforeAutospacing="0" w:before="0" w:afterAutospacing="0" w:after="0"/>
        <w:jc w:val="both"/>
        <w:rPr>
          <w:rFonts w:ascii="Times New Roman" w:hAnsi="Times New Roman"/>
          <w:sz w:val="24"/>
          <w:szCs w:val="24"/>
        </w:rPr>
      </w:pPr>
      <w:r>
        <w:rPr/>
      </w:r>
    </w:p>
    <w:sectPr>
      <w:headerReference w:type="default" r:id="rId2"/>
      <w:footerReference w:type="default" r:id="rId3"/>
      <w:type w:val="nextPage"/>
      <w:pgSz w:w="11906" w:h="16838"/>
      <w:pgMar w:left="1701" w:right="1134" w:gutter="0" w:header="709" w:top="1701"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Cambria">
    <w:charset w:val="00"/>
    <w:family w:val="roman"/>
    <w:pitch w:val="variable"/>
  </w:font>
  <w:font w:name="Liberation Sans">
    <w:altName w:val="Arial"/>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center"/>
      <w:rPr>
        <w:rFonts w:ascii="Arial" w:hAnsi="Arial" w:cs="Arial"/>
        <w:sz w:val="20"/>
        <w:szCs w:val="16"/>
      </w:rPr>
    </w:pPr>
    <w:r>
      <w:rPr>
        <w:rFonts w:cs="Arial" w:ascii="Arial" w:hAnsi="Arial"/>
        <w:sz w:val="20"/>
        <w:szCs w:val="16"/>
      </w:rPr>
    </w:r>
  </w:p>
  <w:p>
    <w:pPr>
      <w:pStyle w:val="Rodap"/>
      <w:jc w:val="center"/>
      <w:rPr>
        <w:rFonts w:ascii="Arial" w:hAnsi="Arial" w:cs="Arial"/>
        <w:sz w:val="20"/>
        <w:szCs w:val="16"/>
      </w:rPr>
    </w:pPr>
    <w:r>
      <w:rPr>
        <w:rFonts w:cs="Arial" w:ascii="Arial" w:hAnsi="Arial"/>
        <w:sz w:val="20"/>
        <w:szCs w:val="16"/>
      </w:rPr>
      <w:t>Rua Lourenço Roldi n.º 88,São Roquinho, São Roque do Canaã/ES, CEP: 29665-000</w:t>
    </w:r>
  </w:p>
  <w:p>
    <w:pPr>
      <w:pStyle w:val="Rodap"/>
      <w:jc w:val="center"/>
      <w:rPr/>
    </w:pPr>
    <w:r>
      <w:rPr>
        <w:rFonts w:cs="Arial" w:ascii="Arial" w:hAnsi="Arial"/>
        <w:bCs/>
        <w:i/>
        <w:color w:val="000000"/>
        <w:sz w:val="20"/>
        <w:szCs w:val="16"/>
      </w:rPr>
      <w:t>Telefone: (27) 3729-1120 | E-mail:</w:t>
    </w:r>
    <w:r>
      <w:rPr>
        <w:rFonts w:cs="Arial" w:ascii="Arial" w:hAnsi="Arial"/>
        <w:sz w:val="20"/>
        <w:szCs w:val="16"/>
      </w:rPr>
      <w:t xml:space="preserve"> obras@saoroquedocanaa.es.gov.br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tabs>
        <w:tab w:val="left" w:pos="2166" w:leader="none"/>
        <w:tab w:val="center" w:pos="4252" w:leader="none"/>
        <w:tab w:val="right" w:pos="8504" w:leader="none"/>
      </w:tabs>
      <w:spacing w:lineRule="auto" w:line="276"/>
      <w:jc w:val="center"/>
      <w:rPr>
        <w:rFonts w:ascii="Arial" w:hAnsi="Arial" w:cs="Arial"/>
        <w:b/>
        <w:b/>
        <w:szCs w:val="16"/>
      </w:rPr>
    </w:pPr>
    <w:r>
      <w:rPr/>
      <w:drawing>
        <wp:inline distT="0" distB="0" distL="0" distR="0">
          <wp:extent cx="647700" cy="65024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647700" cy="650240"/>
                  </a:xfrm>
                  <a:prstGeom prst="rect">
                    <a:avLst/>
                  </a:prstGeom>
                </pic:spPr>
              </pic:pic>
            </a:graphicData>
          </a:graphic>
        </wp:inline>
      </w:drawing>
    </w:r>
  </w:p>
  <w:p>
    <w:pPr>
      <w:pStyle w:val="Cabealho"/>
      <w:tabs>
        <w:tab w:val="left" w:pos="2166" w:leader="none"/>
        <w:tab w:val="center" w:pos="4252" w:leader="none"/>
        <w:tab w:val="right" w:pos="8504" w:leader="none"/>
      </w:tabs>
      <w:jc w:val="center"/>
      <w:rPr>
        <w:rFonts w:ascii="Arial" w:hAnsi="Arial" w:cs="Arial"/>
        <w:b/>
        <w:b/>
        <w:szCs w:val="16"/>
      </w:rPr>
    </w:pPr>
    <w:r>
      <w:rPr>
        <w:rFonts w:cs="Arial" w:ascii="Arial" w:hAnsi="Arial"/>
        <w:b/>
        <w:szCs w:val="16"/>
      </w:rPr>
      <w:t>PREFEITURA MUNICIPAL DE SÃO ROQUE DO CANAÃ</w:t>
    </w:r>
  </w:p>
  <w:p>
    <w:pPr>
      <w:pStyle w:val="Subttulo"/>
      <w:rPr>
        <w:rFonts w:ascii="Arial" w:hAnsi="Arial" w:cs="Arial"/>
        <w:sz w:val="22"/>
        <w:szCs w:val="16"/>
      </w:rPr>
    </w:pPr>
    <w:r>
      <w:rPr>
        <w:rFonts w:cs="Arial" w:ascii="Arial" w:hAnsi="Arial"/>
        <w:sz w:val="22"/>
        <w:szCs w:val="16"/>
      </w:rPr>
      <w:t>ESTADO DO ESPÍRITO SANTO</w:t>
    </w:r>
  </w:p>
  <w:p>
    <w:pPr>
      <w:pStyle w:val="Subttulo"/>
      <w:rPr>
        <w:rFonts w:ascii="Arial" w:hAnsi="Arial" w:cs="Arial"/>
        <w:sz w:val="22"/>
        <w:szCs w:val="16"/>
      </w:rPr>
    </w:pPr>
    <w:r>
      <w:rPr>
        <w:rFonts w:cs="Arial" w:ascii="Arial" w:hAnsi="Arial"/>
        <w:sz w:val="22"/>
        <w:szCs w:val="16"/>
      </w:rPr>
      <w:t>SECRETARIA MUNICIPAL DE OBRAS E SERVIÇOS URBANOS</w:t>
    </w:r>
  </w:p>
  <w:p>
    <w:pPr>
      <w:pStyle w:val="Subttulo"/>
      <w:jc w:val="left"/>
      <w:rPr>
        <w:rFonts w:ascii="Arial" w:hAnsi="Arial" w:cs="Arial"/>
        <w:sz w:val="22"/>
        <w:szCs w:val="16"/>
      </w:rPr>
    </w:pPr>
    <w:r>
      <w:rPr>
        <w:rFonts w:cs="Arial" w:ascii="Arial" w:hAnsi="Arial"/>
        <w:sz w:val="22"/>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i w:val="false"/>
        <w:b w:val="false"/>
        <w:color w:val="000000"/>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i w:val="false"/>
        <w:b w:val="false"/>
        <w:rFonts w:ascii="Arial" w:hAnsi="Arial" w:cs="Arial"/>
      </w:rPr>
    </w:lvl>
    <w:lvl w:ilvl="2">
      <w:start w:val="1"/>
      <w:numFmt w:val="decimal"/>
      <w:lvlText w:val="%1.%2.%3."/>
      <w:lvlJc w:val="left"/>
      <w:pPr>
        <w:tabs>
          <w:tab w:val="num" w:pos="0"/>
        </w:tabs>
        <w:ind w:left="2631" w:hanging="504"/>
      </w:pPr>
      <w:rPr>
        <w:i w:val="false"/>
        <w:b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upperRoman"/>
      <w:lvlText w:val="%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b w:val="false"/>
        <w:rFonts w:ascii="Arial" w:hAnsi="Arial" w:cs="Arial"/>
      </w:rPr>
    </w:lvl>
    <w:lvl w:ilvl="2">
      <w:start w:val="1"/>
      <w:numFmt w:val="decimal"/>
      <w:lvlText w:val="%1.%2.%3."/>
      <w:lvlJc w:val="left"/>
      <w:pPr>
        <w:tabs>
          <w:tab w:val="num" w:pos="0"/>
        </w:tabs>
        <w:ind w:left="504" w:hanging="504"/>
      </w:pPr>
      <w:rPr>
        <w:b w:val="false"/>
      </w:rPr>
    </w:lvl>
    <w:lvl w:ilvl="3">
      <w:start w:val="1"/>
      <w:numFmt w:val="decimal"/>
      <w:lvlText w:val="%1.%2.%3.%4."/>
      <w:lvlJc w:val="left"/>
      <w:pPr>
        <w:tabs>
          <w:tab w:val="num" w:pos="0"/>
        </w:tabs>
        <w:ind w:left="1728" w:hanging="648"/>
      </w:pPr>
      <w:rPr>
        <w:b w:val="false"/>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5"/>
      <w:numFmt w:val="decimal"/>
      <w:lvlText w:val="%1."/>
      <w:lvlJc w:val="left"/>
      <w:pPr>
        <w:tabs>
          <w:tab w:val="num" w:pos="0"/>
        </w:tabs>
        <w:ind w:left="585" w:hanging="585"/>
      </w:pPr>
      <w:rPr/>
    </w:lvl>
    <w:lvl w:ilvl="1">
      <w:start w:val="1"/>
      <w:numFmt w:val="decimal"/>
      <w:lvlText w:val="%1.%2."/>
      <w:lvlJc w:val="left"/>
      <w:pPr>
        <w:tabs>
          <w:tab w:val="num" w:pos="0"/>
        </w:tabs>
        <w:ind w:left="720" w:hanging="720"/>
      </w:pPr>
      <w:rPr/>
    </w:lvl>
    <w:lvl w:ilvl="2">
      <w:start w:val="2"/>
      <w:numFmt w:val="decimal"/>
      <w:lvlText w:val="%1.%2.%3."/>
      <w:lvlJc w:val="left"/>
      <w:pPr>
        <w:tabs>
          <w:tab w:val="num" w:pos="0"/>
        </w:tabs>
        <w:ind w:left="720" w:hanging="720"/>
      </w:pPr>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pt-BR"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tulo1">
    <w:name w:val="Heading 1"/>
    <w:basedOn w:val="Normal"/>
    <w:next w:val="Normal"/>
    <w:link w:val="Ttulo1Char"/>
    <w:uiPriority w:val="9"/>
    <w:qFormat/>
    <w:rsid w:val="000a2c0f"/>
    <w:pPr>
      <w:keepNext w:val="true"/>
      <w:keepLines/>
      <w:spacing w:before="480" w:after="0"/>
      <w:outlineLvl w:val="0"/>
    </w:pPr>
    <w:rPr>
      <w:rFonts w:ascii="Calibri Light" w:hAnsi="Calibri Light" w:eastAsia="等线 Light" w:cs="" w:asciiTheme="majorHAnsi" w:cstheme="majorBidi" w:eastAsiaTheme="majorEastAsia" w:hAnsiTheme="majorHAnsi"/>
      <w:b/>
      <w:bCs/>
      <w:color w:val="2E74B5" w:themeColor="accent1" w:themeShade="bf"/>
      <w:sz w:val="28"/>
      <w:szCs w:val="28"/>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qFormat/>
    <w:rPr/>
  </w:style>
  <w:style w:type="character" w:styleId="RodapChar" w:customStyle="1">
    <w:name w:val="Rodapé Char"/>
    <w:basedOn w:val="DefaultParagraphFont"/>
    <w:uiPriority w:val="99"/>
    <w:qFormat/>
    <w:rPr/>
  </w:style>
  <w:style w:type="character" w:styleId="TextodebaloChar" w:customStyle="1">
    <w:name w:val="Texto de balão Char"/>
    <w:basedOn w:val="DefaultParagraphFont"/>
    <w:link w:val="BalloonText"/>
    <w:uiPriority w:val="99"/>
    <w:semiHidden/>
    <w:qFormat/>
    <w:rPr>
      <w:rFonts w:ascii="Segoe UI" w:hAnsi="Segoe UI" w:cs="Segoe UI"/>
      <w:sz w:val="18"/>
      <w:szCs w:val="18"/>
    </w:rPr>
  </w:style>
  <w:style w:type="character" w:styleId="Ttulo1Char" w:customStyle="1">
    <w:name w:val="Título 1 Char"/>
    <w:basedOn w:val="DefaultParagraphFont"/>
    <w:uiPriority w:val="9"/>
    <w:qFormat/>
    <w:rsid w:val="000a2c0f"/>
    <w:rPr>
      <w:rFonts w:ascii="Calibri Light" w:hAnsi="Calibri Light" w:eastAsia="等线 Light" w:cs="" w:asciiTheme="majorHAnsi" w:cstheme="majorBidi" w:eastAsiaTheme="majorEastAsia" w:hAnsiTheme="majorHAnsi"/>
      <w:b/>
      <w:bCs/>
      <w:color w:val="2E74B5" w:themeColor="accent1" w:themeShade="bf"/>
      <w:sz w:val="28"/>
      <w:szCs w:val="28"/>
      <w:lang w:eastAsia="en-US"/>
    </w:rPr>
  </w:style>
  <w:style w:type="character" w:styleId="LinkdaInternet">
    <w:name w:val="Hyperlink"/>
    <w:basedOn w:val="DefaultParagraphFont"/>
    <w:uiPriority w:val="99"/>
    <w:unhideWhenUsed/>
    <w:rsid w:val="000a2c0f"/>
    <w:rPr>
      <w:color w:val="0563C1" w:themeColor="hyperlink"/>
      <w:u w:val="single"/>
    </w:rPr>
  </w:style>
  <w:style w:type="character" w:styleId="Markedcontent" w:customStyle="1">
    <w:name w:val="markedcontent"/>
    <w:basedOn w:val="DefaultParagraphFont"/>
    <w:qFormat/>
    <w:rsid w:val="000a2c0f"/>
    <w:rPr/>
  </w:style>
  <w:style w:type="character" w:styleId="SubttuloChar" w:customStyle="1">
    <w:name w:val="Subtítulo Char"/>
    <w:basedOn w:val="DefaultParagraphFont"/>
    <w:qFormat/>
    <w:rsid w:val="000b235b"/>
    <w:rPr>
      <w:rFonts w:ascii="Cambria" w:hAnsi="Cambria" w:eastAsia="Times New Roman" w:cs="Times New Roman"/>
      <w:sz w:val="24"/>
    </w:rPr>
  </w:style>
  <w:style w:type="character" w:styleId="PargrafodaListaChar" w:customStyle="1">
    <w:name w:val="Parágrafo da Lista Char"/>
    <w:link w:val="ListParagraph"/>
    <w:qFormat/>
    <w:locked/>
    <w:rsid w:val="006876f3"/>
    <w:rPr>
      <w:sz w:val="22"/>
      <w:szCs w:val="22"/>
      <w:lang w:eastAsia="en-US"/>
    </w:rPr>
  </w:style>
  <w:style w:type="character" w:styleId="Strong">
    <w:name w:val="Strong"/>
    <w:basedOn w:val="DefaultParagraphFont"/>
    <w:uiPriority w:val="22"/>
    <w:qFormat/>
    <w:rsid w:val="00600a63"/>
    <w:rPr>
      <w:b/>
      <w:bCs/>
    </w:rPr>
  </w:style>
  <w:style w:type="character" w:styleId="TtuloChar" w:customStyle="1">
    <w:name w:val="Título Char"/>
    <w:basedOn w:val="DefaultParagraphFont"/>
    <w:qFormat/>
    <w:rsid w:val="000f068c"/>
    <w:rPr>
      <w:rFonts w:ascii="Cambria" w:hAnsi="Cambria" w:eastAsia="Times New Roman" w:cs="Times New Roman"/>
      <w:b/>
      <w:kern w:val="2"/>
      <w:sz w:val="32"/>
    </w:rPr>
  </w:style>
  <w:style w:type="character" w:styleId="Corpodetexto3Char" w:customStyle="1">
    <w:name w:val="Corpo de texto 3 Char"/>
    <w:basedOn w:val="DefaultParagraphFont"/>
    <w:link w:val="BodyText3"/>
    <w:qFormat/>
    <w:rsid w:val="000f068c"/>
    <w:rPr>
      <w:rFonts w:ascii="Times New Roman" w:hAnsi="Times New Roman" w:eastAsia="Times New Roman" w:cs="Times New Roman"/>
      <w:sz w:val="16"/>
      <w:szCs w:val="16"/>
    </w:rPr>
  </w:style>
  <w:style w:type="character" w:styleId="TextodenotaderodapChar" w:customStyle="1">
    <w:name w:val="Texto de nota de rodapé Char"/>
    <w:basedOn w:val="DefaultParagraphFont"/>
    <w:uiPriority w:val="99"/>
    <w:semiHidden/>
    <w:qFormat/>
    <w:rsid w:val="003e5cca"/>
    <w:rPr>
      <w:lang w:eastAsia="en-US"/>
    </w:rPr>
  </w:style>
  <w:style w:type="character" w:styleId="Caracteresdenotaderodap">
    <w:name w:val="Caracteres de nota de rodapé"/>
    <w:uiPriority w:val="99"/>
    <w:semiHidden/>
    <w:unhideWhenUsed/>
    <w:qFormat/>
    <w:rsid w:val="003e5cca"/>
    <w:rPr>
      <w:vertAlign w:val="superscript"/>
    </w:rPr>
  </w:style>
  <w:style w:type="character" w:styleId="Ncoradanotaderodap">
    <w:name w:val="Footnote Reference"/>
    <w:rPr>
      <w:vertAlign w:val="superscript"/>
    </w:rPr>
  </w:style>
  <w:style w:type="character" w:styleId="Caracteresdenotadefim">
    <w:name w:val="Caracteres de nota de fim"/>
    <w:qFormat/>
    <w:rPr>
      <w:vertAlign w:val="superscript"/>
    </w:rPr>
  </w:style>
  <w:style w:type="character" w:styleId="Ncoradanotadefim">
    <w:name w:val="Endnote Reference"/>
    <w:rPr>
      <w:vertAlign w:val="superscrip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Web">
    <w:name w:val="Normal (Web)"/>
    <w:basedOn w:val="Normal"/>
    <w:uiPriority w:val="99"/>
    <w:unhideWhenUsed/>
    <w:qFormat/>
    <w:pPr>
      <w:spacing w:lineRule="auto" w:line="240" w:beforeAutospacing="1" w:afterAutospacing="1"/>
    </w:pPr>
    <w:rPr>
      <w:rFonts w:ascii="Times New Roman" w:hAnsi="Times New Roman" w:eastAsia="Times New Roman" w:cs="Times New Roman"/>
      <w:sz w:val="24"/>
      <w:szCs w:val="24"/>
      <w:lang w:eastAsia="pt-BR"/>
    </w:rPr>
  </w:style>
  <w:style w:type="paragraph" w:styleId="CabealhoeRodap">
    <w:name w:val="Cabeçalho e Rodapé"/>
    <w:basedOn w:val="Normal"/>
    <w:qFormat/>
    <w:pPr/>
    <w:rPr/>
  </w:style>
  <w:style w:type="paragraph" w:styleId="Cabealho">
    <w:name w:val="Header"/>
    <w:basedOn w:val="Normal"/>
    <w:link w:val="CabealhoChar"/>
    <w:unhideWhenUsed/>
    <w:qFormat/>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pPr>
      <w:spacing w:lineRule="auto" w:line="240" w:before="0" w:after="0"/>
    </w:pPr>
    <w:rPr>
      <w:rFonts w:ascii="Segoe UI" w:hAnsi="Segoe UI" w:cs="Segoe UI"/>
      <w:sz w:val="18"/>
      <w:szCs w:val="18"/>
    </w:rPr>
  </w:style>
  <w:style w:type="paragraph" w:styleId="WWCorpodetexto3" w:customStyle="1">
    <w:name w:val="WW-Corpo de texto 3"/>
    <w:basedOn w:val="Normal"/>
    <w:qFormat/>
    <w:pPr>
      <w:suppressAutoHyphens w:val="true"/>
      <w:spacing w:lineRule="auto" w:line="240" w:before="0" w:after="0"/>
      <w:jc w:val="both"/>
    </w:pPr>
    <w:rPr>
      <w:rFonts w:ascii="Times New Roman" w:hAnsi="Times New Roman" w:eastAsia="Times New Roman" w:cs="Times New Roman"/>
      <w:sz w:val="24"/>
      <w:szCs w:val="20"/>
      <w:lang w:eastAsia="pt-BR"/>
    </w:rPr>
  </w:style>
  <w:style w:type="paragraph" w:styleId="Subttulo">
    <w:name w:val="Subtitle"/>
    <w:basedOn w:val="Normal"/>
    <w:link w:val="SubttuloChar"/>
    <w:qFormat/>
    <w:rsid w:val="000b235b"/>
    <w:pPr>
      <w:spacing w:lineRule="auto" w:line="240" w:before="0" w:after="0"/>
      <w:jc w:val="center"/>
    </w:pPr>
    <w:rPr>
      <w:rFonts w:ascii="Cambria" w:hAnsi="Cambria" w:eastAsia="Times New Roman" w:cs="Times New Roman"/>
      <w:sz w:val="24"/>
      <w:szCs w:val="20"/>
      <w:lang w:eastAsia="pt-BR"/>
    </w:rPr>
  </w:style>
  <w:style w:type="paragraph" w:styleId="ListParagraph">
    <w:name w:val="List Paragraph"/>
    <w:basedOn w:val="Normal"/>
    <w:link w:val="PargrafodaListaChar"/>
    <w:uiPriority w:val="34"/>
    <w:qFormat/>
    <w:rsid w:val="000b28e5"/>
    <w:pPr>
      <w:spacing w:before="0" w:after="160"/>
      <w:ind w:left="720" w:hanging="0"/>
      <w:contextualSpacing/>
    </w:pPr>
    <w:rPr/>
  </w:style>
  <w:style w:type="paragraph" w:styleId="Corpodetexto23" w:customStyle="1">
    <w:name w:val="Corpo de texto 23"/>
    <w:basedOn w:val="Normal"/>
    <w:qFormat/>
    <w:rsid w:val="00de115b"/>
    <w:pPr>
      <w:spacing w:lineRule="auto" w:line="240" w:before="0" w:after="0"/>
      <w:jc w:val="both"/>
    </w:pPr>
    <w:rPr>
      <w:rFonts w:ascii="Times New Roman" w:hAnsi="Times New Roman" w:eastAsia="SimSun" w:cs="Times New Roman"/>
      <w:sz w:val="20"/>
      <w:szCs w:val="20"/>
      <w:lang w:eastAsia="zh-CN"/>
    </w:rPr>
  </w:style>
  <w:style w:type="paragraph" w:styleId="Ttulododocumento">
    <w:name w:val="Title"/>
    <w:basedOn w:val="Normal"/>
    <w:link w:val="TtuloChar"/>
    <w:qFormat/>
    <w:rsid w:val="000f068c"/>
    <w:pPr>
      <w:spacing w:lineRule="auto" w:line="240" w:before="0" w:after="0"/>
      <w:jc w:val="center"/>
    </w:pPr>
    <w:rPr>
      <w:rFonts w:ascii="Cambria" w:hAnsi="Cambria" w:eastAsia="Times New Roman" w:cs="Times New Roman"/>
      <w:b/>
      <w:kern w:val="2"/>
      <w:sz w:val="32"/>
      <w:szCs w:val="20"/>
      <w:lang w:eastAsia="pt-BR"/>
    </w:rPr>
  </w:style>
  <w:style w:type="paragraph" w:styleId="BodyText3">
    <w:name w:val="Body Text 3"/>
    <w:basedOn w:val="Normal"/>
    <w:link w:val="Corpodetexto3Char"/>
    <w:qFormat/>
    <w:rsid w:val="000f068c"/>
    <w:pPr>
      <w:spacing w:lineRule="auto" w:line="240" w:before="0" w:after="120"/>
    </w:pPr>
    <w:rPr>
      <w:rFonts w:ascii="Times New Roman" w:hAnsi="Times New Roman" w:eastAsia="Times New Roman" w:cs="Times New Roman"/>
      <w:sz w:val="16"/>
      <w:szCs w:val="16"/>
      <w:lang w:eastAsia="pt-BR"/>
    </w:rPr>
  </w:style>
  <w:style w:type="paragraph" w:styleId="Notaderodap">
    <w:name w:val="Footnote Text"/>
    <w:basedOn w:val="Normal"/>
    <w:link w:val="TextodenotaderodapChar"/>
    <w:uiPriority w:val="99"/>
    <w:semiHidden/>
    <w:unhideWhenUsed/>
    <w:rsid w:val="003e5cca"/>
    <w:pPr>
      <w:spacing w:lineRule="auto" w:line="240" w:before="0" w:after="0"/>
    </w:pPr>
    <w:rPr>
      <w:sz w:val="20"/>
      <w:szCs w:val="20"/>
    </w:rPr>
  </w:style>
  <w:style w:type="paragraph" w:styleId="Western" w:customStyle="1">
    <w:name w:val="western"/>
    <w:basedOn w:val="Normal"/>
    <w:qFormat/>
    <w:rsid w:val="00b9290e"/>
    <w:pPr>
      <w:spacing w:lineRule="auto" w:line="240" w:beforeAutospacing="1" w:after="119"/>
    </w:pPr>
    <w:rPr>
      <w:rFonts w:ascii="Times New Roman" w:hAnsi="Times New Roman" w:eastAsia="Times New Roman" w:cs="Times New Roman"/>
      <w:color w:val="000000"/>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e7196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A1F9D-851E-43DC-9D29-74B31A027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1723</TotalTime>
  <Application>LibreOffice/7.4.6.2$Windows_X86_64 LibreOffice_project/5b1f5509c2decdade7fda905e3e1429a67acd63d</Application>
  <AppVersion>15.0000</AppVersion>
  <Pages>9</Pages>
  <Words>1932</Words>
  <Characters>10745</Characters>
  <CharactersWithSpaces>12535</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2023-11-21T18:54:00Z</dcterms:created>
  <dc:creator>COMPUTADOR</dc:creator>
  <dc:description/>
  <dc:language>pt-BR</dc:language>
  <cp:lastModifiedBy/>
  <cp:lastPrinted>2024-01-05T10:10:31Z</cp:lastPrinted>
  <dcterms:modified xsi:type="dcterms:W3CDTF">2024-01-08T08:10:39Z</dcterms:modified>
  <cp:revision>39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A1EA58DFB2F64CA49379DECF14E588A6</vt:lpwstr>
  </property>
  <property fmtid="{D5CDD505-2E9C-101B-9397-08002B2CF9AE}" pid="3" name="KSOProductBuildVer">
    <vt:lpwstr>1046-11.2.0.11440</vt:lpwstr>
  </property>
</Properties>
</file>