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57495" w14:textId="77777777" w:rsidR="00407009"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0" distR="0" simplePos="0" relativeHeight="251658240" behindDoc="1" locked="0" layoutInCell="1" hidden="0" allowOverlap="1" wp14:anchorId="5DD853C3" wp14:editId="4F12376E">
                <wp:simplePos x="0" y="0"/>
                <wp:positionH relativeFrom="margin">
                  <wp:posOffset>-23811</wp:posOffset>
                </wp:positionH>
                <wp:positionV relativeFrom="page">
                  <wp:posOffset>1538288</wp:posOffset>
                </wp:positionV>
                <wp:extent cx="6315075" cy="8277225"/>
                <wp:effectExtent l="0" t="0" r="0" b="0"/>
                <wp:wrapNone/>
                <wp:docPr id="2" name="Retângulo 2"/>
                <wp:cNvGraphicFramePr/>
                <a:graphic xmlns:a="http://schemas.openxmlformats.org/drawingml/2006/main">
                  <a:graphicData uri="http://schemas.microsoft.com/office/word/2010/wordprocessingShape">
                    <wps:wsp>
                      <wps:cNvSpPr/>
                      <wps:spPr>
                        <a:xfrm>
                          <a:off x="2193225" y="0"/>
                          <a:ext cx="6305550" cy="75600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9F35378" w14:textId="77777777" w:rsidR="00407009" w:rsidRDefault="00407009">
                            <w:pPr>
                              <w:textDirection w:val="btLr"/>
                            </w:pPr>
                          </w:p>
                        </w:txbxContent>
                      </wps:txbx>
                      <wps:bodyPr spcFirstLastPara="1" wrap="square" lIns="91425" tIns="91425" rIns="91425" bIns="91425" anchor="ctr" anchorCtr="0">
                        <a:noAutofit/>
                      </wps:bodyPr>
                    </wps:wsp>
                  </a:graphicData>
                </a:graphic>
              </wp:anchor>
            </w:drawing>
          </mc:Choice>
          <mc:Fallback>
            <w:pict>
              <v:rect w14:anchorId="5DD853C3" id="Retângulo 2" o:spid="_x0000_s1026" style="position:absolute;left:0;text-align:left;margin-left:-1.85pt;margin-top:121.15pt;width:497.25pt;height:651.75pt;z-index:-251658240;visibility:visible;mso-wrap-style:square;mso-wrap-distance-left:0;mso-wrap-distance-top:0;mso-wrap-distance-right:0;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">
                <v:stroke startarrowwidth="narrow" startarrowlength="short" endarrowwidth="narrow" endarrowlength="short" miterlimit="5243f"/>
                <v:textbox inset="2.53958mm,2.53958mm,2.53958mm,2.53958mm">
                  <w:txbxContent>
                    <w:p w14:paraId="69F35378" w14:textId="77777777" w:rsidR="00407009" w:rsidRDefault="00407009">
                      <w:pPr>
                        <w:textDirection w:val="btLr"/>
                      </w:pPr>
                    </w:p>
                  </w:txbxContent>
                </v:textbox>
                <w10:wrap anchorx="margin" anchory="page"/>
              </v:rect>
            </w:pict>
          </mc:Fallback>
        </mc:AlternateContent>
      </w:r>
    </w:p>
    <w:p w14:paraId="015640F7" w14:textId="77777777" w:rsidR="00407009"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EDITAL</w:t>
      </w:r>
    </w:p>
    <w:p w14:paraId="6506E61F" w14:textId="15068E7C" w:rsidR="00407009" w:rsidRPr="00A7012D" w:rsidRDefault="00000000">
      <w:pPr>
        <w:spacing w:line="360" w:lineRule="auto"/>
        <w:jc w:val="center"/>
        <w:rPr>
          <w:rFonts w:ascii="Times New Roman" w:eastAsia="Times New Roman" w:hAnsi="Times New Roman" w:cs="Times New Roman"/>
          <w:color w:val="EE0000"/>
          <w:sz w:val="24"/>
          <w:szCs w:val="24"/>
        </w:rPr>
      </w:pPr>
      <w:r>
        <w:rPr>
          <w:rFonts w:ascii="Times New Roman" w:eastAsia="Times New Roman" w:hAnsi="Times New Roman" w:cs="Times New Roman"/>
          <w:sz w:val="24"/>
          <w:szCs w:val="24"/>
        </w:rPr>
        <w:t xml:space="preserve">PREGÃO ELETRÔNICO n°. </w:t>
      </w:r>
      <w:r w:rsidRPr="00A7012D">
        <w:rPr>
          <w:rFonts w:ascii="Times New Roman" w:eastAsia="Times New Roman" w:hAnsi="Times New Roman" w:cs="Times New Roman"/>
          <w:color w:val="EE0000"/>
          <w:sz w:val="24"/>
          <w:szCs w:val="24"/>
        </w:rPr>
        <w:t>900</w:t>
      </w:r>
      <w:r w:rsidR="00A7012D" w:rsidRPr="00A7012D">
        <w:rPr>
          <w:rFonts w:ascii="Times New Roman" w:eastAsia="Times New Roman" w:hAnsi="Times New Roman" w:cs="Times New Roman"/>
          <w:color w:val="EE0000"/>
          <w:sz w:val="24"/>
          <w:szCs w:val="24"/>
        </w:rPr>
        <w:t>12</w:t>
      </w:r>
      <w:r w:rsidRPr="00A7012D">
        <w:rPr>
          <w:rFonts w:ascii="Times New Roman" w:eastAsia="Times New Roman" w:hAnsi="Times New Roman" w:cs="Times New Roman"/>
          <w:color w:val="EE0000"/>
          <w:sz w:val="24"/>
          <w:szCs w:val="24"/>
        </w:rPr>
        <w:t>/2026</w:t>
      </w:r>
    </w:p>
    <w:p w14:paraId="54B71B6A" w14:textId="77777777" w:rsidR="00407009" w:rsidRDefault="00000000">
      <w:pPr>
        <w:widowControl w:val="0"/>
        <w:tabs>
          <w:tab w:val="left" w:pos="1125"/>
        </w:tabs>
        <w:spacing w:line="360" w:lineRule="auto"/>
        <w:ind w:left="184"/>
        <w:jc w:val="both"/>
        <w:rPr>
          <w:rFonts w:ascii="Times New Roman" w:eastAsia="Times New Roman" w:hAnsi="Times New Roman" w:cs="Times New Roman"/>
          <w:sz w:val="14"/>
          <w:szCs w:val="14"/>
        </w:rPr>
      </w:pPr>
      <w:r>
        <w:rPr>
          <w:rFonts w:ascii="Times New Roman" w:eastAsia="Times New Roman" w:hAnsi="Times New Roman" w:cs="Times New Roman"/>
          <w:sz w:val="24"/>
          <w:szCs w:val="24"/>
        </w:rPr>
        <w:tab/>
      </w:r>
    </w:p>
    <w:p w14:paraId="0FA382E2" w14:textId="77777777" w:rsidR="00407009"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Modalidade: Pregão Eletrônico</w:t>
      </w:r>
    </w:p>
    <w:p w14:paraId="0EE0D59F" w14:textId="77777777" w:rsidR="00407009" w:rsidRDefault="00000000">
      <w:pPr>
        <w:widowControl w:val="0"/>
        <w:spacing w:line="360" w:lineRule="auto"/>
        <w:ind w:left="184"/>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Tipo: </w:t>
      </w:r>
      <w:r>
        <w:rPr>
          <w:rFonts w:ascii="Times New Roman" w:eastAsia="Times New Roman" w:hAnsi="Times New Roman" w:cs="Times New Roman"/>
          <w:color w:val="FF0000"/>
          <w:sz w:val="24"/>
          <w:szCs w:val="24"/>
        </w:rPr>
        <w:t>Menor Preço</w:t>
      </w:r>
    </w:p>
    <w:p w14:paraId="626FED1B" w14:textId="77777777" w:rsidR="00407009"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Adjudicação </w:t>
      </w:r>
      <w:r>
        <w:rPr>
          <w:rFonts w:ascii="Times New Roman" w:eastAsia="Times New Roman" w:hAnsi="Times New Roman" w:cs="Times New Roman"/>
          <w:color w:val="FF0000"/>
          <w:sz w:val="24"/>
          <w:szCs w:val="24"/>
        </w:rPr>
        <w:t>por item</w:t>
      </w:r>
    </w:p>
    <w:p w14:paraId="7AE8156C" w14:textId="77777777" w:rsidR="00407009"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 do processo de compra – 2026</w:t>
      </w:r>
    </w:p>
    <w:p w14:paraId="348AD0AA" w14:textId="0E15AD53" w:rsidR="00407009"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da sessão: </w:t>
      </w:r>
      <w:r w:rsidR="00A7012D" w:rsidRPr="00A7012D">
        <w:rPr>
          <w:rFonts w:ascii="Times New Roman" w:eastAsia="Times New Roman" w:hAnsi="Times New Roman" w:cs="Times New Roman"/>
          <w:color w:val="EE0000"/>
          <w:sz w:val="24"/>
          <w:szCs w:val="24"/>
        </w:rPr>
        <w:t>21</w:t>
      </w:r>
      <w:r w:rsidRPr="00A7012D">
        <w:rPr>
          <w:rFonts w:ascii="Times New Roman" w:eastAsia="Times New Roman" w:hAnsi="Times New Roman" w:cs="Times New Roman"/>
          <w:color w:val="EE0000"/>
          <w:sz w:val="24"/>
          <w:szCs w:val="24"/>
        </w:rPr>
        <w:t>/</w:t>
      </w:r>
      <w:r w:rsidR="00A7012D" w:rsidRPr="00A7012D">
        <w:rPr>
          <w:rFonts w:ascii="Times New Roman" w:eastAsia="Times New Roman" w:hAnsi="Times New Roman" w:cs="Times New Roman"/>
          <w:color w:val="EE0000"/>
          <w:sz w:val="24"/>
          <w:szCs w:val="24"/>
        </w:rPr>
        <w:t>07</w:t>
      </w:r>
      <w:r w:rsidRPr="00A7012D">
        <w:rPr>
          <w:rFonts w:ascii="Times New Roman" w:eastAsia="Times New Roman" w:hAnsi="Times New Roman" w:cs="Times New Roman"/>
          <w:color w:val="EE0000"/>
          <w:sz w:val="24"/>
          <w:szCs w:val="24"/>
        </w:rPr>
        <w:t>/2026</w:t>
      </w:r>
    </w:p>
    <w:p w14:paraId="4C73CA1F" w14:textId="77777777" w:rsidR="00407009"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Horário: 10:00h no horário de Brasília/DF.</w:t>
      </w:r>
    </w:p>
    <w:p w14:paraId="111DE23A" w14:textId="77777777" w:rsidR="00407009"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Local: Portal de Compras do Governo Federal – </w:t>
      </w:r>
      <w:hyperlink r:id="rId8">
        <w:r>
          <w:rPr>
            <w:rFonts w:ascii="Times New Roman" w:eastAsia="Times New Roman" w:hAnsi="Times New Roman" w:cs="Times New Roman"/>
            <w:color w:val="000080"/>
            <w:sz w:val="24"/>
            <w:szCs w:val="24"/>
            <w:u w:val="single"/>
          </w:rPr>
          <w:t>www.comprasgovernamentais.gov.br</w:t>
        </w:r>
      </w:hyperlink>
    </w:p>
    <w:p w14:paraId="427C922D" w14:textId="77777777" w:rsidR="00407009"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Código UASG: 389337</w:t>
      </w:r>
    </w:p>
    <w:p w14:paraId="4000B0A6" w14:textId="77777777" w:rsidR="00407009"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Critério de Julgamento: menor preço </w:t>
      </w:r>
    </w:p>
    <w:p w14:paraId="7585A426" w14:textId="77777777" w:rsidR="00407009"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Regime de Execução: </w:t>
      </w:r>
      <w:r>
        <w:rPr>
          <w:rFonts w:ascii="Times New Roman" w:eastAsia="Times New Roman" w:hAnsi="Times New Roman" w:cs="Times New Roman"/>
          <w:color w:val="FF0000"/>
          <w:sz w:val="24"/>
          <w:szCs w:val="24"/>
        </w:rPr>
        <w:t>Empreitada por Preço Global</w:t>
      </w:r>
    </w:p>
    <w:p w14:paraId="22F72976" w14:textId="77777777" w:rsidR="00407009"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Valor Total da Contratação: </w:t>
      </w:r>
      <w:r w:rsidRPr="00A7012D">
        <w:rPr>
          <w:rFonts w:ascii="Times New Roman" w:eastAsia="Times New Roman" w:hAnsi="Times New Roman" w:cs="Times New Roman"/>
          <w:color w:val="EE0000"/>
          <w:sz w:val="24"/>
          <w:szCs w:val="24"/>
        </w:rPr>
        <w:t>R$ 9.187,24</w:t>
      </w:r>
    </w:p>
    <w:p w14:paraId="7EFE5DD1" w14:textId="77777777" w:rsidR="00407009" w:rsidRDefault="00407009">
      <w:pPr>
        <w:widowControl w:val="0"/>
        <w:spacing w:line="360" w:lineRule="auto"/>
        <w:jc w:val="both"/>
        <w:rPr>
          <w:rFonts w:ascii="Times New Roman" w:eastAsia="Times New Roman" w:hAnsi="Times New Roman" w:cs="Times New Roman"/>
          <w:sz w:val="14"/>
          <w:szCs w:val="14"/>
        </w:rPr>
      </w:pPr>
    </w:p>
    <w:p w14:paraId="7F6225D7" w14:textId="77777777" w:rsidR="00407009" w:rsidRDefault="00000000">
      <w:pPr>
        <w:widowControl w:val="0"/>
        <w:tabs>
          <w:tab w:val="left" w:pos="930"/>
        </w:tabs>
        <w:spacing w:line="36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OBJETO: </w:t>
      </w:r>
      <w:r w:rsidRPr="00A7012D">
        <w:rPr>
          <w:rFonts w:ascii="Times New Roman" w:eastAsia="Times New Roman" w:hAnsi="Times New Roman" w:cs="Times New Roman"/>
          <w:color w:val="EE0000"/>
          <w:sz w:val="24"/>
          <w:szCs w:val="24"/>
        </w:rPr>
        <w:t xml:space="preserve">Contratação de </w:t>
      </w:r>
      <w:r>
        <w:rPr>
          <w:rFonts w:ascii="Times New Roman" w:eastAsia="Times New Roman" w:hAnsi="Times New Roman" w:cs="Times New Roman"/>
          <w:color w:val="FF0000"/>
          <w:sz w:val="24"/>
          <w:szCs w:val="24"/>
        </w:rPr>
        <w:t>empresa especializada na prestação de serviços de controle de pragas e vetores, compreendendo a execução de desinsetização, desratização, descupinização e controle de vetores e pragas nas unidades do Coren-RJ</w:t>
      </w:r>
      <w:r>
        <w:rPr>
          <w:rFonts w:ascii="Times New Roman" w:eastAsia="Times New Roman" w:hAnsi="Times New Roman" w:cs="Times New Roman"/>
          <w:sz w:val="24"/>
          <w:szCs w:val="24"/>
        </w:rPr>
        <w:t>.</w:t>
      </w:r>
    </w:p>
    <w:p w14:paraId="7352A050" w14:textId="77777777" w:rsidR="00407009" w:rsidRDefault="00407009">
      <w:pPr>
        <w:widowControl w:val="0"/>
        <w:spacing w:line="360" w:lineRule="auto"/>
        <w:jc w:val="both"/>
        <w:rPr>
          <w:rFonts w:ascii="Times New Roman" w:eastAsia="Times New Roman" w:hAnsi="Times New Roman" w:cs="Times New Roman"/>
          <w:sz w:val="14"/>
          <w:szCs w:val="14"/>
        </w:rPr>
      </w:pPr>
    </w:p>
    <w:p w14:paraId="43DD1CF7" w14:textId="77777777" w:rsidR="00407009"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ANEXOS:</w:t>
      </w:r>
    </w:p>
    <w:p w14:paraId="14AD0BF8" w14:textId="77777777" w:rsidR="00407009" w:rsidRDefault="00000000">
      <w:pPr>
        <w:widowControl w:val="0"/>
        <w:numPr>
          <w:ilvl w:val="2"/>
          <w:numId w:val="9"/>
        </w:numPr>
        <w:spacing w:line="360" w:lineRule="auto"/>
        <w:ind w:left="78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ANEXO I – Termo de Referência</w:t>
      </w:r>
    </w:p>
    <w:p w14:paraId="4DB0F392" w14:textId="77777777" w:rsidR="00407009" w:rsidRDefault="00000000">
      <w:pPr>
        <w:widowControl w:val="0"/>
        <w:numPr>
          <w:ilvl w:val="2"/>
          <w:numId w:val="9"/>
        </w:numPr>
        <w:spacing w:line="360" w:lineRule="auto"/>
        <w:ind w:left="78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ANEXO II – Mapa Comparativo</w:t>
      </w:r>
    </w:p>
    <w:p w14:paraId="187D1703" w14:textId="77777777" w:rsidR="00407009" w:rsidRDefault="00000000">
      <w:pPr>
        <w:widowControl w:val="0"/>
        <w:numPr>
          <w:ilvl w:val="2"/>
          <w:numId w:val="9"/>
        </w:numPr>
        <w:spacing w:line="360" w:lineRule="auto"/>
        <w:ind w:left="78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ANEXO III – Minuta do Contrato</w:t>
      </w:r>
    </w:p>
    <w:p w14:paraId="11E881F2" w14:textId="77777777" w:rsidR="00407009" w:rsidRDefault="00407009">
      <w:pPr>
        <w:widowControl w:val="0"/>
        <w:spacing w:line="360" w:lineRule="auto"/>
        <w:jc w:val="both"/>
        <w:rPr>
          <w:rFonts w:ascii="Times New Roman" w:eastAsia="Times New Roman" w:hAnsi="Times New Roman" w:cs="Times New Roman"/>
          <w:sz w:val="24"/>
          <w:szCs w:val="24"/>
        </w:rPr>
      </w:pPr>
    </w:p>
    <w:p w14:paraId="1FCDC8B4" w14:textId="77777777" w:rsidR="00407009" w:rsidRDefault="00000000">
      <w:pPr>
        <w:widowControl w:val="0"/>
        <w:spacing w:line="360" w:lineRule="auto"/>
        <w:ind w:left="184" w:righ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ABERTURA DO CERTAME: a sessão pública será realizada em ambiente virtual, na rede mundial de computadores – internet, no Portal de Compras do Governo Federal, pelo endereço eletrônico Portal de Compras – </w:t>
      </w:r>
      <w:hyperlink r:id="rId9">
        <w:r>
          <w:rPr>
            <w:rFonts w:ascii="Times New Roman" w:eastAsia="Times New Roman" w:hAnsi="Times New Roman" w:cs="Times New Roman"/>
            <w:color w:val="000080"/>
            <w:sz w:val="24"/>
            <w:szCs w:val="24"/>
            <w:u w:val="single"/>
          </w:rPr>
          <w:t>www.comprasgovernamentais.gov.br</w:t>
        </w:r>
      </w:hyperlink>
    </w:p>
    <w:p w14:paraId="3499662D" w14:textId="77777777" w:rsidR="00407009"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CONSULTA AO EDITAL E DIVULGAÇÃO DE INFORMAÇÕES: </w:t>
      </w:r>
      <w:hyperlink r:id="rId10">
        <w:r>
          <w:rPr>
            <w:rFonts w:ascii="Times New Roman" w:eastAsia="Times New Roman" w:hAnsi="Times New Roman" w:cs="Times New Roman"/>
            <w:color w:val="000080"/>
            <w:sz w:val="24"/>
            <w:szCs w:val="24"/>
            <w:u w:val="single"/>
          </w:rPr>
          <w:t>www.comprasgovernamentais.gov.br</w:t>
        </w:r>
      </w:hyperlink>
    </w:p>
    <w:p w14:paraId="7BF19C71" w14:textId="6191A2CF" w:rsidR="00407009"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ESCLARECIMENTOS E IMPUGNAÇÕES – Até a data limite de </w:t>
      </w:r>
      <w:r w:rsidR="00A7012D" w:rsidRPr="00A7012D">
        <w:rPr>
          <w:rFonts w:ascii="Times New Roman" w:eastAsia="Times New Roman" w:hAnsi="Times New Roman" w:cs="Times New Roman"/>
          <w:color w:val="EE0000"/>
          <w:sz w:val="24"/>
          <w:szCs w:val="24"/>
        </w:rPr>
        <w:t>16</w:t>
      </w:r>
      <w:r w:rsidRPr="00A7012D">
        <w:rPr>
          <w:rFonts w:ascii="Times New Roman" w:eastAsia="Times New Roman" w:hAnsi="Times New Roman" w:cs="Times New Roman"/>
          <w:color w:val="EE0000"/>
          <w:sz w:val="24"/>
          <w:szCs w:val="24"/>
        </w:rPr>
        <w:t>/</w:t>
      </w:r>
      <w:r w:rsidR="00A7012D" w:rsidRPr="00A7012D">
        <w:rPr>
          <w:rFonts w:ascii="Times New Roman" w:eastAsia="Times New Roman" w:hAnsi="Times New Roman" w:cs="Times New Roman"/>
          <w:color w:val="EE0000"/>
          <w:sz w:val="24"/>
          <w:szCs w:val="24"/>
        </w:rPr>
        <w:t>07</w:t>
      </w:r>
      <w:r w:rsidRPr="00A7012D">
        <w:rPr>
          <w:rFonts w:ascii="Times New Roman" w:eastAsia="Times New Roman" w:hAnsi="Times New Roman" w:cs="Times New Roman"/>
          <w:color w:val="EE0000"/>
          <w:sz w:val="24"/>
          <w:szCs w:val="24"/>
        </w:rPr>
        <w:t>/2026</w:t>
      </w:r>
    </w:p>
    <w:p w14:paraId="7F0BA1EB" w14:textId="77777777" w:rsidR="00407009"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PREGOEIRO: Ygor Ramos</w:t>
      </w:r>
    </w:p>
    <w:p w14:paraId="7C4FB2C6" w14:textId="77777777" w:rsidR="00407009"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(Pregoeiro designado pela Portaria nº 260/2026)</w:t>
      </w:r>
    </w:p>
    <w:p w14:paraId="188A4041" w14:textId="77777777" w:rsidR="00407009" w:rsidRDefault="00407009">
      <w:pPr>
        <w:spacing w:line="276" w:lineRule="auto"/>
        <w:jc w:val="both"/>
        <w:rPr>
          <w:rFonts w:ascii="Times New Roman" w:eastAsia="Times New Roman" w:hAnsi="Times New Roman" w:cs="Times New Roman"/>
          <w:sz w:val="24"/>
          <w:szCs w:val="24"/>
        </w:rPr>
      </w:pPr>
    </w:p>
    <w:p w14:paraId="0ACFCDDD" w14:textId="77777777" w:rsidR="00407009" w:rsidRDefault="00000000">
      <w:pPr>
        <w:tabs>
          <w:tab w:val="left" w:pos="142"/>
        </w:tabs>
        <w:spacing w:line="360" w:lineRule="auto"/>
        <w:ind w:right="10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w:t>
      </w:r>
      <w:r>
        <w:rPr>
          <w:rFonts w:ascii="Times New Roman" w:eastAsia="Times New Roman" w:hAnsi="Times New Roman" w:cs="Times New Roman"/>
          <w:b/>
          <w:bCs/>
          <w:sz w:val="24"/>
          <w:szCs w:val="24"/>
        </w:rPr>
        <w:t>Conselho Regional de Enfermagem do Rio de Janeiro – COREN/RJ</w:t>
      </w:r>
      <w:r>
        <w:rPr>
          <w:rFonts w:ascii="Times New Roman" w:eastAsia="Times New Roman" w:hAnsi="Times New Roman" w:cs="Times New Roman"/>
          <w:sz w:val="24"/>
          <w:szCs w:val="24"/>
        </w:rPr>
        <w:t xml:space="preserve">, entidade fiscalizadora do exercício profissional </w:t>
      </w:r>
      <w:proofErr w:type="spellStart"/>
      <w:r>
        <w:rPr>
          <w:rFonts w:ascii="Times New Roman" w:eastAsia="Times New Roman" w:hAnsi="Times New Roman" w:cs="Times New Roman"/>
          <w:sz w:val="24"/>
          <w:szCs w:val="24"/>
        </w:rPr>
        <w:t>ex</w:t>
      </w:r>
      <w:proofErr w:type="spellEnd"/>
      <w:r>
        <w:rPr>
          <w:rFonts w:ascii="Times New Roman" w:eastAsia="Times New Roman" w:hAnsi="Times New Roman" w:cs="Times New Roman"/>
          <w:sz w:val="24"/>
          <w:szCs w:val="24"/>
        </w:rPr>
        <w:t xml:space="preserve"> vi da Lei nº. 5.905, de 12/07/1973, com sede na Avenida Presidente Vargas, nº 502, 5º andar, Centro, Rio de Janeiro/RJ, CNPJ nº. 27.149.095/0001-66, UASG 389337 e este Pregoeiro, designado pela Portaria COREN/RJ nº. 260/2026, tornam público que se realizará licitação, na </w:t>
      </w:r>
      <w:r>
        <w:rPr>
          <w:rFonts w:ascii="Times New Roman" w:eastAsia="Times New Roman" w:hAnsi="Times New Roman" w:cs="Times New Roman"/>
          <w:b/>
          <w:bCs/>
          <w:sz w:val="24"/>
          <w:szCs w:val="24"/>
        </w:rPr>
        <w:t>modalidade PREGÃO</w:t>
      </w:r>
      <w:r>
        <w:rPr>
          <w:rFonts w:ascii="Times New Roman" w:eastAsia="Times New Roman" w:hAnsi="Times New Roman" w:cs="Times New Roman"/>
          <w:sz w:val="24"/>
          <w:szCs w:val="24"/>
        </w:rPr>
        <w:t xml:space="preserve">, na forma </w:t>
      </w:r>
      <w:r>
        <w:rPr>
          <w:rFonts w:ascii="Times New Roman" w:eastAsia="Times New Roman" w:hAnsi="Times New Roman" w:cs="Times New Roman"/>
          <w:b/>
          <w:bCs/>
          <w:sz w:val="24"/>
          <w:szCs w:val="24"/>
        </w:rPr>
        <w:t>ELETRÔNICA</w:t>
      </w:r>
      <w:r>
        <w:rPr>
          <w:rFonts w:ascii="Times New Roman" w:eastAsia="Times New Roman" w:hAnsi="Times New Roman" w:cs="Times New Roman"/>
          <w:sz w:val="24"/>
          <w:szCs w:val="24"/>
        </w:rPr>
        <w:t>, nos termos da Lei nº 14.133, de 2021, do Decreto nº 11.462, de 31 de março de 2023 e demais legislação aplicável e, ainda, de acordo com as condições estabelecidas neste Edital.</w:t>
      </w:r>
    </w:p>
    <w:p w14:paraId="61195F5D"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256C68F3" w14:textId="77777777" w:rsidR="00407009"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 DO OBJETO</w:t>
      </w:r>
    </w:p>
    <w:p w14:paraId="4B02F6E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O objeto da presente licitação é </w:t>
      </w:r>
      <w:r>
        <w:rPr>
          <w:rFonts w:ascii="Times New Roman" w:eastAsia="Times New Roman" w:hAnsi="Times New Roman" w:cs="Times New Roman"/>
          <w:color w:val="EE0000"/>
          <w:sz w:val="24"/>
          <w:szCs w:val="24"/>
        </w:rPr>
        <w:t xml:space="preserve">serviço de dedetização, consistindo em desinsetização, desratização, descupinização e controle de vetores e pragas, através do Manejo Integrado de Pragas </w:t>
      </w:r>
      <w:r>
        <w:rPr>
          <w:rFonts w:ascii="Times New Roman" w:eastAsia="Times New Roman" w:hAnsi="Times New Roman" w:cs="Times New Roman"/>
          <w:sz w:val="24"/>
          <w:szCs w:val="24"/>
        </w:rPr>
        <w:t>definido neste Termo de Referência. conforme condições, quantidades e exigências estabelecidas neste Edital e seus anexos.</w:t>
      </w:r>
    </w:p>
    <w:p w14:paraId="4BC7312B" w14:textId="77777777" w:rsidR="00407009" w:rsidRDefault="00000000">
      <w:pPr>
        <w:spacing w:line="360" w:lineRule="auto"/>
        <w:jc w:val="both"/>
        <w:rPr>
          <w:rFonts w:ascii="Times New Roman" w:eastAsia="Times New Roman" w:hAnsi="Times New Roman" w:cs="Times New Roman"/>
          <w:sz w:val="24"/>
          <w:szCs w:val="24"/>
        </w:rPr>
      </w:pPr>
      <w:bookmarkStart w:id="0" w:name="_heading=h.bve3w0viwyio" w:colFirst="0" w:colLast="0"/>
      <w:bookmarkEnd w:id="0"/>
      <w:r>
        <w:rPr>
          <w:rFonts w:ascii="Times New Roman" w:eastAsia="Times New Roman" w:hAnsi="Times New Roman" w:cs="Times New Roman"/>
          <w:sz w:val="24"/>
          <w:szCs w:val="24"/>
        </w:rPr>
        <w:t>1.2. A licitação será realizada em único item, conforme tabela abaixo:</w:t>
      </w:r>
    </w:p>
    <w:tbl>
      <w:tblPr>
        <w:tblStyle w:val="a"/>
        <w:tblW w:w="102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2977"/>
        <w:gridCol w:w="1134"/>
        <w:gridCol w:w="1276"/>
        <w:gridCol w:w="1134"/>
        <w:gridCol w:w="1559"/>
        <w:gridCol w:w="1417"/>
      </w:tblGrid>
      <w:tr w:rsidR="00407009" w14:paraId="44858575" w14:textId="77777777">
        <w:trPr>
          <w:trHeight w:val="509"/>
          <w:jc w:val="center"/>
        </w:trPr>
        <w:tc>
          <w:tcPr>
            <w:tcW w:w="704" w:type="dxa"/>
            <w:vAlign w:val="center"/>
          </w:tcPr>
          <w:p w14:paraId="33B6275F" w14:textId="77777777" w:rsidR="00407009" w:rsidRDefault="00000000">
            <w:pPr>
              <w:widowControl w:val="0"/>
              <w:spacing w:line="276"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ITEM</w:t>
            </w:r>
          </w:p>
          <w:p w14:paraId="6E113ECD" w14:textId="77777777" w:rsidR="00407009" w:rsidRDefault="00407009">
            <w:pPr>
              <w:widowControl w:val="0"/>
              <w:spacing w:line="276" w:lineRule="auto"/>
              <w:jc w:val="center"/>
              <w:rPr>
                <w:rFonts w:ascii="Times New Roman" w:eastAsia="Times New Roman" w:hAnsi="Times New Roman" w:cs="Times New Roman"/>
                <w:b/>
                <w:bCs/>
                <w:sz w:val="24"/>
                <w:szCs w:val="24"/>
              </w:rPr>
            </w:pPr>
          </w:p>
        </w:tc>
        <w:tc>
          <w:tcPr>
            <w:tcW w:w="2977" w:type="dxa"/>
            <w:vAlign w:val="center"/>
          </w:tcPr>
          <w:p w14:paraId="26A32FC4" w14:textId="77777777" w:rsidR="00407009" w:rsidRDefault="00000000">
            <w:pPr>
              <w:spacing w:line="276"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DESCRIÇÃO/</w:t>
            </w:r>
          </w:p>
          <w:p w14:paraId="5D6C3E41" w14:textId="77777777" w:rsidR="00407009" w:rsidRDefault="00000000">
            <w:pPr>
              <w:widowControl w:val="0"/>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ESPECIFICAÇÃO</w:t>
            </w:r>
          </w:p>
        </w:tc>
        <w:tc>
          <w:tcPr>
            <w:tcW w:w="1134" w:type="dxa"/>
            <w:vAlign w:val="center"/>
          </w:tcPr>
          <w:p w14:paraId="1C9D2B77" w14:textId="77777777" w:rsidR="00407009" w:rsidRDefault="00000000">
            <w:pPr>
              <w:widowControl w:val="0"/>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CATSER</w:t>
            </w:r>
          </w:p>
        </w:tc>
        <w:tc>
          <w:tcPr>
            <w:tcW w:w="1276" w:type="dxa"/>
            <w:vAlign w:val="center"/>
          </w:tcPr>
          <w:p w14:paraId="549944A1" w14:textId="77777777" w:rsidR="00407009" w:rsidRDefault="00000000">
            <w:pPr>
              <w:widowControl w:val="0"/>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UNIDADE DE MEDIDA</w:t>
            </w:r>
          </w:p>
        </w:tc>
        <w:tc>
          <w:tcPr>
            <w:tcW w:w="1134" w:type="dxa"/>
            <w:vAlign w:val="center"/>
          </w:tcPr>
          <w:p w14:paraId="16EAAA82" w14:textId="77777777" w:rsidR="00407009" w:rsidRDefault="00000000">
            <w:pPr>
              <w:widowControl w:val="0"/>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QTD</w:t>
            </w:r>
          </w:p>
        </w:tc>
        <w:tc>
          <w:tcPr>
            <w:tcW w:w="1559" w:type="dxa"/>
          </w:tcPr>
          <w:p w14:paraId="439C04C8" w14:textId="77777777" w:rsidR="00407009" w:rsidRDefault="00000000">
            <w:pPr>
              <w:widowControl w:val="0"/>
              <w:spacing w:line="276"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QTD APLICAÇÕES EM 24 MESES</w:t>
            </w:r>
          </w:p>
          <w:p w14:paraId="53705867" w14:textId="77777777" w:rsidR="00407009" w:rsidRDefault="00000000">
            <w:pPr>
              <w:widowControl w:val="0"/>
              <w:spacing w:line="276"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(trimestral)</w:t>
            </w:r>
          </w:p>
        </w:tc>
        <w:tc>
          <w:tcPr>
            <w:tcW w:w="1417" w:type="dxa"/>
            <w:vAlign w:val="center"/>
          </w:tcPr>
          <w:p w14:paraId="17FC48E7" w14:textId="77777777" w:rsidR="00407009" w:rsidRDefault="00000000">
            <w:pPr>
              <w:widowControl w:val="0"/>
              <w:spacing w:line="276"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QTD TOTAL</w:t>
            </w:r>
          </w:p>
        </w:tc>
      </w:tr>
      <w:tr w:rsidR="00407009" w14:paraId="65F2F165" w14:textId="77777777">
        <w:trPr>
          <w:trHeight w:val="522"/>
          <w:jc w:val="center"/>
        </w:trPr>
        <w:tc>
          <w:tcPr>
            <w:tcW w:w="704" w:type="dxa"/>
            <w:vAlign w:val="center"/>
          </w:tcPr>
          <w:p w14:paraId="515DB48B" w14:textId="77777777" w:rsidR="00407009" w:rsidRDefault="00000000">
            <w:pPr>
              <w:widowControl w:val="0"/>
              <w:spacing w:after="120" w:line="276"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p>
        </w:tc>
        <w:tc>
          <w:tcPr>
            <w:tcW w:w="2977" w:type="dxa"/>
            <w:vAlign w:val="center"/>
          </w:tcPr>
          <w:p w14:paraId="12E40693" w14:textId="77777777" w:rsidR="00407009" w:rsidRDefault="00000000">
            <w:pPr>
              <w:widowControl w:val="0"/>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Serviço de dedetização, consistindo em desinsetização, desratização, descupinização e controle de vetores e pragas, através do Manejo Integrado de Pragas definido neste Termo de Referência.</w:t>
            </w:r>
          </w:p>
        </w:tc>
        <w:tc>
          <w:tcPr>
            <w:tcW w:w="1134" w:type="dxa"/>
            <w:vAlign w:val="center"/>
          </w:tcPr>
          <w:p w14:paraId="50DCF338" w14:textId="77777777" w:rsidR="00407009" w:rsidRDefault="00000000">
            <w:pPr>
              <w:widowControl w:val="0"/>
              <w:spacing w:after="12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3417</w:t>
            </w:r>
          </w:p>
        </w:tc>
        <w:tc>
          <w:tcPr>
            <w:tcW w:w="1276" w:type="dxa"/>
            <w:vAlign w:val="center"/>
          </w:tcPr>
          <w:p w14:paraId="476B7F90" w14:textId="77777777" w:rsidR="00407009" w:rsidRDefault="00000000">
            <w:pPr>
              <w:widowControl w:val="0"/>
              <w:spacing w:after="12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 ²</w:t>
            </w:r>
          </w:p>
        </w:tc>
        <w:tc>
          <w:tcPr>
            <w:tcW w:w="1134" w:type="dxa"/>
            <w:vAlign w:val="center"/>
          </w:tcPr>
          <w:p w14:paraId="02099773" w14:textId="77777777" w:rsidR="00407009" w:rsidRDefault="00000000">
            <w:pPr>
              <w:widowControl w:val="0"/>
              <w:spacing w:after="12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3.377,66</w:t>
            </w:r>
          </w:p>
        </w:tc>
        <w:tc>
          <w:tcPr>
            <w:tcW w:w="1559" w:type="dxa"/>
            <w:vAlign w:val="center"/>
          </w:tcPr>
          <w:p w14:paraId="4503CBFA" w14:textId="77777777" w:rsidR="00407009" w:rsidRDefault="00000000">
            <w:pPr>
              <w:widowControl w:val="0"/>
              <w:spacing w:after="12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417" w:type="dxa"/>
            <w:vAlign w:val="center"/>
          </w:tcPr>
          <w:p w14:paraId="3DB50E50" w14:textId="77777777" w:rsidR="00407009" w:rsidRDefault="00000000">
            <w:pPr>
              <w:widowControl w:val="0"/>
              <w:spacing w:after="12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27.021,28 m²</w:t>
            </w:r>
          </w:p>
        </w:tc>
      </w:tr>
    </w:tbl>
    <w:p w14:paraId="3423A3D5" w14:textId="77777777" w:rsidR="00407009" w:rsidRDefault="00407009">
      <w:pPr>
        <w:spacing w:line="360" w:lineRule="auto"/>
        <w:jc w:val="both"/>
        <w:rPr>
          <w:rFonts w:ascii="Times New Roman" w:eastAsia="Times New Roman" w:hAnsi="Times New Roman" w:cs="Times New Roman"/>
          <w:sz w:val="24"/>
          <w:szCs w:val="24"/>
        </w:rPr>
      </w:pPr>
    </w:p>
    <w:p w14:paraId="5650EAA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O prazo de vigência da contratação é de </w:t>
      </w:r>
      <w:r>
        <w:rPr>
          <w:rFonts w:ascii="Times New Roman" w:eastAsia="Times New Roman" w:hAnsi="Times New Roman" w:cs="Times New Roman"/>
          <w:color w:val="EE0000"/>
          <w:sz w:val="24"/>
          <w:szCs w:val="24"/>
        </w:rPr>
        <w:t xml:space="preserve">24 (vinte e quatro) meses </w:t>
      </w:r>
      <w:r>
        <w:rPr>
          <w:rFonts w:ascii="Times New Roman" w:eastAsia="Times New Roman" w:hAnsi="Times New Roman" w:cs="Times New Roman"/>
          <w:sz w:val="24"/>
          <w:szCs w:val="24"/>
        </w:rPr>
        <w:t xml:space="preserve">e poderá ser prorrogado por </w:t>
      </w:r>
      <w:r>
        <w:rPr>
          <w:rFonts w:ascii="Times New Roman" w:eastAsia="Times New Roman" w:hAnsi="Times New Roman" w:cs="Times New Roman"/>
          <w:color w:val="FF0000"/>
          <w:sz w:val="24"/>
          <w:szCs w:val="24"/>
        </w:rPr>
        <w:t>até 10 (dez) anos</w:t>
      </w:r>
      <w:r>
        <w:rPr>
          <w:rFonts w:ascii="Times New Roman" w:eastAsia="Times New Roman" w:hAnsi="Times New Roman" w:cs="Times New Roman"/>
          <w:sz w:val="24"/>
          <w:szCs w:val="24"/>
        </w:rPr>
        <w:t xml:space="preserve">, na forma do </w:t>
      </w:r>
      <w:r>
        <w:rPr>
          <w:rFonts w:ascii="Times New Roman" w:eastAsia="Times New Roman" w:hAnsi="Times New Roman" w:cs="Times New Roman"/>
          <w:color w:val="EE0000"/>
          <w:sz w:val="24"/>
          <w:szCs w:val="24"/>
        </w:rPr>
        <w:t xml:space="preserve">artigo 105, 106 e 107 </w:t>
      </w:r>
      <w:r>
        <w:rPr>
          <w:rFonts w:ascii="Times New Roman" w:eastAsia="Times New Roman" w:hAnsi="Times New Roman" w:cs="Times New Roman"/>
          <w:sz w:val="24"/>
          <w:szCs w:val="24"/>
        </w:rPr>
        <w:t xml:space="preserve">da Lei nº 14.133/2021. </w:t>
      </w:r>
    </w:p>
    <w:p w14:paraId="79482046"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Em caso de divergências entre dados cadastrados no sistema Compras.gov e as informações contidas neste edital, prevalecerão estas últimas.</w:t>
      </w:r>
    </w:p>
    <w:p w14:paraId="5F0B226D"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49349952" w14:textId="77777777" w:rsidR="00407009" w:rsidRDefault="00000000">
      <w:pPr>
        <w:keepNext/>
        <w:keepLines/>
        <w:numPr>
          <w:ilvl w:val="0"/>
          <w:numId w:val="9"/>
        </w:numPr>
        <w:pBdr>
          <w:top w:val="nil"/>
          <w:left w:val="nil"/>
          <w:bottom w:val="nil"/>
          <w:right w:val="nil"/>
          <w:between w:val="nil"/>
        </w:pBdr>
        <w:tabs>
          <w:tab w:val="left" w:pos="567"/>
        </w:tabs>
        <w:spacing w:before="240" w:line="360" w:lineRule="auto"/>
        <w:ind w:left="0" w:hanging="3763"/>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2.</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bCs/>
          <w:color w:val="000000"/>
          <w:sz w:val="24"/>
          <w:szCs w:val="24"/>
        </w:rPr>
        <w:t>DOS RECURSOS ORÇAMENTÁRIOS</w:t>
      </w:r>
    </w:p>
    <w:p w14:paraId="01EAC3F2"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As despesas decorrentes desta licitação correrão por conta do Código de Despesas nº. </w:t>
      </w:r>
      <w:r>
        <w:rPr>
          <w:rFonts w:ascii="Times New Roman" w:eastAsia="Times New Roman" w:hAnsi="Times New Roman" w:cs="Times New Roman"/>
          <w:color w:val="EE0000"/>
          <w:sz w:val="24"/>
          <w:szCs w:val="24"/>
        </w:rPr>
        <w:t>6.2.2.1.1.01.33.90.039.002.036 – Demais Serviços de Higiene Sem Locação de Mão de Obra</w:t>
      </w:r>
      <w:r>
        <w:rPr>
          <w:rFonts w:ascii="Times New Roman" w:eastAsia="Times New Roman" w:hAnsi="Times New Roman" w:cs="Times New Roman"/>
          <w:sz w:val="24"/>
          <w:szCs w:val="24"/>
        </w:rPr>
        <w:t>.</w:t>
      </w:r>
    </w:p>
    <w:p w14:paraId="266BD6A2" w14:textId="77777777" w:rsidR="00407009" w:rsidRDefault="00407009">
      <w:pPr>
        <w:rPr>
          <w:rFonts w:ascii="Times New Roman" w:eastAsia="Times New Roman" w:hAnsi="Times New Roman" w:cs="Times New Roman"/>
          <w:sz w:val="24"/>
          <w:szCs w:val="24"/>
        </w:rPr>
      </w:pPr>
    </w:p>
    <w:p w14:paraId="1215D5C8" w14:textId="77777777" w:rsidR="00407009"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Origem dos Recursos: Próprio.</w:t>
      </w:r>
    </w:p>
    <w:p w14:paraId="6AB7045D" w14:textId="77777777" w:rsidR="00407009" w:rsidRDefault="00407009">
      <w:pPr>
        <w:spacing w:line="360" w:lineRule="auto"/>
        <w:jc w:val="both"/>
        <w:rPr>
          <w:rFonts w:ascii="Times New Roman" w:eastAsia="Times New Roman" w:hAnsi="Times New Roman" w:cs="Times New Roman"/>
          <w:sz w:val="24"/>
          <w:szCs w:val="24"/>
        </w:rPr>
      </w:pPr>
    </w:p>
    <w:p w14:paraId="0A2F5228" w14:textId="77777777" w:rsidR="00407009"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 DA PARTICIPAÇÃO NA LICITAÇÃO</w:t>
      </w:r>
    </w:p>
    <w:p w14:paraId="546F915C"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Poderão participar deste certame os interessados cujo ramo de atividade seja compatível com o objeto da licitação e que estiverem previamente credenciados no Sistema de Cadastramento Unificado de Fornecedores - SICAF e no Sistema de Compras do Governo Federal (</w:t>
      </w:r>
      <w:hyperlink r:id="rId11">
        <w:r>
          <w:rPr>
            <w:rFonts w:ascii="Times New Roman" w:eastAsia="Times New Roman" w:hAnsi="Times New Roman" w:cs="Times New Roman"/>
            <w:color w:val="000080"/>
            <w:sz w:val="24"/>
            <w:szCs w:val="24"/>
            <w:u w:val="single"/>
          </w:rPr>
          <w:t>www.gov.br/compras</w:t>
        </w:r>
      </w:hyperlink>
      <w:r>
        <w:rPr>
          <w:rFonts w:ascii="Times New Roman" w:eastAsia="Times New Roman" w:hAnsi="Times New Roman" w:cs="Times New Roman"/>
          <w:sz w:val="24"/>
          <w:szCs w:val="24"/>
        </w:rPr>
        <w:t>).</w:t>
      </w:r>
    </w:p>
    <w:p w14:paraId="5728658A"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Os interessados deverão atender às condições exigidas no cadastramento no </w:t>
      </w:r>
      <w:proofErr w:type="spellStart"/>
      <w:r>
        <w:rPr>
          <w:rFonts w:ascii="Times New Roman" w:eastAsia="Times New Roman" w:hAnsi="Times New Roman" w:cs="Times New Roman"/>
          <w:sz w:val="24"/>
          <w:szCs w:val="24"/>
        </w:rPr>
        <w:t>Sicaf</w:t>
      </w:r>
      <w:proofErr w:type="spellEnd"/>
      <w:r>
        <w:rPr>
          <w:rFonts w:ascii="Times New Roman" w:eastAsia="Times New Roman" w:hAnsi="Times New Roman" w:cs="Times New Roman"/>
          <w:sz w:val="24"/>
          <w:szCs w:val="24"/>
        </w:rPr>
        <w:t xml:space="preserve"> até o terceiro dia útil anterior à data prevista para recebimento das propostas.</w:t>
      </w:r>
    </w:p>
    <w:p w14:paraId="43CC474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D7816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C8D1E7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A não observância do disposto no item anterior poderá ensejar desclassificação no momento da habilitação.</w:t>
      </w:r>
    </w:p>
    <w:p w14:paraId="4CD7B731" w14:textId="77777777" w:rsidR="00407009" w:rsidRDefault="00000000">
      <w:pPr>
        <w:spacing w:line="360" w:lineRule="auto"/>
        <w:jc w:val="both"/>
        <w:rPr>
          <w:rFonts w:ascii="Times New Roman" w:eastAsia="Times New Roman" w:hAnsi="Times New Roman" w:cs="Times New Roman"/>
          <w:color w:val="EE0000"/>
          <w:sz w:val="24"/>
          <w:szCs w:val="24"/>
        </w:rPr>
      </w:pPr>
      <w:r>
        <w:rPr>
          <w:rFonts w:ascii="Times New Roman" w:eastAsia="Times New Roman" w:hAnsi="Times New Roman" w:cs="Times New Roman"/>
          <w:sz w:val="24"/>
          <w:szCs w:val="24"/>
        </w:rPr>
        <w:t xml:space="preserve">3.6. </w:t>
      </w:r>
      <w:r>
        <w:rPr>
          <w:rFonts w:ascii="Times New Roman" w:eastAsia="Times New Roman" w:hAnsi="Times New Roman" w:cs="Times New Roman"/>
          <w:color w:val="EE0000"/>
          <w:sz w:val="24"/>
          <w:szCs w:val="24"/>
        </w:rPr>
        <w:t>A participação é exclusiva a microempresas e empresas de pequeno porte, nos termos do </w:t>
      </w:r>
      <w:hyperlink r:id="rId12">
        <w:r>
          <w:rPr>
            <w:rFonts w:ascii="Times New Roman" w:eastAsia="Times New Roman" w:hAnsi="Times New Roman" w:cs="Times New Roman"/>
            <w:color w:val="EE0000"/>
            <w:sz w:val="24"/>
            <w:szCs w:val="24"/>
          </w:rPr>
          <w:t>art. 48 da Lei Complementar nº 123, de 14 de dezembro de 2006</w:t>
        </w:r>
      </w:hyperlink>
      <w:r>
        <w:rPr>
          <w:rFonts w:ascii="Times New Roman" w:eastAsia="Times New Roman" w:hAnsi="Times New Roman" w:cs="Times New Roman"/>
          <w:color w:val="EE0000"/>
          <w:sz w:val="24"/>
          <w:szCs w:val="24"/>
        </w:rPr>
        <w:t>.</w:t>
      </w:r>
    </w:p>
    <w:p w14:paraId="0A9BB08A"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D05A8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3.8. Será concedido tratamento favorecido para as microempresas e empresas de pequeno porte, para as sociedades cooperativas mencionadas no </w:t>
      </w:r>
      <w:hyperlink r:id="rId13" w:anchor="art16">
        <w:r>
          <w:rPr>
            <w:rFonts w:ascii="Times New Roman" w:eastAsia="Times New Roman" w:hAnsi="Times New Roman" w:cs="Times New Roman"/>
            <w:sz w:val="24"/>
            <w:szCs w:val="24"/>
          </w:rPr>
          <w:t>art. 16 da Lei nº 14.133, de 2021</w:t>
        </w:r>
      </w:hyperlink>
      <w:r>
        <w:rPr>
          <w:rFonts w:ascii="Times New Roman" w:eastAsia="Times New Roman" w:hAnsi="Times New Roman" w:cs="Times New Roman"/>
          <w:sz w:val="24"/>
          <w:szCs w:val="24"/>
        </w:rPr>
        <w:t xml:space="preserve">, para o agricultor </w:t>
      </w:r>
      <w:r>
        <w:rPr>
          <w:rFonts w:ascii="Times New Roman" w:eastAsia="Times New Roman" w:hAnsi="Times New Roman" w:cs="Times New Roman"/>
          <w:sz w:val="24"/>
          <w:szCs w:val="24"/>
        </w:rPr>
        <w:lastRenderedPageBreak/>
        <w:t>familiar, o produtor rural pessoa física e para o microempreendedor individual - MEI, nos limites previstos da </w:t>
      </w:r>
      <w:hyperlink r:id="rId14">
        <w:r>
          <w:rPr>
            <w:rFonts w:ascii="Times New Roman" w:eastAsia="Times New Roman" w:hAnsi="Times New Roman" w:cs="Times New Roman"/>
            <w:sz w:val="24"/>
            <w:szCs w:val="24"/>
          </w:rPr>
          <w:t>Lei Complementar nº 123 de 2006</w:t>
        </w:r>
      </w:hyperlink>
      <w:r>
        <w:rPr>
          <w:rFonts w:ascii="Times New Roman" w:eastAsia="Times New Roman" w:hAnsi="Times New Roman" w:cs="Times New Roman"/>
          <w:sz w:val="24"/>
          <w:szCs w:val="24"/>
        </w:rPr>
        <w:t>.</w:t>
      </w:r>
    </w:p>
    <w:p w14:paraId="012DAFF5"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 Não poderão disputar esta licitação:</w:t>
      </w:r>
    </w:p>
    <w:p w14:paraId="50C4055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3.9.1. aquele que não atenda às condições deste Edital e seu(s) anexo(s);</w:t>
      </w:r>
    </w:p>
    <w:p w14:paraId="0B0DFBC8"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3.9.2. sociedade que desempenhe atividade incompatível com o objeto da licitação;</w:t>
      </w:r>
    </w:p>
    <w:p w14:paraId="3280DB6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3.9.3. empresas estrangeiras que não tenham representação legal no Brasil com poderes expressos para receber citação e responder administrativa ou judicialmente;</w:t>
      </w:r>
    </w:p>
    <w:p w14:paraId="146EF882"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3.9.4. autor do anteprojeto, do projeto básico ou do projeto executivo, pessoa física ou jurídica, quando a licitação versar sobre serviços ou fornecimento de bens a ele relacionados;</w:t>
      </w:r>
    </w:p>
    <w:p w14:paraId="00405C23"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01B5413"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3.9.6. pessoa física ou jurídica que se encontre, ao tempo da licitação, impossibilitada de participar da licitação em decorrência de sanção que lhe foi imposta;</w:t>
      </w:r>
    </w:p>
    <w:p w14:paraId="737540E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448E57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3.9.8. empresas controladoras, controladas ou coligadas, nos termos da Lei nº 6.404, de 15 de dezembro de 1996, concorrendo entre si;</w:t>
      </w:r>
    </w:p>
    <w:p w14:paraId="2B98F68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63583B6"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3.9.10. Organizações da Sociedade Civil de Interesse Público - OSCIP, atuando nessa condição;</w:t>
      </w:r>
    </w:p>
    <w:p w14:paraId="6E0AB694"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C2%A71">
        <w:r>
          <w:rPr>
            <w:rFonts w:ascii="Times New Roman" w:eastAsia="Times New Roman" w:hAnsi="Times New Roman" w:cs="Times New Roman"/>
            <w:sz w:val="24"/>
            <w:szCs w:val="24"/>
          </w:rPr>
          <w:t>§ 1º do art. 9º da Lei nº 14.133, de 2021</w:t>
        </w:r>
      </w:hyperlink>
      <w:r>
        <w:rPr>
          <w:rFonts w:ascii="Times New Roman" w:eastAsia="Times New Roman" w:hAnsi="Times New Roman" w:cs="Times New Roman"/>
          <w:sz w:val="24"/>
          <w:szCs w:val="24"/>
        </w:rPr>
        <w:t>.</w:t>
      </w:r>
    </w:p>
    <w:p w14:paraId="2C0B4753"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3.11. O impedimento de que trata o item 3.9.6 será também aplicado ao licitante que atue em substituição a outra pessoa, física ou jurídica, com o intuito de burlar a efetividade da sanção a ela </w:t>
      </w:r>
      <w:r>
        <w:rPr>
          <w:rFonts w:ascii="Times New Roman" w:eastAsia="Times New Roman" w:hAnsi="Times New Roman" w:cs="Times New Roman"/>
          <w:sz w:val="24"/>
          <w:szCs w:val="24"/>
        </w:rPr>
        <w:lastRenderedPageBreak/>
        <w:t>aplicada, inclusive a sua controladora, controlada ou coligada, desde que devidamente comprovado o ilícito ou a utilização fraudulenta da personalidade jurídica do licitante.</w:t>
      </w:r>
    </w:p>
    <w:p w14:paraId="47BC02DC"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3.12. A critério da Administração e exclusivamente a seu serviço, o autor dos projetos e a empresa a que se referem os itens 3.9.4 e 3.9.5 poderão participar no apoio das atividades de planejamento da contratação, de execução da licitação ou de gestão do contrato, desde que sob supervisão exclusiva de agentes públicos do órgão ou entidade.</w:t>
      </w:r>
    </w:p>
    <w:p w14:paraId="12C6853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3.13. Equiparam-se aos autores do projeto as empresas integrantes do mesmo grupo econômico.</w:t>
      </w:r>
    </w:p>
    <w:p w14:paraId="64F274C3"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3.14. O disposto nos itens 3.9.4 e 3.9.5 não impede a licitação ou a contratação de serviço que inclua como encargo do contratado a elaboração do projeto básico e do projeto executivo, nas contratações integradas, e do projeto executivo, nos demais regimes de execução.</w:t>
      </w:r>
    </w:p>
    <w:p w14:paraId="4476437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3.15.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Pr>
            <w:rFonts w:ascii="Times New Roman" w:eastAsia="Times New Roman" w:hAnsi="Times New Roman" w:cs="Times New Roman"/>
            <w:sz w:val="24"/>
            <w:szCs w:val="24"/>
          </w:rPr>
          <w:t>Lei nº 14.133, de 2021</w:t>
        </w:r>
      </w:hyperlink>
      <w:r>
        <w:rPr>
          <w:rFonts w:ascii="Times New Roman" w:eastAsia="Times New Roman" w:hAnsi="Times New Roman" w:cs="Times New Roman"/>
          <w:sz w:val="24"/>
          <w:szCs w:val="24"/>
        </w:rPr>
        <w:t>.</w:t>
      </w:r>
    </w:p>
    <w:p w14:paraId="08080CC6"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3.16. A vedação de que trata o item 3.10 estende-se a terceiro que auxilie a condução da contratação na qualidade de integrante de equipe de apoio, profissional especializado ou funcionário ou representante de empresa que preste assessoria técnica.</w:t>
      </w:r>
    </w:p>
    <w:p w14:paraId="37DEACCC"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7497CFAB" w14:textId="77777777" w:rsidR="00407009"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 ORÇAMENTO ESTIMADO SIGILOSO</w:t>
      </w:r>
    </w:p>
    <w:p w14:paraId="7F06D0D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O orçamento estimado da presente contratação não será de caráter sigiloso.</w:t>
      </w:r>
    </w:p>
    <w:p w14:paraId="43870D3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2F13D978" w14:textId="77777777" w:rsidR="00407009"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 DA APRESENTAÇÃO DA PROPOSTA E DOS DOCUMENTOS DE HABILITAÇÃO</w:t>
      </w:r>
    </w:p>
    <w:p w14:paraId="278A912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 Na presente licitação, a fase de habilitação sucederá as fases de apresentação de propostas e lances e de julgamento.</w:t>
      </w:r>
    </w:p>
    <w:p w14:paraId="09F08195"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 Os licitantes encaminharão, exclusivamente por meio do sistema eletrônico, concomitantemente com os documentos de habilitação exigidos no edital, a proposta com a descrição do objeto ofertado e o preço, até a data e o horário estabelecidos para abertura da sessão pública, quando, então, encerrar-se-á automaticamente a etapa de envio dessa documentação.</w:t>
      </w:r>
    </w:p>
    <w:p w14:paraId="6AA7EBD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5.2.1. A proposta deverá ser redigida em língua portuguesa, digitada em uma via, sem emendas, rasuras, entrelinhas ou ressalvas, devendo a última folha ser assinada e as demais rubricadas pelo </w:t>
      </w:r>
      <w:r>
        <w:rPr>
          <w:rFonts w:ascii="Times New Roman" w:eastAsia="Times New Roman" w:hAnsi="Times New Roman" w:cs="Times New Roman"/>
          <w:sz w:val="24"/>
          <w:szCs w:val="24"/>
        </w:rPr>
        <w:lastRenderedPageBreak/>
        <w:t>licitante ou seu representante legal, conter a indicação do banco, número da conta e agência do licitante vencedor, para fins de pagamento.</w:t>
      </w:r>
    </w:p>
    <w:p w14:paraId="4710B370"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 Os licitantes poderão deixar de apresentar os documentos de habilitação que constem do SICAF, assegurado aos demais licitantes o direito de acesso aos dados constantes dos sistemas.</w:t>
      </w:r>
    </w:p>
    <w:p w14:paraId="66C098F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5.4. As Microempresas e Empresas de Pequeno Porte deverão encaminhar a documentação de habilitação, ainda que haja alguma restrição de regularidade fiscal e trabalhista, nos termos do art. 43, § 1º da LC nº 123, de 2006, devendo declarar, ainda, em campo próprio do sistema eletrônico, que cumpre os requisitos estabelecidos no artigo 3° da Lei Complementar nº 123, de 2006, estando apto a usufruir do tratamento favorecido estabelecido em seus </w:t>
      </w:r>
      <w:proofErr w:type="spellStart"/>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42 a 49, observado o disposto nos §§ 1º ao 3º do art. 4º, da Lei n.º 14.133, de 2021.</w:t>
      </w:r>
    </w:p>
    <w:p w14:paraId="05B92E4D"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 No cadastramento da proposta inicial, o licitante declarará, em campo próprio do sistema, que:</w:t>
      </w:r>
    </w:p>
    <w:p w14:paraId="2C31E90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1C5C66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5.5.2. não emprega menor de 18 anos em trabalho noturno, perigoso ou insalubre e não emprega menor de 16 anos, salvo menor, a partir de 14 anos, na condição de aprendiz, nos termos do </w:t>
      </w:r>
      <w:hyperlink r:id="rId17" w:anchor="art7">
        <w:r>
          <w:rPr>
            <w:rFonts w:ascii="Times New Roman" w:eastAsia="Times New Roman" w:hAnsi="Times New Roman" w:cs="Times New Roman"/>
            <w:sz w:val="24"/>
            <w:szCs w:val="24"/>
          </w:rPr>
          <w:t>artigo 7°, XXXIII, da Constituição</w:t>
        </w:r>
      </w:hyperlink>
      <w:r>
        <w:rPr>
          <w:rFonts w:ascii="Times New Roman" w:eastAsia="Times New Roman" w:hAnsi="Times New Roman" w:cs="Times New Roman"/>
          <w:sz w:val="24"/>
          <w:szCs w:val="24"/>
        </w:rPr>
        <w:t>;</w:t>
      </w:r>
    </w:p>
    <w:p w14:paraId="6B5A1A5D"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5.5.3. não possui empregados executando trabalho degradante ou forçado, observando o disposto nos </w:t>
      </w:r>
      <w:hyperlink r:id="rId18">
        <w:r>
          <w:rPr>
            <w:rFonts w:ascii="Times New Roman" w:eastAsia="Times New Roman" w:hAnsi="Times New Roman" w:cs="Times New Roman"/>
            <w:sz w:val="24"/>
            <w:szCs w:val="24"/>
          </w:rPr>
          <w:t>incisos III e IV do art. 1º e no inciso III do art. 5º da Constituição Federal</w:t>
        </w:r>
      </w:hyperlink>
      <w:r>
        <w:rPr>
          <w:rFonts w:ascii="Times New Roman" w:eastAsia="Times New Roman" w:hAnsi="Times New Roman" w:cs="Times New Roman"/>
          <w:sz w:val="24"/>
          <w:szCs w:val="24"/>
        </w:rPr>
        <w:t>;</w:t>
      </w:r>
    </w:p>
    <w:p w14:paraId="7AB248A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5.5.4. cumpre as exigências de reserva de cargos para pessoa com deficiência e para reabilitado da Previdência Social, previstas em lei e em outras normas específicas.</w:t>
      </w:r>
    </w:p>
    <w:p w14:paraId="249A645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 O licitante organizado em cooperativa deverá declarar, ainda, em campo próprio do sistema eletrônico, que cumpre os requisitos estabelecidos no </w:t>
      </w:r>
      <w:hyperlink r:id="rId19" w:anchor="art16">
        <w:r>
          <w:rPr>
            <w:rFonts w:ascii="Times New Roman" w:eastAsia="Times New Roman" w:hAnsi="Times New Roman" w:cs="Times New Roman"/>
            <w:sz w:val="24"/>
            <w:szCs w:val="24"/>
          </w:rPr>
          <w:t>artigo 16 da Lei nº 14.133, de 2021</w:t>
        </w:r>
      </w:hyperlink>
      <w:r>
        <w:rPr>
          <w:rFonts w:ascii="Times New Roman" w:eastAsia="Times New Roman" w:hAnsi="Times New Roman" w:cs="Times New Roman"/>
          <w:sz w:val="24"/>
          <w:szCs w:val="24"/>
        </w:rPr>
        <w:t>.</w:t>
      </w:r>
    </w:p>
    <w:p w14:paraId="5209566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 O licitante deverá declarar em campo próprio do sistema se o produto ou serviço ofertado é manufaturado nacional beneficiado por um dos critérios de margem de preferência indicados no Termo de Referência, quando for o caso, para usufruir do benefício.</w:t>
      </w:r>
    </w:p>
    <w:p w14:paraId="4B4532C4"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 O fornecedor enquadrado como microempresa, empresa de pequeno porte ou sociedade cooperativa deverá declarar, ainda, em campo próprio do sistema eletrônico, que cumpre os requisitos estabelecidos no </w:t>
      </w:r>
      <w:hyperlink r:id="rId20" w:anchor="art3">
        <w:r>
          <w:rPr>
            <w:rFonts w:ascii="Times New Roman" w:eastAsia="Times New Roman" w:hAnsi="Times New Roman" w:cs="Times New Roman"/>
            <w:sz w:val="24"/>
            <w:szCs w:val="24"/>
          </w:rPr>
          <w:t>artigo 3° da Lei Complementar nº 123, de 2006</w:t>
        </w:r>
      </w:hyperlink>
      <w:r>
        <w:rPr>
          <w:rFonts w:ascii="Times New Roman" w:eastAsia="Times New Roman" w:hAnsi="Times New Roman" w:cs="Times New Roman"/>
          <w:sz w:val="24"/>
          <w:szCs w:val="24"/>
        </w:rPr>
        <w:t xml:space="preserve">, estando apto a usufruir do tratamento </w:t>
      </w:r>
      <w:r>
        <w:rPr>
          <w:rFonts w:ascii="Times New Roman" w:eastAsia="Times New Roman" w:hAnsi="Times New Roman" w:cs="Times New Roman"/>
          <w:sz w:val="24"/>
          <w:szCs w:val="24"/>
        </w:rPr>
        <w:lastRenderedPageBreak/>
        <w:t>favorecido estabelecido em seus </w:t>
      </w:r>
      <w:proofErr w:type="spellStart"/>
      <w:r>
        <w:fldChar w:fldCharType="begin"/>
      </w:r>
      <w:r>
        <w:instrText>HYPERLINK "https://www.planalto.gov.br/ccivil_03/leis/lcp/lcp123.htm" \l "art42" \h</w:instrText>
      </w:r>
      <w:r>
        <w:fldChar w:fldCharType="separate"/>
      </w:r>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42 a 49</w:t>
      </w:r>
      <w:r>
        <w:fldChar w:fldCharType="end"/>
      </w:r>
      <w:r>
        <w:rPr>
          <w:rFonts w:ascii="Times New Roman" w:eastAsia="Times New Roman" w:hAnsi="Times New Roman" w:cs="Times New Roman"/>
          <w:sz w:val="24"/>
          <w:szCs w:val="24"/>
        </w:rPr>
        <w:t>, observado o disposto nos </w:t>
      </w:r>
      <w:hyperlink r:id="rId21" w:anchor="art4%C2%A71">
        <w:r>
          <w:rPr>
            <w:rFonts w:ascii="Times New Roman" w:eastAsia="Times New Roman" w:hAnsi="Times New Roman" w:cs="Times New Roman"/>
            <w:sz w:val="24"/>
            <w:szCs w:val="24"/>
          </w:rPr>
          <w:t>§§ 1º ao 3º do art. 4º, da Lei n.º 14.133, de 2021</w:t>
        </w:r>
      </w:hyperlink>
      <w:r>
        <w:rPr>
          <w:rFonts w:ascii="Times New Roman" w:eastAsia="Times New Roman" w:hAnsi="Times New Roman" w:cs="Times New Roman"/>
          <w:sz w:val="24"/>
          <w:szCs w:val="24"/>
        </w:rPr>
        <w:t>.</w:t>
      </w:r>
    </w:p>
    <w:p w14:paraId="38B9789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5.7.1. no item exclusivo para participação de microempresas e empresas de pequeno porte, a assinalação do campo “não” impedirá o prosseguimento no certame, para aquele item;</w:t>
      </w:r>
    </w:p>
    <w:p w14:paraId="3E55496C"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5.8. Não poderá se beneficiar do tratamento jurídico diferenciado estabelecido nos </w:t>
      </w:r>
      <w:proofErr w:type="spellStart"/>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42 a 49 da Lei Complementar nº 123, de 2006, a pessoa jurídica:</w:t>
      </w:r>
    </w:p>
    <w:p w14:paraId="68EE9005"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5.8.1. de cujo capital participe outra pessoa jurídica;</w:t>
      </w:r>
    </w:p>
    <w:p w14:paraId="2317FD3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5.8.2. que seja filial, sucursal, agência ou representação, no País, de pessoa jurídica com sede no exterior;</w:t>
      </w:r>
    </w:p>
    <w:p w14:paraId="6A59E1F2"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53DFF3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5.8.4. cujo titular ou sócio participe com mais de 10% (dez por cento) do capital de outra empresa não beneficiada pela Lei Complementar nº 123, de 2006, desde que a receita bruta global ultrapasse o limite de que trata o inciso II do art. 3º da referida lei;</w:t>
      </w:r>
    </w:p>
    <w:p w14:paraId="0675D0C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5.8.5. cujo sócio ou titular seja administrador ou equiparado de outra pessoa jurídica com fins lucrativos, desde que a receita bruta global ultrapasse o limite de que trata o inciso II do art. 3º da referida lei;</w:t>
      </w:r>
    </w:p>
    <w:p w14:paraId="70D83C2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5.8.6. constituída sob a forma de cooperativas, salvo as de consumo;</w:t>
      </w:r>
    </w:p>
    <w:p w14:paraId="3288DC1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5.8.7. que participe do capital de outra pessoa jurídica;</w:t>
      </w:r>
    </w:p>
    <w:p w14:paraId="4771420A"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EFF5CFC"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5.8.9. resultante ou remanescente de cisão ou qualquer outra forma de desmembramento de pessoa jurídica que tenha ocorrido em um dos 5 (cinco) anos-calendário anteriores;</w:t>
      </w:r>
    </w:p>
    <w:p w14:paraId="059F2A35"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5.8.10. constituída sob a forma de sociedade por ações.</w:t>
      </w:r>
    </w:p>
    <w:p w14:paraId="4622F3F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5.8.11. cujos titulares ou sócios guardem, cumulativamente, com o contratante do serviço, relação de pessoalidade, subordinação e habitualidade.</w:t>
      </w:r>
    </w:p>
    <w:p w14:paraId="45F72EB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 O licitante deverá declarar em campo próprio do sistema que desenvolve programa de integridade, nos termos do Decreto nº 12.304, de 2024, e da </w:t>
      </w:r>
      <w:hyperlink r:id="rId22">
        <w:r>
          <w:rPr>
            <w:rFonts w:ascii="Times New Roman" w:eastAsia="Times New Roman" w:hAnsi="Times New Roman" w:cs="Times New Roman"/>
            <w:sz w:val="24"/>
            <w:szCs w:val="24"/>
          </w:rPr>
          <w:t xml:space="preserve">Portaria Normativa SE/CGU nº 226, de 9 de setembro </w:t>
        </w:r>
        <w:r>
          <w:rPr>
            <w:rFonts w:ascii="Times New Roman" w:eastAsia="Times New Roman" w:hAnsi="Times New Roman" w:cs="Times New Roman"/>
            <w:sz w:val="24"/>
            <w:szCs w:val="24"/>
          </w:rPr>
          <w:lastRenderedPageBreak/>
          <w:t>de 2025</w:t>
        </w:r>
      </w:hyperlink>
      <w:r>
        <w:rPr>
          <w:rFonts w:ascii="Times New Roman" w:eastAsia="Times New Roman" w:hAnsi="Times New Roman" w:cs="Times New Roman"/>
          <w:sz w:val="24"/>
          <w:szCs w:val="24"/>
        </w:rPr>
        <w:t>, para fazer jus ao benefício do critério de desempate previsto no art. 60, caput, inciso IV, da lei n. 14.133, de 2021.</w:t>
      </w:r>
    </w:p>
    <w:p w14:paraId="36C7FB5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5.10. A falsidade da declaração de que trata os itens 5.5, 5.7 ou 5.9 sujeitará o licitante às sanções previstas na </w:t>
      </w:r>
      <w:hyperlink r:id="rId23">
        <w:r>
          <w:rPr>
            <w:rFonts w:ascii="Times New Roman" w:eastAsia="Times New Roman" w:hAnsi="Times New Roman" w:cs="Times New Roman"/>
            <w:sz w:val="24"/>
            <w:szCs w:val="24"/>
          </w:rPr>
          <w:t>Lei nº 14.133, de 2021</w:t>
        </w:r>
      </w:hyperlink>
      <w:r>
        <w:rPr>
          <w:rFonts w:ascii="Times New Roman" w:eastAsia="Times New Roman" w:hAnsi="Times New Roman" w:cs="Times New Roman"/>
          <w:sz w:val="24"/>
          <w:szCs w:val="24"/>
        </w:rPr>
        <w:t>, e neste Edital.</w:t>
      </w:r>
    </w:p>
    <w:p w14:paraId="31024925"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FBCD2A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5.12. Não haverá ordem de classificação na etapa de apresentação da proposta e dos documentos de habilitação pelo licitante, o que ocorrerá somente após os procedimentos de abertura da sessão pública e da fase de envio de lances.</w:t>
      </w:r>
    </w:p>
    <w:p w14:paraId="49EB269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5.13. Serão disponibilizados para acesso público os documentos que compõem a proposta dos licitantes convocados para apresentação de propostas, após a fase de envio de lances.</w:t>
      </w:r>
    </w:p>
    <w:p w14:paraId="5D335BD8"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5.14. Desde que disponibilizada a funcionalidade no sistema, o licitante poderá parametrizar o seu valor final mínimo ou o seu percentual de desconto máximo quando do cadastramento da proposta e obedecerá às seguintes regras:</w:t>
      </w:r>
    </w:p>
    <w:p w14:paraId="16575F23"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5.14.1. a aplicação do intervalo mínimo de diferença de valores ou de percentuais entre os lances, que incidirá tanto em relação aos lances intermediários quanto em relação ao lance que cobrir a melhor oferta; e</w:t>
      </w:r>
    </w:p>
    <w:p w14:paraId="30E98A3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5.14.2. os lances serão de envio automático pelo sistema, respeitado o valor final mínimo, caso estabelecido, e o intervalo de que trata o subitem acima.</w:t>
      </w:r>
    </w:p>
    <w:p w14:paraId="0A696623"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5.15. O valor final mínimo parametrizado no sistema poderá ser alterado pelo fornecedor durante a fase de disputa, sendo vedado valor superior a lance já registrado pelo fornecedor no sistema.</w:t>
      </w:r>
    </w:p>
    <w:p w14:paraId="087FF8A0"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5.16. O valor final mínimo ou o percentual de desconto final máximo parametrizado na forma do item 5.14 possuirá caráter sigiloso para os demais fornecedores e para o órgão ou entidade promotora da licitação, podendo ser disponibilizado estrita e permanentemente aos órgãos de controle externo e interno.</w:t>
      </w:r>
    </w:p>
    <w:p w14:paraId="3071D68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5.17. Até a abertura da sessão pública, os licitantes poderão retirar ou substituir a proposta e os documentos de habilitação anteriormente inseridos no sistema.</w:t>
      </w:r>
    </w:p>
    <w:p w14:paraId="1A401964"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5.18. Não será estabelecida, nessa etapa do certame, ordem de classificação entre as propostas apresentadas, o que somente ocorrerá após a realização dos procedimentos de negociação e julgamento da proposta.</w:t>
      </w:r>
    </w:p>
    <w:p w14:paraId="281AE014"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5.19. Os documentos que compõem a proposta e a habilitação do licitante melhor classificado somente serão disponibilizados para avaliação do pregoeiro e para acesso público após o encerramento do envio de lances.</w:t>
      </w:r>
    </w:p>
    <w:p w14:paraId="2A13356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DF5B8D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5.21. O licitante deverá comunicar imediatamente ao provedor do sistema qualquer acontecimento que possa comprometer o sigilo ou a segurança, para imediato bloqueio de acesso.</w:t>
      </w:r>
    </w:p>
    <w:p w14:paraId="16C00D6F" w14:textId="77777777" w:rsidR="00407009"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w:t>
      </w:r>
    </w:p>
    <w:p w14:paraId="60D01731" w14:textId="77777777" w:rsidR="00407009"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 DO PREENCHIMENTO DA PROPOSTA</w:t>
      </w:r>
    </w:p>
    <w:p w14:paraId="2A1691A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 O licitante deverá enviar sua proposta mediante o preenchimento, no sistema eletrônico, dos seguintes campos:</w:t>
      </w:r>
    </w:p>
    <w:p w14:paraId="3EDED896" w14:textId="77777777" w:rsidR="00407009" w:rsidRDefault="00000000">
      <w:pPr>
        <w:tabs>
          <w:tab w:val="left" w:pos="144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6.1.1. Valor unitário e total do item;</w:t>
      </w:r>
    </w:p>
    <w:p w14:paraId="0627C451" w14:textId="77777777" w:rsidR="00407009" w:rsidRDefault="00000000">
      <w:pPr>
        <w:tabs>
          <w:tab w:val="left" w:pos="144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6.1.2. Quantidade integral de unidades de bens;</w:t>
      </w:r>
    </w:p>
    <w:p w14:paraId="3EA31864" w14:textId="77777777" w:rsidR="00407009" w:rsidRDefault="00000000">
      <w:pPr>
        <w:tabs>
          <w:tab w:val="left" w:pos="144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6.1.3. 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11EB7A50" w14:textId="77777777" w:rsidR="00407009" w:rsidRDefault="00000000">
      <w:pPr>
        <w:tabs>
          <w:tab w:val="left" w:pos="144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 Todas as especificações do objeto contidas na proposta vinculam o licitante.</w:t>
      </w:r>
    </w:p>
    <w:p w14:paraId="11C01B91" w14:textId="77777777" w:rsidR="00407009" w:rsidRDefault="00000000">
      <w:pPr>
        <w:tabs>
          <w:tab w:val="left" w:pos="144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6.3. Os preços deverão ser expressos em moeda corrente nacional, o valor unitário em algarismos e o valor global em algarismos e por extenso.</w:t>
      </w:r>
    </w:p>
    <w:p w14:paraId="11EE4E9D"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 O licitante não poderá oferecer proposta em quantitativo inferior ao máximo previsto para contratação.</w:t>
      </w:r>
    </w:p>
    <w:p w14:paraId="7E4A94B4"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 Não serão aceitos valores diferenciados quando o objeto for realizado ou entregue em locais diferentes.</w:t>
      </w:r>
    </w:p>
    <w:p w14:paraId="0E37BC06"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6.6. Nos valores propostos estarão inclusos todos os custos operacionais, encargos previdenciários, trabalhistas, tributários, comerciais e quaisquer outros que incidam direta ou indiretamente na execução do objeto.</w:t>
      </w:r>
    </w:p>
    <w:p w14:paraId="0B34E4C3"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6.7. Os preços ofertados, tanto na proposta inicial, quanto na etapa de lances, serão de exclusiva responsabilidade do licitante, não lhe assistindo o direito de pleitear qualquer alteração, sob alegação de erro, omissão ou qualquer outro pretexto.</w:t>
      </w:r>
    </w:p>
    <w:p w14:paraId="0738B142"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6.8. Se o regime tributário da empresa implicar o recolhimento de tributos em percentuais variáveis, a cotação adequada será a que corresponde à média dos efetivos recolhimentos da empresa nos últimos doze meses.</w:t>
      </w:r>
    </w:p>
    <w:p w14:paraId="24F4EF18"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6.8.1.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63853572"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6.9. Independentemente do percentual de tributo inserido na planilha, no pagamento serão retidos na fonte os percentuais estabelecidos na legislação vigente.</w:t>
      </w:r>
    </w:p>
    <w:p w14:paraId="08604C6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6.10. Na presente licitação, a Microempresa e a Empresa de Pequeno Porte poderão se beneficiar do regime de tributação pelo Simples Nacional.</w:t>
      </w:r>
    </w:p>
    <w:p w14:paraId="7160CEA8"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6.11.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9E4F3CD"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6.12. </w:t>
      </w:r>
      <w:r>
        <w:rPr>
          <w:rFonts w:ascii="Times New Roman" w:eastAsia="Times New Roman" w:hAnsi="Times New Roman" w:cs="Times New Roman"/>
          <w:color w:val="EE0000"/>
          <w:sz w:val="24"/>
          <w:szCs w:val="24"/>
        </w:rPr>
        <w:t>O prazo de validade da proposta não será inferior a 120 (cento e vinte) dias, a contar da data de sua apresentação.</w:t>
      </w:r>
    </w:p>
    <w:p w14:paraId="4F69C12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6.13. Os licitantes devem respeitar os preços máximos estabelecidos nas normas de regência de contratações públicas federais, quando participarem de licitações públicas;</w:t>
      </w:r>
    </w:p>
    <w:p w14:paraId="27250D6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6.14. Os licitantes devem respeitar os preços máximos previstos no Termo de Referência;</w:t>
      </w:r>
    </w:p>
    <w:p w14:paraId="537F0BE4"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6.15. 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hyperlink r:id="rId24">
        <w:r>
          <w:rPr>
            <w:rFonts w:ascii="Times New Roman" w:eastAsia="Times New Roman" w:hAnsi="Times New Roman" w:cs="Times New Roman"/>
            <w:sz w:val="24"/>
            <w:szCs w:val="24"/>
          </w:rPr>
          <w:t>art. 71, inciso IX, da Constituição</w:t>
        </w:r>
      </w:hyperlink>
      <w:r>
        <w:rPr>
          <w:rFonts w:ascii="Times New Roman" w:eastAsia="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4BF818D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07DF0433" w14:textId="77777777" w:rsidR="00407009"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 DA ABERTURA DA SESSÃO, CLASSIFICAÇÃO DAS PROPOSTAS E FORMULAÇÃO DE LANCES</w:t>
      </w:r>
    </w:p>
    <w:p w14:paraId="11B0BC32"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7.1. A abertura da presente licitação dar-se-á automaticamente em sessão pública, por meio de sistema eletrônico, na data, horário e local indicados neste Edital.</w:t>
      </w:r>
    </w:p>
    <w:p w14:paraId="44308F53"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 Os licitantes poderão retirar ou substituir a proposta ou os documentos de habilitação, quando for o caso, anteriormente inseridos no sistema, até a abertura da sessão pública.</w:t>
      </w:r>
    </w:p>
    <w:p w14:paraId="15F72FB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7.3. O sistema disponibilizará campo próprio para troca de mensagens entre o Pregoeiro e os licitantes.</w:t>
      </w:r>
    </w:p>
    <w:p w14:paraId="46EEE4D6"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7.4. Iniciada a etapa competitiva, os licitantes deverão encaminhar lances exclusivamente por meio de sistema eletrônico, sendo imediatamente informados do seu recebimento e do valor consignado no registro.</w:t>
      </w:r>
    </w:p>
    <w:p w14:paraId="55CDBFA8"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7.5. O lance deverá ser ofertado pelo </w:t>
      </w:r>
      <w:r>
        <w:rPr>
          <w:rFonts w:ascii="Times New Roman" w:eastAsia="Times New Roman" w:hAnsi="Times New Roman" w:cs="Times New Roman"/>
          <w:color w:val="EE0000"/>
          <w:sz w:val="24"/>
          <w:szCs w:val="24"/>
        </w:rPr>
        <w:t>valor global do item</w:t>
      </w:r>
    </w:p>
    <w:p w14:paraId="513E68AC"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7.6. Os licitantes poderão oferecer lances sucessivos, observando o horário fixado para abertura da sessão e as regras estabelecidas no Edital.</w:t>
      </w:r>
    </w:p>
    <w:p w14:paraId="624263C0"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7.7. O licitante somente poderá oferecer lance de valor inferior ao último por ele ofertado e registrado pelo sistema.</w:t>
      </w:r>
    </w:p>
    <w:p w14:paraId="27F9B1B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7.8. O intervalo mínimo de diferença de valor entre os lances, que incidirá tanto em relação aos lances intermediários quanto em relação à proposta que cobrir a melhor oferta deverá ser de </w:t>
      </w:r>
      <w:r>
        <w:rPr>
          <w:rFonts w:ascii="Times New Roman" w:eastAsia="Times New Roman" w:hAnsi="Times New Roman" w:cs="Times New Roman"/>
          <w:color w:val="EE0000"/>
          <w:sz w:val="24"/>
          <w:szCs w:val="24"/>
        </w:rPr>
        <w:t>R$ 50,00 (cinquenta reais)</w:t>
      </w:r>
      <w:r>
        <w:rPr>
          <w:rFonts w:ascii="Times New Roman" w:eastAsia="Times New Roman" w:hAnsi="Times New Roman" w:cs="Times New Roman"/>
          <w:sz w:val="24"/>
          <w:szCs w:val="24"/>
        </w:rPr>
        <w:t>.</w:t>
      </w:r>
    </w:p>
    <w:p w14:paraId="312381B6"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7.9. O licitante poderá, uma única vez, excluir seu último lance ofertado, no intervalo de quinze segundos após o registro no sistema, na hipótese de lance inconsistente ou inexequível.</w:t>
      </w:r>
    </w:p>
    <w:p w14:paraId="3A3400DA"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7.10. O procedimento seguirá de acordo com o modo de disputa aberto.</w:t>
      </w:r>
    </w:p>
    <w:p w14:paraId="78118DF3"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7.11. No modo de disputa “aberto”, os licitantes apresentarão lances públicos e sucessivos, com prorrogações.</w:t>
      </w:r>
    </w:p>
    <w:p w14:paraId="547F8C8D"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7.11.1. A etapa de lances da sessão pública terá duração de dez minutos e, após isso, será prorrogada automaticamente pelo sistema quando houver lance ofertado nos últimos dois minutos do período de duração da sessão pública.</w:t>
      </w:r>
    </w:p>
    <w:p w14:paraId="3C3FDF0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7.11.2. A prorrogação automática da etapa de lances, de que trata o subitem anterior, será de dois minutos e ocorrerá sucessivamente sempre que houver lances enviados nesse período de prorrogação, inclusive no caso de lances intermediários.</w:t>
      </w:r>
    </w:p>
    <w:p w14:paraId="795B04C6"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7.11.3. Não havendo novos lances na forma estabelecida nos itens anteriores, a sessão pública encerrar-se-á automaticamente, e o sistema ordenará e divulgará os lances conforme a ordem final de classificação, sem prejuízo da aplicação da aplicação da margem de preferência e do desempate ficto, conforme disposto neste edital, quando for o caso.</w:t>
      </w:r>
    </w:p>
    <w:p w14:paraId="33D310D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A247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7.11.5. Após o reinício previsto no item supra, os licitantes serão convocados para apresentar lances intermediários.</w:t>
      </w:r>
    </w:p>
    <w:p w14:paraId="28965FB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7.12. Após o término dos prazos estabelecidos nos subitens anteriores, o sistema ordenará e divulgará os lances segundo a ordem crescente de valores.</w:t>
      </w:r>
    </w:p>
    <w:p w14:paraId="2BE3ECC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7.13. Não serão aceitos dois ou mais lances de mesmo valor, prevalecendo aquele que for recebido e registrado em primeiro lugar.</w:t>
      </w:r>
    </w:p>
    <w:p w14:paraId="61FFE962"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7.14. Durante o transcurso da sessão pública, os licitantes serão informados, em tempo real, do valor do menor lance registrado, vedada a identificação do licitante.</w:t>
      </w:r>
    </w:p>
    <w:p w14:paraId="31A932F0"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7.15. No caso de desconexão com o Pregoeiro, no decorrer da etapa competitiva do Pregão Eletrônico, o sistema eletrônico poderá permanecer acessível aos licitantes para a recepção dos lances.</w:t>
      </w:r>
    </w:p>
    <w:p w14:paraId="4313EEF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EC3420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7.17. Caso o licitante não apresente lances, concorrerá com o valor de sua proposta.</w:t>
      </w:r>
    </w:p>
    <w:p w14:paraId="53C937F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7.18. Ao final da fase de lances, será aplicado o benefício da margem de preferência, nos termos do art. 26 da Lei 14133/21.</w:t>
      </w:r>
    </w:p>
    <w:p w14:paraId="69752A1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7.18.1. 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w:t>
      </w:r>
    </w:p>
    <w:p w14:paraId="4EDC9E0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7.18.2. Nestas situações, a proposta beneficiada pela aplicação da margem de preferência normal ou adicional, conforme o caso, tornar-se-á a proposta classificada em primeiro lugar.</w:t>
      </w:r>
    </w:p>
    <w:p w14:paraId="00A66A8D"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7.19.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w:t>
      </w:r>
      <w:hyperlink r:id="rId25" w:anchor="art4">
        <w:r>
          <w:rPr>
            <w:rFonts w:ascii="Times New Roman" w:eastAsia="Times New Roman" w:hAnsi="Times New Roman" w:cs="Times New Roman"/>
            <w:sz w:val="24"/>
            <w:szCs w:val="24"/>
          </w:rPr>
          <w:t>§§1º e 2º do art. 4º da Lei nº 14.133, de 2021</w:t>
        </w:r>
      </w:hyperlink>
      <w:r>
        <w:rPr>
          <w:rFonts w:ascii="Times New Roman" w:eastAsia="Times New Roman" w:hAnsi="Times New Roman" w:cs="Times New Roman"/>
          <w:sz w:val="24"/>
          <w:szCs w:val="24"/>
        </w:rPr>
        <w:t xml:space="preserve">. O sistema identificará em coluna própria as microempresas e empresas de pequeno porte participantes, procedendo à comparação com os valores da primeira colocada, se esta for empresa de maior porte, assim como das demais classificadas, para o fim de </w:t>
      </w:r>
      <w:r>
        <w:rPr>
          <w:rFonts w:ascii="Times New Roman" w:eastAsia="Times New Roman" w:hAnsi="Times New Roman" w:cs="Times New Roman"/>
          <w:sz w:val="24"/>
          <w:szCs w:val="24"/>
        </w:rPr>
        <w:lastRenderedPageBreak/>
        <w:t>aplicar-se o disposto nos </w:t>
      </w:r>
      <w:proofErr w:type="spellStart"/>
      <w:r>
        <w:fldChar w:fldCharType="begin"/>
      </w:r>
      <w:r>
        <w:instrText>HYPERLINK "https://www.planalto.gov.br/ccivil_03/leis/lcp/lcp123.htm" \l "art44" \h</w:instrText>
      </w:r>
      <w:r>
        <w:fldChar w:fldCharType="separate"/>
      </w:r>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44 e 45 da Lei Complementar nº 123, de 2006</w:t>
      </w:r>
      <w:r>
        <w:fldChar w:fldCharType="end"/>
      </w:r>
      <w:r>
        <w:rPr>
          <w:rFonts w:ascii="Times New Roman" w:eastAsia="Times New Roman" w:hAnsi="Times New Roman" w:cs="Times New Roman"/>
          <w:sz w:val="24"/>
          <w:szCs w:val="24"/>
        </w:rPr>
        <w:t>, regulamentada pelo </w:t>
      </w:r>
      <w:hyperlink r:id="rId26">
        <w:r>
          <w:rPr>
            <w:rFonts w:ascii="Times New Roman" w:eastAsia="Times New Roman" w:hAnsi="Times New Roman" w:cs="Times New Roman"/>
            <w:sz w:val="24"/>
            <w:szCs w:val="24"/>
          </w:rPr>
          <w:t>Decreto nº 8.538, de 2015</w:t>
        </w:r>
      </w:hyperlink>
      <w:r>
        <w:rPr>
          <w:rFonts w:ascii="Times New Roman" w:eastAsia="Times New Roman" w:hAnsi="Times New Roman" w:cs="Times New Roman"/>
          <w:sz w:val="24"/>
          <w:szCs w:val="24"/>
        </w:rPr>
        <w:t>.</w:t>
      </w:r>
    </w:p>
    <w:p w14:paraId="0B52631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7.19.1. Quando houver propostas beneficiadas com as margens de preferência, apenas poderão se valer do critério de desempate previsto nos </w:t>
      </w:r>
      <w:proofErr w:type="spellStart"/>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44 e 45 da Lei Complementar nº 123, de 2006, as propostas de microempresas e empresas de pequeno porte que também fizerem jus às margens de preferência (art. 5º, §9º, I, do Decreto n.º 8538, de 2015).</w:t>
      </w:r>
    </w:p>
    <w:p w14:paraId="72AF2D5C"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7.19.2. O parâmetro para o empate ficto, nesse caso, consistirá no preço ofertado pela fornecedora classificada em primeiro lugar em razão da aplicação da margem de preferência.</w:t>
      </w:r>
    </w:p>
    <w:p w14:paraId="456C11E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7.19.3. Nessas condições, as propostas de microempresas e empresas de pequeno porte que se encontrarem na faixa de até 5% (cinco por cento) serão consideradas empatadas com a primeira colocada.</w:t>
      </w:r>
    </w:p>
    <w:p w14:paraId="5DF6B2BD"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7.19.4.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C33D9D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7.19.5.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C3A185A"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7.19.6.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BC51474"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7.19.7.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2AE853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7.20. Só poderá haver empate entre propostas iguais (não seguidas de lances).</w:t>
      </w:r>
    </w:p>
    <w:p w14:paraId="7C39C8E0"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7.21. Havendo eventual empate entre propostas ou lances, o critério de desempate será aquele previsto no </w:t>
      </w:r>
      <w:hyperlink r:id="rId27" w:anchor="art60">
        <w:r>
          <w:rPr>
            <w:rFonts w:ascii="Times New Roman" w:eastAsia="Times New Roman" w:hAnsi="Times New Roman" w:cs="Times New Roman"/>
            <w:sz w:val="24"/>
            <w:szCs w:val="24"/>
          </w:rPr>
          <w:t>art. 60 da Lei nº 14.133, de 2021</w:t>
        </w:r>
      </w:hyperlink>
      <w:r>
        <w:rPr>
          <w:rFonts w:ascii="Times New Roman" w:eastAsia="Times New Roman" w:hAnsi="Times New Roman" w:cs="Times New Roman"/>
          <w:sz w:val="24"/>
          <w:szCs w:val="24"/>
        </w:rPr>
        <w:t>, nesta ordem:</w:t>
      </w:r>
    </w:p>
    <w:p w14:paraId="4FDC2C2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7.21.1. disputa final, hipótese em que os licitantes empatados poderão apresentar nova proposta em ato contínuo à classificação;</w:t>
      </w:r>
    </w:p>
    <w:p w14:paraId="4C9742AA"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7.21.2. avaliação do desempenho contratual prévio dos licitantes, para a qual deverão preferencialmente ser utilizados registros cadastrais para efeito de atesto de cumprimento de obrigações previstos nesta Lei;</w:t>
      </w:r>
    </w:p>
    <w:p w14:paraId="61E553D0"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7.21.3. desenvolvimento pelo licitante de ações de equidade entre homens e mulheres no ambiente de trabalho, nos termos do </w:t>
      </w:r>
      <w:hyperlink r:id="rId28">
        <w:r>
          <w:rPr>
            <w:rFonts w:ascii="Times New Roman" w:eastAsia="Times New Roman" w:hAnsi="Times New Roman" w:cs="Times New Roman"/>
            <w:sz w:val="24"/>
            <w:szCs w:val="24"/>
          </w:rPr>
          <w:t>Decreto nº 11.430, de 2023</w:t>
        </w:r>
      </w:hyperlink>
      <w:r>
        <w:rPr>
          <w:rFonts w:ascii="Times New Roman" w:eastAsia="Times New Roman" w:hAnsi="Times New Roman" w:cs="Times New Roman"/>
          <w:sz w:val="24"/>
          <w:szCs w:val="24"/>
        </w:rPr>
        <w:t>, e da </w:t>
      </w:r>
      <w:hyperlink r:id="rId29">
        <w:r>
          <w:rPr>
            <w:rFonts w:ascii="Times New Roman" w:eastAsia="Times New Roman" w:hAnsi="Times New Roman" w:cs="Times New Roman"/>
            <w:sz w:val="24"/>
            <w:szCs w:val="24"/>
          </w:rPr>
          <w:t>Instrução Normativa SEGES/MGI nº 382, de 17 de setembro de 2025</w:t>
        </w:r>
      </w:hyperlink>
      <w:r>
        <w:rPr>
          <w:rFonts w:ascii="Times New Roman" w:eastAsia="Times New Roman" w:hAnsi="Times New Roman" w:cs="Times New Roman"/>
          <w:sz w:val="24"/>
          <w:szCs w:val="24"/>
        </w:rPr>
        <w:t>;</w:t>
      </w:r>
    </w:p>
    <w:p w14:paraId="35CD4D85"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7.21.4. desenvolvimento pelo licitante de programa de integridade, conforme Decreto n° 12.304, de 2024, e </w:t>
      </w:r>
      <w:hyperlink r:id="rId30">
        <w:r>
          <w:rPr>
            <w:rFonts w:ascii="Times New Roman" w:eastAsia="Times New Roman" w:hAnsi="Times New Roman" w:cs="Times New Roman"/>
            <w:sz w:val="24"/>
            <w:szCs w:val="24"/>
          </w:rPr>
          <w:t>Portaria Normativa SE/CGU nº 226, de 9 de setembro de 2025</w:t>
        </w:r>
      </w:hyperlink>
      <w:r>
        <w:rPr>
          <w:rFonts w:ascii="Times New Roman" w:eastAsia="Times New Roman" w:hAnsi="Times New Roman" w:cs="Times New Roman"/>
          <w:sz w:val="24"/>
          <w:szCs w:val="24"/>
        </w:rPr>
        <w:t>.</w:t>
      </w:r>
    </w:p>
    <w:p w14:paraId="2023C3E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7.22. Persistindo o empate, será assegurada preferência, sucessivamente, aos bens e serviços produzidos ou prestados por:</w:t>
      </w:r>
    </w:p>
    <w:p w14:paraId="1720486C"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C870B3C"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7.22.2. empresas brasileiras;</w:t>
      </w:r>
    </w:p>
    <w:p w14:paraId="73C6D8E2"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7.22.3. empresas que invistam em pesquisa e no desenvolvimento de tecnologia no País;</w:t>
      </w:r>
    </w:p>
    <w:p w14:paraId="2E7B3902"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7.22.4. empresas que comprovem a prática de mitigação, nos termos da </w:t>
      </w:r>
      <w:hyperlink r:id="rId31" w:anchor=":~:text=LEI%20N%C2%BA%2012.187%2C%20DE%2029%20DE%20DEZEMBRO%20DE%202009.&amp;text=Institui%20a%20Pol%C3%ADtica%20Nacional%20sobre,PNMC%20e%20d%C3%A1%20outras%20provid%C3%AAncias.">
        <w:r>
          <w:rPr>
            <w:rFonts w:ascii="Times New Roman" w:eastAsia="Times New Roman" w:hAnsi="Times New Roman" w:cs="Times New Roman"/>
            <w:sz w:val="24"/>
            <w:szCs w:val="24"/>
          </w:rPr>
          <w:t>Lei nº 12.187, de 29 de dezembro de 2009</w:t>
        </w:r>
      </w:hyperlink>
      <w:r>
        <w:rPr>
          <w:rFonts w:ascii="Times New Roman" w:eastAsia="Times New Roman" w:hAnsi="Times New Roman" w:cs="Times New Roman"/>
          <w:sz w:val="24"/>
          <w:szCs w:val="24"/>
        </w:rPr>
        <w:t>.</w:t>
      </w:r>
    </w:p>
    <w:p w14:paraId="4846D293"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7.23. Esgotados todos os demais critérios de desempate previstos em lei, a escolha do licitante vencedor ocorrerá por sorteio, em ato público, para o qual todos os licitantes serão convocados, vedado qualquer outro processo.</w:t>
      </w:r>
    </w:p>
    <w:p w14:paraId="60092ADD"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7.24.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ABE5BD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7.24.1.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3D6351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7.24.2. A negociação será realizada por meio do sistema, podendo ser acompanhada pelos demais licitantes.</w:t>
      </w:r>
    </w:p>
    <w:p w14:paraId="5BBFF2CC"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7.24.3. O resultado da negociação será divulgado a todos os licitantes e anexado aos autos do processo licitatório.</w:t>
      </w:r>
    </w:p>
    <w:p w14:paraId="6DD25978"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7.24.4. O Pregoeiro solicitará ao licitante mais bem classificado que, no prazo de 2 (duas) horas, envie a proposta readequada ao último lance ofertado após a negociação realizada, acompanhada, se for o </w:t>
      </w:r>
      <w:r>
        <w:rPr>
          <w:rFonts w:ascii="Times New Roman" w:eastAsia="Times New Roman" w:hAnsi="Times New Roman" w:cs="Times New Roman"/>
          <w:sz w:val="24"/>
          <w:szCs w:val="24"/>
        </w:rPr>
        <w:lastRenderedPageBreak/>
        <w:t>caso, dos documentos complementares, quando necessários à confirmação daqueles exigidos neste Edital e já apresentados.</w:t>
      </w:r>
    </w:p>
    <w:p w14:paraId="39BF36D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7.24.5. É facultado ao Pregoeiro prorrogar o prazo estabelecido, a partir de solicitação fundamentada feita no chat pelo licitante, antes de findo o prazo.</w:t>
      </w:r>
    </w:p>
    <w:p w14:paraId="77A8E09A"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7.25. Após a negociação do preço, o Pregoeiro iniciará a fase de aceitação e julgamento da proposta.</w:t>
      </w:r>
    </w:p>
    <w:p w14:paraId="24BD5AC0"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7.26. Será desclassificada a proposta ou o lance vencedor, apresentar preço final superior ao preço máximo fixado (Acórdão nº 1455/2018 -TCU - Plenário), desconto menor do que o mínimo exigido ou que apresentar preço manifestamente inexequível.</w:t>
      </w:r>
    </w:p>
    <w:p w14:paraId="0F4F3352"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7.26.1.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6C7093C6"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7.27. Qualquer interessado poderá requerer que se realizem diligências para aferir a exequibilidade e a legalidade das propostas, devendo apresentar as provas ou os indícios que fundamentam a suspeita;</w:t>
      </w:r>
    </w:p>
    <w:p w14:paraId="35E1FB9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7.28. As propostas com valores inferiores a 50% do orçado pela Administração, apresentam indícios de inexequibilidade, devendo o licitante apresentar documentação que comprove a exequibilidade da proposta.</w:t>
      </w:r>
    </w:p>
    <w:p w14:paraId="397E39B5" w14:textId="77777777" w:rsidR="00407009" w:rsidRDefault="00000000">
      <w:pPr>
        <w:pBdr>
          <w:top w:val="nil"/>
          <w:left w:val="nil"/>
          <w:bottom w:val="nil"/>
          <w:right w:val="nil"/>
          <w:between w:val="nil"/>
        </w:pBdr>
        <w:tabs>
          <w:tab w:val="left" w:pos="0"/>
        </w:tabs>
        <w:spacing w:line="360" w:lineRule="auto"/>
        <w:ind w:right="-1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7.29.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A78AAC6"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423C357D" w14:textId="77777777" w:rsidR="00407009"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 DA FASE DE JULGAMENTO</w:t>
      </w:r>
    </w:p>
    <w:p w14:paraId="1ADCC1CC"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 Encerrada a etapa de negociação, o Pregoeiro verificará se o licitante provisoriamente classificado em primeiro lugar atende às condições de participação no certame, conforme previsto no art. 14 da Lei nº 14.133, de 2021, legislação correlata e no item 2.9 do edital, especialmente quanto à existência de sanção que impeça a participação no certame ou a futura contratação, mediante a consulta aos seguintes cadastros:</w:t>
      </w:r>
    </w:p>
    <w:p w14:paraId="22036A3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8.1.1. SICAF;</w:t>
      </w:r>
    </w:p>
    <w:p w14:paraId="780F18F8"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8.1.2. Cadastro Nacional de Empresas Inidôneas e Suspensas – CEIS, mantido pela Controladoria-Geral da União (</w:t>
      </w:r>
      <w:hyperlink r:id="rId32">
        <w:r>
          <w:rPr>
            <w:rFonts w:ascii="Times New Roman" w:eastAsia="Times New Roman" w:hAnsi="Times New Roman" w:cs="Times New Roman"/>
            <w:color w:val="000080"/>
            <w:sz w:val="24"/>
            <w:szCs w:val="24"/>
            <w:u w:val="single"/>
          </w:rPr>
          <w:t>https://www.portaltransparencia.gov.br/sancoes/ceis</w:t>
        </w:r>
      </w:hyperlink>
      <w:r>
        <w:rPr>
          <w:rFonts w:ascii="Times New Roman" w:eastAsia="Times New Roman" w:hAnsi="Times New Roman" w:cs="Times New Roman"/>
          <w:sz w:val="24"/>
          <w:szCs w:val="24"/>
        </w:rPr>
        <w:t>);</w:t>
      </w:r>
    </w:p>
    <w:p w14:paraId="763DE37E"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8.1.3. Cadastro Nacional de Condenações Cíveis por Atos de Improbidade Administrativa, mantido pelo Conselho Nacional de Justiça (</w:t>
      </w:r>
      <w:hyperlink r:id="rId33">
        <w:r>
          <w:rPr>
            <w:rFonts w:ascii="Times New Roman" w:eastAsia="Times New Roman" w:hAnsi="Times New Roman" w:cs="Times New Roman"/>
            <w:color w:val="000080"/>
            <w:sz w:val="24"/>
            <w:szCs w:val="24"/>
            <w:u w:val="single"/>
          </w:rPr>
          <w:t>https://www.cnj.jus.br/improbidade_adm/consultar_requerido.php</w:t>
        </w:r>
      </w:hyperlink>
      <w:r>
        <w:rPr>
          <w:rFonts w:ascii="Times New Roman" w:eastAsia="Times New Roman" w:hAnsi="Times New Roman" w:cs="Times New Roman"/>
          <w:color w:val="000000"/>
          <w:sz w:val="24"/>
          <w:szCs w:val="24"/>
        </w:rPr>
        <w:t xml:space="preserve">).  </w:t>
      </w:r>
    </w:p>
    <w:p w14:paraId="3F4D4D4A"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8.1.4. Consulta a Certidão Negativa de Processos – TCU; </w:t>
      </w:r>
    </w:p>
    <w:p w14:paraId="139AD4BF" w14:textId="77777777" w:rsidR="00407009" w:rsidRDefault="00000000">
      <w:pPr>
        <w:spacing w:line="360"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sz w:val="24"/>
          <w:szCs w:val="24"/>
        </w:rPr>
        <w:t>8.1.5. Cadastro Nacional de Empresas Punidas – CNEP, mantido pela Controladoria-Geral da União (</w:t>
      </w:r>
      <w:hyperlink r:id="rId34">
        <w:r>
          <w:rPr>
            <w:rFonts w:ascii="Times New Roman" w:eastAsia="Times New Roman" w:hAnsi="Times New Roman" w:cs="Times New Roman"/>
            <w:color w:val="000080"/>
            <w:sz w:val="24"/>
            <w:szCs w:val="24"/>
            <w:u w:val="single"/>
          </w:rPr>
          <w:t>https://www.portaltransparencia.gov.br/sancoes/cnep</w:t>
        </w:r>
      </w:hyperlink>
      <w:r>
        <w:rPr>
          <w:rFonts w:ascii="Times New Roman" w:eastAsia="Times New Roman" w:hAnsi="Times New Roman" w:cs="Times New Roman"/>
          <w:sz w:val="24"/>
          <w:szCs w:val="24"/>
        </w:rPr>
        <w:t>).</w:t>
      </w:r>
    </w:p>
    <w:p w14:paraId="35E05417" w14:textId="77777777" w:rsidR="00407009" w:rsidRDefault="00000000">
      <w:pPr>
        <w:keepNext/>
        <w:keepLines/>
        <w:pBdr>
          <w:top w:val="nil"/>
          <w:left w:val="nil"/>
          <w:bottom w:val="nil"/>
          <w:right w:val="nil"/>
          <w:between w:val="nil"/>
        </w:pBdr>
        <w:tabs>
          <w:tab w:val="left" w:pos="567"/>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8.1.6.</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color w:val="000000"/>
          <w:sz w:val="24"/>
          <w:szCs w:val="24"/>
        </w:rPr>
        <w:t>Para a consulta de licitantes pessoa jurídica poderá haver a substituição das consultas das alíneas “b”, “c” e “d” acima pela Consulta Consolidada de Pessoa Jurídica do TCU (</w:t>
      </w:r>
      <w:hyperlink r:id="rId35">
        <w:r>
          <w:rPr>
            <w:rFonts w:ascii="Times New Roman" w:eastAsia="Times New Roman" w:hAnsi="Times New Roman" w:cs="Times New Roman"/>
            <w:color w:val="000080"/>
            <w:sz w:val="24"/>
            <w:szCs w:val="24"/>
            <w:u w:val="single"/>
          </w:rPr>
          <w:t>https://certidoesapf.apps.tcu.gov.br</w:t>
        </w:r>
      </w:hyperlink>
      <w:r>
        <w:rPr>
          <w:rFonts w:ascii="Times New Roman" w:eastAsia="Times New Roman" w:hAnsi="Times New Roman" w:cs="Times New Roman"/>
          <w:color w:val="000000"/>
          <w:sz w:val="24"/>
          <w:szCs w:val="24"/>
        </w:rPr>
        <w:t>)</w:t>
      </w:r>
    </w:p>
    <w:p w14:paraId="7A06D2BD"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 A consulta aos cadastros será realizada no nome e no CNPJ da empresa licitante.</w:t>
      </w:r>
    </w:p>
    <w:p w14:paraId="72CF9B70"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8.2.1. A consulta no CEIS quanto às sanções previstas na </w:t>
      </w:r>
      <w:hyperlink r:id="rId36" w:anchor=":~:text=%C3%A0s%20seguintes%20comina%C3%A7%C3%B5es%3A-,Art.,n%C2%BA%2012.120%2C%20de%202009).">
        <w:r>
          <w:rPr>
            <w:rFonts w:ascii="Times New Roman" w:eastAsia="Times New Roman" w:hAnsi="Times New Roman" w:cs="Times New Roman"/>
            <w:sz w:val="24"/>
            <w:szCs w:val="24"/>
          </w:rPr>
          <w:t>Lei n° 8.429, de 1992</w:t>
        </w:r>
      </w:hyperlink>
      <w:r>
        <w:rPr>
          <w:rFonts w:ascii="Times New Roman" w:eastAsia="Times New Roman" w:hAnsi="Times New Roman" w:cs="Times New Roman"/>
          <w:sz w:val="24"/>
          <w:szCs w:val="24"/>
        </w:rPr>
        <w:t> , também ocorrerá no nome e no CPF do sócio majoritário da empresa licitante, se houver, por força do art. 12 da citada lei.</w:t>
      </w:r>
    </w:p>
    <w:p w14:paraId="218AFE6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8.3. Para a consulta de licitantes pessoa jurídica poderá haver a substituição das consultas ao CEIS, CNEP e Lista de licitantes inidôneos pela Consulta Consolidada de Pessoa Jurídica do TCU.</w:t>
      </w:r>
    </w:p>
    <w:p w14:paraId="6C4F038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8.4. Caso conste na Consulta de Situação do licitante a existência de Ocorrências Impeditivas Indiretas, o Pregoeiro diligenciará para verificar se houve fraude por parte das empresas apontadas no Relatório de Ocorrências Impeditivas Indiretas.</w:t>
      </w:r>
    </w:p>
    <w:p w14:paraId="2E47DFF0"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8.4.1. A tentativa de burla será verificada por meio dos vínculos societários, linhas de fornecimento similares, dentre outros.</w:t>
      </w:r>
    </w:p>
    <w:p w14:paraId="1666B828"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8.4.2. O licitante será convocado para manifestação previamente a uma eventual desclassificação.</w:t>
      </w:r>
    </w:p>
    <w:p w14:paraId="7DB39252"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8.4.3. Constatada a existência de sanção, o licitante será reputado inabilitado, por falta de condição de participação.</w:t>
      </w:r>
    </w:p>
    <w:p w14:paraId="6D01520A"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8.5. Caso o licitante provisoriamente classificado em primeiro lugar tenha se utilizado de algum tratamento favorecido às ME/</w:t>
      </w:r>
      <w:proofErr w:type="spellStart"/>
      <w:r>
        <w:rPr>
          <w:rFonts w:ascii="Times New Roman" w:eastAsia="Times New Roman" w:hAnsi="Times New Roman" w:cs="Times New Roman"/>
          <w:sz w:val="24"/>
          <w:szCs w:val="24"/>
        </w:rPr>
        <w:t>EPPs</w:t>
      </w:r>
      <w:proofErr w:type="spellEnd"/>
      <w:r>
        <w:rPr>
          <w:rFonts w:ascii="Times New Roman" w:eastAsia="Times New Roman" w:hAnsi="Times New Roman" w:cs="Times New Roman"/>
          <w:sz w:val="24"/>
          <w:szCs w:val="24"/>
        </w:rPr>
        <w:t xml:space="preserve"> ou tenha se valido da aplicação da margem de preferência, o Pregoeiro verificará se o licitante faz jus ao benefício aplicado.</w:t>
      </w:r>
    </w:p>
    <w:p w14:paraId="66B54C6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8.5.1. Caso o licitante não venha a comprovar o atendimento dos requisitos para fazer jus ao benefício da margem de preferência, as propostas serão reclassificadas, para fins de nova aplicação da margem de preferência.</w:t>
      </w:r>
    </w:p>
    <w:p w14:paraId="5440241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r>
          <w:rPr>
            <w:rFonts w:ascii="Times New Roman" w:eastAsia="Times New Roman" w:hAnsi="Times New Roman" w:cs="Times New Roman"/>
            <w:sz w:val="24"/>
            <w:szCs w:val="24"/>
          </w:rPr>
          <w:t>artigo 29 a 35 da IN SEGES nº 73, de 30 de setembro de 2022</w:t>
        </w:r>
      </w:hyperlink>
      <w:r>
        <w:rPr>
          <w:rFonts w:ascii="Times New Roman" w:eastAsia="Times New Roman" w:hAnsi="Times New Roman" w:cs="Times New Roman"/>
          <w:sz w:val="24"/>
          <w:szCs w:val="24"/>
        </w:rPr>
        <w:t>.</w:t>
      </w:r>
    </w:p>
    <w:p w14:paraId="3BB5740D"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8.7. Será desclassificada a proposta vencedora que:</w:t>
      </w:r>
    </w:p>
    <w:p w14:paraId="3B31ED9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8.7.1. contiver vícios insanáveis;</w:t>
      </w:r>
    </w:p>
    <w:p w14:paraId="05739B2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8.7.2. não obedecer às especificações técnicas contidas no Termo de Referência/Projeto Básico;</w:t>
      </w:r>
    </w:p>
    <w:p w14:paraId="3F14324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8.7.3. apresentar preços inexequíveis ou permanecer acima do preço máximo definido para a contratação;</w:t>
      </w:r>
    </w:p>
    <w:p w14:paraId="04DAE64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8.7.4. não tiver sua exequibilidade demonstrada, quando exigido pela Administração;</w:t>
      </w:r>
    </w:p>
    <w:p w14:paraId="5CC1FD80"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8.7.5. não cumpra os critérios de aceitabilidade de preços definidos no Termo de Referência.</w:t>
      </w:r>
    </w:p>
    <w:p w14:paraId="1926F610"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8.7.6. apresentar desconformidade com quaisquer outras exigências deste Edital ou seus anexos, desde que insanável.</w:t>
      </w:r>
    </w:p>
    <w:p w14:paraId="06BA8022"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8.8. No caso de bens e serviços em geral, é indício de inexequibilidade das propostas valores inferiores a 50% (cinquenta por cento) do valor orçado pela Administração.</w:t>
      </w:r>
    </w:p>
    <w:p w14:paraId="3BD2544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A inexequibilidade, na hipótese de que trata o item anterior, só será considerada após diligência do Pregoeiro, que comprove:</w:t>
      </w:r>
    </w:p>
    <w:p w14:paraId="0EF8A714"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8.9.1. que o custo do licitante ultrapassa o valor da proposta; e</w:t>
      </w:r>
    </w:p>
    <w:p w14:paraId="742E57F8"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8.9.2. inexistirem custos de oportunidade capazes de justificar o vulto da oferta.</w:t>
      </w:r>
    </w:p>
    <w:p w14:paraId="30F1BDA8"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8.10. Se houver indícios de inexequibilidade da proposta de preço, ou em caso da necessidade de esclarecimentos complementares, poderão ser efetuadas diligências, para que a empresa comprove a exequibilidade da proposta.</w:t>
      </w:r>
    </w:p>
    <w:p w14:paraId="4505938C" w14:textId="77777777" w:rsidR="00407009" w:rsidRDefault="00000000">
      <w:pPr>
        <w:pBdr>
          <w:top w:val="nil"/>
          <w:left w:val="nil"/>
          <w:bottom w:val="nil"/>
          <w:right w:val="nil"/>
          <w:between w:val="nil"/>
        </w:pBdr>
        <w:tabs>
          <w:tab w:val="left" w:pos="0"/>
        </w:tabs>
        <w:spacing w:line="360" w:lineRule="auto"/>
        <w:ind w:right="-1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8.11. O pregoeiro poderá convocar o licitante para enviar documento digital complementar, por meio de funcionalidade disponível no sistema, no prazo de </w:t>
      </w:r>
      <w:r>
        <w:rPr>
          <w:rFonts w:ascii="Times New Roman" w:eastAsia="Times New Roman" w:hAnsi="Times New Roman" w:cs="Times New Roman"/>
          <w:color w:val="EE0000"/>
          <w:sz w:val="24"/>
          <w:szCs w:val="24"/>
        </w:rPr>
        <w:t>120 (cento e vinte minutos)</w:t>
      </w:r>
      <w:r>
        <w:rPr>
          <w:rFonts w:ascii="Times New Roman" w:eastAsia="Times New Roman" w:hAnsi="Times New Roman" w:cs="Times New Roman"/>
          <w:color w:val="000000"/>
          <w:sz w:val="24"/>
          <w:szCs w:val="24"/>
        </w:rPr>
        <w:t xml:space="preserve">, sob pena de não aceitação da proposta, sendo facultado ao pregoeiro prorrogar o prazo estabelecido, a partir de solicitação fundamentada feita no chat pelo licitante, antes de findo o prazo. </w:t>
      </w:r>
    </w:p>
    <w:p w14:paraId="01FA4093"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8.12.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788BEB4A"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8.13.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ACE7650"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8.14. Se a proposta ou lance vencedor for desclassificado, o pregoeiro examinará a proposta ou lance subsequente, e, assim sucessivamente, na ordem de classificação.</w:t>
      </w:r>
    </w:p>
    <w:p w14:paraId="4D9DB25A"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8.15. Havendo necessidade, o pregoeiro suspenderá a sessão, informando no “chat” a nova data e horário para a sua continuidade.</w:t>
      </w:r>
    </w:p>
    <w:p w14:paraId="35D017FD"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8.16. O pregoeiro poderá encaminhar, por meio do sistema eletrônico, contraproposta ao licitante que apresentou o lance mais vantajoso, com o fim de negociar a obtenção de melhor preço, vedada a negociação em condições diversas das previstas neste Edital.</w:t>
      </w:r>
    </w:p>
    <w:p w14:paraId="0B3510F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8.17. A negociação será realizada por meio do sistema, podendo ser acompanhada pelos demais licitantes.</w:t>
      </w:r>
    </w:p>
    <w:p w14:paraId="0DD8953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8.18.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8E155B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8.19. 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07A3300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8.19.1. O ajuste de que trata este dispositivo se limita a sanar erros ou falhas que não alterem a substância das propostas;</w:t>
      </w:r>
    </w:p>
    <w:p w14:paraId="1A76DD8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8.19.2. Considera-se erro no preenchimento da planilha passível de correção a indicação de recolhimento de impostos e contribuições na forma do Simples Nacional, quando não cabível esse regime.</w:t>
      </w:r>
    </w:p>
    <w:p w14:paraId="5D1E55F8"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6FD4EC93" w14:textId="77777777" w:rsidR="00407009"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 DA FASE DE HABILITAÇÃO</w:t>
      </w:r>
    </w:p>
    <w:p w14:paraId="5684A94E" w14:textId="77777777" w:rsidR="00407009" w:rsidRDefault="00000000">
      <w:pPr>
        <w:tabs>
          <w:tab w:val="left" w:pos="0"/>
        </w:tabs>
        <w:spacing w:line="360" w:lineRule="auto"/>
        <w:ind w:right="-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 Encerrada a análise quanto à aceitação da proposta, o pregoeiro verificará a habilitação do licitante, observado o disposto neste Edital. </w:t>
      </w:r>
    </w:p>
    <w:p w14:paraId="3A5FF060"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 Os documentos previstos no Termo de Referência, necessários e suficientes para demonstrar a capacidade do licitante de realizar o objeto da licitação, serão exigidos para fins de habilitação, nos termos dos </w:t>
      </w:r>
      <w:proofErr w:type="spellStart"/>
      <w:r>
        <w:fldChar w:fldCharType="begin"/>
      </w:r>
      <w:r>
        <w:instrText>HYPERLINK "http://www.planalto.gov.br/ccivil_03/_ato2019-2022/2021/lei/L14133.htm" \l "art62" \h</w:instrText>
      </w:r>
      <w:r>
        <w:fldChar w:fldCharType="separate"/>
      </w:r>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62 a 70 da Lei nº 14.133, de 2021</w:t>
      </w:r>
      <w:r>
        <w:fldChar w:fldCharType="end"/>
      </w:r>
      <w:r>
        <w:rPr>
          <w:rFonts w:ascii="Times New Roman" w:eastAsia="Times New Roman" w:hAnsi="Times New Roman" w:cs="Times New Roman"/>
          <w:sz w:val="24"/>
          <w:szCs w:val="24"/>
        </w:rPr>
        <w:t>.</w:t>
      </w:r>
    </w:p>
    <w:p w14:paraId="0D9560F4"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9.2.1. A documentação exigida para fins de habilitação jurídica, fiscal, social e trabalhista e econômico-</w:t>
      </w:r>
      <w:proofErr w:type="spellStart"/>
      <w:r>
        <w:rPr>
          <w:rFonts w:ascii="Times New Roman" w:eastAsia="Times New Roman" w:hAnsi="Times New Roman" w:cs="Times New Roman"/>
          <w:sz w:val="24"/>
          <w:szCs w:val="24"/>
        </w:rPr>
        <w:t>ﬁnanceira</w:t>
      </w:r>
      <w:proofErr w:type="spellEnd"/>
      <w:r>
        <w:rPr>
          <w:rFonts w:ascii="Times New Roman" w:eastAsia="Times New Roman" w:hAnsi="Times New Roman" w:cs="Times New Roman"/>
          <w:sz w:val="24"/>
          <w:szCs w:val="24"/>
        </w:rPr>
        <w:t xml:space="preserve">, poderá ser substituída pelo registro cadastral no </w:t>
      </w:r>
      <w:proofErr w:type="spellStart"/>
      <w:r>
        <w:rPr>
          <w:rFonts w:ascii="Times New Roman" w:eastAsia="Times New Roman" w:hAnsi="Times New Roman" w:cs="Times New Roman"/>
          <w:sz w:val="24"/>
          <w:szCs w:val="24"/>
        </w:rPr>
        <w:t>Sicaf</w:t>
      </w:r>
      <w:proofErr w:type="spellEnd"/>
      <w:r>
        <w:rPr>
          <w:rFonts w:ascii="Times New Roman" w:eastAsia="Times New Roman" w:hAnsi="Times New Roman" w:cs="Times New Roman"/>
          <w:sz w:val="24"/>
          <w:szCs w:val="24"/>
        </w:rPr>
        <w:t>.</w:t>
      </w:r>
    </w:p>
    <w:p w14:paraId="36B52E75" w14:textId="77777777" w:rsidR="00407009" w:rsidRDefault="00000000">
      <w:pPr>
        <w:tabs>
          <w:tab w:val="left" w:pos="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9.2.2. É dever do licitante </w:t>
      </w:r>
      <w:r>
        <w:rPr>
          <w:rFonts w:ascii="Times New Roman" w:eastAsia="Times New Roman" w:hAnsi="Times New Roman" w:cs="Times New Roman"/>
          <w:color w:val="EE0000"/>
          <w:sz w:val="24"/>
          <w:szCs w:val="24"/>
        </w:rPr>
        <w:t xml:space="preserve">atualizar previamente </w:t>
      </w:r>
      <w:r>
        <w:rPr>
          <w:rFonts w:ascii="Times New Roman" w:eastAsia="Times New Roman" w:hAnsi="Times New Roman" w:cs="Times New Roman"/>
          <w:sz w:val="24"/>
          <w:szCs w:val="24"/>
        </w:rPr>
        <w:t xml:space="preserve">as comprovações constantes do </w:t>
      </w:r>
      <w:proofErr w:type="spellStart"/>
      <w:r>
        <w:rPr>
          <w:rFonts w:ascii="Times New Roman" w:eastAsia="Times New Roman" w:hAnsi="Times New Roman" w:cs="Times New Roman"/>
          <w:sz w:val="24"/>
          <w:szCs w:val="24"/>
        </w:rPr>
        <w:t>Sicaf</w:t>
      </w:r>
      <w:proofErr w:type="spellEnd"/>
      <w:r>
        <w:rPr>
          <w:rFonts w:ascii="Times New Roman" w:eastAsia="Times New Roman" w:hAnsi="Times New Roman" w:cs="Times New Roman"/>
          <w:sz w:val="24"/>
          <w:szCs w:val="24"/>
        </w:rPr>
        <w:t>, conferir a exatidão dos seus dados cadastrais, e mantê-los atualizados junto aos órgãos responsáveis pela informação para que estejam vigentes na data da abertura da sessão pública.</w:t>
      </w:r>
    </w:p>
    <w:p w14:paraId="5FC412B9" w14:textId="77777777" w:rsidR="00407009" w:rsidRDefault="00000000">
      <w:pPr>
        <w:tabs>
          <w:tab w:val="left" w:pos="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9.2.3. Caso identifique a necessidade, deverá proceder, imediatamente, à correção ou à alteração dos registros tão logo identifique incorreção ou aqueles se tornem desatualizados, ou encaminhar, em conjunto com a apresentação da proposta, a respectiva documentação atualizada.</w:t>
      </w:r>
    </w:p>
    <w:p w14:paraId="000F2358" w14:textId="77777777" w:rsidR="00407009" w:rsidRDefault="00000000">
      <w:pPr>
        <w:tabs>
          <w:tab w:val="left" w:pos="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9.2.4. A não observância do disposto no item anterior poderá ensejar desclassificação no momento da habilitação.</w:t>
      </w:r>
    </w:p>
    <w:p w14:paraId="5FCB9C2B" w14:textId="77777777" w:rsidR="00407009" w:rsidRDefault="00000000">
      <w:pPr>
        <w:tabs>
          <w:tab w:val="left" w:pos="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9.2.5. O descumprimento do subitem acima implicará a inabilitação do licitante, exceto se a consulta aos sítios eletrônicos oficiais emissores de certidões feita pelo pregoeiro lograr êxito em encontrar a(s) certidão(</w:t>
      </w:r>
      <w:proofErr w:type="spellStart"/>
      <w:r>
        <w:rPr>
          <w:rFonts w:ascii="Times New Roman" w:eastAsia="Times New Roman" w:hAnsi="Times New Roman" w:cs="Times New Roman"/>
          <w:sz w:val="24"/>
          <w:szCs w:val="24"/>
        </w:rPr>
        <w:t>ões</w:t>
      </w:r>
      <w:proofErr w:type="spellEnd"/>
      <w:r>
        <w:rPr>
          <w:rFonts w:ascii="Times New Roman" w:eastAsia="Times New Roman" w:hAnsi="Times New Roman" w:cs="Times New Roman"/>
          <w:sz w:val="24"/>
          <w:szCs w:val="24"/>
        </w:rPr>
        <w:t>) válida(s), conforme art. 43, §3º, do Decreto 10.024, de 2019.</w:t>
      </w:r>
    </w:p>
    <w:p w14:paraId="2132F61D" w14:textId="77777777" w:rsidR="00407009" w:rsidRDefault="00000000">
      <w:pPr>
        <w:tabs>
          <w:tab w:val="left" w:pos="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 Somente haverá a necessidade de comprovação do preenchimento de requisitos mediante apresentação dos documentos originais </w:t>
      </w:r>
      <w:proofErr w:type="spellStart"/>
      <w:r>
        <w:rPr>
          <w:rFonts w:ascii="Times New Roman" w:eastAsia="Times New Roman" w:hAnsi="Times New Roman" w:cs="Times New Roman"/>
          <w:sz w:val="24"/>
          <w:szCs w:val="24"/>
        </w:rPr>
        <w:t>não-digitais</w:t>
      </w:r>
      <w:proofErr w:type="spellEnd"/>
      <w:r>
        <w:rPr>
          <w:rFonts w:ascii="Times New Roman" w:eastAsia="Times New Roman" w:hAnsi="Times New Roman" w:cs="Times New Roman"/>
          <w:sz w:val="24"/>
          <w:szCs w:val="24"/>
        </w:rPr>
        <w:t xml:space="preserve"> quando houver dúvida em relação à integridade do documento digital ou quando a lei expressamente o exigir.</w:t>
      </w:r>
    </w:p>
    <w:p w14:paraId="3B188B81" w14:textId="77777777" w:rsidR="00407009" w:rsidRDefault="00000000">
      <w:pPr>
        <w:tabs>
          <w:tab w:val="left" w:pos="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Não serão aceitos documentos de habilitação com indicação de CNPJ/CPF diferentes, salvo aqueles legalmente permitidos.</w:t>
      </w:r>
    </w:p>
    <w:p w14:paraId="37ACACF4" w14:textId="77777777" w:rsidR="00407009" w:rsidRDefault="00000000">
      <w:pPr>
        <w:tabs>
          <w:tab w:val="left" w:pos="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9.4.1.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673E55A" w14:textId="77777777" w:rsidR="00407009" w:rsidRDefault="00000000">
      <w:pPr>
        <w:tabs>
          <w:tab w:val="left" w:pos="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9.4.2. Serão aceitos registros de CNPJ de licitante matriz e filial com diferenças de números de documentos pertinentes ao CND e ao CRF/FGTS, quando for comprovada a centralização do recolhimento dessas contribuições.</w:t>
      </w:r>
    </w:p>
    <w:p w14:paraId="5732B04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Os documentos exigidos para fins de habilitação poderão ser substituídos por registro cadastral emitido por órgão ou entidade pública, desde que o registro tenha sido feito em obediência ao disposto na Lei nº 14.133, de 2021.</w:t>
      </w:r>
    </w:p>
    <w:p w14:paraId="4EA21E2A"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Será verificado se o licitante apresentou declaração de que atende aos requisitos de habilitação, e o declarante responderá pela veracidade das informações prestadas, na forma da lei.</w:t>
      </w:r>
    </w:p>
    <w:p w14:paraId="3C6C00D5"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668C17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O licitante deverá apresentar, sob pena de desclassificação, declaração de que sua proposta econômica compreende a integralidade dos custos para atendimento dos direitos trabalhistas </w:t>
      </w:r>
      <w:r>
        <w:rPr>
          <w:rFonts w:ascii="Times New Roman" w:eastAsia="Times New Roman" w:hAnsi="Times New Roman" w:cs="Times New Roman"/>
          <w:sz w:val="24"/>
          <w:szCs w:val="24"/>
        </w:rPr>
        <w:lastRenderedPageBreak/>
        <w:t>assegurados na Constituição Federal, nas leis trabalhistas, nas normas infralegais, nas convenções coletivas de trabalho e nos termos de ajustamento de conduta vigentes na data de entrega das propostas.</w:t>
      </w:r>
    </w:p>
    <w:p w14:paraId="4BD30D7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9.9. A verificação pelo Pregoeiro, em sítios eletrônicos oficiais de órgãos e entidades emissores de certidões constitui meio legal de prova, para fins de habilitação.</w:t>
      </w:r>
    </w:p>
    <w:p w14:paraId="7AB90F4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green"/>
        </w:rPr>
        <w:t xml:space="preserve">9.9.1. Os documentos exigidos para habilitação que não estejam contemplados no </w:t>
      </w:r>
      <w:proofErr w:type="spellStart"/>
      <w:r>
        <w:rPr>
          <w:rFonts w:ascii="Times New Roman" w:eastAsia="Times New Roman" w:hAnsi="Times New Roman" w:cs="Times New Roman"/>
          <w:sz w:val="24"/>
          <w:szCs w:val="24"/>
          <w:highlight w:val="green"/>
        </w:rPr>
        <w:t>Sicaf</w:t>
      </w:r>
      <w:proofErr w:type="spellEnd"/>
      <w:r>
        <w:rPr>
          <w:rFonts w:ascii="Times New Roman" w:eastAsia="Times New Roman" w:hAnsi="Times New Roman" w:cs="Times New Roman"/>
          <w:sz w:val="24"/>
          <w:szCs w:val="24"/>
          <w:highlight w:val="green"/>
        </w:rPr>
        <w:t xml:space="preserve"> serão enviados por meio do sistema, em formato digital, no prazo de 2 horas, prorrogável por igual período, contado da solicitação do Pregoeiro.</w:t>
      </w:r>
    </w:p>
    <w:p w14:paraId="288D2B8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9.10. A verificação no </w:t>
      </w:r>
      <w:proofErr w:type="spellStart"/>
      <w:r>
        <w:rPr>
          <w:rFonts w:ascii="Times New Roman" w:eastAsia="Times New Roman" w:hAnsi="Times New Roman" w:cs="Times New Roman"/>
          <w:sz w:val="24"/>
          <w:szCs w:val="24"/>
        </w:rPr>
        <w:t>Sicaf</w:t>
      </w:r>
      <w:proofErr w:type="spellEnd"/>
      <w:r>
        <w:rPr>
          <w:rFonts w:ascii="Times New Roman" w:eastAsia="Times New Roman" w:hAnsi="Times New Roman" w:cs="Times New Roman"/>
          <w:sz w:val="24"/>
          <w:szCs w:val="24"/>
        </w:rPr>
        <w:t xml:space="preserve"> ou a exigência dos documentos nele não contidos somente será feita em relação ao licitante vencedor.</w:t>
      </w:r>
    </w:p>
    <w:p w14:paraId="4ACCC91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9.10.1. Os documentos relativos à regularidade fiscal que constem do Termo de Referência somente serão exigidos, em qualquer caso, em momento posterior ao julgamento das propostas, e apenas do licitante mais bem classificado.</w:t>
      </w:r>
    </w:p>
    <w:p w14:paraId="2D4C5845"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9.10.2.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4E316C5"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9.11. Encerrado o prazo para envio da documentação de que trata o item </w:t>
      </w:r>
      <w:r>
        <w:rPr>
          <w:rFonts w:ascii="Times New Roman" w:eastAsia="Times New Roman" w:hAnsi="Times New Roman" w:cs="Times New Roman"/>
          <w:sz w:val="24"/>
          <w:szCs w:val="24"/>
          <w:highlight w:val="green"/>
        </w:rPr>
        <w:t>9.9.1</w:t>
      </w:r>
      <w:r>
        <w:rPr>
          <w:rFonts w:ascii="Times New Roman" w:eastAsia="Times New Roman" w:hAnsi="Times New Roman" w:cs="Times New Roman"/>
          <w:sz w:val="24"/>
          <w:szCs w:val="24"/>
        </w:rPr>
        <w:t>, poderá ser admitida, mediante decisão fundamentada do Pregoeiro, a apresentação de novos documentos de habilitação ou a complementação de informações acerca dos documentos já apresentados pelos licitantes, em até horas, para:</w:t>
      </w:r>
    </w:p>
    <w:p w14:paraId="76ED7D3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9.11.1. a aferição das condições de habilitação do licitante, desde que decorrentes de fatos existentes à época da abertura do certame;</w:t>
      </w:r>
    </w:p>
    <w:p w14:paraId="0FEAD97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9.11.2. atualização de documentos cuja validade tenha expirado após a data de recebimento das propostas;</w:t>
      </w:r>
    </w:p>
    <w:p w14:paraId="3FA67723"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9.11.3. suprimento da ausência de documento de cunho declaratório emitido unilateralmente pelo licitante;</w:t>
      </w:r>
    </w:p>
    <w:p w14:paraId="703554AD"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9.11.4. suprimento da ausência de certidão e/ou documento de cunho declaratório expedido por órgão ou entidade cujos atos gozem de presunção de veracidade e fé pública.</w:t>
      </w:r>
    </w:p>
    <w:p w14:paraId="48FE5E5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9.12. Findo o prazo assinalado sem o envio da nova documentação, restará preclusa essa oportunidade conferida ao licitante, implicando sua inabilitação.</w:t>
      </w:r>
    </w:p>
    <w:p w14:paraId="617531CD"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9.13. Na análise dos documentos de habilitação, a comissão de contratação poderá sanar erros ou falhas, que não alterem a substância dos documentos e sua validade jurídica, mediante decisão </w:t>
      </w:r>
      <w:r>
        <w:rPr>
          <w:rFonts w:ascii="Times New Roman" w:eastAsia="Times New Roman" w:hAnsi="Times New Roman" w:cs="Times New Roman"/>
          <w:sz w:val="24"/>
          <w:szCs w:val="24"/>
        </w:rPr>
        <w:lastRenderedPageBreak/>
        <w:t xml:space="preserve">fundamentada, registrada em ata e acessível a todos, atribuindo-lhes </w:t>
      </w:r>
      <w:proofErr w:type="spellStart"/>
      <w:r>
        <w:rPr>
          <w:rFonts w:ascii="Times New Roman" w:eastAsia="Times New Roman" w:hAnsi="Times New Roman" w:cs="Times New Roman"/>
          <w:sz w:val="24"/>
          <w:szCs w:val="24"/>
        </w:rPr>
        <w:t>eﬁcácia</w:t>
      </w:r>
      <w:proofErr w:type="spellEnd"/>
      <w:r>
        <w:rPr>
          <w:rFonts w:ascii="Times New Roman" w:eastAsia="Times New Roman" w:hAnsi="Times New Roman" w:cs="Times New Roman"/>
          <w:sz w:val="24"/>
          <w:szCs w:val="24"/>
        </w:rPr>
        <w:t xml:space="preserve"> para fins de habilitação e classificação.</w:t>
      </w:r>
    </w:p>
    <w:p w14:paraId="6804604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9.14.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Times New Roman" w:eastAsia="Times New Roman" w:hAnsi="Times New Roman" w:cs="Times New Roman"/>
          <w:sz w:val="24"/>
          <w:szCs w:val="24"/>
          <w:highlight w:val="green"/>
        </w:rPr>
        <w:t>9.9.1</w:t>
      </w:r>
    </w:p>
    <w:p w14:paraId="0AEEB00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9.15. Somente serão disponibilizados para acesso público os documentos de habilitação do licitante cuja proposta atenda ao edital de licitação, após concluídos os procedimentos de que trata o subitem anterior.</w:t>
      </w:r>
    </w:p>
    <w:p w14:paraId="01E4D345"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9.16. Os licitantes deverão encaminhar, nos termos deste Edital, a documentação relacionada nos itens a seguir, para fins de habilitação, nos termos dos </w:t>
      </w:r>
      <w:hyperlink r:id="rId38" w:anchor="art62">
        <w:proofErr w:type="spellStart"/>
        <w:r>
          <w:rPr>
            <w:rFonts w:ascii="Times New Roman" w:eastAsia="Times New Roman" w:hAnsi="Times New Roman" w:cs="Times New Roman"/>
            <w:color w:val="000000"/>
            <w:sz w:val="24"/>
            <w:szCs w:val="24"/>
            <w:u w:val="single"/>
          </w:rPr>
          <w:t>arts</w:t>
        </w:r>
        <w:proofErr w:type="spellEnd"/>
        <w:r>
          <w:rPr>
            <w:rFonts w:ascii="Times New Roman" w:eastAsia="Times New Roman" w:hAnsi="Times New Roman" w:cs="Times New Roman"/>
            <w:color w:val="000000"/>
            <w:sz w:val="24"/>
            <w:szCs w:val="24"/>
            <w:u w:val="single"/>
          </w:rPr>
          <w:t>. 62 a 70 da Lei nº 14.133, de 2021</w:t>
        </w:r>
      </w:hyperlink>
      <w:r>
        <w:rPr>
          <w:rFonts w:ascii="Times New Roman" w:eastAsia="Times New Roman" w:hAnsi="Times New Roman" w:cs="Times New Roman"/>
          <w:color w:val="000000"/>
          <w:sz w:val="24"/>
          <w:szCs w:val="24"/>
        </w:rPr>
        <w:t>:</w:t>
      </w:r>
    </w:p>
    <w:p w14:paraId="4289AACC"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9.17. Habilitação jurídica: </w:t>
      </w:r>
    </w:p>
    <w:p w14:paraId="366A3ECF"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9.17.1. No caso de empresário individual: inscrição no Registro Público de Empresas Mercantis, a cargo da Junta Comercial da respectiva sede;</w:t>
      </w:r>
    </w:p>
    <w:p w14:paraId="24F86EDB"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9.17.2. Em se tratando de microempreendedor individual – MEI: Certificado da Condição de Microempreendedor Individual - CCMEI, cuja aceitação ficará condicionada à verificação da autenticidade no sítio www.portaldoempreendedor.gov.br;</w:t>
      </w:r>
    </w:p>
    <w:p w14:paraId="69C1915C"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9.17.3.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1F27367"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9.17.4. inscrição no Registro Público de Empresas Mercantis onde opera, com averbação no Registro onde tem sede a matriz, no caso de ser o participante sucursal, filial ou agência;</w:t>
      </w:r>
    </w:p>
    <w:p w14:paraId="0D420F5C"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9.17.5. No caso de sociedade simples: inscrição do ato constitutivo no Registro Civil das Pessoas Jurídicas do local de sua sede, acompanhada de prova da indicação dos seus administradores;</w:t>
      </w:r>
    </w:p>
    <w:p w14:paraId="3A540733"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9.17.6.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4A51402"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9.17.7. No caso de empresa ou sociedade estrangeira em funcionamento no País: decreto de autorização;</w:t>
      </w:r>
    </w:p>
    <w:p w14:paraId="0BFD5A76"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9.17.8. Os documentos acima deverão estar acompanhados de todas as alterações ou da consolidação respectiva;</w:t>
      </w:r>
    </w:p>
    <w:p w14:paraId="11840A28"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9.18. Regularidade fiscal, social e trabalhista:</w:t>
      </w:r>
    </w:p>
    <w:p w14:paraId="1186573B" w14:textId="77777777" w:rsidR="00407009" w:rsidRDefault="00000000">
      <w:pPr>
        <w:tabs>
          <w:tab w:val="left" w:pos="0"/>
          <w:tab w:val="left" w:pos="1440"/>
        </w:tabs>
        <w:spacing w:line="360" w:lineRule="auto"/>
        <w:jc w:val="both"/>
        <w:rPr>
          <w:rFonts w:ascii="Times New Roman" w:eastAsia="Times New Roman" w:hAnsi="Times New Roman" w:cs="Times New Roman"/>
          <w:sz w:val="24"/>
          <w:szCs w:val="24"/>
        </w:rPr>
      </w:pPr>
      <w:bookmarkStart w:id="1" w:name="_heading=h.hmtwalb7k3fs" w:colFirst="0" w:colLast="0"/>
      <w:bookmarkEnd w:id="1"/>
      <w:r>
        <w:rPr>
          <w:rFonts w:ascii="Times New Roman" w:eastAsia="Times New Roman" w:hAnsi="Times New Roman" w:cs="Times New Roman"/>
          <w:sz w:val="24"/>
          <w:szCs w:val="24"/>
        </w:rPr>
        <w:lastRenderedPageBreak/>
        <w:t>9.18.1. a inscrição no Cadastro de Pessoas Físicas (CPF) ou no Cadastro Nacional da Pessoa Jurídica (CNPJ);</w:t>
      </w:r>
      <w:bookmarkStart w:id="2" w:name="bookmark=id.arr23midu47f" w:colFirst="0" w:colLast="0"/>
      <w:bookmarkEnd w:id="2"/>
    </w:p>
    <w:p w14:paraId="69CD3CD6" w14:textId="77777777" w:rsidR="00407009" w:rsidRDefault="00000000">
      <w:pPr>
        <w:tabs>
          <w:tab w:val="left" w:pos="0"/>
          <w:tab w:val="left" w:pos="144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9.18.2. a inscrição no cadastro de contribuintes estadual e/ou municipal, se houver, relativo ao domicílio ou sede do licitante, pertinente ao seu ramo de atividade e compatível com o objeto contratual;</w:t>
      </w:r>
      <w:bookmarkStart w:id="3" w:name="bookmark=id.qbch46u2snwd" w:colFirst="0" w:colLast="0"/>
      <w:bookmarkEnd w:id="3"/>
    </w:p>
    <w:p w14:paraId="01A3C5BF" w14:textId="77777777" w:rsidR="00407009" w:rsidRDefault="00000000">
      <w:pPr>
        <w:tabs>
          <w:tab w:val="left" w:pos="0"/>
          <w:tab w:val="left" w:pos="144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9.18.3. a regularidade perante a Fazenda federal, estadual e/ou municipal do domicílio ou sede do licitante, ou outra equivalente, na forma da lei;</w:t>
      </w:r>
      <w:bookmarkStart w:id="4" w:name="bookmark=id.krmta1x795y0" w:colFirst="0" w:colLast="0"/>
      <w:bookmarkEnd w:id="4"/>
    </w:p>
    <w:p w14:paraId="02E5E85D" w14:textId="77777777" w:rsidR="00407009" w:rsidRDefault="00000000">
      <w:pPr>
        <w:tabs>
          <w:tab w:val="left" w:pos="0"/>
          <w:tab w:val="left" w:pos="144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9.18.4. a regularidade relativa à Seguridade Social e ao FGTS, que demonstre cumprimento dos encargos sociais instituídos por lei;</w:t>
      </w:r>
      <w:bookmarkStart w:id="5" w:name="bookmark=id.uedx51m0whhu" w:colFirst="0" w:colLast="0"/>
      <w:bookmarkEnd w:id="5"/>
    </w:p>
    <w:p w14:paraId="490FDF33" w14:textId="77777777" w:rsidR="00407009" w:rsidRDefault="00000000">
      <w:pPr>
        <w:tabs>
          <w:tab w:val="left" w:pos="0"/>
          <w:tab w:val="left" w:pos="144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9.18.5. a regularidade perante a Justiça do Trabalho;</w:t>
      </w:r>
      <w:bookmarkStart w:id="6" w:name="bookmark=id.y5oy3yx215y4" w:colFirst="0" w:colLast="0"/>
      <w:bookmarkEnd w:id="6"/>
    </w:p>
    <w:p w14:paraId="00F27B56" w14:textId="77777777" w:rsidR="00407009" w:rsidRDefault="00000000">
      <w:pPr>
        <w:tabs>
          <w:tab w:val="left" w:pos="0"/>
          <w:tab w:val="left" w:pos="144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9.18.6. o cumprimento do disposto no </w:t>
      </w:r>
      <w:hyperlink r:id="rId39" w:anchor="art7xxxiii">
        <w:r>
          <w:rPr>
            <w:rFonts w:ascii="Times New Roman" w:eastAsia="Times New Roman" w:hAnsi="Times New Roman" w:cs="Times New Roman"/>
            <w:sz w:val="24"/>
            <w:szCs w:val="24"/>
          </w:rPr>
          <w:t>inciso XXXIII do art. 7º da Constituição Federal.</w:t>
        </w:r>
      </w:hyperlink>
      <w:bookmarkStart w:id="7" w:name="bookmark=id.vtgmp992yeml" w:colFirst="0" w:colLast="0"/>
      <w:bookmarkEnd w:id="7"/>
    </w:p>
    <w:p w14:paraId="71724843" w14:textId="77777777" w:rsidR="00407009" w:rsidRDefault="00000000">
      <w:pPr>
        <w:tabs>
          <w:tab w:val="left" w:pos="0"/>
          <w:tab w:val="left" w:pos="144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9.18.7. Os documentos poderão ser substituídos ou supridos, no todo ou em parte, por outros meios hábeis a comprovar a regularidade do licitante, inclusive por meio eletrônico.</w:t>
      </w:r>
      <w:bookmarkStart w:id="8" w:name="bookmark=id.b6f897xl7hex" w:colFirst="0" w:colLast="0"/>
      <w:bookmarkEnd w:id="8"/>
    </w:p>
    <w:p w14:paraId="484B311F" w14:textId="77777777" w:rsidR="00407009" w:rsidRDefault="00000000">
      <w:pPr>
        <w:tabs>
          <w:tab w:val="left" w:pos="0"/>
          <w:tab w:val="left" w:pos="144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9.18.8. A comprovação da regularidade perante a Fazenda federal, estadual e/ou municipal, relativa à Seguridade Social e ao FGTS e perante a Justiça do Trabalho deverão ser feitas na forma da legislação específica.</w:t>
      </w:r>
    </w:p>
    <w:p w14:paraId="07A83E2B"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9.19. Qualificação Econômico-Financeira</w:t>
      </w:r>
      <w:r>
        <w:rPr>
          <w:rFonts w:ascii="Times New Roman" w:eastAsia="Times New Roman" w:hAnsi="Times New Roman" w:cs="Times New Roman"/>
          <w:color w:val="000000"/>
          <w:sz w:val="24"/>
          <w:szCs w:val="24"/>
        </w:rPr>
        <w:t>.</w:t>
      </w:r>
    </w:p>
    <w:p w14:paraId="5C65AB2C" w14:textId="77777777" w:rsidR="00407009" w:rsidRDefault="00000000">
      <w:pPr>
        <w:tabs>
          <w:tab w:val="left" w:pos="0"/>
          <w:tab w:val="left" w:pos="1440"/>
        </w:tabs>
        <w:spacing w:line="360" w:lineRule="auto"/>
        <w:jc w:val="both"/>
        <w:rPr>
          <w:rFonts w:ascii="Times New Roman" w:eastAsia="Times New Roman" w:hAnsi="Times New Roman" w:cs="Times New Roman"/>
          <w:sz w:val="24"/>
          <w:szCs w:val="24"/>
        </w:rPr>
      </w:pPr>
      <w:bookmarkStart w:id="9" w:name="_heading=h.lna11kw3jxtb" w:colFirst="0" w:colLast="0"/>
      <w:bookmarkEnd w:id="9"/>
      <w:r>
        <w:rPr>
          <w:rFonts w:ascii="Times New Roman" w:eastAsia="Times New Roman" w:hAnsi="Times New Roman" w:cs="Times New Roman"/>
          <w:sz w:val="24"/>
          <w:szCs w:val="24"/>
        </w:rPr>
        <w:t>9.19.1. Deverá ser comprovada de forma objetiva, por coeficientes e índices econômicos previstos no edital, devidamente justificados no processo licitatório, e será restrita à apresentação da seguinte documentação:</w:t>
      </w:r>
    </w:p>
    <w:p w14:paraId="43648FA0" w14:textId="77777777" w:rsidR="00407009" w:rsidRDefault="00000000">
      <w:pPr>
        <w:tabs>
          <w:tab w:val="left" w:pos="0"/>
        </w:tabs>
        <w:spacing w:before="225" w:after="225" w:line="360" w:lineRule="auto"/>
        <w:jc w:val="both"/>
        <w:rPr>
          <w:rFonts w:ascii="Times New Roman" w:eastAsia="Times New Roman" w:hAnsi="Times New Roman" w:cs="Times New Roman"/>
          <w:sz w:val="24"/>
          <w:szCs w:val="24"/>
        </w:rPr>
      </w:pPr>
      <w:bookmarkStart w:id="10" w:name="bookmark=id.g0qt1odvlgze" w:colFirst="0" w:colLast="0"/>
      <w:bookmarkEnd w:id="10"/>
      <w:r>
        <w:rPr>
          <w:rFonts w:ascii="Times New Roman" w:eastAsia="Times New Roman" w:hAnsi="Times New Roman" w:cs="Times New Roman"/>
          <w:sz w:val="24"/>
          <w:szCs w:val="24"/>
        </w:rPr>
        <w:t xml:space="preserve">I - </w:t>
      </w:r>
      <w:r>
        <w:rPr>
          <w:rFonts w:ascii="Times New Roman" w:eastAsia="Times New Roman" w:hAnsi="Times New Roman" w:cs="Times New Roman"/>
          <w:b/>
          <w:bCs/>
          <w:sz w:val="24"/>
          <w:szCs w:val="24"/>
        </w:rPr>
        <w:t>Balanço patrimonial</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demonstração de resultado</w:t>
      </w:r>
      <w:r>
        <w:rPr>
          <w:rFonts w:ascii="Times New Roman" w:eastAsia="Times New Roman" w:hAnsi="Times New Roman" w:cs="Times New Roman"/>
          <w:sz w:val="24"/>
          <w:szCs w:val="24"/>
        </w:rPr>
        <w:t xml:space="preserve"> de exercício e demais demonstrações contábeis dos </w:t>
      </w:r>
      <w:r>
        <w:rPr>
          <w:rFonts w:ascii="Times New Roman" w:eastAsia="Times New Roman" w:hAnsi="Times New Roman" w:cs="Times New Roman"/>
          <w:b/>
          <w:bCs/>
          <w:sz w:val="24"/>
          <w:szCs w:val="24"/>
        </w:rPr>
        <w:t>2 (dois) últimos exercícios sociais</w:t>
      </w:r>
      <w:r>
        <w:rPr>
          <w:rFonts w:ascii="Times New Roman" w:eastAsia="Times New Roman" w:hAnsi="Times New Roman" w:cs="Times New Roman"/>
          <w:sz w:val="24"/>
          <w:szCs w:val="24"/>
        </w:rPr>
        <w:t>, limitando-se ao último exercício no caso de a pessoa jurídica ter sido constituída há menos de 2 (dois) anos.;</w:t>
      </w:r>
    </w:p>
    <w:p w14:paraId="03E6C266" w14:textId="77777777" w:rsidR="00407009" w:rsidRDefault="00000000">
      <w:pPr>
        <w:tabs>
          <w:tab w:val="left" w:pos="0"/>
        </w:tabs>
        <w:spacing w:before="225" w:after="225" w:line="360" w:lineRule="auto"/>
        <w:jc w:val="both"/>
        <w:rPr>
          <w:rFonts w:ascii="Times New Roman" w:eastAsia="Times New Roman" w:hAnsi="Times New Roman" w:cs="Times New Roman"/>
          <w:sz w:val="24"/>
          <w:szCs w:val="24"/>
        </w:rPr>
      </w:pPr>
      <w:bookmarkStart w:id="11" w:name="bookmark=id.kpowugda500y" w:colFirst="0" w:colLast="0"/>
      <w:bookmarkEnd w:id="11"/>
      <w:r>
        <w:rPr>
          <w:rFonts w:ascii="Times New Roman" w:eastAsia="Times New Roman" w:hAnsi="Times New Roman" w:cs="Times New Roman"/>
          <w:sz w:val="24"/>
          <w:szCs w:val="24"/>
        </w:rPr>
        <w:t xml:space="preserve">II - </w:t>
      </w:r>
      <w:r>
        <w:rPr>
          <w:rFonts w:ascii="Times New Roman" w:eastAsia="Times New Roman" w:hAnsi="Times New Roman" w:cs="Times New Roman"/>
          <w:b/>
          <w:bCs/>
          <w:sz w:val="24"/>
          <w:szCs w:val="24"/>
        </w:rPr>
        <w:t>Certidão negativa</w:t>
      </w:r>
      <w:r>
        <w:rPr>
          <w:rFonts w:ascii="Times New Roman" w:eastAsia="Times New Roman" w:hAnsi="Times New Roman" w:cs="Times New Roman"/>
          <w:sz w:val="24"/>
          <w:szCs w:val="24"/>
        </w:rPr>
        <w:t xml:space="preserve"> de feitos sobre </w:t>
      </w:r>
      <w:r>
        <w:rPr>
          <w:rFonts w:ascii="Times New Roman" w:eastAsia="Times New Roman" w:hAnsi="Times New Roman" w:cs="Times New Roman"/>
          <w:b/>
          <w:bCs/>
          <w:sz w:val="24"/>
          <w:szCs w:val="24"/>
        </w:rPr>
        <w:t>falência</w:t>
      </w:r>
      <w:r>
        <w:rPr>
          <w:rFonts w:ascii="Times New Roman" w:eastAsia="Times New Roman" w:hAnsi="Times New Roman" w:cs="Times New Roman"/>
          <w:sz w:val="24"/>
          <w:szCs w:val="24"/>
        </w:rPr>
        <w:t xml:space="preserve"> expedida pelo distribuidor da sede do licitante;</w:t>
      </w:r>
    </w:p>
    <w:p w14:paraId="46BC6B4B" w14:textId="77777777" w:rsidR="00407009" w:rsidRDefault="00000000">
      <w:pPr>
        <w:tabs>
          <w:tab w:val="left" w:pos="0"/>
        </w:tabs>
        <w:spacing w:before="225" w:after="225"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III - Além da documentação supracitada, o fornecedor com a melhor proposta deverá encaminhar </w:t>
      </w:r>
      <w:r>
        <w:rPr>
          <w:rFonts w:ascii="Times New Roman" w:eastAsia="Times New Roman" w:hAnsi="Times New Roman" w:cs="Times New Roman"/>
          <w:b/>
          <w:bCs/>
          <w:sz w:val="24"/>
          <w:szCs w:val="24"/>
        </w:rPr>
        <w:t>planilha com indicação de custos unitários e formação de preços</w:t>
      </w:r>
      <w:r>
        <w:rPr>
          <w:rFonts w:ascii="Times New Roman" w:eastAsia="Times New Roman" w:hAnsi="Times New Roman" w:cs="Times New Roman"/>
          <w:sz w:val="24"/>
          <w:szCs w:val="24"/>
        </w:rPr>
        <w:t>, com os valores adequados à proposta vencedora, caso a proposta tenha valores inferiores a 50% (cinquenta por cento) do valor orçado pela Administração, caracterizando indício de inexequibilidade.</w:t>
      </w:r>
    </w:p>
    <w:p w14:paraId="456CE47A"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bookmarkStart w:id="12" w:name="bookmark=id.pgw769mfg3el" w:colFirst="0" w:colLast="0"/>
      <w:bookmarkEnd w:id="12"/>
      <w:r>
        <w:rPr>
          <w:rFonts w:ascii="Times New Roman" w:eastAsia="Times New Roman" w:hAnsi="Times New Roman" w:cs="Times New Roman"/>
          <w:color w:val="000000"/>
          <w:sz w:val="24"/>
          <w:szCs w:val="24"/>
        </w:rPr>
        <w:t>9.20. A critério da Administração, poderá ser exigida declaração, assinada por profissional habilitado da área contábil, que ateste o atendimento pelo licitante dos índices econômicos previstos no edital.</w:t>
      </w:r>
      <w:bookmarkStart w:id="13" w:name="bookmark=id.a4y04b23afh7" w:colFirst="0" w:colLast="0"/>
      <w:bookmarkEnd w:id="13"/>
    </w:p>
    <w:p w14:paraId="7D85FA0D"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9.21. É vedada a exigência de valores mínimos de faturamento anterior e de índices de rentabilidade ou lucratividade.</w:t>
      </w:r>
      <w:bookmarkStart w:id="14" w:name="bookmark=id.1d9yxmfay4o3" w:colFirst="0" w:colLast="0"/>
      <w:bookmarkEnd w:id="14"/>
    </w:p>
    <w:p w14:paraId="17D6CDD8"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9.22. É admitida a exigência da relação dos compromissos assumidos pelo licitante que importem em diminuição de sua capacidade econômico-financeira, excluídas parcelas já executadas de contratos firmados.</w:t>
      </w:r>
      <w:bookmarkStart w:id="15" w:name="bookmark=id.7mltt1gojwwk" w:colFirst="0" w:colLast="0"/>
      <w:bookmarkEnd w:id="15"/>
    </w:p>
    <w:p w14:paraId="26A39A88" w14:textId="77777777" w:rsidR="00407009" w:rsidRDefault="00000000">
      <w:pPr>
        <w:tabs>
          <w:tab w:val="left" w:pos="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9.23. A Administração, nas compras para entrega futura e na execução de obras e serviços, poderá estabelecer no edital a exigência de capital mínimo ou de patrimônio líquido mínimo equivalente a até 10% (dez por cento) do valor estimado da contratação.</w:t>
      </w:r>
      <w:bookmarkStart w:id="16" w:name="bookmark=id.fltc2rvmmvx6" w:colFirst="0" w:colLast="0"/>
      <w:bookmarkEnd w:id="16"/>
    </w:p>
    <w:p w14:paraId="6D6C1CAF"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9.24. É vedada a exigência de índices e valores não usualmente adotados para a avaliação de situação econômico-financeira suficiente para o cumprimento das obrigações decorrentes da licitação.</w:t>
      </w:r>
    </w:p>
    <w:p w14:paraId="67955823"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9.24.1. Caso o licitante seja </w:t>
      </w:r>
      <w:proofErr w:type="gramStart"/>
      <w:r>
        <w:rPr>
          <w:rFonts w:ascii="Times New Roman" w:eastAsia="Times New Roman" w:hAnsi="Times New Roman" w:cs="Times New Roman"/>
          <w:color w:val="000000"/>
          <w:sz w:val="24"/>
          <w:szCs w:val="24"/>
        </w:rPr>
        <w:t>cooperativa</w:t>
      </w:r>
      <w:proofErr w:type="gramEnd"/>
      <w:r>
        <w:rPr>
          <w:rFonts w:ascii="Times New Roman" w:eastAsia="Times New Roman" w:hAnsi="Times New Roman" w:cs="Times New Roman"/>
          <w:color w:val="000000"/>
          <w:sz w:val="24"/>
          <w:szCs w:val="24"/>
        </w:rPr>
        <w:t>, tais documentos deverão ser acompanhados da última auditoria contábil-financeira, conforme dispõe o artigo 112 da Lei nº 5.764, de 1971, ou de uma declaração, sob as penas da lei, de que tal auditoria não foi exigida pelo órgão fiscalizador;</w:t>
      </w:r>
    </w:p>
    <w:p w14:paraId="67632C93" w14:textId="77777777" w:rsidR="00407009" w:rsidRDefault="00000000">
      <w:pPr>
        <w:tabs>
          <w:tab w:val="left" w:pos="0"/>
          <w:tab w:val="left" w:pos="144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9.24.2. A comprovação da situação financeira da empresa será constatada mediante obtenção de índices de Liquidez Geral (LG), Solvência Geral (SG) e Liquidez Corrente (LC), superiores a 1 (um) resultantes da aplicação das fórmulas:</w:t>
      </w:r>
    </w:p>
    <w:tbl>
      <w:tblPr>
        <w:tblStyle w:val="a0"/>
        <w:tblW w:w="6487" w:type="dxa"/>
        <w:tblInd w:w="1134" w:type="dxa"/>
        <w:tblLayout w:type="fixed"/>
        <w:tblLook w:val="0400" w:firstRow="0" w:lastRow="0" w:firstColumn="0" w:lastColumn="0" w:noHBand="0" w:noVBand="1"/>
      </w:tblPr>
      <w:tblGrid>
        <w:gridCol w:w="2235"/>
        <w:gridCol w:w="4252"/>
      </w:tblGrid>
      <w:tr w:rsidR="00407009" w14:paraId="5E92AA35" w14:textId="77777777">
        <w:tc>
          <w:tcPr>
            <w:tcW w:w="2235" w:type="dxa"/>
            <w:vMerge w:val="restart"/>
            <w:vAlign w:val="center"/>
          </w:tcPr>
          <w:p w14:paraId="62B1F8E3" w14:textId="77777777" w:rsidR="00407009" w:rsidRDefault="00000000">
            <w:pPr>
              <w:tabs>
                <w:tab w:val="left" w:pos="0"/>
                <w:tab w:val="left" w:pos="1440"/>
              </w:tabs>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LG =</w:t>
            </w:r>
          </w:p>
        </w:tc>
        <w:tc>
          <w:tcPr>
            <w:tcW w:w="4252" w:type="dxa"/>
            <w:tcBorders>
              <w:bottom w:val="single" w:sz="4" w:space="0" w:color="000000"/>
            </w:tcBorders>
            <w:vAlign w:val="bottom"/>
          </w:tcPr>
          <w:p w14:paraId="60A61579" w14:textId="77777777" w:rsidR="00407009" w:rsidRDefault="00000000">
            <w:pPr>
              <w:tabs>
                <w:tab w:val="left" w:pos="0"/>
                <w:tab w:val="left" w:pos="144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Ativo Circulante + Realizável a Longo Prazo</w:t>
            </w:r>
          </w:p>
        </w:tc>
      </w:tr>
      <w:tr w:rsidR="00407009" w14:paraId="5409BFE1" w14:textId="77777777">
        <w:tc>
          <w:tcPr>
            <w:tcW w:w="2235" w:type="dxa"/>
            <w:vMerge/>
            <w:vAlign w:val="center"/>
          </w:tcPr>
          <w:p w14:paraId="3B9898A2" w14:textId="77777777" w:rsidR="00407009" w:rsidRDefault="00407009">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4252" w:type="dxa"/>
            <w:tcBorders>
              <w:top w:val="single" w:sz="4" w:space="0" w:color="000000"/>
            </w:tcBorders>
          </w:tcPr>
          <w:p w14:paraId="68244F79" w14:textId="77777777" w:rsidR="00407009" w:rsidRDefault="00000000">
            <w:pPr>
              <w:tabs>
                <w:tab w:val="left" w:pos="0"/>
                <w:tab w:val="left" w:pos="144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Passivo Circulante + Passivo Não Circulante</w:t>
            </w:r>
          </w:p>
        </w:tc>
      </w:tr>
    </w:tbl>
    <w:p w14:paraId="1512FC4C" w14:textId="77777777" w:rsidR="00407009" w:rsidRDefault="00407009">
      <w:pPr>
        <w:tabs>
          <w:tab w:val="left" w:pos="0"/>
          <w:tab w:val="left" w:pos="1440"/>
        </w:tabs>
        <w:spacing w:line="360" w:lineRule="auto"/>
        <w:jc w:val="both"/>
        <w:rPr>
          <w:rFonts w:ascii="Times New Roman" w:eastAsia="Times New Roman" w:hAnsi="Times New Roman" w:cs="Times New Roman"/>
          <w:sz w:val="24"/>
          <w:szCs w:val="24"/>
        </w:rPr>
      </w:pPr>
    </w:p>
    <w:tbl>
      <w:tblPr>
        <w:tblStyle w:val="a1"/>
        <w:tblW w:w="6629" w:type="dxa"/>
        <w:tblInd w:w="1134" w:type="dxa"/>
        <w:tblLayout w:type="fixed"/>
        <w:tblLook w:val="0400" w:firstRow="0" w:lastRow="0" w:firstColumn="0" w:lastColumn="0" w:noHBand="0" w:noVBand="1"/>
      </w:tblPr>
      <w:tblGrid>
        <w:gridCol w:w="2235"/>
        <w:gridCol w:w="4394"/>
      </w:tblGrid>
      <w:tr w:rsidR="00407009" w14:paraId="684FE760" w14:textId="77777777">
        <w:tc>
          <w:tcPr>
            <w:tcW w:w="2235" w:type="dxa"/>
            <w:vMerge w:val="restart"/>
            <w:vAlign w:val="center"/>
          </w:tcPr>
          <w:p w14:paraId="1465B61F" w14:textId="77777777" w:rsidR="00407009" w:rsidRDefault="00000000">
            <w:pPr>
              <w:tabs>
                <w:tab w:val="left" w:pos="0"/>
                <w:tab w:val="left" w:pos="1440"/>
              </w:tabs>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SG =</w:t>
            </w:r>
          </w:p>
        </w:tc>
        <w:tc>
          <w:tcPr>
            <w:tcW w:w="4394" w:type="dxa"/>
            <w:tcBorders>
              <w:bottom w:val="single" w:sz="4" w:space="0" w:color="000000"/>
            </w:tcBorders>
            <w:vAlign w:val="bottom"/>
          </w:tcPr>
          <w:p w14:paraId="1D0873D1" w14:textId="77777777" w:rsidR="00407009" w:rsidRDefault="00000000">
            <w:pPr>
              <w:tabs>
                <w:tab w:val="left" w:pos="0"/>
                <w:tab w:val="left" w:pos="1440"/>
              </w:tab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Ativo Total</w:t>
            </w:r>
          </w:p>
        </w:tc>
      </w:tr>
      <w:tr w:rsidR="00407009" w14:paraId="27A27A9C" w14:textId="77777777">
        <w:tc>
          <w:tcPr>
            <w:tcW w:w="2235" w:type="dxa"/>
            <w:vMerge/>
            <w:vAlign w:val="center"/>
          </w:tcPr>
          <w:p w14:paraId="5C6C2E88" w14:textId="77777777" w:rsidR="00407009" w:rsidRDefault="00407009">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4394" w:type="dxa"/>
            <w:tcBorders>
              <w:top w:val="single" w:sz="4" w:space="0" w:color="000000"/>
            </w:tcBorders>
          </w:tcPr>
          <w:p w14:paraId="3D41FD62" w14:textId="77777777" w:rsidR="00407009" w:rsidRDefault="00000000">
            <w:pPr>
              <w:tabs>
                <w:tab w:val="left" w:pos="0"/>
                <w:tab w:val="left" w:pos="1440"/>
              </w:tab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Passivo Circulante + Passivo Não Circulante</w:t>
            </w:r>
          </w:p>
        </w:tc>
      </w:tr>
    </w:tbl>
    <w:p w14:paraId="1F467CA1" w14:textId="77777777" w:rsidR="00407009" w:rsidRDefault="00407009">
      <w:pPr>
        <w:tabs>
          <w:tab w:val="left" w:pos="0"/>
          <w:tab w:val="left" w:pos="1440"/>
        </w:tabs>
        <w:spacing w:line="360" w:lineRule="auto"/>
        <w:jc w:val="both"/>
        <w:rPr>
          <w:rFonts w:ascii="Times New Roman" w:eastAsia="Times New Roman" w:hAnsi="Times New Roman" w:cs="Times New Roman"/>
          <w:sz w:val="24"/>
          <w:szCs w:val="24"/>
        </w:rPr>
      </w:pPr>
    </w:p>
    <w:tbl>
      <w:tblPr>
        <w:tblStyle w:val="a2"/>
        <w:tblW w:w="4786" w:type="dxa"/>
        <w:tblInd w:w="1134" w:type="dxa"/>
        <w:tblLayout w:type="fixed"/>
        <w:tblLook w:val="0400" w:firstRow="0" w:lastRow="0" w:firstColumn="0" w:lastColumn="0" w:noHBand="0" w:noVBand="1"/>
      </w:tblPr>
      <w:tblGrid>
        <w:gridCol w:w="2235"/>
        <w:gridCol w:w="2551"/>
      </w:tblGrid>
      <w:tr w:rsidR="00407009" w14:paraId="491AE73F" w14:textId="77777777">
        <w:tc>
          <w:tcPr>
            <w:tcW w:w="2235" w:type="dxa"/>
            <w:vMerge w:val="restart"/>
            <w:vAlign w:val="center"/>
          </w:tcPr>
          <w:p w14:paraId="6E27EAAD" w14:textId="77777777" w:rsidR="00407009" w:rsidRDefault="00000000">
            <w:pPr>
              <w:tabs>
                <w:tab w:val="left" w:pos="0"/>
                <w:tab w:val="left" w:pos="1440"/>
              </w:tabs>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LC =</w:t>
            </w:r>
          </w:p>
        </w:tc>
        <w:tc>
          <w:tcPr>
            <w:tcW w:w="2551" w:type="dxa"/>
            <w:tcBorders>
              <w:bottom w:val="single" w:sz="4" w:space="0" w:color="000000"/>
            </w:tcBorders>
            <w:vAlign w:val="bottom"/>
          </w:tcPr>
          <w:p w14:paraId="0C62E5EA" w14:textId="77777777" w:rsidR="00407009" w:rsidRDefault="00000000">
            <w:pPr>
              <w:tabs>
                <w:tab w:val="left" w:pos="0"/>
                <w:tab w:val="left" w:pos="1440"/>
              </w:tab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Ativo Circulante</w:t>
            </w:r>
          </w:p>
        </w:tc>
      </w:tr>
      <w:tr w:rsidR="00407009" w14:paraId="060D6080" w14:textId="77777777">
        <w:tc>
          <w:tcPr>
            <w:tcW w:w="2235" w:type="dxa"/>
            <w:vMerge/>
            <w:vAlign w:val="center"/>
          </w:tcPr>
          <w:p w14:paraId="2826404B" w14:textId="77777777" w:rsidR="00407009" w:rsidRDefault="00407009">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2551" w:type="dxa"/>
            <w:tcBorders>
              <w:top w:val="single" w:sz="4" w:space="0" w:color="000000"/>
            </w:tcBorders>
          </w:tcPr>
          <w:p w14:paraId="5E7D4001" w14:textId="77777777" w:rsidR="00407009" w:rsidRDefault="00000000">
            <w:pPr>
              <w:tabs>
                <w:tab w:val="left" w:pos="0"/>
                <w:tab w:val="left" w:pos="1440"/>
              </w:tab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Passivo Circulante</w:t>
            </w:r>
          </w:p>
        </w:tc>
      </w:tr>
    </w:tbl>
    <w:p w14:paraId="4A3BC4D3" w14:textId="77777777" w:rsidR="00407009" w:rsidRDefault="00407009">
      <w:pPr>
        <w:tabs>
          <w:tab w:val="left" w:pos="0"/>
          <w:tab w:val="left" w:pos="1440"/>
        </w:tabs>
        <w:spacing w:line="360" w:lineRule="auto"/>
        <w:jc w:val="both"/>
        <w:rPr>
          <w:rFonts w:ascii="Times New Roman" w:eastAsia="Times New Roman" w:hAnsi="Times New Roman" w:cs="Times New Roman"/>
          <w:sz w:val="24"/>
          <w:szCs w:val="24"/>
        </w:rPr>
      </w:pPr>
    </w:p>
    <w:p w14:paraId="71FAA093" w14:textId="77777777" w:rsidR="00407009" w:rsidRDefault="00000000">
      <w:pPr>
        <w:tabs>
          <w:tab w:val="left" w:pos="0"/>
          <w:tab w:val="left" w:pos="144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9.24.3. As empresas que apresentarem resultado inferior ou igual a 1(um) em qualquer dos índices de Liquidez Geral (LG), Solvência Geral (SG) e Liquidez Corrente (LC), deverão comprovar, considerados os riscos para a Administração, e, a critério da autoridade competente, o capital mínimo </w:t>
      </w:r>
      <w:r>
        <w:rPr>
          <w:rFonts w:ascii="Times New Roman" w:eastAsia="Times New Roman" w:hAnsi="Times New Roman" w:cs="Times New Roman"/>
          <w:sz w:val="24"/>
          <w:szCs w:val="24"/>
        </w:rPr>
        <w:lastRenderedPageBreak/>
        <w:t xml:space="preserve">ou o patrimônio líquido mínimo de 10% (dez por cento) do valor estimado da contratação ou do item pertinente. </w:t>
      </w:r>
    </w:p>
    <w:p w14:paraId="36EF2402"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9.25. Qualificação Técnica  </w:t>
      </w:r>
    </w:p>
    <w:p w14:paraId="0F453D44" w14:textId="77777777" w:rsidR="00407009" w:rsidRDefault="00000000">
      <w:pPr>
        <w:tabs>
          <w:tab w:val="left" w:pos="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9.25.1. Os critérios de qualificação técnica são os constantes do Termo de Referência, anexo I deste edital. </w:t>
      </w:r>
    </w:p>
    <w:p w14:paraId="6E4C19B0" w14:textId="77777777" w:rsidR="00407009" w:rsidRDefault="00000000">
      <w:pPr>
        <w:pBdr>
          <w:top w:val="nil"/>
          <w:left w:val="nil"/>
          <w:bottom w:val="nil"/>
          <w:right w:val="nil"/>
          <w:between w:val="nil"/>
        </w:pBdr>
        <w:tabs>
          <w:tab w:val="left" w:pos="0"/>
        </w:tabs>
        <w:spacing w:before="120" w:after="120" w:line="360" w:lineRule="auto"/>
        <w:ind w:left="858" w:hanging="43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9.26.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88279C8" w14:textId="77777777" w:rsidR="00407009" w:rsidRDefault="00000000">
      <w:pPr>
        <w:pBdr>
          <w:top w:val="nil"/>
          <w:left w:val="nil"/>
          <w:bottom w:val="nil"/>
          <w:right w:val="nil"/>
          <w:between w:val="nil"/>
        </w:pBdr>
        <w:tabs>
          <w:tab w:val="left" w:pos="0"/>
        </w:tabs>
        <w:spacing w:before="120" w:after="120" w:line="360" w:lineRule="auto"/>
        <w:ind w:left="858" w:hanging="43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9.27. A declaração do vencedor acontecerá no momento imediatamente posterior à fase de habilitação.</w:t>
      </w:r>
    </w:p>
    <w:p w14:paraId="4086EFCF"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9.28. Caso a proposta mais vantajosa seja ofertada por licitante qualificada como </w:t>
      </w:r>
      <w:r>
        <w:rPr>
          <w:rFonts w:ascii="Times New Roman" w:eastAsia="Times New Roman" w:hAnsi="Times New Roman" w:cs="Times New Roman"/>
          <w:b/>
          <w:bCs/>
          <w:color w:val="000000"/>
          <w:sz w:val="24"/>
          <w:szCs w:val="24"/>
        </w:rPr>
        <w:t>microempresa ou empresa de pequeno porte</w:t>
      </w:r>
      <w:r>
        <w:rPr>
          <w:rFonts w:ascii="Times New Roman" w:eastAsia="Times New Roman" w:hAnsi="Times New Roman" w:cs="Times New Roman"/>
          <w:color w:val="000000"/>
          <w:sz w:val="24"/>
          <w:szCs w:val="24"/>
        </w:rPr>
        <w:t xml:space="preserve">, e uma vez constatada a existência de alguma </w:t>
      </w:r>
      <w:r>
        <w:rPr>
          <w:rFonts w:ascii="Times New Roman" w:eastAsia="Times New Roman" w:hAnsi="Times New Roman" w:cs="Times New Roman"/>
          <w:b/>
          <w:bCs/>
          <w:color w:val="000000"/>
          <w:sz w:val="24"/>
          <w:szCs w:val="24"/>
        </w:rPr>
        <w:t>restrição no que tange à regularidade fiscal e trabalhista</w:t>
      </w:r>
      <w:r>
        <w:rPr>
          <w:rFonts w:ascii="Times New Roman" w:eastAsia="Times New Roman" w:hAnsi="Times New Roman" w:cs="Times New Roman"/>
          <w:color w:val="000000"/>
          <w:sz w:val="24"/>
          <w:szCs w:val="24"/>
        </w:rPr>
        <w:t xml:space="preserve">, a mesma será convocada para, no </w:t>
      </w:r>
      <w:r>
        <w:rPr>
          <w:rFonts w:ascii="Times New Roman" w:eastAsia="Times New Roman" w:hAnsi="Times New Roman" w:cs="Times New Roman"/>
          <w:b/>
          <w:bCs/>
          <w:color w:val="000000"/>
          <w:sz w:val="24"/>
          <w:szCs w:val="24"/>
        </w:rPr>
        <w:t>prazo de 5 (cinco) dias úteis para comprovar a regularização, após a declaração do vencedor,</w:t>
      </w:r>
      <w:r>
        <w:rPr>
          <w:rFonts w:ascii="Times New Roman" w:eastAsia="Times New Roman" w:hAnsi="Times New Roman" w:cs="Times New Roman"/>
          <w:color w:val="000000"/>
          <w:sz w:val="24"/>
          <w:szCs w:val="24"/>
        </w:rPr>
        <w:t xml:space="preserve"> pois a existência de restrição relativamente à regularidade fiscal e trabalhista não impede que a licitante qualificada como microempresa ou empresa de pequeno porte seja declarada vencedora, uma vez que atenda a todas as demais exigências do edital. O </w:t>
      </w:r>
      <w:r>
        <w:rPr>
          <w:rFonts w:ascii="Times New Roman" w:eastAsia="Times New Roman" w:hAnsi="Times New Roman" w:cs="Times New Roman"/>
          <w:b/>
          <w:bCs/>
          <w:color w:val="000000"/>
          <w:sz w:val="24"/>
          <w:szCs w:val="24"/>
        </w:rPr>
        <w:t>prazo poderá ser prorrogado por igual período</w:t>
      </w:r>
      <w:r>
        <w:rPr>
          <w:rFonts w:ascii="Times New Roman" w:eastAsia="Times New Roman" w:hAnsi="Times New Roman" w:cs="Times New Roman"/>
          <w:color w:val="000000"/>
          <w:sz w:val="24"/>
          <w:szCs w:val="24"/>
        </w:rPr>
        <w:t xml:space="preserve">, a critério da administração pública, </w:t>
      </w:r>
      <w:r>
        <w:rPr>
          <w:rFonts w:ascii="Times New Roman" w:eastAsia="Times New Roman" w:hAnsi="Times New Roman" w:cs="Times New Roman"/>
          <w:b/>
          <w:bCs/>
          <w:color w:val="000000"/>
          <w:sz w:val="24"/>
          <w:szCs w:val="24"/>
        </w:rPr>
        <w:t>quando requerida pelo licitante</w:t>
      </w:r>
      <w:r>
        <w:rPr>
          <w:rFonts w:ascii="Times New Roman" w:eastAsia="Times New Roman" w:hAnsi="Times New Roman" w:cs="Times New Roman"/>
          <w:color w:val="000000"/>
          <w:sz w:val="24"/>
          <w:szCs w:val="24"/>
        </w:rPr>
        <w:t>, mediante apresentação de justificativa.</w:t>
      </w:r>
    </w:p>
    <w:p w14:paraId="13AA9F4F"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9.29. A </w:t>
      </w:r>
      <w:r>
        <w:rPr>
          <w:rFonts w:ascii="Times New Roman" w:eastAsia="Times New Roman" w:hAnsi="Times New Roman" w:cs="Times New Roman"/>
          <w:b/>
          <w:bCs/>
          <w:color w:val="000000"/>
          <w:sz w:val="24"/>
          <w:szCs w:val="24"/>
        </w:rPr>
        <w:t>não-regularização</w:t>
      </w:r>
      <w:r>
        <w:rPr>
          <w:rFonts w:ascii="Times New Roman" w:eastAsia="Times New Roman" w:hAnsi="Times New Roman" w:cs="Times New Roman"/>
          <w:color w:val="000000"/>
          <w:sz w:val="24"/>
          <w:szCs w:val="24"/>
        </w:rPr>
        <w:t xml:space="preserve"> fiscal e trabalhista no prazo previsto no subitem anterior </w:t>
      </w:r>
      <w:r>
        <w:rPr>
          <w:rFonts w:ascii="Times New Roman" w:eastAsia="Times New Roman" w:hAnsi="Times New Roman" w:cs="Times New Roman"/>
          <w:b/>
          <w:bCs/>
          <w:color w:val="000000"/>
          <w:sz w:val="24"/>
          <w:szCs w:val="24"/>
        </w:rPr>
        <w:t>acarretará a inabilitação do licitante</w:t>
      </w:r>
      <w:r>
        <w:rPr>
          <w:rFonts w:ascii="Times New Roman" w:eastAsia="Times New Roman" w:hAnsi="Times New Roman" w:cs="Times New Roman"/>
          <w:color w:val="000000"/>
          <w:sz w:val="24"/>
          <w:szCs w:val="24"/>
        </w:rPr>
        <w:t xml:space="preserv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13AE5BA4"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9.30. Será </w:t>
      </w:r>
      <w:r>
        <w:rPr>
          <w:rFonts w:ascii="Times New Roman" w:eastAsia="Times New Roman" w:hAnsi="Times New Roman" w:cs="Times New Roman"/>
          <w:b/>
          <w:bCs/>
          <w:color w:val="000000"/>
          <w:sz w:val="24"/>
          <w:szCs w:val="24"/>
        </w:rPr>
        <w:t>inabilitado o licitante que não comprovar sua habilitação</w:t>
      </w:r>
      <w:r>
        <w:rPr>
          <w:rFonts w:ascii="Times New Roman" w:eastAsia="Times New Roman" w:hAnsi="Times New Roman" w:cs="Times New Roman"/>
          <w:color w:val="000000"/>
          <w:sz w:val="24"/>
          <w:szCs w:val="24"/>
        </w:rPr>
        <w:t>, seja por não apresentar quaisquer dos documentos exigidos, ou apresentá-los em desacordo com o estabelecido neste Edital.</w:t>
      </w:r>
    </w:p>
    <w:p w14:paraId="22FE5010"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9.31. Constatado o atendimento às exigências de habilitação fixadas no Edital, o licitante será declarado vencedor.</w:t>
      </w:r>
    </w:p>
    <w:p w14:paraId="1152331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197F5C9E" w14:textId="77777777" w:rsidR="00407009"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 DO TERMO DE CONTRATO</w:t>
      </w:r>
    </w:p>
    <w:p w14:paraId="4610C9A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10.1. Após a homologação e adjudicação, caso se conclua pela contratação, será firmado termo de contrato, ou outro instrumento equivalente</w:t>
      </w:r>
    </w:p>
    <w:p w14:paraId="0D14E49C"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 O adjudicatário terá o prazo de dias úteis, contados a partir da data de sua convocação, para assinar o termo de contrato ou instrumento equivalente, sob pena de decair o direito à contratação, sem prejuízo das sanções previstas neste Edital.</w:t>
      </w:r>
    </w:p>
    <w:p w14:paraId="7592FF73"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 Alternativamente à convocação para comparecer perante o órgão ou entidade para a assinatura do Termo de Contrato ou instrumento equivalente, a Administração poderá:</w:t>
      </w:r>
    </w:p>
    <w:p w14:paraId="235EC342"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encaminhá-lo para assinatura, mediante correspondência postal com aviso de recebimento (AR), para que seja assinado e devolvido no prazo de dias úteis, a contar da data de seu recebimento;</w:t>
      </w:r>
    </w:p>
    <w:p w14:paraId="057584C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disponibilizar acesso </w:t>
      </w:r>
      <w:proofErr w:type="spellStart"/>
      <w:r>
        <w:rPr>
          <w:rFonts w:ascii="Times New Roman" w:eastAsia="Times New Roman" w:hAnsi="Times New Roman" w:cs="Times New Roman"/>
          <w:sz w:val="24"/>
          <w:szCs w:val="24"/>
        </w:rPr>
        <w:t>a</w:t>
      </w:r>
      <w:proofErr w:type="spellEnd"/>
      <w:r>
        <w:rPr>
          <w:rFonts w:ascii="Times New Roman" w:eastAsia="Times New Roman" w:hAnsi="Times New Roman" w:cs="Times New Roman"/>
          <w:sz w:val="24"/>
          <w:szCs w:val="24"/>
        </w:rPr>
        <w:t xml:space="preserve"> sistema de processo eletrônico para que seja assinado digitalmente em até dias úteis; ou</w:t>
      </w:r>
    </w:p>
    <w:p w14:paraId="0873C34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outro meio eletrônico, assegurado o prazo de dias úteis para resposta após recebimento da notificação pela Administração.</w:t>
      </w:r>
    </w:p>
    <w:p w14:paraId="5C172D5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Os prazos dos itens 10.2 e 10.3 poderão ser prorrogados, por igual período, por solicitação justificada do adjudicatário e aceita pela Administração.</w:t>
      </w:r>
    </w:p>
    <w:p w14:paraId="0034604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10.5. O prazo de vigência da contratação é o estabelecido no Termo de Referência.</w:t>
      </w:r>
    </w:p>
    <w:p w14:paraId="745EDB5C"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6124883"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10.6.1. A existência do registro do Cadin constitui fator impeditivo para a contratação.</w:t>
      </w:r>
    </w:p>
    <w:p w14:paraId="3674CDFD"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3A0F3B40" w14:textId="77777777" w:rsidR="00407009"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11. DOS RECURSOS</w:t>
      </w:r>
    </w:p>
    <w:p w14:paraId="7560E60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 A interposição de recurso referente ao julgamento das propostas, à habilitação ou inabilitação de licitantes, à anulação ou revogação da licitação, observará o disposto no art. 165 da Lei nº 14.133, de 2021.</w:t>
      </w:r>
    </w:p>
    <w:p w14:paraId="2164B9D0"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 O prazo recursal é de 3 (três) dias úteis, contados da data de intimação ou de lavratura da ata.</w:t>
      </w:r>
    </w:p>
    <w:p w14:paraId="3039275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 Quando o recurso apresentado impugnar o julgamento das propostas ou o ato de habilitação ou inabilitação do licitante:</w:t>
      </w:r>
    </w:p>
    <w:p w14:paraId="1BA833F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11.3.1. a intenção de recorrer deverá ser manifestada imediatamente, sob pena de preclusão;</w:t>
      </w:r>
    </w:p>
    <w:p w14:paraId="1EDD6285"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11.3.2. o prazo para a manifestação da intenção de recorrer não será inferior a 10 (dez) minutos.</w:t>
      </w:r>
    </w:p>
    <w:p w14:paraId="2E19441C"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11.3.3. o prazo para apresentação das razões recursais será iniciado na data de intimação ou de lavratura da ata de habilitação ou inabilitação;</w:t>
      </w:r>
    </w:p>
    <w:p w14:paraId="1A56BE1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11.4. Os recursos deverão ser encaminhados em campo próprio do sistema.</w:t>
      </w:r>
    </w:p>
    <w:p w14:paraId="0CC6482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C9C513"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11.6. Os recursos interpostos fora do prazo não serão conhecidos.</w:t>
      </w:r>
    </w:p>
    <w:p w14:paraId="309A2E63"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F2668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11.8. O recurso e o pedido de reconsideração terão efeito suspensivo do ato ou da decisão recorrida até que sobrevenha decisão final da autoridade competente.</w:t>
      </w:r>
    </w:p>
    <w:p w14:paraId="5F55203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11.9. O acolhimento do recurso invalida tão somente os atos insuscetíveis de aproveitamento.</w:t>
      </w:r>
    </w:p>
    <w:p w14:paraId="5FC1B485"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11.10. Os autos do processo permanecerão com vista franqueada aos interessados no sítio eletrônico</w:t>
      </w:r>
    </w:p>
    <w:p w14:paraId="25374AA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5537B791" w14:textId="77777777" w:rsidR="00407009"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highlight w:val="yellow"/>
        </w:rPr>
        <w:t>12. DAS INFRAÇÕES ADMINISTRATIVAS E SANÇÕES</w:t>
      </w:r>
    </w:p>
    <w:p w14:paraId="558A19C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Comete infração administrativa, nos termos da lei, o licitante que, com dolo ou culpa:</w:t>
      </w:r>
    </w:p>
    <w:p w14:paraId="2E0BDAE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12.1.1. deixar de entregar a documentação exigida para o certame ou não entregar qualquer documento que tenha sido solicitado pelo/a Pregoeiro/a durante o certame;</w:t>
      </w:r>
    </w:p>
    <w:p w14:paraId="17D9DA8A"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121.2. Salvo em decorrência de fato superveniente devidamente justificado, não mantiver a proposta em especial quando:</w:t>
      </w:r>
    </w:p>
    <w:p w14:paraId="1BA194F6"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1121.2.1. não enviar a proposta adequada ao último lance ofertado ou após a negociação;</w:t>
      </w:r>
    </w:p>
    <w:p w14:paraId="20DC5705"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12.1.2.2. recusar-se a enviar o detalhamento da proposta quando exigível;</w:t>
      </w:r>
    </w:p>
    <w:p w14:paraId="40031064"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12.1.2.3. pedir para ser desclassificado quando encerrada a etapa competitiva;</w:t>
      </w:r>
    </w:p>
    <w:p w14:paraId="5098A14C"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12.1.2.4. deixar de apresentar amostra; ou</w:t>
      </w:r>
    </w:p>
    <w:p w14:paraId="0A70B9B4"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12.1.2.5. apresentar proposta ou amostra em desacordo com as especificações do edital;</w:t>
      </w:r>
    </w:p>
    <w:p w14:paraId="2190E0B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12.1.3. não celebrar o contrato ou não entregar a documentação exigida para a contratação, quando convocado dentro do prazo de validade de sua proposta;</w:t>
      </w:r>
    </w:p>
    <w:p w14:paraId="4E0AB542"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12.1.4. recusar-se, sem justificativa, a assinar o contrato ou a ata de registro de preço, ou a aceitar ou retirar o instrumento equivalente no prazo estabelecido pela Administração;</w:t>
      </w:r>
    </w:p>
    <w:p w14:paraId="0BD895D2"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12.1.5. apresentar declaração ou documentação falsa exigida para o certame ou prestar declaração falsa durante a licitação</w:t>
      </w:r>
    </w:p>
    <w:p w14:paraId="0EF861E6"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12.1.6. fraudar a licitação;</w:t>
      </w:r>
    </w:p>
    <w:p w14:paraId="69D0686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12.1.7. comportar-se de modo inidôneo ou cometer fraude de qualquer natureza, em especial quando:</w:t>
      </w:r>
    </w:p>
    <w:p w14:paraId="7B422BE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12.1.7.1. agir em conluio ou em desconformidade com a lei;</w:t>
      </w:r>
    </w:p>
    <w:p w14:paraId="349C349C"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12.1.7.2. induzir deliberadamente a erro no julgamento;</w:t>
      </w:r>
    </w:p>
    <w:p w14:paraId="679B14E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12.1.7.3. apresentar amostra falsificada ou deteriorada;</w:t>
      </w:r>
    </w:p>
    <w:p w14:paraId="437E69D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12.1.8. praticar atos ilícitos com vistas a frustrar os objetivos da licitação</w:t>
      </w:r>
    </w:p>
    <w:p w14:paraId="63AE46B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12.1.9. praticar ato lesivo previsto no art. 5º da Lei n.º 12.846, de 2013.</w:t>
      </w:r>
    </w:p>
    <w:p w14:paraId="2FDC1235"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 Com fulcro na </w:t>
      </w:r>
      <w:hyperlink r:id="rId40">
        <w:r>
          <w:rPr>
            <w:rFonts w:ascii="Times New Roman" w:eastAsia="Times New Roman" w:hAnsi="Times New Roman" w:cs="Times New Roman"/>
            <w:sz w:val="24"/>
            <w:szCs w:val="24"/>
          </w:rPr>
          <w:t>Lei nº 14.133, de 2021</w:t>
        </w:r>
      </w:hyperlink>
      <w:r>
        <w:rPr>
          <w:rFonts w:ascii="Times New Roman" w:eastAsia="Times New Roman" w:hAnsi="Times New Roman" w:cs="Times New Roman"/>
          <w:sz w:val="24"/>
          <w:szCs w:val="24"/>
        </w:rPr>
        <w:t>, a Administração poderá, garantida a prévia defesa, aplicar aos licitantes e/ou adjudicatários as seguintes sanções, sem prejuízo das responsabilidades civil e criminal:</w:t>
      </w:r>
    </w:p>
    <w:p w14:paraId="28B33D6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12.2.1. advertência;</w:t>
      </w:r>
    </w:p>
    <w:p w14:paraId="7F47F44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12.2.2. multa;</w:t>
      </w:r>
    </w:p>
    <w:p w14:paraId="06725F46"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12.2.3. impedimento de licitar e contratar e</w:t>
      </w:r>
    </w:p>
    <w:p w14:paraId="6CBDA51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12.2.4. declaração de inidoneidade para licitar ou contratar, enquanto perdurarem os motivos determinantes da punição ou até que seja promovida sua reabilitação perante a própria autoridade que aplicou a penalidade.</w:t>
      </w:r>
    </w:p>
    <w:p w14:paraId="4272768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12.3. Na aplicação das sanções serão considerados:</w:t>
      </w:r>
    </w:p>
    <w:p w14:paraId="3C3B2FA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12.3.1. a natureza e a gravidade da infração cometida.</w:t>
      </w:r>
    </w:p>
    <w:p w14:paraId="45A0F6FC"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12.3.2. as peculiaridades do caso concreto</w:t>
      </w:r>
    </w:p>
    <w:p w14:paraId="4B2FF40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12.3.3. as circunstâncias agravantes ou atenuantes</w:t>
      </w:r>
    </w:p>
    <w:p w14:paraId="09B22350"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12.3.4. os danos que dela provierem para a Administração Pública</w:t>
      </w:r>
    </w:p>
    <w:p w14:paraId="12017B53"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12.3.5. a implantação ou o aperfeiçoamento de programa de integridade, conforme normas e orientações dos órgãos de controle.</w:t>
      </w:r>
    </w:p>
    <w:p w14:paraId="5DE4C8A9"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12.4. A multa será recolhida no prazo máximo de dias úteis, a contar da comunicação oficial.</w:t>
      </w:r>
    </w:p>
    <w:p w14:paraId="2CF2ED5D"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12.4.1. Para as infrações previstas nos itens 12.1.1, 12.1.2 e 12.1.3, a multa será de 0.5% a 15% do valor do contrato licitado.</w:t>
      </w:r>
    </w:p>
    <w:p w14:paraId="7E88C6D3"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12.4.2. Para as infrações previstas nos itens 12.1.4, 12.1.5, 12.1.6, 12.1.7, 12.1.8 e 12.1.9, a multa será de 15% a 30% do valor do contrato licitado.</w:t>
      </w:r>
    </w:p>
    <w:p w14:paraId="604075C6"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12.5. As sanções de advertência, impedimento de licitar e contratar e declaração de inidoneidade para licitar ou contratar poderão ser aplicadas, cumulativamente ou não, à penalidade de multa.</w:t>
      </w:r>
    </w:p>
    <w:p w14:paraId="23F32724"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12.6. Na aplicação da sanção de multa será facultada a defesa do interessado no prazo de 15 (quinze) dias úteis, contado da data de sua intimação.</w:t>
      </w:r>
    </w:p>
    <w:p w14:paraId="42314D5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12.7. 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7871FF50"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12.8. Poderá ser aplicada ao responsável a sanção de declaração de inidoneidade para licitar ou contratar, em decorrência da prática das infrações dispostas nos itens 12.1.5, 12.1.6, 12.1.7, 12.1.8 e 12.1.9, bem como pelas infrações administrativas previstas nos itens 12.1.1, 12.1.2, 12.1.3 e 12.1.4, que justifiquem a imposição de penalidade mais grave que a sanção de impedimento de licitar e contratar, cuja duração observará o prazo previsto no art. 156, §5º, da Lei n.º 14.133, de 2021.</w:t>
      </w:r>
    </w:p>
    <w:p w14:paraId="485C9D0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12.9. A recusa injustificada do adjudicatário em assinar o contrato ou a ata de registro de preço, ou em aceitar ou retirar o instrumento equivalente no prazo estabelecido pela Administração, descrita no item 12.1.4, caracterizará o descumprimento total da obrigação assumida e o sujeitará às penalidades e à imediata perda da garantia de proposta em favor do órgão ou entidade promotora da licitação, nos termos do art. 45, §4º da IN SEGES/ME n.º 73, de 2022.</w:t>
      </w:r>
    </w:p>
    <w:p w14:paraId="240187F0"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9C8CCF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76C0435"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5EA5558"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12.13. O recurso e o pedido de reconsideração terão efeito suspensivo do ato ou da decisão recorrida até que sobrevenha decisão final da autoridade competente.</w:t>
      </w:r>
    </w:p>
    <w:p w14:paraId="69D906F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12.14. A aplicação das sanções previstas neste edital não exclui, em hipótese alguma, a obrigação de reparação integral dos danos causados.</w:t>
      </w:r>
    </w:p>
    <w:p w14:paraId="45EDA83F"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12.15. Para a garantia da ampla defesa e contraditório dos licitantes, as notificações serão enviadas eletronicamente para os endereços de e-mail informados na proposta comercial, bem como os cadastrados pela empresa no SICAF.</w:t>
      </w:r>
    </w:p>
    <w:p w14:paraId="495C434A"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12.15.1. Os endereços de e-mail informados na proposta comercial e/ou cadastrados no </w:t>
      </w:r>
      <w:proofErr w:type="spellStart"/>
      <w:r>
        <w:rPr>
          <w:rFonts w:ascii="Times New Roman" w:eastAsia="Times New Roman" w:hAnsi="Times New Roman" w:cs="Times New Roman"/>
          <w:sz w:val="24"/>
          <w:szCs w:val="24"/>
        </w:rPr>
        <w:t>Sicaf</w:t>
      </w:r>
      <w:proofErr w:type="spellEnd"/>
      <w:r>
        <w:rPr>
          <w:rFonts w:ascii="Times New Roman" w:eastAsia="Times New Roman" w:hAnsi="Times New Roman" w:cs="Times New Roman"/>
          <w:sz w:val="24"/>
          <w:szCs w:val="24"/>
        </w:rPr>
        <w:t xml:space="preserve"> serão considerados de uso contínuo da empresa, não cabendo alegação de desconhecimento das comunicações a eles comprovadamente enviadas.</w:t>
      </w:r>
    </w:p>
    <w:p w14:paraId="738E55E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36819D70" w14:textId="77777777" w:rsidR="00407009"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13. DA IMPUGNAÇÃO AO EDITAL E DO PEDIDO DE ESCLARECIMENTO</w:t>
      </w:r>
    </w:p>
    <w:p w14:paraId="25819F8A"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13.1. Qualquer pessoa é parte legítima para impugnar este Edital por irregularidade na aplicação da Lei nº 14.133, de 2021, devendo protocolar o pedido até 3 (três) dias úteis antes da data da abertura do certame.</w:t>
      </w:r>
    </w:p>
    <w:p w14:paraId="78D2406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132. A resposta à impugnação ou ao pedido de esclarecimento será divulgado em sítio eletrônico oficial no prazo de até 3 (três) dias úteis, limitado ao último dia útil anterior à data da abertura do certame.</w:t>
      </w:r>
    </w:p>
    <w:p w14:paraId="34FDB65D"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13.3. A impugnação e o pedido de esclarecimento poderão ser realizados por forma eletrônica pelo e-mail </w:t>
      </w:r>
      <w:hyperlink r:id="rId41">
        <w:r>
          <w:rPr>
            <w:rFonts w:ascii="Times New Roman" w:eastAsia="Times New Roman" w:hAnsi="Times New Roman" w:cs="Times New Roman"/>
            <w:color w:val="000080"/>
            <w:sz w:val="24"/>
            <w:szCs w:val="24"/>
            <w:u w:val="single"/>
          </w:rPr>
          <w:t>pregao@coren-rj.org.br</w:t>
        </w:r>
      </w:hyperlink>
      <w:r>
        <w:rPr>
          <w:rFonts w:ascii="Times New Roman" w:eastAsia="Times New Roman" w:hAnsi="Times New Roman" w:cs="Times New Roman"/>
          <w:sz w:val="24"/>
          <w:szCs w:val="24"/>
        </w:rPr>
        <w:t>, ou por petição dirigida ou protocolada no endereço Av. Presidente Vargas, 502, 4º Andar – Protocolo Geral.</w:t>
      </w:r>
    </w:p>
    <w:p w14:paraId="0449ECE0"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13.4. Caberá ao Pregoeiro, auxiliado pelos responsáveis pela elaboração deste Edital e seus anexos, decidir sobre a impugnação no prazo de até dois dias úteis contados da data de recebimento da impugnação.</w:t>
      </w:r>
    </w:p>
    <w:p w14:paraId="2310EDBF" w14:textId="77777777" w:rsidR="00407009" w:rsidRDefault="00000000">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13.5. Os pedidos de esclarecimentos referentes a este processo licitatório deverão ser enviados ao Pregoeiro, até 03 (três) dias úteis anteriores à data designada para abertura da sessão pública, exclusivamente por meio eletrônico via internet, no endereço indicado no Edital.</w:t>
      </w:r>
    </w:p>
    <w:p w14:paraId="5B7D7DD8" w14:textId="77777777" w:rsidR="00407009" w:rsidRDefault="00000000">
      <w:pPr>
        <w:tabs>
          <w:tab w:val="left" w:pos="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O pregoeiro responderá aos pedidos de esclarecimentos no prazo de dois dias úteis, contado da data de recebimento do pedido, e poderá requisitar subsídios formais aos responsáveis pela elaboração do edital e dos anexos.</w:t>
      </w:r>
    </w:p>
    <w:p w14:paraId="7851AFEA"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As impugnações e pedidos de esclarecimentos não suspendem os prazos previstos no certame.</w:t>
      </w:r>
    </w:p>
    <w:p w14:paraId="70D6AC26"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A concessão de efeito suspensivo à impugnação é medida excepcional e deverá ser motivada pelo Pregoeiro, nos autos do processo de licitação.</w:t>
      </w:r>
    </w:p>
    <w:p w14:paraId="76972FA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13.9. Acolhida a impugnação, será definida e publicada nova data para a realização do certame.</w:t>
      </w:r>
    </w:p>
    <w:p w14:paraId="210C11A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670D1FFB" w14:textId="77777777" w:rsidR="00407009"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14. DAS DISPOSIÇÕES GERAIS</w:t>
      </w:r>
    </w:p>
    <w:p w14:paraId="7D90DFDC"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 Será divulgada ata da sessão pública no sistema eletrônico.</w:t>
      </w:r>
    </w:p>
    <w:p w14:paraId="39E8E88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2DEC72"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14.3. Todas as referências de tempo no Edital, no aviso e durante a sessão pública observarão o horário de Brasília - DF.</w:t>
      </w:r>
    </w:p>
    <w:p w14:paraId="77D4A3FB" w14:textId="77777777" w:rsidR="00407009" w:rsidRDefault="00000000">
      <w:pPr>
        <w:tabs>
          <w:tab w:val="left" w:pos="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14.4.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3A3DAD5"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14.5. A homologação do resultado desta licitação não implicará direito à contratação.</w:t>
      </w:r>
    </w:p>
    <w:p w14:paraId="300EE09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14.6. As normas disciplinadoras da licitação serão sempre interpretadas em favor da ampliação da disputa entre os interessados, desde que não comprometam o interesse da Administração, o princípio da isonomia, a finalidade e a segurança da contratação.</w:t>
      </w:r>
    </w:p>
    <w:p w14:paraId="45CAD812"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14.7. Os licitantes assumem todos os custos de preparação e apresentação de suas propostas e a Administração não será, em nenhum caso, responsável por esses custos, independentemente da condução ou do resultado do processo licitatório.</w:t>
      </w:r>
    </w:p>
    <w:p w14:paraId="11D014D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14.8. Na contagem dos prazos estabelecidos neste Edital e seus Anexos, excluir-se-á o dia do início e incluir-se-á o do vencimento. Só se iniciam e vencem os prazos em dias de expediente na Administração.</w:t>
      </w:r>
    </w:p>
    <w:p w14:paraId="76BD3275"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14.9. O desatendimento de exigências formais não essenciais não importará o afastamento do licitante, desde que seja possível o aproveitamento do ato, observados os princípios da isonomia e do interesse público.</w:t>
      </w:r>
    </w:p>
    <w:p w14:paraId="534599FB"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14.10. Em caso de divergência entre disposições deste Edital e de seus anexos ou demais peças que compõem o processo, prevalecerá as deste Edital.</w:t>
      </w:r>
    </w:p>
    <w:p w14:paraId="3031062E"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14.11. O Edital e seus anexos estão disponíveis, na íntegra, no endereço eletrônico </w:t>
      </w:r>
      <w:hyperlink r:id="rId42">
        <w:r>
          <w:rPr>
            <w:rFonts w:ascii="Times New Roman" w:eastAsia="Times New Roman" w:hAnsi="Times New Roman" w:cs="Times New Roman"/>
            <w:color w:val="000080"/>
            <w:sz w:val="24"/>
            <w:szCs w:val="24"/>
            <w:u w:val="single"/>
          </w:rPr>
          <w:t>www.coren-rj.org.br</w:t>
        </w:r>
      </w:hyperlink>
      <w:r>
        <w:rPr>
          <w:rFonts w:ascii="Times New Roman" w:eastAsia="Times New Roman" w:hAnsi="Times New Roman" w:cs="Times New Roman"/>
          <w:sz w:val="24"/>
          <w:szCs w:val="24"/>
        </w:rPr>
        <w:t xml:space="preserve">, e também poderão ser lidos e/ou obtidos no endereço </w:t>
      </w:r>
      <w:hyperlink r:id="rId43">
        <w:r>
          <w:rPr>
            <w:rFonts w:ascii="Times New Roman" w:eastAsia="Times New Roman" w:hAnsi="Times New Roman" w:cs="Times New Roman"/>
            <w:color w:val="000080"/>
            <w:sz w:val="24"/>
            <w:szCs w:val="24"/>
            <w:u w:val="single"/>
          </w:rPr>
          <w:t>www.comprasgovernamentais.gov.br</w:t>
        </w:r>
      </w:hyperlink>
      <w:r>
        <w:rPr>
          <w:rFonts w:ascii="Times New Roman" w:eastAsia="Times New Roman" w:hAnsi="Times New Roman" w:cs="Times New Roman"/>
          <w:sz w:val="24"/>
          <w:szCs w:val="24"/>
        </w:rPr>
        <w:t xml:space="preserve">, no Portal Nacional de Contratações Públicas (PNCP) e pelo endereço de e-mail </w:t>
      </w:r>
      <w:hyperlink r:id="rId44">
        <w:r>
          <w:rPr>
            <w:rFonts w:ascii="Times New Roman" w:eastAsia="Times New Roman" w:hAnsi="Times New Roman" w:cs="Times New Roman"/>
            <w:color w:val="000080"/>
            <w:sz w:val="24"/>
            <w:szCs w:val="24"/>
            <w:u w:val="single"/>
          </w:rPr>
          <w:t>pregao@coren-</w:t>
        </w:r>
        <w:r>
          <w:rPr>
            <w:rFonts w:ascii="Times New Roman" w:eastAsia="Times New Roman" w:hAnsi="Times New Roman" w:cs="Times New Roman"/>
            <w:color w:val="000080"/>
            <w:sz w:val="24"/>
            <w:szCs w:val="24"/>
            <w:u w:val="single"/>
          </w:rPr>
          <w:lastRenderedPageBreak/>
          <w:t>rj.org.br</w:t>
        </w:r>
      </w:hyperlink>
      <w:r>
        <w:rPr>
          <w:rFonts w:ascii="Times New Roman" w:eastAsia="Times New Roman" w:hAnsi="Times New Roman" w:cs="Times New Roman"/>
          <w:sz w:val="24"/>
          <w:szCs w:val="24"/>
        </w:rPr>
        <w:t>, nos dias úteis, no horário das 08:00 horas às 16:59 horas, mesmo endereço e período no qual os autos do processo administrativo permanecerão com vista franqueada aos interessados.</w:t>
      </w:r>
    </w:p>
    <w:p w14:paraId="63C6DDF0"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14.12. Integram este Edital, para todos os fins e efeitos, os seguintes anexos:</w:t>
      </w:r>
    </w:p>
    <w:p w14:paraId="5F3D281D"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14.12.1. ANEXO I - Termo de Referência.</w:t>
      </w:r>
    </w:p>
    <w:p w14:paraId="4838B7E7"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14.12.2. ANEXO II - Mapa Comparativo de Preços</w:t>
      </w:r>
    </w:p>
    <w:p w14:paraId="42F3EAD1" w14:textId="77777777" w:rsidR="004070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14.12.2. ANEXO III - Minuta do Contrato</w:t>
      </w:r>
    </w:p>
    <w:p w14:paraId="22841BDC" w14:textId="77777777" w:rsidR="00407009" w:rsidRDefault="00407009">
      <w:pPr>
        <w:spacing w:line="276" w:lineRule="auto"/>
        <w:jc w:val="center"/>
        <w:rPr>
          <w:b/>
          <w:bCs/>
          <w:sz w:val="24"/>
          <w:szCs w:val="24"/>
        </w:rPr>
      </w:pPr>
    </w:p>
    <w:p w14:paraId="412D88C9" w14:textId="77777777" w:rsidR="00407009" w:rsidRDefault="00407009">
      <w:pPr>
        <w:spacing w:line="276" w:lineRule="auto"/>
        <w:jc w:val="center"/>
        <w:rPr>
          <w:b/>
          <w:bCs/>
          <w:sz w:val="24"/>
          <w:szCs w:val="24"/>
        </w:rPr>
      </w:pPr>
    </w:p>
    <w:p w14:paraId="0AE553E6" w14:textId="77777777" w:rsidR="00407009" w:rsidRDefault="00407009">
      <w:pPr>
        <w:spacing w:line="276" w:lineRule="auto"/>
        <w:jc w:val="center"/>
        <w:rPr>
          <w:b/>
          <w:bCs/>
          <w:sz w:val="24"/>
          <w:szCs w:val="24"/>
        </w:rPr>
      </w:pPr>
    </w:p>
    <w:p w14:paraId="1AD05FF8" w14:textId="77777777" w:rsidR="00407009" w:rsidRDefault="00407009">
      <w:pPr>
        <w:spacing w:line="276" w:lineRule="auto"/>
        <w:jc w:val="center"/>
        <w:rPr>
          <w:b/>
          <w:bCs/>
          <w:sz w:val="24"/>
          <w:szCs w:val="24"/>
        </w:rPr>
      </w:pPr>
    </w:p>
    <w:p w14:paraId="46FE7686" w14:textId="77777777" w:rsidR="00407009" w:rsidRDefault="00000000">
      <w:pPr>
        <w:tabs>
          <w:tab w:val="left" w:pos="0"/>
        </w:tab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Rio de Janeiro, 03 de junho de 2026.</w:t>
      </w:r>
    </w:p>
    <w:p w14:paraId="2B15CCD2" w14:textId="77777777" w:rsidR="00407009" w:rsidRDefault="00407009">
      <w:pPr>
        <w:tabs>
          <w:tab w:val="left" w:pos="0"/>
        </w:tabs>
        <w:spacing w:line="360" w:lineRule="auto"/>
        <w:jc w:val="center"/>
        <w:rPr>
          <w:rFonts w:ascii="Times New Roman" w:eastAsia="Times New Roman" w:hAnsi="Times New Roman" w:cs="Times New Roman"/>
          <w:sz w:val="24"/>
          <w:szCs w:val="24"/>
        </w:rPr>
      </w:pPr>
    </w:p>
    <w:p w14:paraId="7E5F5B78" w14:textId="77777777" w:rsidR="00407009" w:rsidRDefault="00000000">
      <w:pPr>
        <w:tabs>
          <w:tab w:val="left" w:pos="0"/>
        </w:tab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Ygor Ramos</w:t>
      </w:r>
    </w:p>
    <w:p w14:paraId="2B44F9DD" w14:textId="77777777" w:rsidR="00407009" w:rsidRDefault="00000000">
      <w:pPr>
        <w:spacing w:line="276" w:lineRule="auto"/>
        <w:jc w:val="center"/>
        <w:rPr>
          <w:b/>
          <w:bCs/>
          <w:sz w:val="24"/>
          <w:szCs w:val="24"/>
        </w:rPr>
      </w:pPr>
      <w:r>
        <w:rPr>
          <w:rFonts w:ascii="Times New Roman" w:eastAsia="Times New Roman" w:hAnsi="Times New Roman" w:cs="Times New Roman"/>
          <w:sz w:val="24"/>
          <w:szCs w:val="24"/>
        </w:rPr>
        <w:t>Agente de Contratação do Coren/RJ</w:t>
      </w:r>
    </w:p>
    <w:p w14:paraId="10326316" w14:textId="77777777" w:rsidR="00407009" w:rsidRDefault="00407009">
      <w:pPr>
        <w:spacing w:line="276" w:lineRule="auto"/>
        <w:jc w:val="center"/>
        <w:rPr>
          <w:b/>
          <w:bCs/>
          <w:sz w:val="24"/>
          <w:szCs w:val="24"/>
        </w:rPr>
      </w:pPr>
    </w:p>
    <w:p w14:paraId="781007A0" w14:textId="77777777" w:rsidR="00407009" w:rsidRDefault="00407009">
      <w:pPr>
        <w:spacing w:line="276" w:lineRule="auto"/>
        <w:jc w:val="center"/>
        <w:rPr>
          <w:b/>
          <w:bCs/>
          <w:sz w:val="24"/>
          <w:szCs w:val="24"/>
        </w:rPr>
      </w:pPr>
    </w:p>
    <w:p w14:paraId="1A016DA7" w14:textId="77777777" w:rsidR="00407009" w:rsidRDefault="00407009">
      <w:pPr>
        <w:spacing w:line="276" w:lineRule="auto"/>
        <w:jc w:val="center"/>
        <w:rPr>
          <w:b/>
          <w:bCs/>
          <w:sz w:val="24"/>
          <w:szCs w:val="24"/>
        </w:rPr>
      </w:pPr>
    </w:p>
    <w:p w14:paraId="43D86221" w14:textId="77777777" w:rsidR="00407009" w:rsidRDefault="00407009">
      <w:pPr>
        <w:spacing w:line="276" w:lineRule="auto"/>
        <w:jc w:val="center"/>
        <w:rPr>
          <w:b/>
          <w:bCs/>
          <w:sz w:val="24"/>
          <w:szCs w:val="24"/>
        </w:rPr>
      </w:pPr>
    </w:p>
    <w:p w14:paraId="5F396A3F" w14:textId="77777777" w:rsidR="00407009" w:rsidRDefault="00407009">
      <w:pPr>
        <w:spacing w:line="276" w:lineRule="auto"/>
        <w:jc w:val="center"/>
        <w:rPr>
          <w:b/>
          <w:bCs/>
          <w:sz w:val="24"/>
          <w:szCs w:val="24"/>
        </w:rPr>
      </w:pPr>
    </w:p>
    <w:p w14:paraId="38ADE00F" w14:textId="77777777" w:rsidR="00407009" w:rsidRDefault="00407009">
      <w:pPr>
        <w:spacing w:line="276" w:lineRule="auto"/>
        <w:jc w:val="center"/>
        <w:rPr>
          <w:b/>
          <w:bCs/>
          <w:sz w:val="24"/>
          <w:szCs w:val="24"/>
        </w:rPr>
      </w:pPr>
    </w:p>
    <w:p w14:paraId="01796BE1" w14:textId="77777777" w:rsidR="00407009" w:rsidRDefault="00407009">
      <w:pPr>
        <w:spacing w:line="276" w:lineRule="auto"/>
        <w:jc w:val="center"/>
        <w:rPr>
          <w:b/>
          <w:bCs/>
          <w:sz w:val="24"/>
          <w:szCs w:val="24"/>
        </w:rPr>
      </w:pPr>
    </w:p>
    <w:p w14:paraId="2A2C54B5" w14:textId="77777777" w:rsidR="00407009" w:rsidRDefault="00407009">
      <w:pPr>
        <w:spacing w:line="276" w:lineRule="auto"/>
        <w:jc w:val="center"/>
        <w:rPr>
          <w:b/>
          <w:bCs/>
          <w:sz w:val="24"/>
          <w:szCs w:val="24"/>
        </w:rPr>
      </w:pPr>
    </w:p>
    <w:p w14:paraId="01BA5F8D" w14:textId="77777777" w:rsidR="00407009" w:rsidRDefault="00407009">
      <w:pPr>
        <w:spacing w:line="276" w:lineRule="auto"/>
        <w:jc w:val="center"/>
        <w:rPr>
          <w:b/>
          <w:bCs/>
          <w:sz w:val="24"/>
          <w:szCs w:val="24"/>
        </w:rPr>
      </w:pPr>
    </w:p>
    <w:p w14:paraId="65F06140" w14:textId="77777777" w:rsidR="00407009" w:rsidRDefault="00407009">
      <w:pPr>
        <w:spacing w:line="276" w:lineRule="auto"/>
        <w:jc w:val="center"/>
        <w:rPr>
          <w:b/>
          <w:bCs/>
          <w:sz w:val="24"/>
          <w:szCs w:val="24"/>
        </w:rPr>
      </w:pPr>
    </w:p>
    <w:p w14:paraId="51CFBF36" w14:textId="77777777" w:rsidR="00407009" w:rsidRDefault="00000000">
      <w:pPr>
        <w:spacing w:line="276" w:lineRule="auto"/>
        <w:jc w:val="center"/>
        <w:rPr>
          <w:b/>
          <w:bCs/>
          <w:sz w:val="24"/>
          <w:szCs w:val="24"/>
        </w:rPr>
      </w:pPr>
      <w:r>
        <w:rPr>
          <w:b/>
          <w:bCs/>
          <w:sz w:val="24"/>
          <w:szCs w:val="24"/>
        </w:rPr>
        <w:t>ANEXO I DO EDITAL</w:t>
      </w:r>
    </w:p>
    <w:p w14:paraId="29E76372" w14:textId="77777777" w:rsidR="00407009" w:rsidRDefault="00407009">
      <w:pPr>
        <w:spacing w:line="276" w:lineRule="auto"/>
        <w:jc w:val="center"/>
        <w:rPr>
          <w:b/>
          <w:bCs/>
          <w:sz w:val="24"/>
          <w:szCs w:val="24"/>
        </w:rPr>
      </w:pPr>
    </w:p>
    <w:p w14:paraId="2CDEC450" w14:textId="77777777" w:rsidR="00407009" w:rsidRDefault="00000000">
      <w:pPr>
        <w:spacing w:line="276" w:lineRule="auto"/>
        <w:jc w:val="center"/>
        <w:rPr>
          <w:b/>
          <w:bCs/>
          <w:sz w:val="24"/>
          <w:szCs w:val="24"/>
        </w:rPr>
      </w:pPr>
      <w:r>
        <w:rPr>
          <w:b/>
          <w:bCs/>
          <w:sz w:val="24"/>
          <w:szCs w:val="24"/>
        </w:rPr>
        <w:t>TERMO DE REFERÊNCIA</w:t>
      </w:r>
    </w:p>
    <w:p w14:paraId="791DF7DE" w14:textId="77777777" w:rsidR="00407009" w:rsidRDefault="00000000">
      <w:pPr>
        <w:spacing w:line="276" w:lineRule="auto"/>
        <w:jc w:val="center"/>
        <w:rPr>
          <w:b/>
          <w:bCs/>
          <w:sz w:val="24"/>
          <w:szCs w:val="24"/>
        </w:rPr>
      </w:pPr>
      <w:r>
        <w:rPr>
          <w:b/>
          <w:bCs/>
          <w:sz w:val="24"/>
          <w:szCs w:val="24"/>
        </w:rPr>
        <w:t>Lei nº 14.133, de 1ª de abril de 2021</w:t>
      </w:r>
    </w:p>
    <w:p w14:paraId="0DBAF271" w14:textId="77777777" w:rsidR="00407009" w:rsidRDefault="00000000">
      <w:pPr>
        <w:spacing w:line="276" w:lineRule="auto"/>
        <w:jc w:val="center"/>
        <w:rPr>
          <w:b/>
          <w:bCs/>
          <w:sz w:val="24"/>
          <w:szCs w:val="24"/>
        </w:rPr>
      </w:pPr>
      <w:r>
        <w:rPr>
          <w:b/>
          <w:bCs/>
          <w:sz w:val="24"/>
          <w:szCs w:val="24"/>
        </w:rPr>
        <w:t>Serviços (exceto TIC)</w:t>
      </w:r>
    </w:p>
    <w:p w14:paraId="57F39704" w14:textId="77777777" w:rsidR="00407009" w:rsidRDefault="00000000">
      <w:pPr>
        <w:keepNext/>
        <w:keepLines/>
        <w:numPr>
          <w:ilvl w:val="0"/>
          <w:numId w:val="10"/>
        </w:numPr>
        <w:pBdr>
          <w:top w:val="nil"/>
          <w:left w:val="nil"/>
          <w:bottom w:val="nil"/>
          <w:right w:val="nil"/>
          <w:between w:val="nil"/>
        </w:pBdr>
        <w:spacing w:before="480" w:after="120" w:line="276" w:lineRule="auto"/>
        <w:jc w:val="both"/>
        <w:rPr>
          <w:b/>
          <w:bCs/>
          <w:color w:val="000000"/>
        </w:rPr>
      </w:pPr>
      <w:r>
        <w:rPr>
          <w:b/>
          <w:bCs/>
          <w:color w:val="000000"/>
        </w:rPr>
        <w:t>CONDIÇÕES GERAIS DA CONTRATAÇÃO</w:t>
      </w:r>
    </w:p>
    <w:p w14:paraId="36F5569C"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Contratação de empresa especializada na prestação de serviços de controle de pragas e vetores, compreendendo a execução de desinsetização, desratização, descupinização e controle de vetores e pragas nas unidades do Coren-RJ.</w:t>
      </w:r>
    </w:p>
    <w:p w14:paraId="7D08768F" w14:textId="77777777" w:rsidR="00407009" w:rsidRDefault="00407009">
      <w:pPr>
        <w:pBdr>
          <w:top w:val="nil"/>
          <w:left w:val="nil"/>
          <w:bottom w:val="nil"/>
          <w:right w:val="nil"/>
          <w:between w:val="nil"/>
        </w:pBdr>
        <w:ind w:left="716"/>
        <w:jc w:val="both"/>
        <w:rPr>
          <w:color w:val="000000"/>
        </w:rPr>
      </w:pPr>
    </w:p>
    <w:tbl>
      <w:tblPr>
        <w:tblStyle w:val="a3"/>
        <w:tblW w:w="102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2977"/>
        <w:gridCol w:w="1134"/>
        <w:gridCol w:w="1276"/>
        <w:gridCol w:w="1134"/>
        <w:gridCol w:w="1559"/>
        <w:gridCol w:w="1417"/>
      </w:tblGrid>
      <w:tr w:rsidR="00407009" w14:paraId="39B30509" w14:textId="77777777">
        <w:trPr>
          <w:trHeight w:val="509"/>
          <w:jc w:val="center"/>
        </w:trPr>
        <w:tc>
          <w:tcPr>
            <w:tcW w:w="704" w:type="dxa"/>
            <w:vAlign w:val="center"/>
          </w:tcPr>
          <w:p w14:paraId="48B94EA0" w14:textId="77777777" w:rsidR="00407009" w:rsidRDefault="00000000">
            <w:pPr>
              <w:widowControl w:val="0"/>
              <w:spacing w:line="276" w:lineRule="auto"/>
              <w:jc w:val="center"/>
              <w:rPr>
                <w:b/>
                <w:bCs/>
              </w:rPr>
            </w:pPr>
            <w:bookmarkStart w:id="17" w:name="_heading=h.y7o550ljnetm" w:colFirst="0" w:colLast="0"/>
            <w:bookmarkEnd w:id="17"/>
            <w:r>
              <w:rPr>
                <w:b/>
                <w:bCs/>
              </w:rPr>
              <w:t>ITEM</w:t>
            </w:r>
          </w:p>
          <w:p w14:paraId="080A2193" w14:textId="77777777" w:rsidR="00407009" w:rsidRDefault="00407009">
            <w:pPr>
              <w:widowControl w:val="0"/>
              <w:spacing w:line="276" w:lineRule="auto"/>
              <w:jc w:val="center"/>
              <w:rPr>
                <w:b/>
                <w:bCs/>
              </w:rPr>
            </w:pPr>
          </w:p>
        </w:tc>
        <w:tc>
          <w:tcPr>
            <w:tcW w:w="2977" w:type="dxa"/>
            <w:vAlign w:val="center"/>
          </w:tcPr>
          <w:p w14:paraId="07B6C8E4" w14:textId="77777777" w:rsidR="00407009" w:rsidRDefault="00000000">
            <w:pPr>
              <w:spacing w:line="276" w:lineRule="auto"/>
              <w:jc w:val="center"/>
              <w:rPr>
                <w:b/>
                <w:bCs/>
              </w:rPr>
            </w:pPr>
            <w:r>
              <w:rPr>
                <w:b/>
                <w:bCs/>
              </w:rPr>
              <w:t>DESCRIÇÃO/</w:t>
            </w:r>
          </w:p>
          <w:p w14:paraId="0A45870F" w14:textId="77777777" w:rsidR="00407009" w:rsidRDefault="00000000">
            <w:pPr>
              <w:widowControl w:val="0"/>
              <w:spacing w:line="276" w:lineRule="auto"/>
              <w:jc w:val="center"/>
            </w:pPr>
            <w:r>
              <w:rPr>
                <w:b/>
                <w:bCs/>
              </w:rPr>
              <w:t>ESPECIFICAÇÃO</w:t>
            </w:r>
          </w:p>
        </w:tc>
        <w:tc>
          <w:tcPr>
            <w:tcW w:w="1134" w:type="dxa"/>
            <w:vAlign w:val="center"/>
          </w:tcPr>
          <w:p w14:paraId="285AEEB7" w14:textId="77777777" w:rsidR="00407009" w:rsidRDefault="00000000">
            <w:pPr>
              <w:widowControl w:val="0"/>
              <w:spacing w:line="276" w:lineRule="auto"/>
              <w:jc w:val="center"/>
            </w:pPr>
            <w:r>
              <w:rPr>
                <w:b/>
                <w:bCs/>
              </w:rPr>
              <w:t>CATSER</w:t>
            </w:r>
          </w:p>
        </w:tc>
        <w:tc>
          <w:tcPr>
            <w:tcW w:w="1276" w:type="dxa"/>
            <w:vAlign w:val="center"/>
          </w:tcPr>
          <w:p w14:paraId="4384B906" w14:textId="77777777" w:rsidR="00407009" w:rsidRDefault="00000000">
            <w:pPr>
              <w:widowControl w:val="0"/>
              <w:spacing w:line="276" w:lineRule="auto"/>
              <w:jc w:val="center"/>
            </w:pPr>
            <w:r>
              <w:rPr>
                <w:b/>
                <w:bCs/>
              </w:rPr>
              <w:t>UNIDADE DE MEDIDA</w:t>
            </w:r>
          </w:p>
        </w:tc>
        <w:tc>
          <w:tcPr>
            <w:tcW w:w="1134" w:type="dxa"/>
            <w:vAlign w:val="center"/>
          </w:tcPr>
          <w:p w14:paraId="55BAED26" w14:textId="77777777" w:rsidR="00407009" w:rsidRDefault="00000000">
            <w:pPr>
              <w:widowControl w:val="0"/>
              <w:spacing w:line="276" w:lineRule="auto"/>
              <w:jc w:val="center"/>
            </w:pPr>
            <w:r>
              <w:rPr>
                <w:b/>
                <w:bCs/>
              </w:rPr>
              <w:t>QTD</w:t>
            </w:r>
          </w:p>
        </w:tc>
        <w:tc>
          <w:tcPr>
            <w:tcW w:w="1559" w:type="dxa"/>
          </w:tcPr>
          <w:p w14:paraId="7F28C010" w14:textId="77777777" w:rsidR="00407009" w:rsidRDefault="00000000">
            <w:pPr>
              <w:widowControl w:val="0"/>
              <w:spacing w:line="276" w:lineRule="auto"/>
              <w:jc w:val="center"/>
              <w:rPr>
                <w:b/>
                <w:bCs/>
              </w:rPr>
            </w:pPr>
            <w:r>
              <w:rPr>
                <w:b/>
                <w:bCs/>
              </w:rPr>
              <w:t>QTD APLICAÇÕES EM 24 MESES</w:t>
            </w:r>
          </w:p>
          <w:p w14:paraId="595D3047" w14:textId="77777777" w:rsidR="00407009" w:rsidRDefault="00000000">
            <w:pPr>
              <w:widowControl w:val="0"/>
              <w:spacing w:line="276" w:lineRule="auto"/>
              <w:jc w:val="center"/>
              <w:rPr>
                <w:b/>
                <w:bCs/>
              </w:rPr>
            </w:pPr>
            <w:r>
              <w:rPr>
                <w:b/>
                <w:bCs/>
              </w:rPr>
              <w:lastRenderedPageBreak/>
              <w:t>(trimestral)</w:t>
            </w:r>
          </w:p>
        </w:tc>
        <w:tc>
          <w:tcPr>
            <w:tcW w:w="1417" w:type="dxa"/>
            <w:vAlign w:val="center"/>
          </w:tcPr>
          <w:p w14:paraId="67120768" w14:textId="77777777" w:rsidR="00407009" w:rsidRDefault="00000000">
            <w:pPr>
              <w:widowControl w:val="0"/>
              <w:spacing w:line="276" w:lineRule="auto"/>
              <w:jc w:val="center"/>
              <w:rPr>
                <w:b/>
                <w:bCs/>
              </w:rPr>
            </w:pPr>
            <w:r>
              <w:rPr>
                <w:b/>
                <w:bCs/>
              </w:rPr>
              <w:lastRenderedPageBreak/>
              <w:t>QTD TOTAL</w:t>
            </w:r>
          </w:p>
        </w:tc>
      </w:tr>
      <w:tr w:rsidR="00407009" w14:paraId="57C85064" w14:textId="77777777">
        <w:trPr>
          <w:trHeight w:val="522"/>
          <w:jc w:val="center"/>
        </w:trPr>
        <w:tc>
          <w:tcPr>
            <w:tcW w:w="704" w:type="dxa"/>
            <w:vAlign w:val="center"/>
          </w:tcPr>
          <w:p w14:paraId="23D50576" w14:textId="77777777" w:rsidR="00407009" w:rsidRDefault="00000000">
            <w:pPr>
              <w:widowControl w:val="0"/>
              <w:spacing w:after="120" w:line="276" w:lineRule="auto"/>
              <w:jc w:val="center"/>
              <w:rPr>
                <w:b/>
                <w:bCs/>
              </w:rPr>
            </w:pPr>
            <w:r>
              <w:rPr>
                <w:b/>
                <w:bCs/>
              </w:rPr>
              <w:t>1</w:t>
            </w:r>
          </w:p>
        </w:tc>
        <w:tc>
          <w:tcPr>
            <w:tcW w:w="2977" w:type="dxa"/>
            <w:vAlign w:val="center"/>
          </w:tcPr>
          <w:p w14:paraId="3E3F3584" w14:textId="77777777" w:rsidR="00407009" w:rsidRDefault="00000000">
            <w:pPr>
              <w:widowControl w:val="0"/>
              <w:spacing w:after="120" w:line="276" w:lineRule="auto"/>
              <w:jc w:val="both"/>
            </w:pPr>
            <w:r>
              <w:t>Serviço de dedetização, consistindo em desinsetização, desratização, descupinização e controle de vetores e pragas, através do Manejo Integrado de Pragas definido neste Termo de Referência.</w:t>
            </w:r>
          </w:p>
        </w:tc>
        <w:tc>
          <w:tcPr>
            <w:tcW w:w="1134" w:type="dxa"/>
            <w:vAlign w:val="center"/>
          </w:tcPr>
          <w:p w14:paraId="19F4E4E5" w14:textId="77777777" w:rsidR="00407009" w:rsidRDefault="00000000">
            <w:pPr>
              <w:widowControl w:val="0"/>
              <w:spacing w:after="120" w:line="276" w:lineRule="auto"/>
              <w:jc w:val="center"/>
            </w:pPr>
            <w:r>
              <w:t>3417</w:t>
            </w:r>
          </w:p>
        </w:tc>
        <w:tc>
          <w:tcPr>
            <w:tcW w:w="1276" w:type="dxa"/>
            <w:vAlign w:val="center"/>
          </w:tcPr>
          <w:p w14:paraId="62FDD3CC" w14:textId="77777777" w:rsidR="00407009" w:rsidRDefault="00000000">
            <w:pPr>
              <w:widowControl w:val="0"/>
              <w:spacing w:after="120" w:line="276" w:lineRule="auto"/>
              <w:jc w:val="center"/>
            </w:pPr>
            <w:r>
              <w:t>m ²</w:t>
            </w:r>
          </w:p>
        </w:tc>
        <w:tc>
          <w:tcPr>
            <w:tcW w:w="1134" w:type="dxa"/>
            <w:vAlign w:val="center"/>
          </w:tcPr>
          <w:p w14:paraId="3EB31233" w14:textId="77777777" w:rsidR="00407009" w:rsidRDefault="00000000">
            <w:pPr>
              <w:widowControl w:val="0"/>
              <w:spacing w:after="120" w:line="276" w:lineRule="auto"/>
              <w:jc w:val="center"/>
            </w:pPr>
            <w:r>
              <w:t>3.377,66</w:t>
            </w:r>
          </w:p>
        </w:tc>
        <w:tc>
          <w:tcPr>
            <w:tcW w:w="1559" w:type="dxa"/>
            <w:vAlign w:val="center"/>
          </w:tcPr>
          <w:p w14:paraId="76CE073D" w14:textId="77777777" w:rsidR="00407009" w:rsidRDefault="00000000">
            <w:pPr>
              <w:widowControl w:val="0"/>
              <w:spacing w:after="120" w:line="276" w:lineRule="auto"/>
              <w:jc w:val="center"/>
            </w:pPr>
            <w:r>
              <w:t>8</w:t>
            </w:r>
          </w:p>
        </w:tc>
        <w:tc>
          <w:tcPr>
            <w:tcW w:w="1417" w:type="dxa"/>
            <w:vAlign w:val="center"/>
          </w:tcPr>
          <w:p w14:paraId="58F8B1C2" w14:textId="77777777" w:rsidR="00407009" w:rsidRDefault="00000000">
            <w:pPr>
              <w:widowControl w:val="0"/>
              <w:spacing w:after="120" w:line="276" w:lineRule="auto"/>
              <w:jc w:val="center"/>
            </w:pPr>
            <w:r>
              <w:t>27.021,28 m²</w:t>
            </w:r>
          </w:p>
        </w:tc>
      </w:tr>
    </w:tbl>
    <w:p w14:paraId="3AC10244" w14:textId="77777777" w:rsidR="00407009" w:rsidRDefault="00407009">
      <w:pPr>
        <w:spacing w:after="120" w:line="276" w:lineRule="auto"/>
        <w:ind w:left="709" w:hanging="425"/>
        <w:jc w:val="both"/>
        <w:rPr>
          <w:b/>
          <w:bCs/>
        </w:rPr>
      </w:pPr>
    </w:p>
    <w:p w14:paraId="1980C0CC" w14:textId="77777777" w:rsidR="00407009" w:rsidRDefault="00000000">
      <w:pPr>
        <w:numPr>
          <w:ilvl w:val="1"/>
          <w:numId w:val="10"/>
        </w:numPr>
        <w:pBdr>
          <w:top w:val="nil"/>
          <w:left w:val="nil"/>
          <w:bottom w:val="nil"/>
          <w:right w:val="nil"/>
          <w:between w:val="nil"/>
        </w:pBdr>
        <w:spacing w:line="276" w:lineRule="auto"/>
        <w:ind w:left="709" w:hanging="425"/>
        <w:jc w:val="both"/>
        <w:rPr>
          <w:color w:val="000000"/>
        </w:rPr>
      </w:pPr>
      <w:bookmarkStart w:id="18" w:name="_heading=h.5b5q6u84yzce" w:colFirst="0" w:colLast="0"/>
      <w:bookmarkEnd w:id="18"/>
      <w:r>
        <w:rPr>
          <w:color w:val="000000"/>
        </w:rPr>
        <w:t>Os serviços objeto desta contratação são caracterizados como comuns pois seus padrões de desempenho e qualidade podem ser objetivamente definidos em edital, por meio de especificações usuais do mercado.</w:t>
      </w:r>
    </w:p>
    <w:p w14:paraId="7B7120A2" w14:textId="77777777" w:rsidR="00407009" w:rsidRDefault="00407009">
      <w:pPr>
        <w:spacing w:line="276" w:lineRule="auto"/>
        <w:ind w:left="709" w:hanging="425"/>
        <w:jc w:val="both"/>
        <w:rPr>
          <w:b/>
          <w:bCs/>
        </w:rPr>
      </w:pPr>
    </w:p>
    <w:p w14:paraId="3DFDCE7A" w14:textId="77777777" w:rsidR="00407009" w:rsidRDefault="00000000">
      <w:pPr>
        <w:numPr>
          <w:ilvl w:val="1"/>
          <w:numId w:val="10"/>
        </w:numPr>
        <w:pBdr>
          <w:top w:val="nil"/>
          <w:left w:val="nil"/>
          <w:bottom w:val="nil"/>
          <w:right w:val="nil"/>
          <w:between w:val="nil"/>
        </w:pBdr>
        <w:spacing w:line="276" w:lineRule="auto"/>
        <w:ind w:left="709" w:hanging="425"/>
        <w:jc w:val="both"/>
        <w:rPr>
          <w:color w:val="000000"/>
        </w:rPr>
      </w:pPr>
      <w:bookmarkStart w:id="19" w:name="_heading=h.r8uo2hxyixij" w:colFirst="0" w:colLast="0"/>
      <w:bookmarkEnd w:id="19"/>
      <w:r>
        <w:rPr>
          <w:color w:val="000000"/>
        </w:rPr>
        <w:t>O prazo de vigência da contratação é de 24 (vinte e quatro) meses contados do primeiro dia útil da assinatura do contrato, prorrogáveis por até 10 (dez) anos, na forma do artigo 105, 106 e 107 da Lei nº 14.133/2021.</w:t>
      </w:r>
    </w:p>
    <w:p w14:paraId="4CE70040" w14:textId="77777777" w:rsidR="00407009" w:rsidRDefault="00000000">
      <w:pPr>
        <w:keepNext/>
        <w:keepLines/>
        <w:numPr>
          <w:ilvl w:val="0"/>
          <w:numId w:val="10"/>
        </w:numPr>
        <w:pBdr>
          <w:top w:val="nil"/>
          <w:left w:val="nil"/>
          <w:bottom w:val="nil"/>
          <w:right w:val="nil"/>
          <w:between w:val="nil"/>
        </w:pBdr>
        <w:spacing w:before="480" w:after="120" w:line="276" w:lineRule="auto"/>
        <w:jc w:val="both"/>
        <w:rPr>
          <w:b/>
          <w:bCs/>
          <w:color w:val="000000"/>
        </w:rPr>
      </w:pPr>
      <w:r>
        <w:rPr>
          <w:b/>
          <w:bCs/>
          <w:color w:val="000000"/>
        </w:rPr>
        <w:t>FUNDAMENTAÇÃO E DESCRIÇÃO DA NECESSIDADE DA CONTRATAÇÃO</w:t>
      </w:r>
    </w:p>
    <w:p w14:paraId="55018099" w14:textId="77777777" w:rsidR="00407009" w:rsidRDefault="00000000">
      <w:pPr>
        <w:numPr>
          <w:ilvl w:val="1"/>
          <w:numId w:val="10"/>
        </w:numPr>
        <w:spacing w:line="276" w:lineRule="auto"/>
        <w:jc w:val="both"/>
      </w:pPr>
      <w:bookmarkStart w:id="20" w:name="_heading=h.4ft2mzil1els" w:colFirst="0" w:colLast="0"/>
      <w:bookmarkEnd w:id="20"/>
      <w:r>
        <w:t>O Conselho Regional de Enfermagem do Rio de Janeiro – Coren-RJ, no exercício de suas competências institucionais estabelecidas pela Lei nº 5.905/1973, deve assegurar a adequada manutenção das condições de salubridade, higiene e segurança em todas as suas unidades administrativas e operacionais, de modo a garantir ambiente compatível com a prestação de serviços públicos de qualidade e a preservação da saúde de seus colaboradores, conselheiros e usuários.</w:t>
      </w:r>
    </w:p>
    <w:p w14:paraId="35AF5642" w14:textId="77777777" w:rsidR="00407009" w:rsidRDefault="00000000">
      <w:pPr>
        <w:numPr>
          <w:ilvl w:val="1"/>
          <w:numId w:val="10"/>
        </w:numPr>
        <w:spacing w:line="276" w:lineRule="auto"/>
        <w:jc w:val="both"/>
      </w:pPr>
      <w:r>
        <w:t>A incidência de pragas urbanas — tais como insetos rasteiros e voadores, roedores e cupins — configura fator de risco relevante, tanto sob o aspecto sanitário quanto estrutural, podendo ocasionar a disseminação de agentes patogênicos, comprometimento das condições ambientais de trabalho e danos ao patrimônio público, notadamente em edificações, instalações e acervos documentais de valor institucional.</w:t>
      </w:r>
    </w:p>
    <w:p w14:paraId="228CF24D" w14:textId="77777777" w:rsidR="00407009" w:rsidRDefault="00000000">
      <w:pPr>
        <w:numPr>
          <w:ilvl w:val="1"/>
          <w:numId w:val="10"/>
        </w:numPr>
        <w:spacing w:line="276" w:lineRule="auto"/>
        <w:jc w:val="both"/>
      </w:pPr>
      <w:r>
        <w:t>Nesse contexto, evidencia-se a necessidade de adoção de medidas preventivas e corretivas contínuas, por meio da contratação de empresa especializada na prestação de serviços de controle integrado de pragas urbanas, compreendendo desinsetização, desratização, descupinização e controle de pragas e vetores. Tais serviços deverão ser executados de forma sistemática, planejada e em conformidade com a legislação sanitária e ambiental vigente, bem como com as melhores práticas técnicas aplicáveis, de modo a assegurar a eliminação e o controle eficaz de focos de infestação, mitigando riscos à saúde pública e garantindo a integridade das instalações e bens patrimoniais do COREN-RJ.</w:t>
      </w:r>
    </w:p>
    <w:p w14:paraId="14384306" w14:textId="77777777" w:rsidR="00407009" w:rsidRDefault="00000000">
      <w:pPr>
        <w:numPr>
          <w:ilvl w:val="1"/>
          <w:numId w:val="10"/>
        </w:numPr>
        <w:spacing w:line="276" w:lineRule="auto"/>
        <w:jc w:val="both"/>
      </w:pPr>
      <w:r>
        <w:t>Em atendimento ao princípio da padronização, conforme Catálogo Eletrônico de Padronização de Compras do PNCP, não consta nenhum modelo padronizado para serviços. Sendo assim, embora o objeto deste PAD não esteja padronizado pelo catálogo, foram consideradas as Minutas Padrão da AGU em sua confecção.</w:t>
      </w:r>
    </w:p>
    <w:p w14:paraId="4D7008DB" w14:textId="77777777" w:rsidR="00407009" w:rsidRDefault="00000000">
      <w:pPr>
        <w:numPr>
          <w:ilvl w:val="1"/>
          <w:numId w:val="10"/>
        </w:numPr>
        <w:spacing w:line="276" w:lineRule="auto"/>
        <w:jc w:val="both"/>
      </w:pPr>
      <w:r>
        <w:t xml:space="preserve">O objeto da contratação está previsto PPA 2025-2027, no Objetivo Estratégico 20 Manter e aperfeiçoar a infraestrutura física do COREN-RJ, IE 89 Manter o funcionamento da Autarquia - Serviços. </w:t>
      </w:r>
    </w:p>
    <w:p w14:paraId="5E10A4EE" w14:textId="77777777" w:rsidR="00407009" w:rsidRDefault="00000000">
      <w:pPr>
        <w:numPr>
          <w:ilvl w:val="1"/>
          <w:numId w:val="10"/>
        </w:numPr>
        <w:spacing w:line="276" w:lineRule="auto"/>
        <w:jc w:val="both"/>
      </w:pPr>
      <w:r>
        <w:t>O objeto da contratação também está previsto no Plano de Contratações Anual 2026, conforme detalhamento a seguir:</w:t>
      </w:r>
    </w:p>
    <w:p w14:paraId="3F942377" w14:textId="77777777" w:rsidR="00407009" w:rsidRDefault="00000000">
      <w:pPr>
        <w:keepNext/>
        <w:keepLines/>
        <w:numPr>
          <w:ilvl w:val="2"/>
          <w:numId w:val="10"/>
        </w:numPr>
        <w:pBdr>
          <w:top w:val="nil"/>
          <w:left w:val="nil"/>
          <w:bottom w:val="nil"/>
          <w:right w:val="nil"/>
          <w:between w:val="nil"/>
        </w:pBdr>
        <w:spacing w:line="276" w:lineRule="auto"/>
        <w:jc w:val="both"/>
        <w:rPr>
          <w:color w:val="000000"/>
        </w:rPr>
      </w:pPr>
      <w:r>
        <w:rPr>
          <w:color w:val="000000"/>
        </w:rPr>
        <w:lastRenderedPageBreak/>
        <w:t>ID PCA no PNCP: 27149095000166-0-000001/2026;</w:t>
      </w:r>
    </w:p>
    <w:p w14:paraId="31216060" w14:textId="77777777" w:rsidR="00407009" w:rsidRDefault="00000000">
      <w:pPr>
        <w:keepNext/>
        <w:keepLines/>
        <w:numPr>
          <w:ilvl w:val="2"/>
          <w:numId w:val="10"/>
        </w:numPr>
        <w:pBdr>
          <w:top w:val="nil"/>
          <w:left w:val="nil"/>
          <w:bottom w:val="nil"/>
          <w:right w:val="nil"/>
          <w:between w:val="nil"/>
        </w:pBdr>
        <w:spacing w:line="276" w:lineRule="auto"/>
        <w:jc w:val="both"/>
        <w:rPr>
          <w:color w:val="000000"/>
        </w:rPr>
      </w:pPr>
      <w:r>
        <w:rPr>
          <w:color w:val="000000"/>
        </w:rPr>
        <w:t>Data de publicação no PNCP: 09/05/2025;</w:t>
      </w:r>
    </w:p>
    <w:p w14:paraId="687B1C0A" w14:textId="77777777" w:rsidR="00407009" w:rsidRDefault="00000000">
      <w:pPr>
        <w:keepNext/>
        <w:keepLines/>
        <w:numPr>
          <w:ilvl w:val="2"/>
          <w:numId w:val="10"/>
        </w:numPr>
        <w:pBdr>
          <w:top w:val="nil"/>
          <w:left w:val="nil"/>
          <w:bottom w:val="nil"/>
          <w:right w:val="nil"/>
          <w:between w:val="nil"/>
        </w:pBdr>
        <w:spacing w:line="276" w:lineRule="auto"/>
        <w:jc w:val="both"/>
        <w:rPr>
          <w:color w:val="000000"/>
        </w:rPr>
      </w:pPr>
      <w:r>
        <w:rPr>
          <w:color w:val="000000"/>
        </w:rPr>
        <w:t>Id do item no PCA: 170;</w:t>
      </w:r>
    </w:p>
    <w:p w14:paraId="55EF8B51" w14:textId="77777777" w:rsidR="00407009" w:rsidRDefault="00000000">
      <w:pPr>
        <w:keepNext/>
        <w:keepLines/>
        <w:numPr>
          <w:ilvl w:val="2"/>
          <w:numId w:val="10"/>
        </w:numPr>
        <w:pBdr>
          <w:top w:val="nil"/>
          <w:left w:val="nil"/>
          <w:bottom w:val="nil"/>
          <w:right w:val="nil"/>
          <w:between w:val="nil"/>
        </w:pBdr>
        <w:spacing w:line="276" w:lineRule="auto"/>
        <w:jc w:val="both"/>
        <w:rPr>
          <w:color w:val="000000"/>
        </w:rPr>
      </w:pPr>
      <w:r>
        <w:rPr>
          <w:color w:val="000000"/>
        </w:rPr>
        <w:t>Classe/Grupo: 943;</w:t>
      </w:r>
    </w:p>
    <w:p w14:paraId="61C07A8A" w14:textId="77777777" w:rsidR="00407009" w:rsidRDefault="00000000">
      <w:pPr>
        <w:keepNext/>
        <w:keepLines/>
        <w:numPr>
          <w:ilvl w:val="2"/>
          <w:numId w:val="10"/>
        </w:numPr>
        <w:pBdr>
          <w:top w:val="nil"/>
          <w:left w:val="nil"/>
          <w:bottom w:val="nil"/>
          <w:right w:val="nil"/>
          <w:between w:val="nil"/>
        </w:pBdr>
        <w:spacing w:line="276" w:lineRule="auto"/>
        <w:jc w:val="both"/>
        <w:rPr>
          <w:color w:val="000000"/>
        </w:rPr>
      </w:pPr>
      <w:r>
        <w:rPr>
          <w:color w:val="000000"/>
        </w:rPr>
        <w:t>Identificador da Futura Contratação: 389337-232/2026.</w:t>
      </w:r>
    </w:p>
    <w:p w14:paraId="3029F15A" w14:textId="77777777" w:rsidR="00407009" w:rsidRDefault="00000000">
      <w:pPr>
        <w:keepNext/>
        <w:keepLines/>
        <w:numPr>
          <w:ilvl w:val="0"/>
          <w:numId w:val="10"/>
        </w:numPr>
        <w:pBdr>
          <w:top w:val="nil"/>
          <w:left w:val="nil"/>
          <w:bottom w:val="nil"/>
          <w:right w:val="nil"/>
          <w:between w:val="nil"/>
        </w:pBdr>
        <w:spacing w:before="480" w:after="120" w:line="276" w:lineRule="auto"/>
        <w:jc w:val="both"/>
        <w:rPr>
          <w:b/>
          <w:bCs/>
          <w:color w:val="000000"/>
        </w:rPr>
      </w:pPr>
      <w:r>
        <w:rPr>
          <w:b/>
          <w:bCs/>
          <w:color w:val="000000"/>
        </w:rPr>
        <w:t>DESCRIÇÃO DA SOLUÇÃO COMO UM TODO CONSIDERADO O CICLO DE VIDA DO OBJETO</w:t>
      </w:r>
    </w:p>
    <w:p w14:paraId="541CCEC7" w14:textId="77777777" w:rsidR="00407009" w:rsidRDefault="00000000">
      <w:pPr>
        <w:numPr>
          <w:ilvl w:val="1"/>
          <w:numId w:val="10"/>
        </w:numPr>
        <w:pBdr>
          <w:top w:val="nil"/>
          <w:left w:val="nil"/>
          <w:bottom w:val="nil"/>
          <w:right w:val="nil"/>
          <w:between w:val="nil"/>
        </w:pBdr>
        <w:spacing w:after="120" w:line="276" w:lineRule="auto"/>
        <w:jc w:val="both"/>
      </w:pPr>
      <w:bookmarkStart w:id="21" w:name="_heading=h.1aec6bm6ml8b" w:colFirst="0" w:colLast="0"/>
      <w:bookmarkEnd w:id="21"/>
      <w:r>
        <w:rPr>
          <w:color w:val="000000"/>
        </w:rPr>
        <w:t>A solução proposta consiste na contratação de empresa especializada na prestação de serviços continuados de controle integrado de pragas urbanas, compreendendo desinsetização, desratização, descupinização e controle de pragas e vetores, através do Manejo Integrado de Pragas, a serem executados nas unidades do Conselho Regional de Enfermagem do Rio de Janeiro – Coren-RJ.</w:t>
      </w:r>
    </w:p>
    <w:p w14:paraId="70359443"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A execução dos serviços deverá ocorrer de forma sistemática, por meio de cronograma periódico previamente definido, aliado à realização de intervenções corretivas sob demanda, sempre que identificada a necessidade de atuação emergencial, garantindo a manutenção contínua das condições adequadas de salubridade, higiene e segurança dos ambientes institucionais.</w:t>
      </w:r>
    </w:p>
    <w:p w14:paraId="5285C4BA"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A solução contempla todas as etapas do ciclo de vida do serviço, incluindo:</w:t>
      </w:r>
    </w:p>
    <w:p w14:paraId="70D8ED1B" w14:textId="77777777" w:rsidR="00407009" w:rsidRDefault="00000000">
      <w:pPr>
        <w:numPr>
          <w:ilvl w:val="0"/>
          <w:numId w:val="1"/>
        </w:numPr>
        <w:pBdr>
          <w:top w:val="nil"/>
          <w:left w:val="nil"/>
          <w:bottom w:val="nil"/>
          <w:right w:val="nil"/>
          <w:between w:val="nil"/>
        </w:pBdr>
        <w:spacing w:line="276" w:lineRule="auto"/>
        <w:jc w:val="both"/>
        <w:rPr>
          <w:color w:val="000000"/>
        </w:rPr>
      </w:pPr>
      <w:r>
        <w:rPr>
          <w:b/>
          <w:bCs/>
          <w:color w:val="000000"/>
        </w:rPr>
        <w:t>Diagnóstico inicial:</w:t>
      </w:r>
      <w:r>
        <w:rPr>
          <w:color w:val="000000"/>
        </w:rPr>
        <w:t xml:space="preserve"> realização de inspeção técnica detalhada para identificação de focos de infestação, avaliação das condições ambientais e definição das estratégias de controle mais adequadas;</w:t>
      </w:r>
    </w:p>
    <w:p w14:paraId="4D0D2755" w14:textId="77777777" w:rsidR="00407009" w:rsidRDefault="00000000">
      <w:pPr>
        <w:numPr>
          <w:ilvl w:val="0"/>
          <w:numId w:val="1"/>
        </w:numPr>
        <w:pBdr>
          <w:top w:val="nil"/>
          <w:left w:val="nil"/>
          <w:bottom w:val="nil"/>
          <w:right w:val="nil"/>
          <w:between w:val="nil"/>
        </w:pBdr>
        <w:spacing w:line="276" w:lineRule="auto"/>
        <w:jc w:val="both"/>
        <w:rPr>
          <w:color w:val="000000"/>
        </w:rPr>
      </w:pPr>
      <w:r>
        <w:rPr>
          <w:b/>
          <w:bCs/>
          <w:color w:val="000000"/>
        </w:rPr>
        <w:t>Planejamento operacional:</w:t>
      </w:r>
      <w:r>
        <w:rPr>
          <w:color w:val="000000"/>
        </w:rPr>
        <w:t xml:space="preserve"> elaboração de plano de ação contendo cronograma de execução, periodicidade das aplicações, definição de métodos e produtos a serem utilizados, em conformidade com as normas sanitárias e ambientais;</w:t>
      </w:r>
    </w:p>
    <w:p w14:paraId="0CAAD1E8" w14:textId="77777777" w:rsidR="00407009" w:rsidRDefault="00000000">
      <w:pPr>
        <w:numPr>
          <w:ilvl w:val="0"/>
          <w:numId w:val="1"/>
        </w:numPr>
        <w:pBdr>
          <w:top w:val="nil"/>
          <w:left w:val="nil"/>
          <w:bottom w:val="nil"/>
          <w:right w:val="nil"/>
          <w:between w:val="nil"/>
        </w:pBdr>
        <w:spacing w:line="276" w:lineRule="auto"/>
        <w:jc w:val="both"/>
        <w:rPr>
          <w:color w:val="000000"/>
        </w:rPr>
      </w:pPr>
      <w:r>
        <w:rPr>
          <w:b/>
          <w:bCs/>
          <w:color w:val="000000"/>
        </w:rPr>
        <w:t>Execução dos serviços:</w:t>
      </w:r>
      <w:r>
        <w:rPr>
          <w:color w:val="000000"/>
        </w:rPr>
        <w:t xml:space="preserve"> aplicação de técnicas e produtos específicos para controle de insetos rasteiros e voadores, roedores e cupins, com observância às boas práticas de segurança, saúde ocupacional e preservação ambiental;</w:t>
      </w:r>
    </w:p>
    <w:p w14:paraId="10436596" w14:textId="77777777" w:rsidR="00407009" w:rsidRDefault="00000000">
      <w:pPr>
        <w:numPr>
          <w:ilvl w:val="0"/>
          <w:numId w:val="1"/>
        </w:numPr>
        <w:pBdr>
          <w:top w:val="nil"/>
          <w:left w:val="nil"/>
          <w:bottom w:val="nil"/>
          <w:right w:val="nil"/>
          <w:between w:val="nil"/>
        </w:pBdr>
        <w:spacing w:line="276" w:lineRule="auto"/>
        <w:jc w:val="both"/>
        <w:rPr>
          <w:color w:val="000000"/>
        </w:rPr>
      </w:pPr>
      <w:r>
        <w:rPr>
          <w:b/>
          <w:bCs/>
          <w:color w:val="000000"/>
        </w:rPr>
        <w:t>Monitoramento e controle:</w:t>
      </w:r>
      <w:r>
        <w:rPr>
          <w:color w:val="000000"/>
        </w:rPr>
        <w:t xml:space="preserve"> acompanhamento contínuo da eficácia das ações implementadas, com reavaliações periódicas e ajustes das estratégias sempre que necessário;</w:t>
      </w:r>
    </w:p>
    <w:p w14:paraId="049CD6BB" w14:textId="77777777" w:rsidR="00407009" w:rsidRDefault="00000000">
      <w:pPr>
        <w:numPr>
          <w:ilvl w:val="0"/>
          <w:numId w:val="1"/>
        </w:numPr>
        <w:pBdr>
          <w:top w:val="nil"/>
          <w:left w:val="nil"/>
          <w:bottom w:val="nil"/>
          <w:right w:val="nil"/>
          <w:between w:val="nil"/>
        </w:pBdr>
        <w:spacing w:line="276" w:lineRule="auto"/>
        <w:jc w:val="both"/>
        <w:rPr>
          <w:color w:val="000000"/>
        </w:rPr>
      </w:pPr>
      <w:r>
        <w:rPr>
          <w:b/>
          <w:bCs/>
          <w:color w:val="000000"/>
        </w:rPr>
        <w:t>Atendimento emergencial:</w:t>
      </w:r>
      <w:r>
        <w:rPr>
          <w:color w:val="000000"/>
        </w:rPr>
        <w:t xml:space="preserve"> disponibilização de equipe técnica para intervenções corretivas em caráter imediato, nos casos de surgimento ou agravamento de infestação, devendo ocorrer em até 24 (vinte e quatro) horas;</w:t>
      </w:r>
    </w:p>
    <w:p w14:paraId="0FE66FFF" w14:textId="77777777" w:rsidR="00407009" w:rsidRDefault="00000000">
      <w:pPr>
        <w:numPr>
          <w:ilvl w:val="0"/>
          <w:numId w:val="1"/>
        </w:numPr>
        <w:pBdr>
          <w:top w:val="nil"/>
          <w:left w:val="nil"/>
          <w:bottom w:val="nil"/>
          <w:right w:val="nil"/>
          <w:between w:val="nil"/>
        </w:pBdr>
        <w:spacing w:line="276" w:lineRule="auto"/>
        <w:jc w:val="both"/>
        <w:rPr>
          <w:color w:val="000000"/>
        </w:rPr>
      </w:pPr>
      <w:r>
        <w:rPr>
          <w:b/>
          <w:bCs/>
          <w:color w:val="000000"/>
        </w:rPr>
        <w:t>Registro e rastreabilidade:</w:t>
      </w:r>
      <w:r>
        <w:rPr>
          <w:color w:val="000000"/>
        </w:rPr>
        <w:t xml:space="preserve"> emissão de relatórios técnicos após cada intervenção, assegurando a rastreabilidade das ações executadas, produtos aplicados e resultados obtidos.</w:t>
      </w:r>
    </w:p>
    <w:p w14:paraId="1663359F" w14:textId="77777777" w:rsidR="00407009" w:rsidRDefault="00407009">
      <w:pPr>
        <w:pBdr>
          <w:top w:val="nil"/>
          <w:left w:val="nil"/>
          <w:bottom w:val="nil"/>
          <w:right w:val="nil"/>
          <w:between w:val="nil"/>
        </w:pBdr>
        <w:spacing w:line="276" w:lineRule="auto"/>
        <w:jc w:val="both"/>
      </w:pPr>
    </w:p>
    <w:p w14:paraId="770CE023"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Os serviços deverão ser executados por profissionais devidamente qualificados, sob a supervisão de responsável técnico legalmente habilitado, mediante utilização de produtos regularizados junto à Agência Nacional de Vigilância Sanitária – ANVISA, observando-se rigorosamente a legislação sanitária, ambiental e de segurança do trabalho aplicável.</w:t>
      </w:r>
    </w:p>
    <w:p w14:paraId="43FF9494" w14:textId="77777777" w:rsidR="00407009" w:rsidRDefault="00407009">
      <w:pPr>
        <w:pBdr>
          <w:top w:val="nil"/>
          <w:left w:val="nil"/>
          <w:bottom w:val="nil"/>
          <w:right w:val="nil"/>
          <w:between w:val="nil"/>
        </w:pBdr>
        <w:spacing w:line="276" w:lineRule="auto"/>
        <w:jc w:val="both"/>
      </w:pPr>
    </w:p>
    <w:p w14:paraId="3EF3C0F7"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A execução dos serviços deverá contemplar práticas de sustentabilidade, com adoção prioritária de métodos de controle integrado de pragas, visando à redução do uso indiscriminado de agentes químicos, bem como ao adequado manejo, acondicionamento e destinação final dos resíduos gerados.</w:t>
      </w:r>
    </w:p>
    <w:p w14:paraId="283E9D59" w14:textId="77777777" w:rsidR="00407009" w:rsidRDefault="00407009">
      <w:pPr>
        <w:pBdr>
          <w:top w:val="nil"/>
          <w:left w:val="nil"/>
          <w:bottom w:val="nil"/>
          <w:right w:val="nil"/>
          <w:between w:val="nil"/>
        </w:pBdr>
        <w:spacing w:line="276" w:lineRule="auto"/>
        <w:jc w:val="both"/>
      </w:pPr>
    </w:p>
    <w:p w14:paraId="05271C1A"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A contratação deverá prever mecanismos de garantia da qualidade dos serviços, incluindo definição de prazos de garantia, critérios objetivos de desempenho e a obrigatoriedade de reaplicação, sem ônus adicional para a contratante, nos casos de ineficácia ou reincidência de pragas, de modo a assegurar a efetividade da solução durante toda a vigência contratual.</w:t>
      </w:r>
    </w:p>
    <w:p w14:paraId="486DD0D6"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lastRenderedPageBreak/>
        <w:t>A contratada deverá apresentar, previamente à execução dos serviços, a descrição detalhada dos produtos a serem utilizados, acompanhada de comprovação de registro do fabricante no Cadastro Técnico Federal – CTF, bem como do respectivo Certificado de Regularidade junto ao órgão ambiental competente.</w:t>
      </w:r>
    </w:p>
    <w:p w14:paraId="37F16ED8"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Os saneantes domissanitários/</w:t>
      </w:r>
      <w:r>
        <w:t>desinfetantes</w:t>
      </w:r>
      <w:r>
        <w:rPr>
          <w:color w:val="000000"/>
        </w:rPr>
        <w:t xml:space="preserve"> utilizados deverão estar devidamente registrados na ANVISA, em conformidade com a legislação vigente, incluindo a Lei nº 6.360/1976, o Decreto nº 8.077/2013, a RDC ANVISA nº 622/2022, bem como a legislação estadual aplicável, especialmente a Lei nº 7.806/2017.</w:t>
      </w:r>
    </w:p>
    <w:p w14:paraId="44362AC9"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A contratada deverá providenciar o retorno das embalagens vazias ao seu estabelecimento operacional imediatamente após sua utilização, para fins de armazenamento temporário, inutilização e posterior destinação ambientalmente adequada.</w:t>
      </w:r>
    </w:p>
    <w:p w14:paraId="6D144472"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 xml:space="preserve">O destino final das embalagens de produtos saneantes </w:t>
      </w:r>
      <w:proofErr w:type="spellStart"/>
      <w:r>
        <w:rPr>
          <w:color w:val="000000"/>
        </w:rPr>
        <w:t>desinfestantes</w:t>
      </w:r>
      <w:proofErr w:type="spellEnd"/>
      <w:r>
        <w:rPr>
          <w:color w:val="000000"/>
        </w:rPr>
        <w:t xml:space="preserve"> de uso restrito é de responsabilidade do fabricante, distribuidor ou importador, nos termos da legislação vigente.</w:t>
      </w:r>
    </w:p>
    <w:p w14:paraId="3D92CB0A"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A contratada deverá devolver as embalagens no prazo máximo de 1 (um) ano, contado da data de aquisição dos produtos, aos estabelecimentos comerciais onde foram adquiridas ou a postos/centrais de recebimento devidamente licenciados.</w:t>
      </w:r>
    </w:p>
    <w:p w14:paraId="438421C3"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Na hipótese de não devolução no prazo estabelecido, a responsabilidade pela destinação final das embalagens será transferida à contratada, que deverá manter os respectivos comprovantes de destinação ambientalmente adequada.</w:t>
      </w:r>
    </w:p>
    <w:p w14:paraId="3F101B98"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O estabelecimento receptor das embalagens deverá fornecer à contratada, documento comprobatório de recebimento, o qual deverá ser mantido para fins de fiscalização.</w:t>
      </w:r>
    </w:p>
    <w:p w14:paraId="67FF6351"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As embalagens laváveis deverão ser submetidas à tríplice lavagem, devendo a água resultante ser utilizada no preparo da calda ou tratada conforme orientações do fabricante e da legislação aplicável.</w:t>
      </w:r>
    </w:p>
    <w:p w14:paraId="4B92171B"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As embalagens não laváveis ou não solúveis em água deverão ser tratadas conforme instruções do fabricante e normas vigentes, sendo vedada a realização de tríplice lavagem nesses casos.</w:t>
      </w:r>
    </w:p>
    <w:p w14:paraId="3E8D4A3D"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3.18. A CONTRATADA deverá fornecer, após cada intervenção, comprovante de execução dos serviços, contendo, no mínimo:</w:t>
      </w:r>
    </w:p>
    <w:p w14:paraId="4D65E16C" w14:textId="77777777" w:rsidR="00407009" w:rsidRDefault="00000000">
      <w:pPr>
        <w:numPr>
          <w:ilvl w:val="1"/>
          <w:numId w:val="8"/>
        </w:numPr>
        <w:pBdr>
          <w:top w:val="nil"/>
          <w:left w:val="nil"/>
          <w:bottom w:val="nil"/>
          <w:right w:val="nil"/>
          <w:between w:val="nil"/>
        </w:pBdr>
        <w:spacing w:after="120" w:line="276" w:lineRule="auto"/>
        <w:ind w:left="1560" w:hanging="360"/>
        <w:jc w:val="both"/>
      </w:pPr>
      <w:r>
        <w:rPr>
          <w:color w:val="000000"/>
        </w:rPr>
        <w:t>identificação do cliente e do imóvel atendido;</w:t>
      </w:r>
    </w:p>
    <w:p w14:paraId="5885CF37" w14:textId="77777777" w:rsidR="00407009" w:rsidRDefault="00000000">
      <w:pPr>
        <w:numPr>
          <w:ilvl w:val="1"/>
          <w:numId w:val="8"/>
        </w:numPr>
        <w:pBdr>
          <w:top w:val="nil"/>
          <w:left w:val="nil"/>
          <w:bottom w:val="nil"/>
          <w:right w:val="nil"/>
          <w:between w:val="nil"/>
        </w:pBdr>
        <w:spacing w:after="120" w:line="276" w:lineRule="auto"/>
        <w:ind w:left="1560" w:hanging="360"/>
        <w:jc w:val="both"/>
      </w:pPr>
      <w:r>
        <w:rPr>
          <w:color w:val="000000"/>
        </w:rPr>
        <w:t>pragas-alvo;</w:t>
      </w:r>
    </w:p>
    <w:p w14:paraId="206B48CC" w14:textId="77777777" w:rsidR="00407009" w:rsidRDefault="00000000">
      <w:pPr>
        <w:numPr>
          <w:ilvl w:val="1"/>
          <w:numId w:val="8"/>
        </w:numPr>
        <w:pBdr>
          <w:top w:val="nil"/>
          <w:left w:val="nil"/>
          <w:bottom w:val="nil"/>
          <w:right w:val="nil"/>
          <w:between w:val="nil"/>
        </w:pBdr>
        <w:spacing w:after="120" w:line="276" w:lineRule="auto"/>
        <w:ind w:left="1560" w:hanging="360"/>
        <w:jc w:val="both"/>
      </w:pPr>
      <w:r>
        <w:rPr>
          <w:color w:val="000000"/>
        </w:rPr>
        <w:t>data de execução;</w:t>
      </w:r>
    </w:p>
    <w:p w14:paraId="4ED48F74" w14:textId="77777777" w:rsidR="00407009" w:rsidRDefault="00000000">
      <w:pPr>
        <w:numPr>
          <w:ilvl w:val="1"/>
          <w:numId w:val="8"/>
        </w:numPr>
        <w:pBdr>
          <w:top w:val="nil"/>
          <w:left w:val="nil"/>
          <w:bottom w:val="nil"/>
          <w:right w:val="nil"/>
          <w:between w:val="nil"/>
        </w:pBdr>
        <w:spacing w:after="120" w:line="276" w:lineRule="auto"/>
        <w:ind w:left="1560" w:hanging="360"/>
        <w:jc w:val="both"/>
      </w:pPr>
      <w:r>
        <w:rPr>
          <w:color w:val="000000"/>
        </w:rPr>
        <w:t>prazo de garantia/assistência técnica, por extenso;</w:t>
      </w:r>
    </w:p>
    <w:p w14:paraId="4B902AB5" w14:textId="77777777" w:rsidR="00407009" w:rsidRDefault="00000000">
      <w:pPr>
        <w:numPr>
          <w:ilvl w:val="1"/>
          <w:numId w:val="8"/>
        </w:numPr>
        <w:pBdr>
          <w:top w:val="nil"/>
          <w:left w:val="nil"/>
          <w:bottom w:val="nil"/>
          <w:right w:val="nil"/>
          <w:between w:val="nil"/>
        </w:pBdr>
        <w:spacing w:after="120" w:line="276" w:lineRule="auto"/>
        <w:ind w:left="1560" w:hanging="360"/>
        <w:jc w:val="both"/>
      </w:pPr>
      <w:r>
        <w:rPr>
          <w:color w:val="000000"/>
        </w:rPr>
        <w:t>identificação dos produtos utilizados, incluindo grupo químico, nome e concentração;</w:t>
      </w:r>
    </w:p>
    <w:p w14:paraId="74C34C39" w14:textId="77777777" w:rsidR="00407009" w:rsidRDefault="00000000">
      <w:pPr>
        <w:numPr>
          <w:ilvl w:val="1"/>
          <w:numId w:val="8"/>
        </w:numPr>
        <w:pBdr>
          <w:top w:val="nil"/>
          <w:left w:val="nil"/>
          <w:bottom w:val="nil"/>
          <w:right w:val="nil"/>
          <w:between w:val="nil"/>
        </w:pBdr>
        <w:spacing w:after="120" w:line="276" w:lineRule="auto"/>
        <w:ind w:left="1560" w:hanging="360"/>
        <w:jc w:val="both"/>
      </w:pPr>
      <w:r>
        <w:rPr>
          <w:color w:val="000000"/>
        </w:rPr>
        <w:t>orientações técnicas e preventivas;</w:t>
      </w:r>
    </w:p>
    <w:p w14:paraId="03502B2F" w14:textId="77777777" w:rsidR="00407009" w:rsidRDefault="00000000">
      <w:pPr>
        <w:numPr>
          <w:ilvl w:val="1"/>
          <w:numId w:val="8"/>
        </w:numPr>
        <w:pBdr>
          <w:top w:val="nil"/>
          <w:left w:val="nil"/>
          <w:bottom w:val="nil"/>
          <w:right w:val="nil"/>
          <w:between w:val="nil"/>
        </w:pBdr>
        <w:spacing w:after="120" w:line="276" w:lineRule="auto"/>
        <w:ind w:left="1560" w:hanging="360"/>
        <w:jc w:val="both"/>
      </w:pPr>
      <w:r>
        <w:rPr>
          <w:color w:val="000000"/>
        </w:rPr>
        <w:t>identificação do responsável técnico, com número de registro no respectivo conselho profissional;</w:t>
      </w:r>
    </w:p>
    <w:p w14:paraId="359562F2" w14:textId="77777777" w:rsidR="00407009" w:rsidRDefault="00000000">
      <w:pPr>
        <w:numPr>
          <w:ilvl w:val="1"/>
          <w:numId w:val="8"/>
        </w:numPr>
        <w:pBdr>
          <w:top w:val="nil"/>
          <w:left w:val="nil"/>
          <w:bottom w:val="nil"/>
          <w:right w:val="nil"/>
          <w:between w:val="nil"/>
        </w:pBdr>
        <w:spacing w:after="120" w:line="276" w:lineRule="auto"/>
        <w:ind w:left="1560" w:hanging="360"/>
        <w:jc w:val="both"/>
      </w:pPr>
      <w:proofErr w:type="spellStart"/>
      <w:r>
        <w:rPr>
          <w:color w:val="000000"/>
        </w:rPr>
        <w:t>telefone</w:t>
      </w:r>
      <w:proofErr w:type="spellEnd"/>
      <w:r>
        <w:rPr>
          <w:color w:val="000000"/>
        </w:rPr>
        <w:t xml:space="preserve"> do Centro de Informação Toxicológica;</w:t>
      </w:r>
    </w:p>
    <w:p w14:paraId="3F01B296" w14:textId="77777777" w:rsidR="00407009" w:rsidRDefault="00000000">
      <w:pPr>
        <w:numPr>
          <w:ilvl w:val="1"/>
          <w:numId w:val="8"/>
        </w:numPr>
        <w:pBdr>
          <w:top w:val="nil"/>
          <w:left w:val="nil"/>
          <w:bottom w:val="nil"/>
          <w:right w:val="nil"/>
          <w:between w:val="nil"/>
        </w:pBdr>
        <w:spacing w:after="120" w:line="276" w:lineRule="auto"/>
        <w:ind w:left="1560" w:hanging="360"/>
        <w:jc w:val="both"/>
      </w:pPr>
      <w:r>
        <w:rPr>
          <w:color w:val="000000"/>
        </w:rPr>
        <w:t>identificação completa da contratada, incluindo razão social, nome fantasia, endereço, telefone e licenças ambientais pertinentes;</w:t>
      </w:r>
    </w:p>
    <w:p w14:paraId="3F2CF8B6"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lastRenderedPageBreak/>
        <w:t>O certificado de garantia deverá conter, além das informações acima, o prazo de validade da garantia e orientações básicas de higiene e manutenção das condições sanitárias.</w:t>
      </w:r>
    </w:p>
    <w:p w14:paraId="3B4E3E40"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A contratada deverá afixar, previamente à execução dos serviços, avisos informativos nos locais de aplicação, contendo, no mínimo, a data da aplicação, nome do produto, grupo químico, telefone do Centro de Informação Toxicológica e número da licença do órgão competente.</w:t>
      </w:r>
    </w:p>
    <w:p w14:paraId="43B6F8D0"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A comprovação da execução dos serviços deverá ocorrer exclusivamente mediante emissão de nota fiscal pela contratada, sendo vedada a utilização de documentos fiscais emitidos por terceiros ou a aquisição de notas fiscais avulsas para tal finalidade.</w:t>
      </w:r>
    </w:p>
    <w:p w14:paraId="5D741C0D"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A contratada deverá observar, no que couber, as disposições da Lei nº 12.187/2009 (Política Nacional sobre Mudança do Clima), da Lei nº 12.305/2010 (Política Nacional de Resíduos Sólidos), do Decreto nº 7.746/2012 e demais normativos aplicáveis à sustentabilidade nas contratações públicas.</w:t>
      </w:r>
    </w:p>
    <w:p w14:paraId="4A650C6B" w14:textId="77777777" w:rsidR="00407009" w:rsidRDefault="00000000">
      <w:pPr>
        <w:keepNext/>
        <w:keepLines/>
        <w:numPr>
          <w:ilvl w:val="0"/>
          <w:numId w:val="10"/>
        </w:numPr>
        <w:pBdr>
          <w:top w:val="nil"/>
          <w:left w:val="nil"/>
          <w:bottom w:val="nil"/>
          <w:right w:val="nil"/>
          <w:between w:val="nil"/>
        </w:pBdr>
        <w:spacing w:before="480" w:after="120" w:line="276" w:lineRule="auto"/>
        <w:jc w:val="both"/>
        <w:rPr>
          <w:b/>
          <w:bCs/>
          <w:color w:val="000000"/>
        </w:rPr>
      </w:pPr>
      <w:bookmarkStart w:id="22" w:name="_heading=h.6e6wqcryrwvf" w:colFirst="0" w:colLast="0"/>
      <w:bookmarkEnd w:id="22"/>
      <w:r>
        <w:rPr>
          <w:b/>
          <w:bCs/>
          <w:color w:val="000000"/>
        </w:rPr>
        <w:t>REQUISITOS DA CONTRATAÇÃO</w:t>
      </w:r>
    </w:p>
    <w:p w14:paraId="219A3BB7" w14:textId="77777777" w:rsidR="00407009" w:rsidRDefault="00000000">
      <w:pPr>
        <w:spacing w:line="276" w:lineRule="auto"/>
        <w:jc w:val="both"/>
        <w:rPr>
          <w:b/>
          <w:bCs/>
        </w:rPr>
      </w:pPr>
      <w:r>
        <w:rPr>
          <w:b/>
          <w:bCs/>
        </w:rPr>
        <w:t>Sustentabilidade</w:t>
      </w:r>
    </w:p>
    <w:p w14:paraId="34F1A2F7"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Além dos critérios de sustentabilidade eventualmente inseridos na descrição do objeto, devem ser atendidos os seguintes requisitos, que se baseiam no Guia Nacional de Contratações Sustentáveis:</w:t>
      </w:r>
    </w:p>
    <w:p w14:paraId="35059C26" w14:textId="77777777" w:rsidR="00407009" w:rsidRDefault="00000000">
      <w:pPr>
        <w:numPr>
          <w:ilvl w:val="2"/>
          <w:numId w:val="2"/>
        </w:numPr>
        <w:pBdr>
          <w:top w:val="nil"/>
          <w:left w:val="nil"/>
          <w:bottom w:val="nil"/>
          <w:right w:val="nil"/>
          <w:between w:val="nil"/>
        </w:pBdr>
        <w:spacing w:line="276" w:lineRule="auto"/>
        <w:ind w:left="1276"/>
        <w:jc w:val="both"/>
        <w:rPr>
          <w:color w:val="000000"/>
        </w:rPr>
      </w:pPr>
      <w:r>
        <w:rPr>
          <w:color w:val="000000"/>
        </w:rPr>
        <w:t>Lei federal nº 6.360, de 1976 - Dispõe sobre a Vigilância Sanitária a que ficam sujeitos os Medicamentos, as Drogas, os Insumos Farmacêuticos e Correlatos, Cosméticos, Saneantes e Outros Produtos, e dá outras Providências;</w:t>
      </w:r>
    </w:p>
    <w:p w14:paraId="33441D0C" w14:textId="77777777" w:rsidR="00407009" w:rsidRDefault="00000000">
      <w:pPr>
        <w:numPr>
          <w:ilvl w:val="2"/>
          <w:numId w:val="2"/>
        </w:numPr>
        <w:pBdr>
          <w:top w:val="nil"/>
          <w:left w:val="nil"/>
          <w:bottom w:val="nil"/>
          <w:right w:val="nil"/>
          <w:between w:val="nil"/>
        </w:pBdr>
        <w:spacing w:line="276" w:lineRule="auto"/>
        <w:ind w:left="1276"/>
        <w:jc w:val="both"/>
        <w:rPr>
          <w:color w:val="000000"/>
        </w:rPr>
      </w:pPr>
      <w:r>
        <w:rPr>
          <w:color w:val="000000"/>
        </w:rPr>
        <w:t>Lei Estadual nº 7.806/2017 - Regulamenta as questões técnicas para o funcionamento das empresas controladoras no estado do Rio de Janeiro;</w:t>
      </w:r>
    </w:p>
    <w:p w14:paraId="571B1486" w14:textId="77777777" w:rsidR="00407009" w:rsidRDefault="00000000">
      <w:pPr>
        <w:numPr>
          <w:ilvl w:val="2"/>
          <w:numId w:val="2"/>
        </w:numPr>
        <w:pBdr>
          <w:top w:val="nil"/>
          <w:left w:val="nil"/>
          <w:bottom w:val="nil"/>
          <w:right w:val="nil"/>
          <w:between w:val="nil"/>
        </w:pBdr>
        <w:spacing w:line="276" w:lineRule="auto"/>
        <w:ind w:left="1276"/>
        <w:jc w:val="both"/>
        <w:rPr>
          <w:color w:val="000000"/>
        </w:rPr>
      </w:pPr>
      <w:r>
        <w:rPr>
          <w:color w:val="000000"/>
        </w:rPr>
        <w:t>Lei n° 12.305/2010 - Política Nacional de Resíduos Sólidos;</w:t>
      </w:r>
    </w:p>
    <w:p w14:paraId="44EF373D" w14:textId="77777777" w:rsidR="00407009" w:rsidRDefault="00000000">
      <w:pPr>
        <w:numPr>
          <w:ilvl w:val="2"/>
          <w:numId w:val="2"/>
        </w:numPr>
        <w:pBdr>
          <w:top w:val="nil"/>
          <w:left w:val="nil"/>
          <w:bottom w:val="nil"/>
          <w:right w:val="nil"/>
          <w:between w:val="nil"/>
        </w:pBdr>
        <w:spacing w:line="276" w:lineRule="auto"/>
        <w:ind w:left="1276"/>
        <w:jc w:val="both"/>
        <w:rPr>
          <w:color w:val="000000"/>
        </w:rPr>
      </w:pPr>
      <w:r>
        <w:rPr>
          <w:color w:val="000000"/>
        </w:rPr>
        <w:t>Decreto nº 10.936, de 12 de janeiro de 2022, que regulamenta a Lei nº 12.305/2010;</w:t>
      </w:r>
    </w:p>
    <w:p w14:paraId="282701D8" w14:textId="77777777" w:rsidR="00407009" w:rsidRDefault="00000000">
      <w:pPr>
        <w:numPr>
          <w:ilvl w:val="2"/>
          <w:numId w:val="2"/>
        </w:numPr>
        <w:pBdr>
          <w:top w:val="nil"/>
          <w:left w:val="nil"/>
          <w:bottom w:val="nil"/>
          <w:right w:val="nil"/>
          <w:between w:val="nil"/>
        </w:pBdr>
        <w:spacing w:line="276" w:lineRule="auto"/>
        <w:ind w:left="1276"/>
        <w:jc w:val="both"/>
        <w:rPr>
          <w:color w:val="000000"/>
        </w:rPr>
      </w:pPr>
      <w:r>
        <w:rPr>
          <w:color w:val="000000"/>
        </w:rPr>
        <w:t>Decreto nº 8.077, de 2013 - Regulamenta as condições para o funcionamento de empresas sujeitas ao licenciamento sanitário, e o registro, controle e monitoramento, no âmbito da vigilância sanitária, dos produtos de que trata a Lei nº 6.360, de 23 de setembro de 1976, e dá outras providências;</w:t>
      </w:r>
    </w:p>
    <w:p w14:paraId="7B7E7768" w14:textId="77777777" w:rsidR="00407009" w:rsidRDefault="00000000">
      <w:pPr>
        <w:numPr>
          <w:ilvl w:val="2"/>
          <w:numId w:val="2"/>
        </w:numPr>
        <w:pBdr>
          <w:top w:val="nil"/>
          <w:left w:val="nil"/>
          <w:bottom w:val="nil"/>
          <w:right w:val="nil"/>
          <w:between w:val="nil"/>
        </w:pBdr>
        <w:spacing w:line="276" w:lineRule="auto"/>
        <w:ind w:left="1276"/>
        <w:jc w:val="both"/>
        <w:rPr>
          <w:color w:val="000000"/>
        </w:rPr>
      </w:pPr>
      <w:r>
        <w:rPr>
          <w:color w:val="000000"/>
        </w:rPr>
        <w:t>RDC ANVISA nº 622, de 9 de março de 2022 - Dispõe sobre o funcionamento de empresas especializadas na prestação de serviço de controle de vetores e pragas urbanas e dá outras providências;</w:t>
      </w:r>
    </w:p>
    <w:p w14:paraId="3DB7DCF9" w14:textId="77777777" w:rsidR="00407009" w:rsidRDefault="00000000">
      <w:pPr>
        <w:numPr>
          <w:ilvl w:val="2"/>
          <w:numId w:val="2"/>
        </w:numPr>
        <w:pBdr>
          <w:top w:val="nil"/>
          <w:left w:val="nil"/>
          <w:bottom w:val="nil"/>
          <w:right w:val="nil"/>
          <w:between w:val="nil"/>
        </w:pBdr>
        <w:spacing w:line="276" w:lineRule="auto"/>
        <w:ind w:left="1276"/>
        <w:jc w:val="both"/>
        <w:rPr>
          <w:color w:val="000000"/>
        </w:rPr>
      </w:pPr>
      <w:r>
        <w:rPr>
          <w:color w:val="000000"/>
        </w:rPr>
        <w:t>RDC ANVISA nº 16, de 1º de abril de 2014 - Dispõe sobre Autorização de Funcionamento (AFE) e Autorização Especial (AE) de Empresas;</w:t>
      </w:r>
    </w:p>
    <w:p w14:paraId="51A5109A" w14:textId="77777777" w:rsidR="00407009" w:rsidRDefault="00000000">
      <w:pPr>
        <w:numPr>
          <w:ilvl w:val="2"/>
          <w:numId w:val="2"/>
        </w:numPr>
        <w:pBdr>
          <w:top w:val="nil"/>
          <w:left w:val="nil"/>
          <w:bottom w:val="nil"/>
          <w:right w:val="nil"/>
          <w:between w:val="nil"/>
        </w:pBdr>
        <w:spacing w:line="276" w:lineRule="auto"/>
        <w:ind w:left="1276"/>
        <w:jc w:val="both"/>
        <w:rPr>
          <w:color w:val="000000"/>
        </w:rPr>
      </w:pPr>
      <w:r>
        <w:rPr>
          <w:color w:val="000000"/>
        </w:rPr>
        <w:t>Instrução Normativa Ibama nº 141, de 19 de dezembro de 2006 – art. 5º e 9º - Regulamenta o controle e o manejo ambiental da fauna sinantrópica nociva.</w:t>
      </w:r>
    </w:p>
    <w:p w14:paraId="447ABD1C"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 xml:space="preserve">A empresa especializada somente pode funcionar depois de devidamente licenciada junto à autoridade sanitária e ambiental competente. </w:t>
      </w:r>
    </w:p>
    <w:p w14:paraId="33B5BADB"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 xml:space="preserve">A empresa instalada em cidade que não possua autoridade sanitária e ambiental competente municipal está obrigada a solicitar licença junto à autoridade sanitária e ambiental competente regional, estadual ou distrital a que o município pertença. </w:t>
      </w:r>
    </w:p>
    <w:p w14:paraId="5DCE3BAC"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 xml:space="preserve">Para a prestação de serviço de controle de vetores e pragas urbanas somente podem ser utilizados os produtos saneantes desinfetantes de venda restrita a empresas especializadas, ou de venda livre, devidamente registrados na Anvisa. </w:t>
      </w:r>
      <w:r>
        <w:rPr>
          <w:color w:val="000000"/>
        </w:rPr>
        <w:tab/>
      </w:r>
    </w:p>
    <w:p w14:paraId="4BD426B3"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 xml:space="preserve">A empresa especializada deve ter um responsável técnico devidamente habilitado para o exercício das funções relativas às atividades pertinentes ao controle de vetores e pragas urbanas, devendo apresentar o registro deste profissional junto ao respectivo conselho. </w:t>
      </w:r>
    </w:p>
    <w:p w14:paraId="24DD8C7A"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lastRenderedPageBreak/>
        <w:t xml:space="preserve">A empresa especializada deve possuir registro junto ao conselho profissional do seu responsável técnico. </w:t>
      </w:r>
    </w:p>
    <w:p w14:paraId="6262E9ED"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Nenhum saneante domissanitário, inclusive os importados, poderá ser industrializado, exposto à venda ou entregue ao consumo antes de registrado no Ministério da Saúde/ANVISA.</w:t>
      </w:r>
    </w:p>
    <w:p w14:paraId="07B51F7D"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No que se refere à logística reversa:</w:t>
      </w:r>
    </w:p>
    <w:p w14:paraId="4A85B196"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 xml:space="preserve">a empresa especializada na prestação de serviços de controle de vetores e pragas urbanas deve retornar as embalagens vazias ao seu estabelecimento operacional logo após o seu uso, para inutilização e descarte. </w:t>
      </w:r>
    </w:p>
    <w:p w14:paraId="05FAA3A8"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 xml:space="preserve">o destino final das embalagens dos produtos saneantes desinfetantes de uso restrito a empresas especializadas é de responsabilidade do seu respectivo fabricante/ importador. </w:t>
      </w:r>
    </w:p>
    <w:p w14:paraId="7B65278A"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 xml:space="preserve">a empresa especializada fica obrigada a devolver as embalagens, no prazo máximo de um ano da data de compra dos respectivos produtos, aos estabelecimentos onde foram adquiridas, ou em postos ou centrais de recebimento por eles conveniados e previamente licenciados pelo órgão estadual competente. </w:t>
      </w:r>
    </w:p>
    <w:p w14:paraId="72AACC38"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caso essa devolução não ocorra, a responsabilidade pelo destino final passa a ser da empresa especializada que deve guardar os comprovantes da referida destinação;</w:t>
      </w:r>
    </w:p>
    <w:p w14:paraId="1D69808C"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o estabelecimento que as receber deve fornecer à empresa especializada documento comprobatório de recebimento das embalagens;</w:t>
      </w:r>
    </w:p>
    <w:p w14:paraId="73754C9A"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 xml:space="preserve">A empresa especializada fica obrigada a inutilizar as embalagens dos produtos saneantes desinfetantes antes de sua devolução aos estabelecimentos onde foram adquiridas, ou em postos ou centrais de recebimento por eles conveniados. </w:t>
      </w:r>
    </w:p>
    <w:p w14:paraId="7608B6AA"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 xml:space="preserve">As embalagens laváveis dos produtos saneantes desinfetantes devem ser submetidas à tríplice lavagem antes de sua devolução, devendo a água ser aproveitada para o preparo de calda ou inativada, conforme instruções contidas na rotulagem ou por orientação técnica do fabricante do produto e do órgão competente. </w:t>
      </w:r>
    </w:p>
    <w:p w14:paraId="47548860"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As embalagens vazias de produtos que não apresentam solubilidade em água não devem passar por tríplice lavagem, devendo a empresa especializada seguir as orientações do fabricante e as legislações vigentes.</w:t>
      </w:r>
    </w:p>
    <w:p w14:paraId="1100A504"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 xml:space="preserve">A empresa especializada deve fornecer ao cliente o comprovante de execução de serviço contendo, no mínimo, as informações exigidas na RDC ANVISA nº 622, de 2022. </w:t>
      </w:r>
    </w:p>
    <w:p w14:paraId="60C751A2"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Quando a aplicação ocorrer em prédios de uso coletivo, comercial ou de serviços, a empresa especializada deverá afixar cartazes informando a realização da desinfestação, com a data da aplicação, o nome do produto, grupo químico, telefone do Centro de Informação Toxicológica e números das licenças sanitária e ambiental.</w:t>
      </w:r>
    </w:p>
    <w:p w14:paraId="5993A31E" w14:textId="77777777" w:rsidR="00407009" w:rsidRDefault="00407009">
      <w:pPr>
        <w:spacing w:line="276" w:lineRule="auto"/>
        <w:ind w:left="284"/>
        <w:jc w:val="both"/>
      </w:pPr>
    </w:p>
    <w:p w14:paraId="0FE5ABFD" w14:textId="77777777" w:rsidR="00407009" w:rsidRDefault="00000000">
      <w:pPr>
        <w:spacing w:line="276" w:lineRule="auto"/>
        <w:jc w:val="both"/>
        <w:rPr>
          <w:b/>
          <w:bCs/>
        </w:rPr>
      </w:pPr>
      <w:r>
        <w:rPr>
          <w:b/>
          <w:bCs/>
        </w:rPr>
        <w:t>Indicação de marcas ou modelos</w:t>
      </w:r>
    </w:p>
    <w:p w14:paraId="7903C693" w14:textId="77777777" w:rsidR="00407009" w:rsidRDefault="00000000">
      <w:pPr>
        <w:spacing w:line="276" w:lineRule="auto"/>
        <w:jc w:val="both"/>
      </w:pPr>
      <w:r>
        <w:t>Não se aplica.</w:t>
      </w:r>
    </w:p>
    <w:p w14:paraId="20E5E20D" w14:textId="77777777" w:rsidR="00407009" w:rsidRDefault="00407009">
      <w:pPr>
        <w:spacing w:line="276" w:lineRule="auto"/>
        <w:jc w:val="both"/>
      </w:pPr>
    </w:p>
    <w:p w14:paraId="2E1DCEE3" w14:textId="77777777" w:rsidR="00407009" w:rsidRDefault="00000000">
      <w:pPr>
        <w:spacing w:line="276" w:lineRule="auto"/>
        <w:jc w:val="both"/>
        <w:rPr>
          <w:b/>
          <w:bCs/>
        </w:rPr>
      </w:pPr>
      <w:r>
        <w:rPr>
          <w:b/>
          <w:bCs/>
        </w:rPr>
        <w:t>Da vedação de utilização de marca/produto na execução do serviço</w:t>
      </w:r>
    </w:p>
    <w:p w14:paraId="48969CDA" w14:textId="77777777" w:rsidR="00407009" w:rsidRDefault="00000000">
      <w:pPr>
        <w:spacing w:line="276" w:lineRule="auto"/>
        <w:jc w:val="both"/>
      </w:pPr>
      <w:r>
        <w:t>Não se aplica.</w:t>
      </w:r>
    </w:p>
    <w:p w14:paraId="550C2E7C" w14:textId="77777777" w:rsidR="00407009" w:rsidRDefault="00407009">
      <w:pPr>
        <w:spacing w:line="276" w:lineRule="auto"/>
        <w:jc w:val="both"/>
      </w:pPr>
    </w:p>
    <w:p w14:paraId="4F603C56" w14:textId="77777777" w:rsidR="00407009" w:rsidRDefault="00000000">
      <w:pPr>
        <w:spacing w:line="276" w:lineRule="auto"/>
        <w:jc w:val="both"/>
        <w:rPr>
          <w:b/>
          <w:bCs/>
        </w:rPr>
      </w:pPr>
      <w:r>
        <w:rPr>
          <w:b/>
          <w:bCs/>
        </w:rPr>
        <w:t>Da exigência de carta de solidariedade</w:t>
      </w:r>
    </w:p>
    <w:p w14:paraId="39F7A1A9" w14:textId="77777777" w:rsidR="00407009" w:rsidRDefault="00000000">
      <w:pPr>
        <w:spacing w:line="276" w:lineRule="auto"/>
        <w:jc w:val="both"/>
      </w:pPr>
      <w:r>
        <w:t>Não se aplica.</w:t>
      </w:r>
    </w:p>
    <w:p w14:paraId="6C0191E1" w14:textId="77777777" w:rsidR="00407009" w:rsidRDefault="00407009">
      <w:pPr>
        <w:spacing w:line="276" w:lineRule="auto"/>
        <w:jc w:val="both"/>
      </w:pPr>
    </w:p>
    <w:p w14:paraId="13465B81" w14:textId="77777777" w:rsidR="00407009" w:rsidRDefault="00000000">
      <w:pPr>
        <w:spacing w:line="276" w:lineRule="auto"/>
        <w:jc w:val="both"/>
        <w:rPr>
          <w:b/>
          <w:bCs/>
        </w:rPr>
      </w:pPr>
      <w:r>
        <w:rPr>
          <w:b/>
          <w:bCs/>
        </w:rPr>
        <w:lastRenderedPageBreak/>
        <w:t>Subcontratação</w:t>
      </w:r>
    </w:p>
    <w:p w14:paraId="0D311399"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Será permitida a subcontratação parcial do objeto, até o limite de 30% (trinta porcento) do valor total do contrato, nas seguintes condições:</w:t>
      </w:r>
    </w:p>
    <w:p w14:paraId="2EC97CBF"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É vedada a subcontratação completa ou da parcela principal da obrigação.</w:t>
      </w:r>
    </w:p>
    <w:p w14:paraId="02C36CA7"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 xml:space="preserve">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 </w:t>
      </w:r>
    </w:p>
    <w:p w14:paraId="1E2BFE2A"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A subcontratação depende de autorização prévia do contratante, a quem incumbe avaliar se o subcontratado cumpre os requisitos de qualificação técnica necessários para a execução do objeto.</w:t>
      </w:r>
    </w:p>
    <w:p w14:paraId="18C24D48"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O contratado apresentará à Administração documentação que comprove a capacidade técnica do subcontratado, que será avaliada e juntada aos autos do processo correspondente.</w:t>
      </w:r>
    </w:p>
    <w:p w14:paraId="711B7A3A"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462CF051"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O contrato oferecerá maior detalhamento das regras que serão aplicadas em relação à subcontratação.</w:t>
      </w:r>
    </w:p>
    <w:p w14:paraId="450C26F9" w14:textId="77777777" w:rsidR="00407009" w:rsidRDefault="00407009">
      <w:pPr>
        <w:spacing w:line="276" w:lineRule="auto"/>
        <w:jc w:val="both"/>
      </w:pPr>
    </w:p>
    <w:p w14:paraId="7E3FE63C" w14:textId="77777777" w:rsidR="00407009" w:rsidRDefault="00000000">
      <w:pPr>
        <w:spacing w:line="276" w:lineRule="auto"/>
        <w:jc w:val="both"/>
        <w:rPr>
          <w:b/>
          <w:bCs/>
        </w:rPr>
      </w:pPr>
      <w:r>
        <w:rPr>
          <w:b/>
          <w:bCs/>
        </w:rPr>
        <w:t>Garantia da contratação</w:t>
      </w:r>
    </w:p>
    <w:p w14:paraId="74708C72"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 xml:space="preserve">Não será exigida garantia da contratação, nos termos do art. 96 da Lei nº 14.133/2021, considerando a baixa complexidade do objeto, o reduzido valor estimado da contratação e o fato de que tal exigência poderá restringir a competitividade do certame, sem representar benefício proporcional à Administração. </w:t>
      </w:r>
    </w:p>
    <w:p w14:paraId="1CC8ECF9"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Ressalta-se que a execução contratual será acompanhada e fiscalizada por representante da Contratante, permanecendo a Contratada responsável pela adequada prestação dos serviços e pelo cumprimento das obrigações previstas neste Termo de Referência e no instrumento contratual</w:t>
      </w:r>
    </w:p>
    <w:p w14:paraId="6337D429" w14:textId="77777777" w:rsidR="00407009" w:rsidRDefault="00000000">
      <w:pPr>
        <w:keepNext/>
        <w:keepLines/>
        <w:pBdr>
          <w:top w:val="nil"/>
          <w:left w:val="nil"/>
          <w:bottom w:val="nil"/>
          <w:right w:val="nil"/>
          <w:between w:val="nil"/>
        </w:pBdr>
        <w:spacing w:before="480" w:after="120" w:line="276" w:lineRule="auto"/>
        <w:ind w:left="360" w:hanging="360"/>
        <w:jc w:val="both"/>
        <w:rPr>
          <w:b/>
          <w:bCs/>
          <w:color w:val="000000"/>
        </w:rPr>
      </w:pPr>
      <w:r>
        <w:rPr>
          <w:b/>
          <w:bCs/>
          <w:color w:val="000000"/>
        </w:rPr>
        <w:t>Garantia dos serviços</w:t>
      </w:r>
    </w:p>
    <w:p w14:paraId="6FD32293" w14:textId="77777777" w:rsidR="00407009" w:rsidRDefault="00407009">
      <w:pPr>
        <w:pBdr>
          <w:top w:val="nil"/>
          <w:left w:val="nil"/>
          <w:bottom w:val="nil"/>
          <w:right w:val="nil"/>
          <w:between w:val="nil"/>
        </w:pBdr>
        <w:spacing w:line="276" w:lineRule="auto"/>
        <w:ind w:left="716"/>
        <w:jc w:val="both"/>
        <w:rPr>
          <w:color w:val="000000"/>
        </w:rPr>
      </w:pPr>
    </w:p>
    <w:p w14:paraId="11E26102"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 xml:space="preserve">A Contratada deverá garantir a eficácia dos serviços executados pelo prazo mínimo de 90 (noventa) dias, contados da data de cada aplicação realizada. </w:t>
      </w:r>
    </w:p>
    <w:p w14:paraId="34B04A17"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Durante o período de garantia, caso seja constatada a reincidência de infestação de pragas nas áreas tratadas, a Contratada deverá realizar nova aplicação corretiva, sem ônus adicional para a Contratante, no prazo máximo de 10 dias úteis após a solicitação.</w:t>
      </w:r>
    </w:p>
    <w:p w14:paraId="6A172F51"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 garantia abrange os serviços de desinsetização e demais tratamentos previstos neste Termo de Referência, observadas as condições normais de uso e conservação dos ambientes tratados.</w:t>
      </w:r>
    </w:p>
    <w:p w14:paraId="167F23E6" w14:textId="77777777" w:rsidR="00407009" w:rsidRDefault="00000000">
      <w:pPr>
        <w:spacing w:line="276" w:lineRule="auto"/>
        <w:jc w:val="both"/>
        <w:rPr>
          <w:b/>
          <w:bCs/>
        </w:rPr>
      </w:pPr>
      <w:r>
        <w:rPr>
          <w:b/>
          <w:bCs/>
        </w:rPr>
        <w:t>Vistoria</w:t>
      </w:r>
    </w:p>
    <w:p w14:paraId="2690F07E"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 avaliação prévia do local de execução dos serviços é facultativa, sendo assegurado ao interessado o direito de realização de vistoria prévia, acompanhado por servidor designado para esse fim, de segunda à sexta-feira, das 09 horas às 16 horas.</w:t>
      </w:r>
    </w:p>
    <w:p w14:paraId="2166E59F"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Serão disponibilizados data e horário diferentes aos interessados em realizar a vistoria prévia.</w:t>
      </w:r>
    </w:p>
    <w:p w14:paraId="0383C20F"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70B85CE3"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lastRenderedPageBreak/>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BD06D71" w14:textId="77777777" w:rsidR="00407009" w:rsidRDefault="00407009">
      <w:pPr>
        <w:spacing w:line="276" w:lineRule="auto"/>
        <w:jc w:val="both"/>
        <w:rPr>
          <w:b/>
          <w:bCs/>
        </w:rPr>
      </w:pPr>
    </w:p>
    <w:p w14:paraId="3603875B" w14:textId="77777777" w:rsidR="00407009" w:rsidRDefault="00000000">
      <w:pPr>
        <w:spacing w:line="276" w:lineRule="auto"/>
        <w:jc w:val="both"/>
        <w:rPr>
          <w:b/>
          <w:bCs/>
        </w:rPr>
      </w:pPr>
      <w:r>
        <w:rPr>
          <w:b/>
          <w:bCs/>
        </w:rPr>
        <w:t>Instalação de escritório</w:t>
      </w:r>
    </w:p>
    <w:p w14:paraId="406C78EA"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 exigência de instalação de escritório não se revela tecnicamente indispensável à adequada prestação dos serviços, podendo, inclusive, configurar restrição indevida ao caráter competitivo do certame, em afronta aos princípios da isonomia, da razoabilidade e da seleção da proposta mais vantajosa, nos termos da Lei nº 14.133/2021.</w:t>
      </w:r>
    </w:p>
    <w:p w14:paraId="1C676E18"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Ressalta-se que a eficiência e a regularidade da execução contratual podem ser plenamente asseguradas mediante a definição de requisitos de capacidade operacional compatíveis com o objeto, tais como a disponibilidade de equipe técnica qualificada, a adequada estrutura logística e o cumprimento de prazos de atendimento previamente estabelecidos, inclusive para situações emergenciais.</w:t>
      </w:r>
    </w:p>
    <w:p w14:paraId="46F75454"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Dessa forma, a não exigência de instalação de escritório local mostra-se medida alinhada às boas práticas administrativas e à jurisprudência consolidada dos órgãos de controle, privilegiando a ampliação da competitividade, sem prejuízo da qualidade e da efetividade dos serviços prestados, em observância ao interesse público.</w:t>
      </w:r>
    </w:p>
    <w:p w14:paraId="196AEA8B" w14:textId="77777777" w:rsidR="00407009" w:rsidRDefault="00407009">
      <w:pPr>
        <w:spacing w:line="276" w:lineRule="auto"/>
        <w:jc w:val="both"/>
      </w:pPr>
    </w:p>
    <w:p w14:paraId="35B489AC" w14:textId="77777777" w:rsidR="00407009" w:rsidRDefault="00000000">
      <w:pPr>
        <w:spacing w:line="276" w:lineRule="auto"/>
        <w:jc w:val="both"/>
        <w:rPr>
          <w:b/>
          <w:bCs/>
        </w:rPr>
      </w:pPr>
      <w:r>
        <w:rPr>
          <w:b/>
          <w:bCs/>
        </w:rPr>
        <w:t>Margem de Preferência</w:t>
      </w:r>
    </w:p>
    <w:p w14:paraId="6A1267A5" w14:textId="77777777" w:rsidR="00407009" w:rsidRDefault="00000000">
      <w:pPr>
        <w:spacing w:line="276" w:lineRule="auto"/>
        <w:jc w:val="both"/>
      </w:pPr>
      <w:r>
        <w:t>Não se aplica.</w:t>
      </w:r>
    </w:p>
    <w:p w14:paraId="5F1F0ED0" w14:textId="77777777" w:rsidR="00407009" w:rsidRDefault="00000000">
      <w:pPr>
        <w:keepNext/>
        <w:keepLines/>
        <w:numPr>
          <w:ilvl w:val="0"/>
          <w:numId w:val="10"/>
        </w:numPr>
        <w:pBdr>
          <w:top w:val="nil"/>
          <w:left w:val="nil"/>
          <w:bottom w:val="nil"/>
          <w:right w:val="nil"/>
          <w:between w:val="nil"/>
        </w:pBdr>
        <w:spacing w:before="480" w:after="120" w:line="276" w:lineRule="auto"/>
        <w:jc w:val="both"/>
        <w:rPr>
          <w:b/>
          <w:bCs/>
          <w:color w:val="000000"/>
        </w:rPr>
      </w:pPr>
      <w:r>
        <w:rPr>
          <w:b/>
          <w:bCs/>
          <w:color w:val="000000"/>
        </w:rPr>
        <w:t>MODELO DE EXECUÇÃO DO OBJETO</w:t>
      </w:r>
    </w:p>
    <w:p w14:paraId="458834A7" w14:textId="77777777" w:rsidR="00407009" w:rsidRDefault="00000000">
      <w:pPr>
        <w:spacing w:line="276" w:lineRule="auto"/>
        <w:jc w:val="both"/>
        <w:rPr>
          <w:b/>
          <w:bCs/>
        </w:rPr>
      </w:pPr>
      <w:r>
        <w:rPr>
          <w:b/>
          <w:bCs/>
        </w:rPr>
        <w:t>Condições de execução</w:t>
      </w:r>
    </w:p>
    <w:p w14:paraId="1558C483"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 execução do objeto seguirá a seguinte dinâmica:</w:t>
      </w:r>
    </w:p>
    <w:p w14:paraId="097780E7"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Início da execução do objeto:  Em até 02 (dois) dias após o início da vigência do contrato, a empresa contratada deverá participar de reunião de alinhamento junto ao setor responsável para definir o cronograma anual de aplicações.</w:t>
      </w:r>
    </w:p>
    <w:p w14:paraId="4898D0F2" w14:textId="77777777" w:rsidR="00407009" w:rsidRDefault="00407009">
      <w:pPr>
        <w:spacing w:line="276" w:lineRule="auto"/>
        <w:jc w:val="both"/>
      </w:pPr>
    </w:p>
    <w:p w14:paraId="2994A224" w14:textId="77777777" w:rsidR="00407009" w:rsidRDefault="00000000">
      <w:pPr>
        <w:spacing w:line="276" w:lineRule="auto"/>
        <w:jc w:val="both"/>
        <w:rPr>
          <w:b/>
          <w:bCs/>
        </w:rPr>
      </w:pPr>
      <w:r>
        <w:rPr>
          <w:b/>
          <w:bCs/>
        </w:rPr>
        <w:t>Local e horário da prestação dos serviços</w:t>
      </w:r>
    </w:p>
    <w:p w14:paraId="461D0AD5"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Os serviços deverão ser prestados nos seguintes locais:</w:t>
      </w:r>
    </w:p>
    <w:p w14:paraId="6335595B" w14:textId="77777777" w:rsidR="00407009" w:rsidRDefault="00407009">
      <w:pPr>
        <w:pBdr>
          <w:top w:val="nil"/>
          <w:left w:val="nil"/>
          <w:bottom w:val="nil"/>
          <w:right w:val="nil"/>
          <w:between w:val="nil"/>
        </w:pBdr>
        <w:spacing w:line="276" w:lineRule="auto"/>
        <w:ind w:left="716"/>
        <w:jc w:val="both"/>
        <w:rPr>
          <w:color w:val="000000"/>
        </w:rPr>
      </w:pPr>
    </w:p>
    <w:tbl>
      <w:tblPr>
        <w:tblStyle w:val="a4"/>
        <w:tblW w:w="9694"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84"/>
        <w:gridCol w:w="1662"/>
        <w:gridCol w:w="4153"/>
        <w:gridCol w:w="1395"/>
      </w:tblGrid>
      <w:tr w:rsidR="00407009" w14:paraId="11DC6A13" w14:textId="77777777">
        <w:trPr>
          <w:trHeight w:val="402"/>
        </w:trPr>
        <w:tc>
          <w:tcPr>
            <w:tcW w:w="9694" w:type="dxa"/>
            <w:gridSpan w:val="4"/>
            <w:shd w:val="clear" w:color="auto" w:fill="D9D9D9"/>
            <w:vAlign w:val="center"/>
          </w:tcPr>
          <w:p w14:paraId="10B1D8F2" w14:textId="77777777" w:rsidR="00407009" w:rsidRDefault="00000000">
            <w:pPr>
              <w:spacing w:after="120" w:line="360" w:lineRule="auto"/>
              <w:jc w:val="center"/>
              <w:rPr>
                <w:b/>
                <w:bCs/>
              </w:rPr>
            </w:pPr>
            <w:r>
              <w:rPr>
                <w:b/>
                <w:bCs/>
              </w:rPr>
              <w:t>SEDE - Av. Presidente Vargas, 502, Centro, Rio de Janeiro</w:t>
            </w:r>
          </w:p>
        </w:tc>
      </w:tr>
      <w:tr w:rsidR="00407009" w14:paraId="14397828" w14:textId="77777777">
        <w:trPr>
          <w:trHeight w:val="404"/>
        </w:trPr>
        <w:tc>
          <w:tcPr>
            <w:tcW w:w="9694" w:type="dxa"/>
            <w:gridSpan w:val="4"/>
            <w:vAlign w:val="center"/>
          </w:tcPr>
          <w:p w14:paraId="4FDE0A2E" w14:textId="77777777" w:rsidR="00407009" w:rsidRDefault="00000000">
            <w:pPr>
              <w:spacing w:after="120" w:line="360" w:lineRule="auto"/>
              <w:jc w:val="center"/>
              <w:rPr>
                <w:b/>
                <w:bCs/>
              </w:rPr>
            </w:pPr>
            <w:r>
              <w:rPr>
                <w:b/>
                <w:bCs/>
              </w:rPr>
              <w:t>3º, 4º, 5º e 6° Andares</w:t>
            </w:r>
          </w:p>
        </w:tc>
      </w:tr>
      <w:tr w:rsidR="00407009" w14:paraId="3C0C3712" w14:textId="77777777">
        <w:trPr>
          <w:trHeight w:val="432"/>
        </w:trPr>
        <w:tc>
          <w:tcPr>
            <w:tcW w:w="2484" w:type="dxa"/>
          </w:tcPr>
          <w:p w14:paraId="7BC34A27" w14:textId="77777777" w:rsidR="00407009" w:rsidRDefault="00000000">
            <w:pPr>
              <w:spacing w:after="120" w:line="360" w:lineRule="auto"/>
              <w:jc w:val="center"/>
              <w:rPr>
                <w:b/>
                <w:bCs/>
              </w:rPr>
            </w:pPr>
            <w:r>
              <w:rPr>
                <w:b/>
                <w:bCs/>
              </w:rPr>
              <w:t>Edificação</w:t>
            </w:r>
          </w:p>
        </w:tc>
        <w:tc>
          <w:tcPr>
            <w:tcW w:w="1662" w:type="dxa"/>
          </w:tcPr>
          <w:p w14:paraId="0E00C025" w14:textId="77777777" w:rsidR="00407009" w:rsidRDefault="00000000">
            <w:pPr>
              <w:spacing w:after="120" w:line="360" w:lineRule="auto"/>
              <w:jc w:val="center"/>
              <w:rPr>
                <w:b/>
                <w:bCs/>
              </w:rPr>
            </w:pPr>
            <w:r>
              <w:rPr>
                <w:b/>
                <w:bCs/>
              </w:rPr>
              <w:t>Área</w:t>
            </w:r>
          </w:p>
        </w:tc>
        <w:tc>
          <w:tcPr>
            <w:tcW w:w="4153" w:type="dxa"/>
          </w:tcPr>
          <w:p w14:paraId="4DD7F63A" w14:textId="77777777" w:rsidR="00407009" w:rsidRDefault="00000000">
            <w:pPr>
              <w:spacing w:after="120" w:line="360" w:lineRule="auto"/>
              <w:jc w:val="center"/>
              <w:rPr>
                <w:b/>
                <w:bCs/>
              </w:rPr>
            </w:pPr>
            <w:r>
              <w:rPr>
                <w:b/>
                <w:bCs/>
              </w:rPr>
              <w:t>Piso</w:t>
            </w:r>
          </w:p>
        </w:tc>
        <w:tc>
          <w:tcPr>
            <w:tcW w:w="1395" w:type="dxa"/>
          </w:tcPr>
          <w:p w14:paraId="710DDE0B" w14:textId="77777777" w:rsidR="00407009" w:rsidRDefault="00000000">
            <w:pPr>
              <w:spacing w:after="120" w:line="360" w:lineRule="auto"/>
              <w:jc w:val="center"/>
              <w:rPr>
                <w:b/>
                <w:bCs/>
              </w:rPr>
            </w:pPr>
            <w:r>
              <w:rPr>
                <w:b/>
                <w:bCs/>
              </w:rPr>
              <w:t>m²</w:t>
            </w:r>
          </w:p>
        </w:tc>
      </w:tr>
      <w:tr w:rsidR="00407009" w14:paraId="005BF7D9" w14:textId="77777777">
        <w:trPr>
          <w:trHeight w:val="457"/>
        </w:trPr>
        <w:tc>
          <w:tcPr>
            <w:tcW w:w="2484" w:type="dxa"/>
          </w:tcPr>
          <w:p w14:paraId="3BA976BF" w14:textId="77777777" w:rsidR="00407009" w:rsidRDefault="00000000">
            <w:pPr>
              <w:spacing w:after="120" w:line="360" w:lineRule="auto"/>
              <w:jc w:val="both"/>
            </w:pPr>
            <w:r>
              <w:t>Andar</w:t>
            </w:r>
          </w:p>
        </w:tc>
        <w:tc>
          <w:tcPr>
            <w:tcW w:w="1662" w:type="dxa"/>
          </w:tcPr>
          <w:p w14:paraId="6F3D429E" w14:textId="77777777" w:rsidR="00407009" w:rsidRDefault="00000000">
            <w:pPr>
              <w:spacing w:after="120" w:line="360" w:lineRule="auto"/>
              <w:jc w:val="both"/>
            </w:pPr>
            <w:r>
              <w:t>Interna</w:t>
            </w:r>
          </w:p>
        </w:tc>
        <w:tc>
          <w:tcPr>
            <w:tcW w:w="4153" w:type="dxa"/>
          </w:tcPr>
          <w:p w14:paraId="1C31A14F" w14:textId="77777777" w:rsidR="00407009" w:rsidRDefault="00000000">
            <w:pPr>
              <w:spacing w:after="120" w:line="360" w:lineRule="auto"/>
              <w:jc w:val="both"/>
            </w:pPr>
            <w:r>
              <w:t>Laminado (elevado)</w:t>
            </w:r>
          </w:p>
        </w:tc>
        <w:tc>
          <w:tcPr>
            <w:tcW w:w="1395" w:type="dxa"/>
          </w:tcPr>
          <w:p w14:paraId="37061B8E" w14:textId="77777777" w:rsidR="00407009" w:rsidRDefault="00000000">
            <w:pPr>
              <w:spacing w:after="120" w:line="360" w:lineRule="auto"/>
              <w:jc w:val="both"/>
            </w:pPr>
            <w:r>
              <w:t>350</w:t>
            </w:r>
          </w:p>
        </w:tc>
      </w:tr>
      <w:tr w:rsidR="00407009" w14:paraId="38282831" w14:textId="77777777">
        <w:trPr>
          <w:trHeight w:val="458"/>
        </w:trPr>
        <w:tc>
          <w:tcPr>
            <w:tcW w:w="8299" w:type="dxa"/>
            <w:gridSpan w:val="3"/>
          </w:tcPr>
          <w:p w14:paraId="633FEA77" w14:textId="77777777" w:rsidR="00407009" w:rsidRDefault="00000000">
            <w:pPr>
              <w:spacing w:after="120" w:line="360" w:lineRule="auto"/>
              <w:jc w:val="both"/>
            </w:pPr>
            <w:r>
              <w:t>Total (m²)</w:t>
            </w:r>
          </w:p>
        </w:tc>
        <w:tc>
          <w:tcPr>
            <w:tcW w:w="1395" w:type="dxa"/>
          </w:tcPr>
          <w:p w14:paraId="2612BEA3" w14:textId="77777777" w:rsidR="00407009" w:rsidRDefault="00000000">
            <w:pPr>
              <w:spacing w:after="120" w:line="360" w:lineRule="auto"/>
              <w:jc w:val="both"/>
            </w:pPr>
            <w:r>
              <w:t>1.400</w:t>
            </w:r>
          </w:p>
        </w:tc>
      </w:tr>
    </w:tbl>
    <w:p w14:paraId="779AA362" w14:textId="77777777" w:rsidR="00407009" w:rsidRDefault="00407009"/>
    <w:p w14:paraId="027AE0AA" w14:textId="77777777" w:rsidR="00407009" w:rsidRDefault="00407009"/>
    <w:tbl>
      <w:tblPr>
        <w:tblStyle w:val="a5"/>
        <w:tblW w:w="9694"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75"/>
        <w:gridCol w:w="1855"/>
        <w:gridCol w:w="2828"/>
        <w:gridCol w:w="2236"/>
      </w:tblGrid>
      <w:tr w:rsidR="00407009" w14:paraId="6BE0CF74" w14:textId="77777777">
        <w:trPr>
          <w:trHeight w:val="402"/>
        </w:trPr>
        <w:tc>
          <w:tcPr>
            <w:tcW w:w="9694" w:type="dxa"/>
            <w:gridSpan w:val="4"/>
            <w:shd w:val="clear" w:color="auto" w:fill="D9D9D9"/>
            <w:vAlign w:val="center"/>
          </w:tcPr>
          <w:p w14:paraId="3F098930" w14:textId="77777777" w:rsidR="00407009" w:rsidRDefault="00000000">
            <w:pPr>
              <w:spacing w:after="120" w:line="360" w:lineRule="auto"/>
              <w:jc w:val="center"/>
              <w:rPr>
                <w:b/>
                <w:bCs/>
              </w:rPr>
            </w:pPr>
            <w:r>
              <w:rPr>
                <w:b/>
                <w:bCs/>
              </w:rPr>
              <w:t>CECENF - Anexos I e II – Rua da Glória, 190</w:t>
            </w:r>
          </w:p>
        </w:tc>
      </w:tr>
      <w:tr w:rsidR="00407009" w14:paraId="11816B46" w14:textId="77777777">
        <w:trPr>
          <w:trHeight w:val="404"/>
        </w:trPr>
        <w:tc>
          <w:tcPr>
            <w:tcW w:w="9694" w:type="dxa"/>
            <w:gridSpan w:val="4"/>
            <w:vAlign w:val="center"/>
          </w:tcPr>
          <w:p w14:paraId="2A837DE4" w14:textId="77777777" w:rsidR="00407009" w:rsidRDefault="00000000">
            <w:pPr>
              <w:spacing w:after="120" w:line="360" w:lineRule="auto"/>
              <w:jc w:val="center"/>
              <w:rPr>
                <w:b/>
                <w:bCs/>
              </w:rPr>
            </w:pPr>
            <w:r>
              <w:rPr>
                <w:b/>
                <w:bCs/>
              </w:rPr>
              <w:t>Unidades 401, 402, 501, 601, 602 e 1001</w:t>
            </w:r>
          </w:p>
        </w:tc>
      </w:tr>
      <w:tr w:rsidR="00407009" w14:paraId="0729CA50" w14:textId="77777777">
        <w:trPr>
          <w:trHeight w:val="432"/>
        </w:trPr>
        <w:tc>
          <w:tcPr>
            <w:tcW w:w="2775" w:type="dxa"/>
          </w:tcPr>
          <w:p w14:paraId="2CFD0EEF" w14:textId="77777777" w:rsidR="00407009" w:rsidRDefault="00000000">
            <w:pPr>
              <w:spacing w:after="120" w:line="360" w:lineRule="auto"/>
              <w:jc w:val="center"/>
              <w:rPr>
                <w:b/>
                <w:bCs/>
              </w:rPr>
            </w:pPr>
            <w:r>
              <w:rPr>
                <w:b/>
                <w:bCs/>
              </w:rPr>
              <w:t>Edificação</w:t>
            </w:r>
          </w:p>
        </w:tc>
        <w:tc>
          <w:tcPr>
            <w:tcW w:w="1855" w:type="dxa"/>
          </w:tcPr>
          <w:p w14:paraId="0332AAA3" w14:textId="77777777" w:rsidR="00407009" w:rsidRDefault="00000000">
            <w:pPr>
              <w:spacing w:after="120" w:line="360" w:lineRule="auto"/>
              <w:jc w:val="center"/>
              <w:rPr>
                <w:b/>
                <w:bCs/>
              </w:rPr>
            </w:pPr>
            <w:r>
              <w:rPr>
                <w:b/>
                <w:bCs/>
              </w:rPr>
              <w:t>Área</w:t>
            </w:r>
          </w:p>
        </w:tc>
        <w:tc>
          <w:tcPr>
            <w:tcW w:w="2828" w:type="dxa"/>
          </w:tcPr>
          <w:p w14:paraId="49C8F174" w14:textId="77777777" w:rsidR="00407009" w:rsidRDefault="00000000">
            <w:pPr>
              <w:spacing w:after="120" w:line="360" w:lineRule="auto"/>
              <w:jc w:val="center"/>
              <w:rPr>
                <w:b/>
                <w:bCs/>
              </w:rPr>
            </w:pPr>
            <w:r>
              <w:rPr>
                <w:b/>
                <w:bCs/>
              </w:rPr>
              <w:t>Piso</w:t>
            </w:r>
          </w:p>
        </w:tc>
        <w:tc>
          <w:tcPr>
            <w:tcW w:w="2236" w:type="dxa"/>
          </w:tcPr>
          <w:p w14:paraId="3CE3B880" w14:textId="77777777" w:rsidR="00407009" w:rsidRDefault="00000000">
            <w:pPr>
              <w:spacing w:after="120" w:line="360" w:lineRule="auto"/>
              <w:jc w:val="center"/>
              <w:rPr>
                <w:b/>
                <w:bCs/>
              </w:rPr>
            </w:pPr>
            <w:r>
              <w:rPr>
                <w:b/>
                <w:bCs/>
              </w:rPr>
              <w:t>m²</w:t>
            </w:r>
          </w:p>
        </w:tc>
      </w:tr>
      <w:tr w:rsidR="00407009" w14:paraId="2C91B30E" w14:textId="77777777">
        <w:trPr>
          <w:trHeight w:val="457"/>
        </w:trPr>
        <w:tc>
          <w:tcPr>
            <w:tcW w:w="2775" w:type="dxa"/>
            <w:vMerge w:val="restart"/>
            <w:vAlign w:val="center"/>
          </w:tcPr>
          <w:p w14:paraId="6943214C" w14:textId="77777777" w:rsidR="00407009" w:rsidRDefault="00000000">
            <w:pPr>
              <w:spacing w:after="120" w:line="360" w:lineRule="auto"/>
              <w:jc w:val="both"/>
            </w:pPr>
            <w:r>
              <w:lastRenderedPageBreak/>
              <w:t>Andar</w:t>
            </w:r>
          </w:p>
        </w:tc>
        <w:tc>
          <w:tcPr>
            <w:tcW w:w="1855" w:type="dxa"/>
            <w:vMerge w:val="restart"/>
            <w:vAlign w:val="center"/>
          </w:tcPr>
          <w:p w14:paraId="4F615054" w14:textId="77777777" w:rsidR="00407009" w:rsidRDefault="00000000">
            <w:pPr>
              <w:spacing w:after="120" w:line="360" w:lineRule="auto"/>
              <w:jc w:val="both"/>
            </w:pPr>
            <w:r>
              <w:t>Interna</w:t>
            </w:r>
          </w:p>
        </w:tc>
        <w:tc>
          <w:tcPr>
            <w:tcW w:w="2828" w:type="dxa"/>
          </w:tcPr>
          <w:p w14:paraId="635379AF" w14:textId="77777777" w:rsidR="00407009" w:rsidRDefault="00000000">
            <w:pPr>
              <w:spacing w:after="120" w:line="360" w:lineRule="auto"/>
              <w:jc w:val="both"/>
            </w:pPr>
            <w:r>
              <w:t>Piso Frio</w:t>
            </w:r>
          </w:p>
        </w:tc>
        <w:tc>
          <w:tcPr>
            <w:tcW w:w="2236" w:type="dxa"/>
          </w:tcPr>
          <w:p w14:paraId="1470203E" w14:textId="77777777" w:rsidR="00407009" w:rsidRDefault="00000000">
            <w:pPr>
              <w:spacing w:after="120" w:line="360" w:lineRule="auto"/>
              <w:jc w:val="both"/>
            </w:pPr>
            <w:r>
              <w:t>1.381,30</w:t>
            </w:r>
          </w:p>
        </w:tc>
      </w:tr>
      <w:tr w:rsidR="00407009" w14:paraId="48FF7F7F" w14:textId="77777777">
        <w:trPr>
          <w:trHeight w:val="457"/>
        </w:trPr>
        <w:tc>
          <w:tcPr>
            <w:tcW w:w="2775" w:type="dxa"/>
            <w:vMerge/>
            <w:vAlign w:val="center"/>
          </w:tcPr>
          <w:p w14:paraId="6C8EF354" w14:textId="77777777" w:rsidR="00407009" w:rsidRDefault="00407009">
            <w:pPr>
              <w:widowControl w:val="0"/>
              <w:pBdr>
                <w:top w:val="nil"/>
                <w:left w:val="nil"/>
                <w:bottom w:val="nil"/>
                <w:right w:val="nil"/>
                <w:between w:val="nil"/>
              </w:pBdr>
              <w:spacing w:line="276" w:lineRule="auto"/>
            </w:pPr>
          </w:p>
        </w:tc>
        <w:tc>
          <w:tcPr>
            <w:tcW w:w="1855" w:type="dxa"/>
            <w:vMerge/>
            <w:vAlign w:val="center"/>
          </w:tcPr>
          <w:p w14:paraId="4319D626" w14:textId="77777777" w:rsidR="00407009" w:rsidRDefault="00407009">
            <w:pPr>
              <w:widowControl w:val="0"/>
              <w:pBdr>
                <w:top w:val="nil"/>
                <w:left w:val="nil"/>
                <w:bottom w:val="nil"/>
                <w:right w:val="nil"/>
                <w:between w:val="nil"/>
              </w:pBdr>
              <w:spacing w:line="276" w:lineRule="auto"/>
            </w:pPr>
          </w:p>
        </w:tc>
        <w:tc>
          <w:tcPr>
            <w:tcW w:w="2828" w:type="dxa"/>
          </w:tcPr>
          <w:p w14:paraId="51395ABA" w14:textId="77777777" w:rsidR="00407009" w:rsidRDefault="00000000">
            <w:pPr>
              <w:spacing w:after="120" w:line="360" w:lineRule="auto"/>
              <w:jc w:val="both"/>
            </w:pPr>
            <w:r>
              <w:t>Acarpetado</w:t>
            </w:r>
          </w:p>
        </w:tc>
        <w:tc>
          <w:tcPr>
            <w:tcW w:w="2236" w:type="dxa"/>
          </w:tcPr>
          <w:p w14:paraId="205A7321" w14:textId="77777777" w:rsidR="00407009" w:rsidRDefault="00000000">
            <w:pPr>
              <w:spacing w:after="120" w:line="360" w:lineRule="auto"/>
              <w:jc w:val="both"/>
            </w:pPr>
            <w:r>
              <w:t>98,70</w:t>
            </w:r>
          </w:p>
        </w:tc>
      </w:tr>
      <w:tr w:rsidR="00407009" w14:paraId="0FB3E56E" w14:textId="77777777">
        <w:trPr>
          <w:trHeight w:val="458"/>
        </w:trPr>
        <w:tc>
          <w:tcPr>
            <w:tcW w:w="7458" w:type="dxa"/>
            <w:gridSpan w:val="3"/>
          </w:tcPr>
          <w:p w14:paraId="0CCB020F" w14:textId="77777777" w:rsidR="00407009" w:rsidRDefault="00000000">
            <w:pPr>
              <w:spacing w:after="120" w:line="360" w:lineRule="auto"/>
              <w:jc w:val="both"/>
            </w:pPr>
            <w:r>
              <w:t>Total (m²)</w:t>
            </w:r>
          </w:p>
        </w:tc>
        <w:tc>
          <w:tcPr>
            <w:tcW w:w="2236" w:type="dxa"/>
          </w:tcPr>
          <w:p w14:paraId="631AA189" w14:textId="77777777" w:rsidR="00407009" w:rsidRDefault="00000000">
            <w:pPr>
              <w:spacing w:after="120" w:line="360" w:lineRule="auto"/>
              <w:jc w:val="both"/>
            </w:pPr>
            <w:r>
              <w:t>1.480</w:t>
            </w:r>
          </w:p>
        </w:tc>
      </w:tr>
    </w:tbl>
    <w:p w14:paraId="03756C94" w14:textId="77777777" w:rsidR="00407009" w:rsidRDefault="00407009">
      <w:pPr>
        <w:spacing w:after="120" w:line="360" w:lineRule="auto"/>
        <w:jc w:val="both"/>
      </w:pPr>
    </w:p>
    <w:tbl>
      <w:tblPr>
        <w:tblStyle w:val="a6"/>
        <w:tblW w:w="9694"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88"/>
        <w:gridCol w:w="3665"/>
        <w:gridCol w:w="3041"/>
      </w:tblGrid>
      <w:tr w:rsidR="00407009" w14:paraId="214EF71A" w14:textId="77777777">
        <w:trPr>
          <w:trHeight w:val="402"/>
        </w:trPr>
        <w:tc>
          <w:tcPr>
            <w:tcW w:w="9694" w:type="dxa"/>
            <w:gridSpan w:val="3"/>
            <w:shd w:val="clear" w:color="auto" w:fill="D9D9D9"/>
            <w:vAlign w:val="center"/>
          </w:tcPr>
          <w:p w14:paraId="4AD32569" w14:textId="77777777" w:rsidR="00407009" w:rsidRDefault="00000000">
            <w:pPr>
              <w:spacing w:after="120" w:line="360" w:lineRule="auto"/>
              <w:jc w:val="center"/>
              <w:rPr>
                <w:b/>
                <w:bCs/>
              </w:rPr>
            </w:pPr>
            <w:r>
              <w:rPr>
                <w:b/>
                <w:bCs/>
              </w:rPr>
              <w:t>SUBSEÇÃO DE CABO FRIO - Rua Raul Veiga, 708, sala 301 – Edifício Maria Vitória – Centro – Cabo Frio/RJ</w:t>
            </w:r>
          </w:p>
        </w:tc>
      </w:tr>
      <w:tr w:rsidR="00407009" w14:paraId="1DF8EC14" w14:textId="77777777">
        <w:trPr>
          <w:trHeight w:val="432"/>
        </w:trPr>
        <w:tc>
          <w:tcPr>
            <w:tcW w:w="2988" w:type="dxa"/>
          </w:tcPr>
          <w:p w14:paraId="6D6A5EA2" w14:textId="77777777" w:rsidR="00407009" w:rsidRDefault="00000000">
            <w:pPr>
              <w:spacing w:after="120" w:line="360" w:lineRule="auto"/>
              <w:jc w:val="center"/>
              <w:rPr>
                <w:b/>
                <w:bCs/>
              </w:rPr>
            </w:pPr>
            <w:r>
              <w:rPr>
                <w:b/>
                <w:bCs/>
              </w:rPr>
              <w:t>Área</w:t>
            </w:r>
          </w:p>
        </w:tc>
        <w:tc>
          <w:tcPr>
            <w:tcW w:w="3665" w:type="dxa"/>
          </w:tcPr>
          <w:p w14:paraId="24BD63EA" w14:textId="77777777" w:rsidR="00407009" w:rsidRDefault="00000000">
            <w:pPr>
              <w:spacing w:after="120" w:line="360" w:lineRule="auto"/>
              <w:jc w:val="center"/>
              <w:rPr>
                <w:b/>
                <w:bCs/>
              </w:rPr>
            </w:pPr>
            <w:r>
              <w:rPr>
                <w:b/>
                <w:bCs/>
              </w:rPr>
              <w:t>Piso</w:t>
            </w:r>
          </w:p>
        </w:tc>
        <w:tc>
          <w:tcPr>
            <w:tcW w:w="3041" w:type="dxa"/>
          </w:tcPr>
          <w:p w14:paraId="10AED39D" w14:textId="77777777" w:rsidR="00407009" w:rsidRDefault="00000000">
            <w:pPr>
              <w:spacing w:after="120" w:line="360" w:lineRule="auto"/>
              <w:jc w:val="center"/>
              <w:rPr>
                <w:b/>
                <w:bCs/>
              </w:rPr>
            </w:pPr>
            <w:r>
              <w:rPr>
                <w:b/>
                <w:bCs/>
              </w:rPr>
              <w:t>m²</w:t>
            </w:r>
          </w:p>
        </w:tc>
      </w:tr>
      <w:tr w:rsidR="00407009" w14:paraId="1BBC7E6B" w14:textId="77777777">
        <w:trPr>
          <w:trHeight w:val="432"/>
        </w:trPr>
        <w:tc>
          <w:tcPr>
            <w:tcW w:w="2988" w:type="dxa"/>
            <w:tcBorders>
              <w:top w:val="single" w:sz="4" w:space="0" w:color="000000"/>
              <w:left w:val="single" w:sz="4" w:space="0" w:color="000000"/>
              <w:bottom w:val="single" w:sz="4" w:space="0" w:color="000000"/>
              <w:right w:val="single" w:sz="4" w:space="0" w:color="000000"/>
            </w:tcBorders>
          </w:tcPr>
          <w:p w14:paraId="71857E06" w14:textId="77777777" w:rsidR="00407009" w:rsidRDefault="00000000">
            <w:pPr>
              <w:spacing w:after="120" w:line="360" w:lineRule="auto"/>
              <w:jc w:val="center"/>
            </w:pPr>
            <w:r>
              <w:t>Interna</w:t>
            </w:r>
          </w:p>
        </w:tc>
        <w:tc>
          <w:tcPr>
            <w:tcW w:w="3665" w:type="dxa"/>
            <w:tcBorders>
              <w:top w:val="single" w:sz="4" w:space="0" w:color="000000"/>
              <w:left w:val="single" w:sz="4" w:space="0" w:color="000000"/>
              <w:bottom w:val="single" w:sz="4" w:space="0" w:color="000000"/>
              <w:right w:val="single" w:sz="4" w:space="0" w:color="000000"/>
            </w:tcBorders>
          </w:tcPr>
          <w:p w14:paraId="2940A651" w14:textId="77777777" w:rsidR="00407009" w:rsidRDefault="00000000">
            <w:pPr>
              <w:spacing w:after="120" w:line="360" w:lineRule="auto"/>
              <w:jc w:val="center"/>
            </w:pPr>
            <w:r>
              <w:t>Piso Frio</w:t>
            </w:r>
          </w:p>
        </w:tc>
        <w:tc>
          <w:tcPr>
            <w:tcW w:w="3041" w:type="dxa"/>
            <w:tcBorders>
              <w:top w:val="single" w:sz="4" w:space="0" w:color="000000"/>
              <w:left w:val="single" w:sz="4" w:space="0" w:color="000000"/>
              <w:bottom w:val="single" w:sz="4" w:space="0" w:color="000000"/>
              <w:right w:val="single" w:sz="4" w:space="0" w:color="000000"/>
            </w:tcBorders>
          </w:tcPr>
          <w:p w14:paraId="303927E6" w14:textId="77777777" w:rsidR="00407009" w:rsidRDefault="00000000">
            <w:pPr>
              <w:spacing w:after="120" w:line="360" w:lineRule="auto"/>
              <w:jc w:val="center"/>
            </w:pPr>
            <w:r>
              <w:t>54,66</w:t>
            </w:r>
          </w:p>
        </w:tc>
      </w:tr>
    </w:tbl>
    <w:p w14:paraId="294A9CE0" w14:textId="77777777" w:rsidR="00407009" w:rsidRDefault="00407009">
      <w:pPr>
        <w:spacing w:after="120" w:line="360" w:lineRule="auto"/>
        <w:jc w:val="both"/>
      </w:pPr>
    </w:p>
    <w:tbl>
      <w:tblPr>
        <w:tblStyle w:val="a7"/>
        <w:tblW w:w="9694"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03"/>
        <w:gridCol w:w="3625"/>
        <w:gridCol w:w="2966"/>
      </w:tblGrid>
      <w:tr w:rsidR="00407009" w14:paraId="3E56070C" w14:textId="77777777">
        <w:trPr>
          <w:trHeight w:val="402"/>
        </w:trPr>
        <w:tc>
          <w:tcPr>
            <w:tcW w:w="9694" w:type="dxa"/>
            <w:gridSpan w:val="3"/>
            <w:shd w:val="clear" w:color="auto" w:fill="D9D9D9"/>
            <w:vAlign w:val="center"/>
          </w:tcPr>
          <w:p w14:paraId="2E70F439" w14:textId="77777777" w:rsidR="00407009" w:rsidRDefault="00000000">
            <w:pPr>
              <w:spacing w:after="120" w:line="360" w:lineRule="auto"/>
              <w:jc w:val="center"/>
              <w:rPr>
                <w:b/>
                <w:bCs/>
              </w:rPr>
            </w:pPr>
            <w:r>
              <w:rPr>
                <w:b/>
                <w:bCs/>
              </w:rPr>
              <w:t>SUBSEÇÃO DE CAMPOS DE GOYTACAZES - Praça São Salvador, 41 sala 1103 e 1104 – Edifício Ninho das Águas – Campo dos Goytacazes/RJ</w:t>
            </w:r>
          </w:p>
        </w:tc>
      </w:tr>
      <w:tr w:rsidR="00407009" w14:paraId="14F0C99E" w14:textId="77777777">
        <w:trPr>
          <w:trHeight w:val="432"/>
        </w:trPr>
        <w:tc>
          <w:tcPr>
            <w:tcW w:w="3103" w:type="dxa"/>
          </w:tcPr>
          <w:p w14:paraId="0559371F" w14:textId="77777777" w:rsidR="00407009" w:rsidRDefault="00000000">
            <w:pPr>
              <w:spacing w:after="120" w:line="360" w:lineRule="auto"/>
              <w:jc w:val="center"/>
              <w:rPr>
                <w:b/>
                <w:bCs/>
              </w:rPr>
            </w:pPr>
            <w:r>
              <w:rPr>
                <w:b/>
                <w:bCs/>
              </w:rPr>
              <w:t>Área</w:t>
            </w:r>
          </w:p>
        </w:tc>
        <w:tc>
          <w:tcPr>
            <w:tcW w:w="3625" w:type="dxa"/>
          </w:tcPr>
          <w:p w14:paraId="4AA458FB" w14:textId="77777777" w:rsidR="00407009" w:rsidRDefault="00000000">
            <w:pPr>
              <w:spacing w:after="120" w:line="360" w:lineRule="auto"/>
              <w:jc w:val="center"/>
              <w:rPr>
                <w:b/>
                <w:bCs/>
              </w:rPr>
            </w:pPr>
            <w:r>
              <w:rPr>
                <w:b/>
                <w:bCs/>
              </w:rPr>
              <w:t>Piso</w:t>
            </w:r>
          </w:p>
        </w:tc>
        <w:tc>
          <w:tcPr>
            <w:tcW w:w="2966" w:type="dxa"/>
          </w:tcPr>
          <w:p w14:paraId="1DF68248" w14:textId="77777777" w:rsidR="00407009" w:rsidRDefault="00000000">
            <w:pPr>
              <w:spacing w:after="120" w:line="360" w:lineRule="auto"/>
              <w:jc w:val="center"/>
              <w:rPr>
                <w:b/>
                <w:bCs/>
              </w:rPr>
            </w:pPr>
            <w:r>
              <w:rPr>
                <w:b/>
                <w:bCs/>
              </w:rPr>
              <w:t>m²</w:t>
            </w:r>
          </w:p>
        </w:tc>
      </w:tr>
      <w:tr w:rsidR="00407009" w14:paraId="3EC93063" w14:textId="77777777">
        <w:trPr>
          <w:trHeight w:val="432"/>
        </w:trPr>
        <w:tc>
          <w:tcPr>
            <w:tcW w:w="3103" w:type="dxa"/>
            <w:tcBorders>
              <w:top w:val="single" w:sz="4" w:space="0" w:color="000000"/>
              <w:left w:val="single" w:sz="4" w:space="0" w:color="000000"/>
              <w:bottom w:val="single" w:sz="4" w:space="0" w:color="000000"/>
              <w:right w:val="single" w:sz="4" w:space="0" w:color="000000"/>
            </w:tcBorders>
          </w:tcPr>
          <w:p w14:paraId="7473747B" w14:textId="77777777" w:rsidR="00407009" w:rsidRDefault="00000000">
            <w:pPr>
              <w:spacing w:after="120" w:line="360" w:lineRule="auto"/>
              <w:jc w:val="center"/>
            </w:pPr>
            <w:r>
              <w:t>Interna</w:t>
            </w:r>
          </w:p>
        </w:tc>
        <w:tc>
          <w:tcPr>
            <w:tcW w:w="3625" w:type="dxa"/>
            <w:tcBorders>
              <w:top w:val="single" w:sz="4" w:space="0" w:color="000000"/>
              <w:left w:val="single" w:sz="4" w:space="0" w:color="000000"/>
              <w:bottom w:val="single" w:sz="4" w:space="0" w:color="000000"/>
              <w:right w:val="single" w:sz="4" w:space="0" w:color="000000"/>
            </w:tcBorders>
          </w:tcPr>
          <w:p w14:paraId="0C489AD5" w14:textId="77777777" w:rsidR="00407009" w:rsidRDefault="00000000">
            <w:pPr>
              <w:spacing w:after="120" w:line="360" w:lineRule="auto"/>
              <w:jc w:val="center"/>
            </w:pPr>
            <w:r>
              <w:t>Piso Frio</w:t>
            </w:r>
          </w:p>
        </w:tc>
        <w:tc>
          <w:tcPr>
            <w:tcW w:w="2966" w:type="dxa"/>
            <w:tcBorders>
              <w:top w:val="single" w:sz="4" w:space="0" w:color="000000"/>
              <w:left w:val="single" w:sz="4" w:space="0" w:color="000000"/>
              <w:bottom w:val="single" w:sz="4" w:space="0" w:color="000000"/>
              <w:right w:val="single" w:sz="4" w:space="0" w:color="000000"/>
            </w:tcBorders>
          </w:tcPr>
          <w:p w14:paraId="58689280" w14:textId="77777777" w:rsidR="00407009" w:rsidRDefault="00000000">
            <w:pPr>
              <w:spacing w:after="120" w:line="360" w:lineRule="auto"/>
              <w:jc w:val="center"/>
            </w:pPr>
            <w:r>
              <w:t>70</w:t>
            </w:r>
          </w:p>
        </w:tc>
      </w:tr>
    </w:tbl>
    <w:p w14:paraId="4752116B" w14:textId="77777777" w:rsidR="00407009" w:rsidRDefault="00407009"/>
    <w:tbl>
      <w:tblPr>
        <w:tblStyle w:val="a8"/>
        <w:tblW w:w="9694"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11"/>
        <w:gridCol w:w="3521"/>
        <w:gridCol w:w="2962"/>
      </w:tblGrid>
      <w:tr w:rsidR="00407009" w14:paraId="02AD309D" w14:textId="77777777">
        <w:trPr>
          <w:trHeight w:val="402"/>
        </w:trPr>
        <w:tc>
          <w:tcPr>
            <w:tcW w:w="9694" w:type="dxa"/>
            <w:gridSpan w:val="3"/>
            <w:shd w:val="clear" w:color="auto" w:fill="D9D9D9"/>
            <w:vAlign w:val="center"/>
          </w:tcPr>
          <w:p w14:paraId="32730C57" w14:textId="77777777" w:rsidR="00407009" w:rsidRDefault="00000000">
            <w:pPr>
              <w:spacing w:after="120" w:line="360" w:lineRule="auto"/>
              <w:jc w:val="center"/>
              <w:rPr>
                <w:b/>
                <w:bCs/>
              </w:rPr>
            </w:pPr>
            <w:r>
              <w:rPr>
                <w:b/>
                <w:bCs/>
              </w:rPr>
              <w:t>SUBSEÇÃO DE CAMPO GRANDE - Rua Aurélio de Figueiredo, 330, salas 301 e 302 – Campo Grande – Rio de Janeiro/RJ</w:t>
            </w:r>
          </w:p>
        </w:tc>
      </w:tr>
      <w:tr w:rsidR="00407009" w14:paraId="3E97DE01" w14:textId="77777777">
        <w:trPr>
          <w:trHeight w:val="432"/>
        </w:trPr>
        <w:tc>
          <w:tcPr>
            <w:tcW w:w="3211" w:type="dxa"/>
          </w:tcPr>
          <w:p w14:paraId="492EA3B1" w14:textId="77777777" w:rsidR="00407009" w:rsidRDefault="00000000">
            <w:pPr>
              <w:spacing w:after="120" w:line="360" w:lineRule="auto"/>
              <w:jc w:val="center"/>
              <w:rPr>
                <w:b/>
                <w:bCs/>
              </w:rPr>
            </w:pPr>
            <w:r>
              <w:rPr>
                <w:b/>
                <w:bCs/>
              </w:rPr>
              <w:t>Área</w:t>
            </w:r>
          </w:p>
        </w:tc>
        <w:tc>
          <w:tcPr>
            <w:tcW w:w="3521" w:type="dxa"/>
          </w:tcPr>
          <w:p w14:paraId="1D4AA109" w14:textId="77777777" w:rsidR="00407009" w:rsidRDefault="00000000">
            <w:pPr>
              <w:spacing w:after="120" w:line="360" w:lineRule="auto"/>
              <w:jc w:val="center"/>
              <w:rPr>
                <w:b/>
                <w:bCs/>
              </w:rPr>
            </w:pPr>
            <w:r>
              <w:rPr>
                <w:b/>
                <w:bCs/>
              </w:rPr>
              <w:t>Piso</w:t>
            </w:r>
          </w:p>
        </w:tc>
        <w:tc>
          <w:tcPr>
            <w:tcW w:w="2962" w:type="dxa"/>
          </w:tcPr>
          <w:p w14:paraId="531097AE" w14:textId="77777777" w:rsidR="00407009" w:rsidRDefault="00000000">
            <w:pPr>
              <w:spacing w:after="120" w:line="360" w:lineRule="auto"/>
              <w:jc w:val="center"/>
              <w:rPr>
                <w:b/>
                <w:bCs/>
              </w:rPr>
            </w:pPr>
            <w:r>
              <w:rPr>
                <w:b/>
                <w:bCs/>
              </w:rPr>
              <w:t>m²</w:t>
            </w:r>
          </w:p>
        </w:tc>
      </w:tr>
      <w:tr w:rsidR="00407009" w14:paraId="21F25B6E" w14:textId="77777777">
        <w:trPr>
          <w:trHeight w:val="432"/>
        </w:trPr>
        <w:tc>
          <w:tcPr>
            <w:tcW w:w="3211" w:type="dxa"/>
            <w:tcBorders>
              <w:top w:val="single" w:sz="4" w:space="0" w:color="000000"/>
              <w:left w:val="single" w:sz="4" w:space="0" w:color="000000"/>
              <w:bottom w:val="single" w:sz="4" w:space="0" w:color="000000"/>
              <w:right w:val="single" w:sz="4" w:space="0" w:color="000000"/>
            </w:tcBorders>
          </w:tcPr>
          <w:p w14:paraId="632CA680" w14:textId="77777777" w:rsidR="00407009" w:rsidRDefault="00000000">
            <w:pPr>
              <w:spacing w:after="120" w:line="360" w:lineRule="auto"/>
              <w:jc w:val="center"/>
            </w:pPr>
            <w:r>
              <w:t>Interna</w:t>
            </w:r>
          </w:p>
        </w:tc>
        <w:tc>
          <w:tcPr>
            <w:tcW w:w="3521" w:type="dxa"/>
            <w:tcBorders>
              <w:top w:val="single" w:sz="4" w:space="0" w:color="000000"/>
              <w:left w:val="single" w:sz="4" w:space="0" w:color="000000"/>
              <w:bottom w:val="single" w:sz="4" w:space="0" w:color="000000"/>
              <w:right w:val="single" w:sz="4" w:space="0" w:color="000000"/>
            </w:tcBorders>
          </w:tcPr>
          <w:p w14:paraId="42FC6A0C" w14:textId="77777777" w:rsidR="00407009" w:rsidRDefault="00000000">
            <w:pPr>
              <w:spacing w:after="120" w:line="360" w:lineRule="auto"/>
              <w:jc w:val="center"/>
            </w:pPr>
            <w:r>
              <w:t>Piso Frio</w:t>
            </w:r>
          </w:p>
        </w:tc>
        <w:tc>
          <w:tcPr>
            <w:tcW w:w="2962" w:type="dxa"/>
            <w:tcBorders>
              <w:top w:val="single" w:sz="4" w:space="0" w:color="000000"/>
              <w:left w:val="single" w:sz="4" w:space="0" w:color="000000"/>
              <w:bottom w:val="single" w:sz="4" w:space="0" w:color="000000"/>
              <w:right w:val="single" w:sz="4" w:space="0" w:color="000000"/>
            </w:tcBorders>
          </w:tcPr>
          <w:p w14:paraId="687D1743" w14:textId="77777777" w:rsidR="00407009" w:rsidRDefault="00000000">
            <w:pPr>
              <w:spacing w:after="120" w:line="360" w:lineRule="auto"/>
              <w:jc w:val="center"/>
            </w:pPr>
            <w:r>
              <w:t>80</w:t>
            </w:r>
          </w:p>
        </w:tc>
      </w:tr>
    </w:tbl>
    <w:p w14:paraId="69AA48A0" w14:textId="77777777" w:rsidR="00407009" w:rsidRDefault="00407009">
      <w:pPr>
        <w:spacing w:after="120" w:line="360" w:lineRule="auto"/>
        <w:jc w:val="both"/>
      </w:pPr>
    </w:p>
    <w:tbl>
      <w:tblPr>
        <w:tblStyle w:val="a9"/>
        <w:tblW w:w="9694"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60"/>
        <w:gridCol w:w="4338"/>
        <w:gridCol w:w="1796"/>
      </w:tblGrid>
      <w:tr w:rsidR="00407009" w14:paraId="579083F1" w14:textId="77777777">
        <w:trPr>
          <w:trHeight w:val="402"/>
        </w:trPr>
        <w:tc>
          <w:tcPr>
            <w:tcW w:w="9694" w:type="dxa"/>
            <w:gridSpan w:val="3"/>
            <w:shd w:val="clear" w:color="auto" w:fill="D9D9D9"/>
            <w:vAlign w:val="center"/>
          </w:tcPr>
          <w:p w14:paraId="44B10EC5" w14:textId="77777777" w:rsidR="00407009" w:rsidRDefault="00000000">
            <w:pPr>
              <w:spacing w:after="120" w:line="360" w:lineRule="auto"/>
              <w:jc w:val="center"/>
              <w:rPr>
                <w:b/>
                <w:bCs/>
              </w:rPr>
            </w:pPr>
            <w:r>
              <w:rPr>
                <w:b/>
                <w:bCs/>
              </w:rPr>
              <w:t>SUBSEÇÃO DE ITAPERUNA - Rua Dez de Maio, 704, sala 106 – Centro – Itaperuna/RJ</w:t>
            </w:r>
          </w:p>
        </w:tc>
      </w:tr>
      <w:tr w:rsidR="00407009" w14:paraId="63643656" w14:textId="77777777">
        <w:trPr>
          <w:trHeight w:val="432"/>
        </w:trPr>
        <w:tc>
          <w:tcPr>
            <w:tcW w:w="3560" w:type="dxa"/>
          </w:tcPr>
          <w:p w14:paraId="5E228F5D" w14:textId="77777777" w:rsidR="00407009" w:rsidRDefault="00000000">
            <w:pPr>
              <w:spacing w:after="120" w:line="360" w:lineRule="auto"/>
              <w:jc w:val="center"/>
              <w:rPr>
                <w:b/>
                <w:bCs/>
              </w:rPr>
            </w:pPr>
            <w:r>
              <w:rPr>
                <w:b/>
                <w:bCs/>
              </w:rPr>
              <w:t>Área</w:t>
            </w:r>
          </w:p>
        </w:tc>
        <w:tc>
          <w:tcPr>
            <w:tcW w:w="4338" w:type="dxa"/>
          </w:tcPr>
          <w:p w14:paraId="6EE2C251" w14:textId="77777777" w:rsidR="00407009" w:rsidRDefault="00000000">
            <w:pPr>
              <w:spacing w:after="120" w:line="360" w:lineRule="auto"/>
              <w:jc w:val="center"/>
              <w:rPr>
                <w:b/>
                <w:bCs/>
              </w:rPr>
            </w:pPr>
            <w:r>
              <w:rPr>
                <w:b/>
                <w:bCs/>
              </w:rPr>
              <w:t>Piso</w:t>
            </w:r>
          </w:p>
        </w:tc>
        <w:tc>
          <w:tcPr>
            <w:tcW w:w="1796" w:type="dxa"/>
          </w:tcPr>
          <w:p w14:paraId="0C458DF9" w14:textId="77777777" w:rsidR="00407009" w:rsidRDefault="00000000">
            <w:pPr>
              <w:spacing w:after="120" w:line="360" w:lineRule="auto"/>
              <w:jc w:val="center"/>
              <w:rPr>
                <w:b/>
                <w:bCs/>
              </w:rPr>
            </w:pPr>
            <w:r>
              <w:rPr>
                <w:b/>
                <w:bCs/>
              </w:rPr>
              <w:t>m²</w:t>
            </w:r>
          </w:p>
        </w:tc>
      </w:tr>
      <w:tr w:rsidR="00407009" w14:paraId="4FC42E59" w14:textId="77777777">
        <w:trPr>
          <w:trHeight w:val="432"/>
        </w:trPr>
        <w:tc>
          <w:tcPr>
            <w:tcW w:w="3560" w:type="dxa"/>
            <w:tcBorders>
              <w:top w:val="single" w:sz="4" w:space="0" w:color="000000"/>
              <w:left w:val="single" w:sz="4" w:space="0" w:color="000000"/>
              <w:bottom w:val="single" w:sz="4" w:space="0" w:color="000000"/>
              <w:right w:val="single" w:sz="4" w:space="0" w:color="000000"/>
            </w:tcBorders>
          </w:tcPr>
          <w:p w14:paraId="168579E1" w14:textId="77777777" w:rsidR="00407009" w:rsidRDefault="00000000">
            <w:pPr>
              <w:spacing w:after="120" w:line="360" w:lineRule="auto"/>
              <w:jc w:val="center"/>
            </w:pPr>
            <w:r>
              <w:t>Interna</w:t>
            </w:r>
          </w:p>
        </w:tc>
        <w:tc>
          <w:tcPr>
            <w:tcW w:w="4338" w:type="dxa"/>
            <w:tcBorders>
              <w:top w:val="single" w:sz="4" w:space="0" w:color="000000"/>
              <w:left w:val="single" w:sz="4" w:space="0" w:color="000000"/>
              <w:bottom w:val="single" w:sz="4" w:space="0" w:color="000000"/>
              <w:right w:val="single" w:sz="4" w:space="0" w:color="000000"/>
            </w:tcBorders>
          </w:tcPr>
          <w:p w14:paraId="19A17127" w14:textId="77777777" w:rsidR="00407009" w:rsidRDefault="00000000">
            <w:pPr>
              <w:spacing w:after="120" w:line="360" w:lineRule="auto"/>
              <w:jc w:val="center"/>
            </w:pPr>
            <w:r>
              <w:t>Piso Frio</w:t>
            </w:r>
          </w:p>
        </w:tc>
        <w:tc>
          <w:tcPr>
            <w:tcW w:w="1796" w:type="dxa"/>
            <w:tcBorders>
              <w:top w:val="single" w:sz="4" w:space="0" w:color="000000"/>
              <w:left w:val="single" w:sz="4" w:space="0" w:color="000000"/>
              <w:bottom w:val="single" w:sz="4" w:space="0" w:color="000000"/>
              <w:right w:val="single" w:sz="4" w:space="0" w:color="000000"/>
            </w:tcBorders>
          </w:tcPr>
          <w:p w14:paraId="617E926C" w14:textId="77777777" w:rsidR="00407009" w:rsidRDefault="00000000">
            <w:pPr>
              <w:spacing w:after="120" w:line="360" w:lineRule="auto"/>
              <w:jc w:val="center"/>
            </w:pPr>
            <w:r>
              <w:t>31</w:t>
            </w:r>
          </w:p>
        </w:tc>
      </w:tr>
    </w:tbl>
    <w:p w14:paraId="3432E280" w14:textId="77777777" w:rsidR="00407009" w:rsidRDefault="00407009">
      <w:pPr>
        <w:spacing w:after="120" w:line="360" w:lineRule="auto"/>
        <w:jc w:val="both"/>
      </w:pPr>
    </w:p>
    <w:tbl>
      <w:tblPr>
        <w:tblStyle w:val="aa"/>
        <w:tblW w:w="9694"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60"/>
        <w:gridCol w:w="4159"/>
        <w:gridCol w:w="2275"/>
      </w:tblGrid>
      <w:tr w:rsidR="00407009" w14:paraId="61137CC7" w14:textId="77777777">
        <w:trPr>
          <w:trHeight w:val="402"/>
        </w:trPr>
        <w:tc>
          <w:tcPr>
            <w:tcW w:w="9694" w:type="dxa"/>
            <w:gridSpan w:val="3"/>
            <w:shd w:val="clear" w:color="auto" w:fill="D9D9D9"/>
            <w:vAlign w:val="center"/>
          </w:tcPr>
          <w:p w14:paraId="1F281DFF" w14:textId="77777777" w:rsidR="00407009" w:rsidRDefault="00000000">
            <w:pPr>
              <w:spacing w:after="120" w:line="360" w:lineRule="auto"/>
              <w:jc w:val="center"/>
              <w:rPr>
                <w:b/>
                <w:bCs/>
              </w:rPr>
            </w:pPr>
            <w:r>
              <w:rPr>
                <w:b/>
                <w:bCs/>
              </w:rPr>
              <w:t>SUBSEÇÃO DE NITERÓI - Avenida Amaral Peixoto, 500, sala 410 - Centro – Niterói/RJ</w:t>
            </w:r>
          </w:p>
        </w:tc>
      </w:tr>
      <w:tr w:rsidR="00407009" w14:paraId="35B27B0D" w14:textId="77777777">
        <w:trPr>
          <w:trHeight w:val="432"/>
        </w:trPr>
        <w:tc>
          <w:tcPr>
            <w:tcW w:w="3260" w:type="dxa"/>
          </w:tcPr>
          <w:p w14:paraId="43A6C086" w14:textId="77777777" w:rsidR="00407009" w:rsidRDefault="00000000">
            <w:pPr>
              <w:spacing w:after="120" w:line="360" w:lineRule="auto"/>
              <w:jc w:val="center"/>
              <w:rPr>
                <w:b/>
                <w:bCs/>
              </w:rPr>
            </w:pPr>
            <w:r>
              <w:rPr>
                <w:b/>
                <w:bCs/>
              </w:rPr>
              <w:t>Área</w:t>
            </w:r>
          </w:p>
        </w:tc>
        <w:tc>
          <w:tcPr>
            <w:tcW w:w="4159" w:type="dxa"/>
          </w:tcPr>
          <w:p w14:paraId="6F34B389" w14:textId="77777777" w:rsidR="00407009" w:rsidRDefault="00000000">
            <w:pPr>
              <w:spacing w:after="120" w:line="360" w:lineRule="auto"/>
              <w:jc w:val="center"/>
              <w:rPr>
                <w:b/>
                <w:bCs/>
              </w:rPr>
            </w:pPr>
            <w:r>
              <w:rPr>
                <w:b/>
                <w:bCs/>
              </w:rPr>
              <w:t>Piso</w:t>
            </w:r>
          </w:p>
        </w:tc>
        <w:tc>
          <w:tcPr>
            <w:tcW w:w="2275" w:type="dxa"/>
          </w:tcPr>
          <w:p w14:paraId="53D88D53" w14:textId="77777777" w:rsidR="00407009" w:rsidRDefault="00000000">
            <w:pPr>
              <w:spacing w:after="120" w:line="360" w:lineRule="auto"/>
              <w:jc w:val="center"/>
              <w:rPr>
                <w:b/>
                <w:bCs/>
              </w:rPr>
            </w:pPr>
            <w:r>
              <w:rPr>
                <w:b/>
                <w:bCs/>
              </w:rPr>
              <w:t>m²</w:t>
            </w:r>
          </w:p>
        </w:tc>
      </w:tr>
      <w:tr w:rsidR="00407009" w14:paraId="39EC44F4" w14:textId="77777777">
        <w:trPr>
          <w:trHeight w:val="432"/>
        </w:trPr>
        <w:tc>
          <w:tcPr>
            <w:tcW w:w="3260" w:type="dxa"/>
            <w:tcBorders>
              <w:top w:val="single" w:sz="4" w:space="0" w:color="000000"/>
              <w:left w:val="single" w:sz="4" w:space="0" w:color="000000"/>
              <w:bottom w:val="single" w:sz="4" w:space="0" w:color="000000"/>
              <w:right w:val="single" w:sz="4" w:space="0" w:color="000000"/>
            </w:tcBorders>
          </w:tcPr>
          <w:p w14:paraId="1B2769A8" w14:textId="77777777" w:rsidR="00407009" w:rsidRDefault="00000000">
            <w:pPr>
              <w:spacing w:after="120" w:line="360" w:lineRule="auto"/>
              <w:jc w:val="center"/>
            </w:pPr>
            <w:r>
              <w:t>Interna</w:t>
            </w:r>
          </w:p>
        </w:tc>
        <w:tc>
          <w:tcPr>
            <w:tcW w:w="4159" w:type="dxa"/>
            <w:tcBorders>
              <w:top w:val="single" w:sz="4" w:space="0" w:color="000000"/>
              <w:left w:val="single" w:sz="4" w:space="0" w:color="000000"/>
              <w:bottom w:val="single" w:sz="4" w:space="0" w:color="000000"/>
              <w:right w:val="single" w:sz="4" w:space="0" w:color="000000"/>
            </w:tcBorders>
          </w:tcPr>
          <w:p w14:paraId="520D13E4" w14:textId="77777777" w:rsidR="00407009" w:rsidRDefault="00000000">
            <w:pPr>
              <w:spacing w:after="120" w:line="360" w:lineRule="auto"/>
              <w:jc w:val="center"/>
            </w:pPr>
            <w:r>
              <w:t>Carpete</w:t>
            </w:r>
          </w:p>
        </w:tc>
        <w:tc>
          <w:tcPr>
            <w:tcW w:w="2275" w:type="dxa"/>
            <w:tcBorders>
              <w:top w:val="single" w:sz="4" w:space="0" w:color="000000"/>
              <w:left w:val="single" w:sz="4" w:space="0" w:color="000000"/>
              <w:bottom w:val="single" w:sz="4" w:space="0" w:color="000000"/>
              <w:right w:val="single" w:sz="4" w:space="0" w:color="000000"/>
            </w:tcBorders>
          </w:tcPr>
          <w:p w14:paraId="5AC10511" w14:textId="77777777" w:rsidR="00407009" w:rsidRDefault="00000000">
            <w:pPr>
              <w:spacing w:after="120" w:line="360" w:lineRule="auto"/>
              <w:jc w:val="center"/>
            </w:pPr>
            <w:r>
              <w:t>37</w:t>
            </w:r>
          </w:p>
        </w:tc>
      </w:tr>
    </w:tbl>
    <w:p w14:paraId="381E0E12" w14:textId="77777777" w:rsidR="00407009" w:rsidRDefault="00407009">
      <w:pPr>
        <w:spacing w:after="120" w:line="360" w:lineRule="auto"/>
        <w:jc w:val="both"/>
      </w:pPr>
    </w:p>
    <w:tbl>
      <w:tblPr>
        <w:tblStyle w:val="ab"/>
        <w:tblW w:w="9694"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90"/>
        <w:gridCol w:w="4116"/>
        <w:gridCol w:w="2288"/>
      </w:tblGrid>
      <w:tr w:rsidR="00407009" w14:paraId="7083B464" w14:textId="77777777">
        <w:trPr>
          <w:trHeight w:val="402"/>
        </w:trPr>
        <w:tc>
          <w:tcPr>
            <w:tcW w:w="9694" w:type="dxa"/>
            <w:gridSpan w:val="3"/>
            <w:shd w:val="clear" w:color="auto" w:fill="D9D9D9"/>
            <w:vAlign w:val="center"/>
          </w:tcPr>
          <w:p w14:paraId="740EA2AD" w14:textId="77777777" w:rsidR="00407009" w:rsidRDefault="00000000">
            <w:pPr>
              <w:spacing w:after="120" w:line="360" w:lineRule="auto"/>
              <w:jc w:val="center"/>
              <w:rPr>
                <w:b/>
                <w:bCs/>
              </w:rPr>
            </w:pPr>
            <w:r>
              <w:rPr>
                <w:b/>
                <w:bCs/>
              </w:rPr>
              <w:t>SUBSEÇÃO DE NOVA IGUAÇU - Rua Dr. Athaide Pimenta de Moraes, 211, salas 701 e 702 – Centro – Nova Iguaçu/RJ</w:t>
            </w:r>
          </w:p>
        </w:tc>
      </w:tr>
      <w:tr w:rsidR="00407009" w14:paraId="238D9AE1" w14:textId="77777777">
        <w:trPr>
          <w:trHeight w:val="432"/>
        </w:trPr>
        <w:tc>
          <w:tcPr>
            <w:tcW w:w="3290" w:type="dxa"/>
          </w:tcPr>
          <w:p w14:paraId="07AC4FC0" w14:textId="77777777" w:rsidR="00407009" w:rsidRDefault="00000000">
            <w:pPr>
              <w:spacing w:after="120" w:line="360" w:lineRule="auto"/>
              <w:jc w:val="center"/>
              <w:rPr>
                <w:b/>
                <w:bCs/>
              </w:rPr>
            </w:pPr>
            <w:r>
              <w:rPr>
                <w:b/>
                <w:bCs/>
              </w:rPr>
              <w:lastRenderedPageBreak/>
              <w:t>Área</w:t>
            </w:r>
          </w:p>
        </w:tc>
        <w:tc>
          <w:tcPr>
            <w:tcW w:w="4116" w:type="dxa"/>
          </w:tcPr>
          <w:p w14:paraId="787C301E" w14:textId="77777777" w:rsidR="00407009" w:rsidRDefault="00000000">
            <w:pPr>
              <w:spacing w:after="120" w:line="360" w:lineRule="auto"/>
              <w:jc w:val="center"/>
              <w:rPr>
                <w:b/>
                <w:bCs/>
              </w:rPr>
            </w:pPr>
            <w:r>
              <w:rPr>
                <w:b/>
                <w:bCs/>
              </w:rPr>
              <w:t>Piso</w:t>
            </w:r>
          </w:p>
        </w:tc>
        <w:tc>
          <w:tcPr>
            <w:tcW w:w="2288" w:type="dxa"/>
          </w:tcPr>
          <w:p w14:paraId="4F4EF804" w14:textId="77777777" w:rsidR="00407009" w:rsidRDefault="00000000">
            <w:pPr>
              <w:spacing w:after="120" w:line="360" w:lineRule="auto"/>
              <w:jc w:val="center"/>
              <w:rPr>
                <w:b/>
                <w:bCs/>
              </w:rPr>
            </w:pPr>
            <w:r>
              <w:rPr>
                <w:b/>
                <w:bCs/>
              </w:rPr>
              <w:t>m²</w:t>
            </w:r>
          </w:p>
        </w:tc>
      </w:tr>
      <w:tr w:rsidR="00407009" w14:paraId="137D30AF" w14:textId="77777777">
        <w:trPr>
          <w:trHeight w:val="432"/>
        </w:trPr>
        <w:tc>
          <w:tcPr>
            <w:tcW w:w="3290" w:type="dxa"/>
            <w:tcBorders>
              <w:top w:val="single" w:sz="4" w:space="0" w:color="000000"/>
              <w:left w:val="single" w:sz="4" w:space="0" w:color="000000"/>
              <w:bottom w:val="single" w:sz="4" w:space="0" w:color="000000"/>
              <w:right w:val="single" w:sz="4" w:space="0" w:color="000000"/>
            </w:tcBorders>
          </w:tcPr>
          <w:p w14:paraId="0A7B7306" w14:textId="77777777" w:rsidR="00407009" w:rsidRDefault="00000000">
            <w:pPr>
              <w:spacing w:after="120" w:line="360" w:lineRule="auto"/>
              <w:jc w:val="center"/>
            </w:pPr>
            <w:r>
              <w:t>Interna</w:t>
            </w:r>
          </w:p>
        </w:tc>
        <w:tc>
          <w:tcPr>
            <w:tcW w:w="4116" w:type="dxa"/>
            <w:tcBorders>
              <w:top w:val="single" w:sz="4" w:space="0" w:color="000000"/>
              <w:left w:val="single" w:sz="4" w:space="0" w:color="000000"/>
              <w:bottom w:val="single" w:sz="4" w:space="0" w:color="000000"/>
              <w:right w:val="single" w:sz="4" w:space="0" w:color="000000"/>
            </w:tcBorders>
          </w:tcPr>
          <w:p w14:paraId="3CF85305" w14:textId="77777777" w:rsidR="00407009" w:rsidRDefault="00000000">
            <w:pPr>
              <w:spacing w:after="120" w:line="360" w:lineRule="auto"/>
              <w:jc w:val="center"/>
            </w:pPr>
            <w:r>
              <w:t>Piso Frio</w:t>
            </w:r>
          </w:p>
        </w:tc>
        <w:tc>
          <w:tcPr>
            <w:tcW w:w="2288" w:type="dxa"/>
            <w:tcBorders>
              <w:top w:val="single" w:sz="4" w:space="0" w:color="000000"/>
              <w:left w:val="single" w:sz="4" w:space="0" w:color="000000"/>
              <w:bottom w:val="single" w:sz="4" w:space="0" w:color="000000"/>
              <w:right w:val="single" w:sz="4" w:space="0" w:color="000000"/>
            </w:tcBorders>
          </w:tcPr>
          <w:p w14:paraId="1D95B63E" w14:textId="77777777" w:rsidR="00407009" w:rsidRDefault="00000000">
            <w:pPr>
              <w:spacing w:after="120" w:line="360" w:lineRule="auto"/>
              <w:jc w:val="center"/>
            </w:pPr>
            <w:r>
              <w:t>60</w:t>
            </w:r>
          </w:p>
        </w:tc>
      </w:tr>
    </w:tbl>
    <w:p w14:paraId="44C159FA" w14:textId="77777777" w:rsidR="00407009" w:rsidRDefault="00407009">
      <w:pPr>
        <w:spacing w:after="120" w:line="360" w:lineRule="auto"/>
        <w:jc w:val="both"/>
      </w:pPr>
    </w:p>
    <w:tbl>
      <w:tblPr>
        <w:tblStyle w:val="ac"/>
        <w:tblW w:w="9694"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0"/>
        <w:gridCol w:w="3918"/>
        <w:gridCol w:w="2396"/>
      </w:tblGrid>
      <w:tr w:rsidR="00407009" w14:paraId="17C53F91" w14:textId="77777777">
        <w:trPr>
          <w:trHeight w:val="402"/>
        </w:trPr>
        <w:tc>
          <w:tcPr>
            <w:tcW w:w="9694" w:type="dxa"/>
            <w:gridSpan w:val="3"/>
            <w:shd w:val="clear" w:color="auto" w:fill="D9D9D9"/>
            <w:vAlign w:val="center"/>
          </w:tcPr>
          <w:p w14:paraId="48A5B2B2" w14:textId="77777777" w:rsidR="00407009" w:rsidRDefault="00000000">
            <w:pPr>
              <w:spacing w:after="120" w:line="360" w:lineRule="auto"/>
              <w:jc w:val="center"/>
              <w:rPr>
                <w:b/>
                <w:bCs/>
              </w:rPr>
            </w:pPr>
            <w:r>
              <w:rPr>
                <w:b/>
                <w:bCs/>
              </w:rPr>
              <w:t xml:space="preserve">SUBSEÇÃO DE NOVA FRIBURGO – Pç. Presidente Getúlio Vargas, 176, sala 604 – Ed. </w:t>
            </w:r>
            <w:proofErr w:type="spellStart"/>
            <w:r>
              <w:rPr>
                <w:b/>
                <w:bCs/>
              </w:rPr>
              <w:t>Executive</w:t>
            </w:r>
            <w:proofErr w:type="spellEnd"/>
            <w:r>
              <w:rPr>
                <w:b/>
                <w:bCs/>
              </w:rPr>
              <w:t xml:space="preserve"> Center – Centro - Nova Friburgo/RJ</w:t>
            </w:r>
          </w:p>
        </w:tc>
      </w:tr>
      <w:tr w:rsidR="00407009" w14:paraId="7BBDE82E" w14:textId="77777777">
        <w:trPr>
          <w:trHeight w:val="432"/>
        </w:trPr>
        <w:tc>
          <w:tcPr>
            <w:tcW w:w="3380" w:type="dxa"/>
          </w:tcPr>
          <w:p w14:paraId="05245C8B" w14:textId="77777777" w:rsidR="00407009" w:rsidRDefault="00000000">
            <w:pPr>
              <w:spacing w:after="120" w:line="360" w:lineRule="auto"/>
              <w:jc w:val="center"/>
              <w:rPr>
                <w:b/>
                <w:bCs/>
              </w:rPr>
            </w:pPr>
            <w:r>
              <w:rPr>
                <w:b/>
                <w:bCs/>
              </w:rPr>
              <w:t>Área</w:t>
            </w:r>
          </w:p>
        </w:tc>
        <w:tc>
          <w:tcPr>
            <w:tcW w:w="3918" w:type="dxa"/>
          </w:tcPr>
          <w:p w14:paraId="5EFF032E" w14:textId="77777777" w:rsidR="00407009" w:rsidRDefault="00000000">
            <w:pPr>
              <w:spacing w:after="120" w:line="360" w:lineRule="auto"/>
              <w:jc w:val="center"/>
              <w:rPr>
                <w:b/>
                <w:bCs/>
              </w:rPr>
            </w:pPr>
            <w:r>
              <w:rPr>
                <w:b/>
                <w:bCs/>
              </w:rPr>
              <w:t>Piso</w:t>
            </w:r>
          </w:p>
        </w:tc>
        <w:tc>
          <w:tcPr>
            <w:tcW w:w="2396" w:type="dxa"/>
          </w:tcPr>
          <w:p w14:paraId="7829EEDF" w14:textId="77777777" w:rsidR="00407009" w:rsidRDefault="00000000">
            <w:pPr>
              <w:spacing w:after="120" w:line="360" w:lineRule="auto"/>
              <w:jc w:val="center"/>
              <w:rPr>
                <w:b/>
                <w:bCs/>
              </w:rPr>
            </w:pPr>
            <w:r>
              <w:rPr>
                <w:b/>
                <w:bCs/>
              </w:rPr>
              <w:t>m²</w:t>
            </w:r>
          </w:p>
        </w:tc>
      </w:tr>
      <w:tr w:rsidR="00407009" w14:paraId="4D0AF4CF" w14:textId="77777777">
        <w:trPr>
          <w:trHeight w:val="432"/>
        </w:trPr>
        <w:tc>
          <w:tcPr>
            <w:tcW w:w="3380" w:type="dxa"/>
            <w:tcBorders>
              <w:top w:val="single" w:sz="4" w:space="0" w:color="000000"/>
              <w:left w:val="single" w:sz="4" w:space="0" w:color="000000"/>
              <w:bottom w:val="single" w:sz="4" w:space="0" w:color="000000"/>
              <w:right w:val="single" w:sz="4" w:space="0" w:color="000000"/>
            </w:tcBorders>
          </w:tcPr>
          <w:p w14:paraId="3F8120A0" w14:textId="77777777" w:rsidR="00407009" w:rsidRDefault="00000000">
            <w:pPr>
              <w:spacing w:after="120" w:line="360" w:lineRule="auto"/>
              <w:jc w:val="center"/>
            </w:pPr>
            <w:r>
              <w:t>Interna</w:t>
            </w:r>
          </w:p>
        </w:tc>
        <w:tc>
          <w:tcPr>
            <w:tcW w:w="3918" w:type="dxa"/>
            <w:tcBorders>
              <w:top w:val="single" w:sz="4" w:space="0" w:color="000000"/>
              <w:left w:val="single" w:sz="4" w:space="0" w:color="000000"/>
              <w:bottom w:val="single" w:sz="4" w:space="0" w:color="000000"/>
              <w:right w:val="single" w:sz="4" w:space="0" w:color="000000"/>
            </w:tcBorders>
          </w:tcPr>
          <w:p w14:paraId="57CD73F7" w14:textId="77777777" w:rsidR="00407009" w:rsidRDefault="00000000">
            <w:pPr>
              <w:spacing w:after="120" w:line="360" w:lineRule="auto"/>
              <w:jc w:val="center"/>
            </w:pPr>
            <w:r>
              <w:t>Piso Frio</w:t>
            </w:r>
          </w:p>
        </w:tc>
        <w:tc>
          <w:tcPr>
            <w:tcW w:w="2396" w:type="dxa"/>
            <w:tcBorders>
              <w:top w:val="single" w:sz="4" w:space="0" w:color="000000"/>
              <w:left w:val="single" w:sz="4" w:space="0" w:color="000000"/>
              <w:bottom w:val="single" w:sz="4" w:space="0" w:color="000000"/>
              <w:right w:val="single" w:sz="4" w:space="0" w:color="000000"/>
            </w:tcBorders>
          </w:tcPr>
          <w:p w14:paraId="7FE69C66" w14:textId="77777777" w:rsidR="00407009" w:rsidRDefault="00000000">
            <w:pPr>
              <w:spacing w:after="120" w:line="360" w:lineRule="auto"/>
              <w:jc w:val="center"/>
            </w:pPr>
            <w:r>
              <w:t>37</w:t>
            </w:r>
          </w:p>
        </w:tc>
      </w:tr>
    </w:tbl>
    <w:p w14:paraId="385E7780" w14:textId="77777777" w:rsidR="00407009" w:rsidRDefault="00407009"/>
    <w:p w14:paraId="1B1B3C39" w14:textId="77777777" w:rsidR="00407009" w:rsidRDefault="00407009"/>
    <w:tbl>
      <w:tblPr>
        <w:tblStyle w:val="ad"/>
        <w:tblW w:w="9694"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17"/>
        <w:gridCol w:w="4042"/>
        <w:gridCol w:w="2335"/>
      </w:tblGrid>
      <w:tr w:rsidR="00407009" w14:paraId="43BB5B92" w14:textId="77777777">
        <w:trPr>
          <w:trHeight w:val="402"/>
        </w:trPr>
        <w:tc>
          <w:tcPr>
            <w:tcW w:w="9694" w:type="dxa"/>
            <w:gridSpan w:val="3"/>
            <w:shd w:val="clear" w:color="auto" w:fill="D9D9D9"/>
            <w:vAlign w:val="center"/>
          </w:tcPr>
          <w:p w14:paraId="7EE21E8F" w14:textId="77777777" w:rsidR="00407009" w:rsidRDefault="00000000">
            <w:pPr>
              <w:spacing w:after="120" w:line="360" w:lineRule="auto"/>
              <w:jc w:val="center"/>
              <w:rPr>
                <w:b/>
                <w:bCs/>
              </w:rPr>
            </w:pPr>
            <w:r>
              <w:rPr>
                <w:b/>
                <w:bCs/>
              </w:rPr>
              <w:t>SUBSEÇÃO DE PETRÓPOLIS - Rua do Imperador, 288, sala 906 – Shopping Dom Pedro II – Centro – Petrópolis/RJ</w:t>
            </w:r>
          </w:p>
        </w:tc>
      </w:tr>
      <w:tr w:rsidR="00407009" w14:paraId="224B9D7A" w14:textId="77777777">
        <w:trPr>
          <w:trHeight w:val="432"/>
        </w:trPr>
        <w:tc>
          <w:tcPr>
            <w:tcW w:w="3317" w:type="dxa"/>
          </w:tcPr>
          <w:p w14:paraId="05B4C131" w14:textId="77777777" w:rsidR="00407009" w:rsidRDefault="00000000">
            <w:pPr>
              <w:spacing w:after="120" w:line="360" w:lineRule="auto"/>
              <w:jc w:val="center"/>
              <w:rPr>
                <w:b/>
                <w:bCs/>
              </w:rPr>
            </w:pPr>
            <w:r>
              <w:rPr>
                <w:b/>
                <w:bCs/>
              </w:rPr>
              <w:t>Área</w:t>
            </w:r>
          </w:p>
        </w:tc>
        <w:tc>
          <w:tcPr>
            <w:tcW w:w="4042" w:type="dxa"/>
          </w:tcPr>
          <w:p w14:paraId="02641D6A" w14:textId="77777777" w:rsidR="00407009" w:rsidRDefault="00000000">
            <w:pPr>
              <w:spacing w:after="120" w:line="360" w:lineRule="auto"/>
              <w:jc w:val="center"/>
              <w:rPr>
                <w:b/>
                <w:bCs/>
              </w:rPr>
            </w:pPr>
            <w:r>
              <w:rPr>
                <w:b/>
                <w:bCs/>
              </w:rPr>
              <w:t>Piso</w:t>
            </w:r>
          </w:p>
        </w:tc>
        <w:tc>
          <w:tcPr>
            <w:tcW w:w="2335" w:type="dxa"/>
          </w:tcPr>
          <w:p w14:paraId="55C93037" w14:textId="77777777" w:rsidR="00407009" w:rsidRDefault="00000000">
            <w:pPr>
              <w:spacing w:after="120" w:line="360" w:lineRule="auto"/>
              <w:jc w:val="center"/>
              <w:rPr>
                <w:b/>
                <w:bCs/>
              </w:rPr>
            </w:pPr>
            <w:r>
              <w:rPr>
                <w:b/>
                <w:bCs/>
              </w:rPr>
              <w:t>m²</w:t>
            </w:r>
          </w:p>
        </w:tc>
      </w:tr>
      <w:tr w:rsidR="00407009" w14:paraId="06FAFF09" w14:textId="77777777">
        <w:trPr>
          <w:trHeight w:val="432"/>
        </w:trPr>
        <w:tc>
          <w:tcPr>
            <w:tcW w:w="3317" w:type="dxa"/>
            <w:tcBorders>
              <w:top w:val="single" w:sz="4" w:space="0" w:color="000000"/>
              <w:left w:val="single" w:sz="4" w:space="0" w:color="000000"/>
              <w:bottom w:val="single" w:sz="4" w:space="0" w:color="000000"/>
              <w:right w:val="single" w:sz="4" w:space="0" w:color="000000"/>
            </w:tcBorders>
          </w:tcPr>
          <w:p w14:paraId="49E52697" w14:textId="77777777" w:rsidR="00407009" w:rsidRDefault="00000000">
            <w:pPr>
              <w:spacing w:after="120" w:line="360" w:lineRule="auto"/>
              <w:jc w:val="center"/>
            </w:pPr>
            <w:r>
              <w:t>Interna</w:t>
            </w:r>
          </w:p>
        </w:tc>
        <w:tc>
          <w:tcPr>
            <w:tcW w:w="4042" w:type="dxa"/>
            <w:tcBorders>
              <w:top w:val="single" w:sz="4" w:space="0" w:color="000000"/>
              <w:left w:val="single" w:sz="4" w:space="0" w:color="000000"/>
              <w:bottom w:val="single" w:sz="4" w:space="0" w:color="000000"/>
              <w:right w:val="single" w:sz="4" w:space="0" w:color="000000"/>
            </w:tcBorders>
          </w:tcPr>
          <w:p w14:paraId="77063D74" w14:textId="77777777" w:rsidR="00407009" w:rsidRDefault="00000000">
            <w:pPr>
              <w:spacing w:after="120" w:line="360" w:lineRule="auto"/>
              <w:jc w:val="center"/>
            </w:pPr>
            <w:r>
              <w:t>Piso Frio</w:t>
            </w:r>
          </w:p>
        </w:tc>
        <w:tc>
          <w:tcPr>
            <w:tcW w:w="2335" w:type="dxa"/>
            <w:tcBorders>
              <w:top w:val="single" w:sz="4" w:space="0" w:color="000000"/>
              <w:left w:val="single" w:sz="4" w:space="0" w:color="000000"/>
              <w:bottom w:val="single" w:sz="4" w:space="0" w:color="000000"/>
              <w:right w:val="single" w:sz="4" w:space="0" w:color="000000"/>
            </w:tcBorders>
          </w:tcPr>
          <w:p w14:paraId="457079BC" w14:textId="77777777" w:rsidR="00407009" w:rsidRDefault="00000000">
            <w:pPr>
              <w:spacing w:after="120" w:line="360" w:lineRule="auto"/>
              <w:jc w:val="center"/>
            </w:pPr>
            <w:r>
              <w:t>33</w:t>
            </w:r>
          </w:p>
        </w:tc>
      </w:tr>
    </w:tbl>
    <w:p w14:paraId="6616B8A9" w14:textId="77777777" w:rsidR="00407009" w:rsidRDefault="00407009">
      <w:pPr>
        <w:spacing w:after="120" w:line="360" w:lineRule="auto"/>
        <w:jc w:val="both"/>
      </w:pPr>
    </w:p>
    <w:tbl>
      <w:tblPr>
        <w:tblStyle w:val="ae"/>
        <w:tblW w:w="9694"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73"/>
        <w:gridCol w:w="4095"/>
        <w:gridCol w:w="2326"/>
      </w:tblGrid>
      <w:tr w:rsidR="00407009" w14:paraId="5AA0C5D4" w14:textId="77777777">
        <w:trPr>
          <w:trHeight w:val="402"/>
        </w:trPr>
        <w:tc>
          <w:tcPr>
            <w:tcW w:w="9694" w:type="dxa"/>
            <w:gridSpan w:val="3"/>
            <w:shd w:val="clear" w:color="auto" w:fill="D9D9D9"/>
            <w:vAlign w:val="center"/>
          </w:tcPr>
          <w:p w14:paraId="10B714AC" w14:textId="77777777" w:rsidR="00407009" w:rsidRDefault="00000000">
            <w:pPr>
              <w:spacing w:after="120" w:line="360" w:lineRule="auto"/>
              <w:jc w:val="center"/>
              <w:rPr>
                <w:b/>
                <w:bCs/>
              </w:rPr>
            </w:pPr>
            <w:r>
              <w:rPr>
                <w:b/>
                <w:bCs/>
              </w:rPr>
              <w:t>SUBSEÇÃO DE SÃO GONÇALO Rua Doutor Nilo Peçanha, 110 – Salas 604 e 605 – Centro – São Gonçalo/RJ</w:t>
            </w:r>
          </w:p>
        </w:tc>
      </w:tr>
      <w:tr w:rsidR="00407009" w14:paraId="4BB5B45A" w14:textId="77777777">
        <w:trPr>
          <w:trHeight w:val="432"/>
        </w:trPr>
        <w:tc>
          <w:tcPr>
            <w:tcW w:w="3273" w:type="dxa"/>
          </w:tcPr>
          <w:p w14:paraId="64D22A75" w14:textId="77777777" w:rsidR="00407009" w:rsidRDefault="00000000">
            <w:pPr>
              <w:spacing w:after="120" w:line="360" w:lineRule="auto"/>
              <w:jc w:val="center"/>
              <w:rPr>
                <w:b/>
                <w:bCs/>
              </w:rPr>
            </w:pPr>
            <w:r>
              <w:rPr>
                <w:b/>
                <w:bCs/>
              </w:rPr>
              <w:t>Área</w:t>
            </w:r>
          </w:p>
        </w:tc>
        <w:tc>
          <w:tcPr>
            <w:tcW w:w="4095" w:type="dxa"/>
          </w:tcPr>
          <w:p w14:paraId="6DB3BF8A" w14:textId="77777777" w:rsidR="00407009" w:rsidRDefault="00000000">
            <w:pPr>
              <w:spacing w:after="120" w:line="360" w:lineRule="auto"/>
              <w:jc w:val="center"/>
              <w:rPr>
                <w:b/>
                <w:bCs/>
              </w:rPr>
            </w:pPr>
            <w:r>
              <w:rPr>
                <w:b/>
                <w:bCs/>
              </w:rPr>
              <w:t>Piso</w:t>
            </w:r>
          </w:p>
        </w:tc>
        <w:tc>
          <w:tcPr>
            <w:tcW w:w="2326" w:type="dxa"/>
          </w:tcPr>
          <w:p w14:paraId="23C806B3" w14:textId="77777777" w:rsidR="00407009" w:rsidRDefault="00000000">
            <w:pPr>
              <w:spacing w:after="120" w:line="360" w:lineRule="auto"/>
              <w:jc w:val="center"/>
              <w:rPr>
                <w:b/>
                <w:bCs/>
              </w:rPr>
            </w:pPr>
            <w:r>
              <w:rPr>
                <w:b/>
                <w:bCs/>
              </w:rPr>
              <w:t>m²</w:t>
            </w:r>
          </w:p>
        </w:tc>
      </w:tr>
      <w:tr w:rsidR="00407009" w14:paraId="66AAE446" w14:textId="77777777">
        <w:trPr>
          <w:trHeight w:val="432"/>
        </w:trPr>
        <w:tc>
          <w:tcPr>
            <w:tcW w:w="3273" w:type="dxa"/>
            <w:tcBorders>
              <w:top w:val="single" w:sz="4" w:space="0" w:color="000000"/>
              <w:left w:val="single" w:sz="4" w:space="0" w:color="000000"/>
              <w:bottom w:val="single" w:sz="4" w:space="0" w:color="000000"/>
              <w:right w:val="single" w:sz="4" w:space="0" w:color="000000"/>
            </w:tcBorders>
          </w:tcPr>
          <w:p w14:paraId="14D4CACC" w14:textId="77777777" w:rsidR="00407009" w:rsidRDefault="00000000">
            <w:pPr>
              <w:spacing w:after="120" w:line="360" w:lineRule="auto"/>
              <w:jc w:val="center"/>
            </w:pPr>
            <w:r>
              <w:t>Interna</w:t>
            </w:r>
          </w:p>
        </w:tc>
        <w:tc>
          <w:tcPr>
            <w:tcW w:w="4095" w:type="dxa"/>
            <w:tcBorders>
              <w:top w:val="single" w:sz="4" w:space="0" w:color="000000"/>
              <w:left w:val="single" w:sz="4" w:space="0" w:color="000000"/>
              <w:bottom w:val="single" w:sz="4" w:space="0" w:color="000000"/>
              <w:right w:val="single" w:sz="4" w:space="0" w:color="000000"/>
            </w:tcBorders>
          </w:tcPr>
          <w:p w14:paraId="4274AF61" w14:textId="77777777" w:rsidR="00407009" w:rsidRDefault="00000000">
            <w:pPr>
              <w:spacing w:after="120" w:line="360" w:lineRule="auto"/>
              <w:jc w:val="center"/>
            </w:pPr>
            <w:r>
              <w:t>Piso Laminado</w:t>
            </w:r>
          </w:p>
        </w:tc>
        <w:tc>
          <w:tcPr>
            <w:tcW w:w="2326" w:type="dxa"/>
            <w:tcBorders>
              <w:top w:val="single" w:sz="4" w:space="0" w:color="000000"/>
              <w:left w:val="single" w:sz="4" w:space="0" w:color="000000"/>
              <w:bottom w:val="single" w:sz="4" w:space="0" w:color="000000"/>
              <w:right w:val="single" w:sz="4" w:space="0" w:color="000000"/>
            </w:tcBorders>
          </w:tcPr>
          <w:p w14:paraId="1178E9B8" w14:textId="77777777" w:rsidR="00407009" w:rsidRDefault="00000000">
            <w:pPr>
              <w:spacing w:after="120" w:line="360" w:lineRule="auto"/>
              <w:jc w:val="center"/>
            </w:pPr>
            <w:r>
              <w:t>52</w:t>
            </w:r>
          </w:p>
        </w:tc>
      </w:tr>
    </w:tbl>
    <w:p w14:paraId="4504469E" w14:textId="77777777" w:rsidR="00407009" w:rsidRDefault="00407009">
      <w:pPr>
        <w:spacing w:after="120" w:line="360" w:lineRule="auto"/>
        <w:jc w:val="both"/>
      </w:pPr>
    </w:p>
    <w:tbl>
      <w:tblPr>
        <w:tblStyle w:val="af"/>
        <w:tblW w:w="9694"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13"/>
        <w:gridCol w:w="4042"/>
        <w:gridCol w:w="2339"/>
      </w:tblGrid>
      <w:tr w:rsidR="00407009" w14:paraId="75EC7124" w14:textId="77777777">
        <w:trPr>
          <w:trHeight w:val="402"/>
        </w:trPr>
        <w:tc>
          <w:tcPr>
            <w:tcW w:w="9694" w:type="dxa"/>
            <w:gridSpan w:val="3"/>
            <w:shd w:val="clear" w:color="auto" w:fill="D9D9D9"/>
            <w:vAlign w:val="center"/>
          </w:tcPr>
          <w:p w14:paraId="5015F889" w14:textId="77777777" w:rsidR="00407009" w:rsidRDefault="00000000">
            <w:pPr>
              <w:spacing w:after="120" w:line="360" w:lineRule="auto"/>
              <w:jc w:val="center"/>
              <w:rPr>
                <w:b/>
                <w:bCs/>
              </w:rPr>
            </w:pPr>
            <w:r>
              <w:rPr>
                <w:b/>
                <w:bCs/>
              </w:rPr>
              <w:t xml:space="preserve">SUBSEÇÃO DE VOLTA REDONDA - Largo Nove de Abril, 27, salas 813 e 815 – Edifício </w:t>
            </w:r>
            <w:proofErr w:type="spellStart"/>
            <w:r>
              <w:rPr>
                <w:b/>
                <w:bCs/>
              </w:rPr>
              <w:t>Cecisa</w:t>
            </w:r>
            <w:proofErr w:type="spellEnd"/>
            <w:r>
              <w:rPr>
                <w:b/>
                <w:bCs/>
              </w:rPr>
              <w:t xml:space="preserve"> II - Vila Santa Cecília – Volta Redonda/RJ</w:t>
            </w:r>
          </w:p>
        </w:tc>
      </w:tr>
      <w:tr w:rsidR="00407009" w14:paraId="2E18B441" w14:textId="77777777">
        <w:trPr>
          <w:trHeight w:val="432"/>
        </w:trPr>
        <w:tc>
          <w:tcPr>
            <w:tcW w:w="3313" w:type="dxa"/>
          </w:tcPr>
          <w:p w14:paraId="0ABD55F6" w14:textId="77777777" w:rsidR="00407009" w:rsidRDefault="00000000">
            <w:pPr>
              <w:spacing w:after="120" w:line="360" w:lineRule="auto"/>
              <w:jc w:val="center"/>
              <w:rPr>
                <w:b/>
                <w:bCs/>
              </w:rPr>
            </w:pPr>
            <w:r>
              <w:rPr>
                <w:b/>
                <w:bCs/>
              </w:rPr>
              <w:t>Área</w:t>
            </w:r>
          </w:p>
        </w:tc>
        <w:tc>
          <w:tcPr>
            <w:tcW w:w="4042" w:type="dxa"/>
          </w:tcPr>
          <w:p w14:paraId="1C9776CA" w14:textId="77777777" w:rsidR="00407009" w:rsidRDefault="00000000">
            <w:pPr>
              <w:spacing w:after="120" w:line="360" w:lineRule="auto"/>
              <w:jc w:val="center"/>
              <w:rPr>
                <w:b/>
                <w:bCs/>
              </w:rPr>
            </w:pPr>
            <w:r>
              <w:rPr>
                <w:b/>
                <w:bCs/>
              </w:rPr>
              <w:t>Piso</w:t>
            </w:r>
          </w:p>
        </w:tc>
        <w:tc>
          <w:tcPr>
            <w:tcW w:w="2339" w:type="dxa"/>
          </w:tcPr>
          <w:p w14:paraId="79B4F49A" w14:textId="77777777" w:rsidR="00407009" w:rsidRDefault="00000000">
            <w:pPr>
              <w:spacing w:after="120" w:line="360" w:lineRule="auto"/>
              <w:jc w:val="center"/>
              <w:rPr>
                <w:b/>
                <w:bCs/>
              </w:rPr>
            </w:pPr>
            <w:r>
              <w:rPr>
                <w:b/>
                <w:bCs/>
              </w:rPr>
              <w:t>m²</w:t>
            </w:r>
          </w:p>
        </w:tc>
      </w:tr>
      <w:tr w:rsidR="00407009" w14:paraId="06FA80BE" w14:textId="77777777">
        <w:trPr>
          <w:trHeight w:val="432"/>
        </w:trPr>
        <w:tc>
          <w:tcPr>
            <w:tcW w:w="3313" w:type="dxa"/>
            <w:tcBorders>
              <w:top w:val="single" w:sz="4" w:space="0" w:color="000000"/>
              <w:left w:val="single" w:sz="4" w:space="0" w:color="000000"/>
              <w:bottom w:val="single" w:sz="4" w:space="0" w:color="000000"/>
              <w:right w:val="single" w:sz="4" w:space="0" w:color="000000"/>
            </w:tcBorders>
          </w:tcPr>
          <w:p w14:paraId="04C7E248" w14:textId="77777777" w:rsidR="00407009" w:rsidRDefault="00000000">
            <w:pPr>
              <w:spacing w:after="120" w:line="360" w:lineRule="auto"/>
              <w:jc w:val="center"/>
            </w:pPr>
            <w:r>
              <w:t>Interna</w:t>
            </w:r>
          </w:p>
        </w:tc>
        <w:tc>
          <w:tcPr>
            <w:tcW w:w="4042" w:type="dxa"/>
            <w:tcBorders>
              <w:top w:val="single" w:sz="4" w:space="0" w:color="000000"/>
              <w:left w:val="single" w:sz="4" w:space="0" w:color="000000"/>
              <w:bottom w:val="single" w:sz="4" w:space="0" w:color="000000"/>
              <w:right w:val="single" w:sz="4" w:space="0" w:color="000000"/>
            </w:tcBorders>
          </w:tcPr>
          <w:p w14:paraId="03408E45" w14:textId="77777777" w:rsidR="00407009" w:rsidRDefault="00000000">
            <w:pPr>
              <w:spacing w:after="120" w:line="360" w:lineRule="auto"/>
              <w:jc w:val="center"/>
            </w:pPr>
            <w:r>
              <w:t>Piso Frio</w:t>
            </w:r>
          </w:p>
        </w:tc>
        <w:tc>
          <w:tcPr>
            <w:tcW w:w="2339" w:type="dxa"/>
            <w:tcBorders>
              <w:top w:val="single" w:sz="4" w:space="0" w:color="000000"/>
              <w:left w:val="single" w:sz="4" w:space="0" w:color="000000"/>
              <w:bottom w:val="single" w:sz="4" w:space="0" w:color="000000"/>
              <w:right w:val="single" w:sz="4" w:space="0" w:color="000000"/>
            </w:tcBorders>
          </w:tcPr>
          <w:p w14:paraId="5E9EA3B0" w14:textId="77777777" w:rsidR="00407009" w:rsidRDefault="00000000">
            <w:pPr>
              <w:spacing w:after="120" w:line="360" w:lineRule="auto"/>
              <w:jc w:val="center"/>
            </w:pPr>
            <w:r>
              <w:t>43</w:t>
            </w:r>
          </w:p>
        </w:tc>
      </w:tr>
    </w:tbl>
    <w:p w14:paraId="5329AF6C" w14:textId="77777777" w:rsidR="00407009" w:rsidRDefault="00407009">
      <w:pPr>
        <w:spacing w:line="360" w:lineRule="auto"/>
        <w:jc w:val="both"/>
      </w:pPr>
    </w:p>
    <w:p w14:paraId="013B9722" w14:textId="77777777" w:rsidR="00407009" w:rsidRDefault="00000000">
      <w:pPr>
        <w:spacing w:line="276" w:lineRule="auto"/>
        <w:jc w:val="both"/>
      </w:pPr>
      <w:r>
        <w:t>Ressalta-se que há previsão de substituição das atuais salas comerciais por novas unidades, no decorrer da vigência contratual. Dessa forma, para fins de estimativa de quantitativos e dimensionamento do objeto, não se considerou a soma integral das metragens dos espaços atuais e futuros, uma vez que se trata de substituição e não de expansão física simultânea.</w:t>
      </w:r>
    </w:p>
    <w:p w14:paraId="66219F1C" w14:textId="77777777" w:rsidR="00407009" w:rsidRDefault="00407009">
      <w:pPr>
        <w:spacing w:line="276" w:lineRule="auto"/>
        <w:jc w:val="both"/>
      </w:pPr>
    </w:p>
    <w:p w14:paraId="32E1D203" w14:textId="77777777" w:rsidR="00407009" w:rsidRDefault="00000000">
      <w:pPr>
        <w:spacing w:line="276" w:lineRule="auto"/>
        <w:jc w:val="both"/>
      </w:pPr>
      <w:r>
        <w:t>Assim, adotou-se como critério a consideração da diferença entre as metragens, projetando-se apenas o eventual acréscimo de área útil, de modo a refletir com maior precisão a real necessidade da Administração. Tal abordagem visa garantir adequação técnica do dimensionamento, evitando superestimativas e promovendo a eficiência e a economicidade da contratação, em consonância com as boas práticas de planejamento.</w:t>
      </w:r>
    </w:p>
    <w:p w14:paraId="1C427E0E" w14:textId="77777777" w:rsidR="00407009" w:rsidRDefault="00407009">
      <w:pPr>
        <w:spacing w:line="276" w:lineRule="auto"/>
        <w:jc w:val="both"/>
      </w:pPr>
    </w:p>
    <w:p w14:paraId="3DEAA512" w14:textId="77777777" w:rsidR="00407009" w:rsidRDefault="00000000">
      <w:pPr>
        <w:spacing w:line="276" w:lineRule="auto"/>
        <w:jc w:val="center"/>
        <w:rPr>
          <w:b/>
          <w:bCs/>
        </w:rPr>
      </w:pPr>
      <w:r>
        <w:rPr>
          <w:b/>
          <w:bCs/>
        </w:rPr>
        <w:t>Futuras salas comerciais</w:t>
      </w:r>
    </w:p>
    <w:p w14:paraId="6DCB700A" w14:textId="77777777" w:rsidR="00407009" w:rsidRDefault="00407009">
      <w:pPr>
        <w:spacing w:line="276" w:lineRule="auto"/>
        <w:jc w:val="both"/>
      </w:pPr>
    </w:p>
    <w:tbl>
      <w:tblPr>
        <w:tblStyle w:val="af0"/>
        <w:tblW w:w="96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5811"/>
        <w:gridCol w:w="1697"/>
      </w:tblGrid>
      <w:tr w:rsidR="00407009" w14:paraId="7BB1F234" w14:textId="77777777">
        <w:trPr>
          <w:trHeight w:val="505"/>
        </w:trPr>
        <w:tc>
          <w:tcPr>
            <w:tcW w:w="2122" w:type="dxa"/>
            <w:shd w:val="clear" w:color="auto" w:fill="D9D9D9"/>
            <w:vAlign w:val="center"/>
          </w:tcPr>
          <w:p w14:paraId="30961AEE" w14:textId="77777777" w:rsidR="00407009" w:rsidRDefault="00000000">
            <w:pPr>
              <w:spacing w:line="276" w:lineRule="auto"/>
              <w:jc w:val="center"/>
              <w:rPr>
                <w:b/>
                <w:bCs/>
              </w:rPr>
            </w:pPr>
            <w:r>
              <w:rPr>
                <w:b/>
                <w:bCs/>
              </w:rPr>
              <w:t>LOCAL</w:t>
            </w:r>
          </w:p>
        </w:tc>
        <w:tc>
          <w:tcPr>
            <w:tcW w:w="5811" w:type="dxa"/>
            <w:shd w:val="clear" w:color="auto" w:fill="D9D9D9"/>
            <w:vAlign w:val="center"/>
          </w:tcPr>
          <w:p w14:paraId="0993FA80" w14:textId="77777777" w:rsidR="00407009" w:rsidRDefault="00000000">
            <w:pPr>
              <w:spacing w:line="276" w:lineRule="auto"/>
              <w:jc w:val="center"/>
              <w:rPr>
                <w:b/>
                <w:bCs/>
              </w:rPr>
            </w:pPr>
            <w:r>
              <w:rPr>
                <w:b/>
                <w:bCs/>
              </w:rPr>
              <w:t>ENDEREÇO</w:t>
            </w:r>
          </w:p>
        </w:tc>
        <w:tc>
          <w:tcPr>
            <w:tcW w:w="1697" w:type="dxa"/>
            <w:shd w:val="clear" w:color="auto" w:fill="D9D9D9"/>
            <w:vAlign w:val="center"/>
          </w:tcPr>
          <w:p w14:paraId="0CFDB268" w14:textId="77777777" w:rsidR="00407009" w:rsidRDefault="00000000">
            <w:pPr>
              <w:spacing w:line="276" w:lineRule="auto"/>
              <w:jc w:val="center"/>
              <w:rPr>
                <w:b/>
                <w:bCs/>
              </w:rPr>
            </w:pPr>
            <w:r>
              <w:rPr>
                <w:b/>
                <w:bCs/>
              </w:rPr>
              <w:t>ÁREA APROXIMADA</w:t>
            </w:r>
          </w:p>
        </w:tc>
      </w:tr>
      <w:tr w:rsidR="00407009" w14:paraId="11F28E4A" w14:textId="77777777">
        <w:trPr>
          <w:trHeight w:val="569"/>
        </w:trPr>
        <w:tc>
          <w:tcPr>
            <w:tcW w:w="2122" w:type="dxa"/>
            <w:vAlign w:val="center"/>
          </w:tcPr>
          <w:p w14:paraId="74A5BE75" w14:textId="77777777" w:rsidR="00407009" w:rsidRDefault="00000000">
            <w:pPr>
              <w:spacing w:line="276" w:lineRule="auto"/>
            </w:pPr>
            <w:r>
              <w:t>Nova Sede</w:t>
            </w:r>
          </w:p>
        </w:tc>
        <w:tc>
          <w:tcPr>
            <w:tcW w:w="5811" w:type="dxa"/>
            <w:vAlign w:val="center"/>
          </w:tcPr>
          <w:p w14:paraId="15887B3A" w14:textId="77777777" w:rsidR="00407009" w:rsidRDefault="00000000">
            <w:pPr>
              <w:spacing w:line="276" w:lineRule="auto"/>
            </w:pPr>
            <w:r>
              <w:t>Centro Rio de Janeiro</w:t>
            </w:r>
          </w:p>
        </w:tc>
        <w:tc>
          <w:tcPr>
            <w:tcW w:w="1697" w:type="dxa"/>
            <w:vAlign w:val="center"/>
          </w:tcPr>
          <w:p w14:paraId="2FEC2920" w14:textId="77777777" w:rsidR="00407009" w:rsidRDefault="00000000">
            <w:pPr>
              <w:spacing w:line="276" w:lineRule="auto"/>
              <w:jc w:val="center"/>
            </w:pPr>
            <w:r>
              <w:t>6.924,45 m²</w:t>
            </w:r>
          </w:p>
        </w:tc>
      </w:tr>
      <w:tr w:rsidR="00407009" w14:paraId="617822AB" w14:textId="77777777">
        <w:trPr>
          <w:trHeight w:val="569"/>
        </w:trPr>
        <w:tc>
          <w:tcPr>
            <w:tcW w:w="2122" w:type="dxa"/>
            <w:vAlign w:val="center"/>
          </w:tcPr>
          <w:p w14:paraId="2149624F" w14:textId="77777777" w:rsidR="00407009" w:rsidRDefault="00000000">
            <w:pPr>
              <w:spacing w:line="276" w:lineRule="auto"/>
            </w:pPr>
            <w:r>
              <w:t>Subseção Petrópolis</w:t>
            </w:r>
          </w:p>
        </w:tc>
        <w:tc>
          <w:tcPr>
            <w:tcW w:w="5811" w:type="dxa"/>
            <w:vAlign w:val="center"/>
          </w:tcPr>
          <w:p w14:paraId="174D37BC" w14:textId="77777777" w:rsidR="00407009" w:rsidRDefault="00000000">
            <w:pPr>
              <w:spacing w:line="276" w:lineRule="auto"/>
            </w:pPr>
            <w:r>
              <w:t>Centro Petrópolis</w:t>
            </w:r>
          </w:p>
        </w:tc>
        <w:tc>
          <w:tcPr>
            <w:tcW w:w="1697" w:type="dxa"/>
            <w:vAlign w:val="center"/>
          </w:tcPr>
          <w:p w14:paraId="085FE245" w14:textId="77777777" w:rsidR="00407009" w:rsidRDefault="00000000">
            <w:pPr>
              <w:spacing w:line="276" w:lineRule="auto"/>
              <w:jc w:val="center"/>
              <w:rPr>
                <w:highlight w:val="yellow"/>
              </w:rPr>
            </w:pPr>
            <w:r>
              <w:t>80 m²</w:t>
            </w:r>
          </w:p>
        </w:tc>
      </w:tr>
      <w:tr w:rsidR="00407009" w14:paraId="434908F4" w14:textId="77777777">
        <w:trPr>
          <w:trHeight w:val="569"/>
        </w:trPr>
        <w:tc>
          <w:tcPr>
            <w:tcW w:w="2122" w:type="dxa"/>
            <w:vAlign w:val="center"/>
          </w:tcPr>
          <w:p w14:paraId="58D6DD66" w14:textId="77777777" w:rsidR="00407009" w:rsidRDefault="00000000">
            <w:pPr>
              <w:spacing w:line="276" w:lineRule="auto"/>
            </w:pPr>
            <w:r>
              <w:t>Subseção Nova Friburgo</w:t>
            </w:r>
          </w:p>
        </w:tc>
        <w:tc>
          <w:tcPr>
            <w:tcW w:w="5811" w:type="dxa"/>
            <w:vAlign w:val="center"/>
          </w:tcPr>
          <w:p w14:paraId="45F885BE" w14:textId="77777777" w:rsidR="00407009" w:rsidRDefault="00000000">
            <w:pPr>
              <w:spacing w:line="276" w:lineRule="auto"/>
            </w:pPr>
            <w:r>
              <w:t>Centro Nova Friburgo</w:t>
            </w:r>
          </w:p>
        </w:tc>
        <w:tc>
          <w:tcPr>
            <w:tcW w:w="1697" w:type="dxa"/>
            <w:vAlign w:val="center"/>
          </w:tcPr>
          <w:p w14:paraId="6A2FB53E" w14:textId="77777777" w:rsidR="00407009" w:rsidRDefault="00000000">
            <w:pPr>
              <w:spacing w:line="276" w:lineRule="auto"/>
              <w:jc w:val="center"/>
              <w:rPr>
                <w:highlight w:val="yellow"/>
              </w:rPr>
            </w:pPr>
            <w:r>
              <w:t>80 m²</w:t>
            </w:r>
          </w:p>
        </w:tc>
      </w:tr>
    </w:tbl>
    <w:p w14:paraId="63E95506" w14:textId="77777777" w:rsidR="00407009" w:rsidRDefault="00407009">
      <w:pPr>
        <w:spacing w:line="276" w:lineRule="auto"/>
        <w:jc w:val="both"/>
      </w:pPr>
    </w:p>
    <w:p w14:paraId="096FC5F6" w14:textId="77777777" w:rsidR="00407009" w:rsidRDefault="00000000">
      <w:pPr>
        <w:spacing w:line="276" w:lineRule="auto"/>
        <w:jc w:val="center"/>
        <w:rPr>
          <w:sz w:val="24"/>
          <w:szCs w:val="24"/>
        </w:rPr>
      </w:pPr>
      <w:bookmarkStart w:id="23" w:name="_heading=h.fb6rcnpbwite" w:colFirst="0" w:colLast="0"/>
      <w:bookmarkEnd w:id="23"/>
      <w:r>
        <w:rPr>
          <w:sz w:val="24"/>
          <w:szCs w:val="24"/>
        </w:rPr>
        <w:t>ÁREA TOTAL: 7.084,45 m²</w:t>
      </w:r>
    </w:p>
    <w:p w14:paraId="200A2EBC" w14:textId="77777777" w:rsidR="00407009" w:rsidRDefault="00407009">
      <w:pPr>
        <w:spacing w:line="360" w:lineRule="auto"/>
        <w:jc w:val="both"/>
      </w:pPr>
    </w:p>
    <w:p w14:paraId="41AF96E6" w14:textId="77777777" w:rsidR="00407009" w:rsidRDefault="00000000">
      <w:pPr>
        <w:spacing w:line="276" w:lineRule="auto"/>
        <w:jc w:val="both"/>
        <w:rPr>
          <w:b/>
          <w:bCs/>
        </w:rPr>
      </w:pPr>
      <w:r>
        <w:rPr>
          <w:b/>
          <w:bCs/>
        </w:rPr>
        <w:t>Rotinas a serem cumpridas</w:t>
      </w:r>
    </w:p>
    <w:p w14:paraId="083CBCAA"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A contratada deverá executar os serviços em estrita conformidade com as disposições contratuais, normas técnicas aplicáveis e legislação sanitária e ambiental vigente, observando as seguintes rotinas:</w:t>
      </w:r>
    </w:p>
    <w:p w14:paraId="1D1E87B2" w14:textId="77777777" w:rsidR="00407009" w:rsidRDefault="00000000">
      <w:pPr>
        <w:numPr>
          <w:ilvl w:val="1"/>
          <w:numId w:val="10"/>
        </w:numPr>
        <w:pBdr>
          <w:top w:val="nil"/>
          <w:left w:val="nil"/>
          <w:bottom w:val="nil"/>
          <w:right w:val="nil"/>
          <w:between w:val="nil"/>
        </w:pBdr>
        <w:spacing w:after="120" w:line="276" w:lineRule="auto"/>
        <w:jc w:val="both"/>
      </w:pPr>
      <w:r>
        <w:rPr>
          <w:b/>
          <w:bCs/>
          <w:color w:val="000000"/>
        </w:rPr>
        <w:t>Planejamento e diagnóstico inicial</w:t>
      </w:r>
      <w:r>
        <w:rPr>
          <w:color w:val="000000"/>
        </w:rPr>
        <w:t>: A contratada deverá realizar inspeção técnica inicial em todas as unidades abrangidas pelo contrato, com vistas à identificação de focos de infestação, avaliação das condições estruturais e ambientais e mapeamento de fatores de risco, devendo, a partir desse diagnóstico, elaborar plano de ação contendo a metodologia a ser adotada, os produtos a serem utilizados, a periodicidade das intervenções e o respectivo cronograma de execução, submetendo-o à aprovação da contratante.</w:t>
      </w:r>
    </w:p>
    <w:p w14:paraId="37488B82" w14:textId="77777777" w:rsidR="00407009" w:rsidRDefault="00000000">
      <w:pPr>
        <w:numPr>
          <w:ilvl w:val="1"/>
          <w:numId w:val="10"/>
        </w:numPr>
        <w:pBdr>
          <w:top w:val="nil"/>
          <w:left w:val="nil"/>
          <w:bottom w:val="nil"/>
          <w:right w:val="nil"/>
          <w:between w:val="nil"/>
        </w:pBdr>
        <w:spacing w:after="120" w:line="276" w:lineRule="auto"/>
        <w:jc w:val="both"/>
      </w:pPr>
      <w:bookmarkStart w:id="24" w:name="_heading=h.xx928zxxlhj6" w:colFirst="0" w:colLast="0"/>
      <w:bookmarkEnd w:id="24"/>
      <w:r>
        <w:rPr>
          <w:b/>
          <w:bCs/>
          <w:color w:val="000000"/>
        </w:rPr>
        <w:t>Execução periódica dos serviços:</w:t>
      </w:r>
      <w:r>
        <w:rPr>
          <w:color w:val="000000"/>
        </w:rPr>
        <w:t xml:space="preserve"> A contratada deverá executar, de forma contínua e programada, os serviços de desinsetização, desratização, descupinização e controle de pragas e vetores, em conformidade com o cronograma aprovado, utilizando produtos devidamente regularizados e técnicas compatíveis com as características dos ambientes e o tipo de praga a ser controlada, adotando todas as medidas necessárias à proteção da saúde dos usuários, dos trabalhadores e à preservação dos bens patrimoniais.</w:t>
      </w:r>
    </w:p>
    <w:p w14:paraId="751CDDE1" w14:textId="77777777" w:rsidR="00407009" w:rsidRDefault="00000000">
      <w:pPr>
        <w:numPr>
          <w:ilvl w:val="1"/>
          <w:numId w:val="10"/>
        </w:numPr>
        <w:pBdr>
          <w:top w:val="nil"/>
          <w:left w:val="nil"/>
          <w:bottom w:val="nil"/>
          <w:right w:val="nil"/>
          <w:between w:val="nil"/>
        </w:pBdr>
        <w:spacing w:after="120" w:line="276" w:lineRule="auto"/>
        <w:jc w:val="both"/>
      </w:pPr>
      <w:r>
        <w:rPr>
          <w:b/>
          <w:bCs/>
          <w:color w:val="000000"/>
        </w:rPr>
        <w:t>Atendimento sob demanda (emergencial):</w:t>
      </w:r>
      <w:r>
        <w:rPr>
          <w:color w:val="000000"/>
        </w:rPr>
        <w:t xml:space="preserve"> A contratada deverá atender às solicitações extraordinárias da contratante, em caráter emergencial, no prazo máximo de 24 (vinte e quatro) horas, promovendo intervenções corretivas sempre que constatada a ocorrência ou iminência de infestação que possa comprometer as condições sanitárias dos ambientes.</w:t>
      </w:r>
    </w:p>
    <w:p w14:paraId="6F78F0E7" w14:textId="77777777" w:rsidR="00407009" w:rsidRDefault="00000000">
      <w:pPr>
        <w:numPr>
          <w:ilvl w:val="1"/>
          <w:numId w:val="10"/>
        </w:numPr>
        <w:pBdr>
          <w:top w:val="nil"/>
          <w:left w:val="nil"/>
          <w:bottom w:val="nil"/>
          <w:right w:val="nil"/>
          <w:between w:val="nil"/>
        </w:pBdr>
        <w:spacing w:after="120" w:line="276" w:lineRule="auto"/>
        <w:jc w:val="both"/>
      </w:pPr>
      <w:r>
        <w:rPr>
          <w:b/>
          <w:bCs/>
          <w:color w:val="000000"/>
        </w:rPr>
        <w:t>Monitoramento e controle da eficácia:</w:t>
      </w:r>
      <w:r>
        <w:rPr>
          <w:color w:val="000000"/>
        </w:rPr>
        <w:t xml:space="preserve"> A contratada deverá proceder ao monitoramento contínuo da eficácia das ações implementadas, realizando inspeções periódicas e adotando, sempre que necessário, medidas corretivas ou complementares, de modo a assegurar a efetividade do controle de pragas ao longo de toda a vigência contratual.</w:t>
      </w:r>
    </w:p>
    <w:p w14:paraId="0DBECAFA" w14:textId="77777777" w:rsidR="00407009" w:rsidRDefault="00000000">
      <w:pPr>
        <w:numPr>
          <w:ilvl w:val="1"/>
          <w:numId w:val="10"/>
        </w:numPr>
        <w:pBdr>
          <w:top w:val="nil"/>
          <w:left w:val="nil"/>
          <w:bottom w:val="nil"/>
          <w:right w:val="nil"/>
          <w:between w:val="nil"/>
        </w:pBdr>
        <w:spacing w:after="120" w:line="276" w:lineRule="auto"/>
        <w:jc w:val="both"/>
      </w:pPr>
      <w:r>
        <w:rPr>
          <w:b/>
          <w:bCs/>
          <w:color w:val="000000"/>
        </w:rPr>
        <w:t>Registro, rastreabilidade e documentação</w:t>
      </w:r>
      <w:r>
        <w:rPr>
          <w:color w:val="000000"/>
        </w:rPr>
        <w:t>: Após cada intervenção, a contratada deverá emitir relatório técnico circunstanciado, contendo, no mínimo, a descrição dos serviços executados, identificação das áreas atendidas, produtos utilizados, metodologias aplicadas, eventuais não conformidades observadas e recomendações preventivas, mantendo registro atualizado e rastreável de todas as atividades realizadas.</w:t>
      </w:r>
    </w:p>
    <w:p w14:paraId="6B7D9270" w14:textId="77777777" w:rsidR="00407009" w:rsidRDefault="00407009">
      <w:pPr>
        <w:spacing w:line="276" w:lineRule="auto"/>
        <w:jc w:val="both"/>
        <w:rPr>
          <w:highlight w:val="yellow"/>
        </w:rPr>
      </w:pPr>
    </w:p>
    <w:p w14:paraId="4B67C6AD" w14:textId="77777777" w:rsidR="00407009" w:rsidRDefault="00000000">
      <w:pPr>
        <w:spacing w:line="276" w:lineRule="auto"/>
        <w:jc w:val="both"/>
        <w:rPr>
          <w:b/>
          <w:bCs/>
        </w:rPr>
      </w:pPr>
      <w:r>
        <w:rPr>
          <w:b/>
          <w:bCs/>
        </w:rPr>
        <w:t>Materiais a serem disponibilizados</w:t>
      </w:r>
    </w:p>
    <w:p w14:paraId="673DBB94"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Para a perfeita execução dos serviços, o Contratado deverá disponibilizar os materiais, equipamentos, ferramentas e utensílios necessários, nas quantidades e na qualidade necessária.</w:t>
      </w:r>
    </w:p>
    <w:p w14:paraId="465209B6" w14:textId="77777777" w:rsidR="00407009" w:rsidRDefault="00407009">
      <w:pPr>
        <w:spacing w:line="276" w:lineRule="auto"/>
        <w:jc w:val="both"/>
      </w:pPr>
    </w:p>
    <w:p w14:paraId="544B6900" w14:textId="77777777" w:rsidR="00407009" w:rsidRDefault="00000000">
      <w:pPr>
        <w:spacing w:line="276" w:lineRule="auto"/>
        <w:jc w:val="both"/>
        <w:rPr>
          <w:b/>
          <w:bCs/>
        </w:rPr>
      </w:pPr>
      <w:r>
        <w:rPr>
          <w:b/>
          <w:bCs/>
        </w:rPr>
        <w:t>Informações relevantes para o dimensionamento da proposta</w:t>
      </w:r>
    </w:p>
    <w:p w14:paraId="6C0815B1" w14:textId="77777777" w:rsidR="00407009" w:rsidRDefault="00000000">
      <w:pPr>
        <w:spacing w:line="276" w:lineRule="auto"/>
        <w:jc w:val="both"/>
        <w:rPr>
          <w:highlight w:val="yellow"/>
        </w:rPr>
      </w:pPr>
      <w:r>
        <w:lastRenderedPageBreak/>
        <w:t>Não se aplica.</w:t>
      </w:r>
    </w:p>
    <w:p w14:paraId="0D350856" w14:textId="77777777" w:rsidR="00407009" w:rsidRDefault="00407009">
      <w:pPr>
        <w:rPr>
          <w:b/>
          <w:bCs/>
        </w:rPr>
      </w:pPr>
    </w:p>
    <w:p w14:paraId="468D8769" w14:textId="77777777" w:rsidR="00407009" w:rsidRDefault="00000000">
      <w:pPr>
        <w:rPr>
          <w:b/>
          <w:bCs/>
        </w:rPr>
      </w:pPr>
      <w:r>
        <w:rPr>
          <w:b/>
          <w:bCs/>
        </w:rPr>
        <w:t>Especificação da garantia do serviço</w:t>
      </w:r>
    </w:p>
    <w:p w14:paraId="3E909B84"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prazo de garantia é aquele estabelecido na Lei nº 8.078, de 11 de setembro de 1990 (Código de Defesa do Consumidor).</w:t>
      </w:r>
    </w:p>
    <w:p w14:paraId="4CAADEA9"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 contratada deverá assegurar a qualidade e a eficácia dos serviços prestados, comprometendo-se a realizar, sem ônus adicional para a contratante, novas intervenções nos casos de reincidência ou persistência de pragas dentro do prazo de garantia estabelecido contratualmente, sem prejuízo da aplicação das penalidades cabíveis.</w:t>
      </w:r>
    </w:p>
    <w:p w14:paraId="522CCCB7" w14:textId="77777777" w:rsidR="00407009" w:rsidRDefault="00407009">
      <w:pPr>
        <w:spacing w:line="276" w:lineRule="auto"/>
        <w:jc w:val="both"/>
      </w:pPr>
    </w:p>
    <w:p w14:paraId="1BB661B9" w14:textId="77777777" w:rsidR="00407009" w:rsidRDefault="00000000">
      <w:pPr>
        <w:rPr>
          <w:b/>
          <w:bCs/>
        </w:rPr>
      </w:pPr>
      <w:r>
        <w:rPr>
          <w:b/>
          <w:bCs/>
        </w:rPr>
        <w:t>Uniformes</w:t>
      </w:r>
    </w:p>
    <w:p w14:paraId="3ECFB67F" w14:textId="77777777" w:rsidR="00407009" w:rsidRDefault="00000000">
      <w:pPr>
        <w:spacing w:line="276" w:lineRule="auto"/>
        <w:jc w:val="both"/>
      </w:pPr>
      <w:r>
        <w:t>Não se aplica.</w:t>
      </w:r>
    </w:p>
    <w:p w14:paraId="4198FA22" w14:textId="77777777" w:rsidR="00407009" w:rsidRDefault="00407009">
      <w:pPr>
        <w:rPr>
          <w:b/>
          <w:bCs/>
        </w:rPr>
      </w:pPr>
    </w:p>
    <w:p w14:paraId="24C0B595" w14:textId="77777777" w:rsidR="00407009" w:rsidRDefault="00000000">
      <w:pPr>
        <w:rPr>
          <w:b/>
          <w:bCs/>
        </w:rPr>
      </w:pPr>
      <w:r>
        <w:rPr>
          <w:b/>
          <w:bCs/>
        </w:rPr>
        <w:t>Procedimentos de transição e finalização do contrato</w:t>
      </w:r>
    </w:p>
    <w:p w14:paraId="1002D6B2"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Não serão necessários procedimentos de transição e finalização do contrato devido às características do objeto.</w:t>
      </w:r>
    </w:p>
    <w:p w14:paraId="57F31BAB" w14:textId="77777777" w:rsidR="00407009" w:rsidRDefault="00000000">
      <w:pPr>
        <w:keepNext/>
        <w:keepLines/>
        <w:numPr>
          <w:ilvl w:val="0"/>
          <w:numId w:val="10"/>
        </w:numPr>
        <w:pBdr>
          <w:top w:val="nil"/>
          <w:left w:val="nil"/>
          <w:bottom w:val="nil"/>
          <w:right w:val="nil"/>
          <w:between w:val="nil"/>
        </w:pBdr>
        <w:spacing w:before="480" w:after="120" w:line="276" w:lineRule="auto"/>
        <w:jc w:val="both"/>
        <w:rPr>
          <w:b/>
          <w:bCs/>
          <w:color w:val="000000"/>
        </w:rPr>
      </w:pPr>
      <w:r>
        <w:rPr>
          <w:b/>
          <w:bCs/>
          <w:color w:val="000000"/>
        </w:rPr>
        <w:t>MODELO DE GESTÃO DO CONTRATO</w:t>
      </w:r>
    </w:p>
    <w:p w14:paraId="24794105"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contrato deverá ser executado fielmente pelas partes, de acordo com as cláusulas avençadas e as normas da Lei nº 14.133, de 2021, e cada parte responderá pelas consequências de sua inexecução total ou parcial.</w:t>
      </w:r>
    </w:p>
    <w:p w14:paraId="5AC024BF"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Em caso de impedimento, ordem de paralisação ou suspensão do contrato, o cronograma de execução será prorrogado automaticamente pelo tempo correspondente, anotadas tais circunstâncias mediante simples apostila.</w:t>
      </w:r>
    </w:p>
    <w:p w14:paraId="184E9B9D"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As comunicações entre o órgão ou entidade e a contratada devem ser realizadas por escrito sempre que o ato exigir tal formalidade, admitindo-se o uso de mensagem eletrônica para esse fim.</w:t>
      </w:r>
    </w:p>
    <w:p w14:paraId="1AB4A2EA"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órgão ou entidade poderá convocar representante da empresa para adoção de providências que devam ser cumpridas de imediato.</w:t>
      </w:r>
    </w:p>
    <w:p w14:paraId="1EDAAC6C"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1574AA" w14:textId="77777777" w:rsidR="00407009" w:rsidRDefault="00407009">
      <w:pPr>
        <w:spacing w:line="276" w:lineRule="auto"/>
        <w:jc w:val="both"/>
      </w:pPr>
    </w:p>
    <w:p w14:paraId="402977E6" w14:textId="77777777" w:rsidR="00407009" w:rsidRDefault="00000000">
      <w:pPr>
        <w:spacing w:line="276" w:lineRule="auto"/>
        <w:jc w:val="both"/>
        <w:rPr>
          <w:b/>
          <w:bCs/>
        </w:rPr>
      </w:pPr>
      <w:r>
        <w:rPr>
          <w:b/>
          <w:bCs/>
        </w:rPr>
        <w:t>Preposto</w:t>
      </w:r>
    </w:p>
    <w:p w14:paraId="11E979BD"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Contratado designará formalmente o preposto da empresa, antes do início da prestação dos serviços, indicando no instrumento os poderes e deveres em relação à execução do objeto Contratado.</w:t>
      </w:r>
    </w:p>
    <w:p w14:paraId="44F01091"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Contratado não necessitará manter preposto da empresa no local da execução do objeto durante a execução do serviço.</w:t>
      </w:r>
    </w:p>
    <w:p w14:paraId="48B85A66"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Contratante poderá recusar, desde que justificadamente, a indicação ou a manutenção do preposto da empresa, hipótese em que o Contratado designará outro para o exercício da atividade.</w:t>
      </w:r>
    </w:p>
    <w:p w14:paraId="6370DF15" w14:textId="77777777" w:rsidR="00407009" w:rsidRDefault="00407009">
      <w:pPr>
        <w:spacing w:line="276" w:lineRule="auto"/>
        <w:jc w:val="both"/>
      </w:pPr>
    </w:p>
    <w:p w14:paraId="7C2B1546" w14:textId="77777777" w:rsidR="00407009" w:rsidRDefault="00000000">
      <w:pPr>
        <w:spacing w:line="276" w:lineRule="auto"/>
        <w:jc w:val="both"/>
        <w:rPr>
          <w:b/>
          <w:bCs/>
        </w:rPr>
      </w:pPr>
      <w:r>
        <w:rPr>
          <w:b/>
          <w:bCs/>
        </w:rPr>
        <w:t>Rotinas de Fiscalização</w:t>
      </w:r>
    </w:p>
    <w:p w14:paraId="1BDC06CF" w14:textId="77777777" w:rsidR="00407009" w:rsidRDefault="00000000">
      <w:pPr>
        <w:numPr>
          <w:ilvl w:val="1"/>
          <w:numId w:val="10"/>
        </w:numPr>
        <w:pBdr>
          <w:top w:val="nil"/>
          <w:left w:val="nil"/>
          <w:bottom w:val="nil"/>
          <w:right w:val="nil"/>
          <w:between w:val="nil"/>
        </w:pBdr>
        <w:jc w:val="both"/>
        <w:rPr>
          <w:color w:val="000000"/>
        </w:rPr>
      </w:pPr>
      <w:r>
        <w:rPr>
          <w:color w:val="000000"/>
        </w:rPr>
        <w:t>A execução do contrato deverá ser acompanhada e fiscalizada pelo(s) fiscal(</w:t>
      </w:r>
      <w:proofErr w:type="spellStart"/>
      <w:r>
        <w:rPr>
          <w:color w:val="000000"/>
        </w:rPr>
        <w:t>is</w:t>
      </w:r>
      <w:proofErr w:type="spellEnd"/>
      <w:r>
        <w:rPr>
          <w:color w:val="000000"/>
        </w:rPr>
        <w:t>) do contrato, ou pelos respectivos substitutos.</w:t>
      </w:r>
    </w:p>
    <w:p w14:paraId="62FDE7B9" w14:textId="77777777" w:rsidR="00407009" w:rsidRDefault="00407009">
      <w:pPr>
        <w:spacing w:line="276" w:lineRule="auto"/>
        <w:jc w:val="both"/>
      </w:pPr>
    </w:p>
    <w:p w14:paraId="41AF8AB6" w14:textId="77777777" w:rsidR="00407009" w:rsidRDefault="00000000">
      <w:pPr>
        <w:spacing w:line="276" w:lineRule="auto"/>
        <w:jc w:val="both"/>
        <w:rPr>
          <w:b/>
          <w:bCs/>
        </w:rPr>
      </w:pPr>
      <w:r>
        <w:rPr>
          <w:b/>
          <w:bCs/>
        </w:rPr>
        <w:t>Fiscalização Técnica</w:t>
      </w:r>
    </w:p>
    <w:p w14:paraId="06692E2E"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lastRenderedPageBreak/>
        <w:t>O fiscal técnico do contrato acompanhará a execução do contrato, para que sejam cumpridas todas as condições estabelecidas no contrato, de modo a assegurar os melhores resultados para a Administração.</w:t>
      </w:r>
    </w:p>
    <w:p w14:paraId="0C1D47D2"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fiscal técnico do contrato anotará no histórico de gerenciamento do contrato todas as ocorrências relacionadas à execução do contrato, com a descrição do que for necessário para a regularização das faltas ou dos defeitos observados.</w:t>
      </w:r>
    </w:p>
    <w:p w14:paraId="5A59041A"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Identificada qualquer inexatidão ou irregularidade, o fiscal técnico do contrato emitirá notificações para a correção da execução do contrato, determinando prazo para a correção.</w:t>
      </w:r>
    </w:p>
    <w:p w14:paraId="23FF37DB"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fiscal técnico do contrato informará ao gestor do contato, em tempo hábil, a situação que demandar decisão ou adoção de medidas que ultrapassem sua competência, para que adote as medidas necessárias e saneadoras, se for o caso.</w:t>
      </w:r>
    </w:p>
    <w:p w14:paraId="110EA14E"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No caso de ocorrências que possam inviabilizar a execução do contrato nas datas aprazadas, o fiscal técnico do contrato comunicará o fato imediatamente ao gestor do contrato.</w:t>
      </w:r>
    </w:p>
    <w:p w14:paraId="794EF184"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fiscal técnico do contrato comunicará ao gestor do contrato, em tempo hábil, o término do contrato sob sua responsabilidade, com vistas à renovação tempestiva ou à prorrogação contratual.</w:t>
      </w:r>
    </w:p>
    <w:p w14:paraId="64946065"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 </w:t>
      </w:r>
    </w:p>
    <w:p w14:paraId="2B42DDE1"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14:paraId="3F46DCC0" w14:textId="77777777" w:rsidR="00407009" w:rsidRDefault="00407009">
      <w:pPr>
        <w:spacing w:line="276" w:lineRule="auto"/>
        <w:jc w:val="both"/>
      </w:pPr>
    </w:p>
    <w:p w14:paraId="1C8F8DB1" w14:textId="77777777" w:rsidR="00407009" w:rsidRDefault="00000000">
      <w:pPr>
        <w:spacing w:line="276" w:lineRule="auto"/>
        <w:jc w:val="both"/>
        <w:rPr>
          <w:b/>
          <w:bCs/>
        </w:rPr>
      </w:pPr>
      <w:r>
        <w:rPr>
          <w:b/>
          <w:bCs/>
        </w:rPr>
        <w:t>Fiscalização administrativa</w:t>
      </w:r>
    </w:p>
    <w:p w14:paraId="4A3B6DE8"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4F4365E"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07D6B33B"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52A6944E" w14:textId="77777777" w:rsidR="00407009" w:rsidRDefault="00407009">
      <w:pPr>
        <w:spacing w:line="276" w:lineRule="auto"/>
        <w:jc w:val="both"/>
      </w:pPr>
    </w:p>
    <w:p w14:paraId="5B94652D" w14:textId="77777777" w:rsidR="00407009" w:rsidRDefault="00000000">
      <w:pPr>
        <w:spacing w:line="276" w:lineRule="auto"/>
        <w:jc w:val="both"/>
        <w:rPr>
          <w:b/>
          <w:bCs/>
        </w:rPr>
      </w:pPr>
      <w:r>
        <w:rPr>
          <w:b/>
          <w:bCs/>
        </w:rPr>
        <w:t>Gestor do Contrato</w:t>
      </w:r>
    </w:p>
    <w:p w14:paraId="66FA5E50"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Cabe ao gestor do contrato:</w:t>
      </w:r>
    </w:p>
    <w:p w14:paraId="2E0123A4"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CC118BA"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acompanhar os registros realizados pelos fiscais do contrato, de todas as ocorrências relacionadas à execução do contrato e as medidas adotadas, informando, se for o caso, à autoridade superior àquelas que ultrapassarem a sua competência.</w:t>
      </w:r>
    </w:p>
    <w:p w14:paraId="16DE82B8"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acompanhar a manutenção das condições de habilitação da contratada, para fins de empenho de despesa e pagamento, e anotará os problemas que obstem o fluxo normal da liquidação e do pagamento da despesa no relatório de riscos eventuais.</w:t>
      </w:r>
    </w:p>
    <w:p w14:paraId="71499D17"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lastRenderedPageBreak/>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01C69CD"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D13AD6C"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elaborar relatório final com informações sobre a consecução dos objetivos que tenham justificado a contratação e eventuais condutas a serem adotadas para o aprimoramento das atividades da Administração.</w:t>
      </w:r>
    </w:p>
    <w:p w14:paraId="06F0DACF"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enviar a documentação pertinente ao setor de contratos para a formalização dos procedimentos de liquidação e pagamento, no valor dimensionado pela fiscalização e gestão nos termos do contrato.</w:t>
      </w:r>
    </w:p>
    <w:p w14:paraId="6106F11E" w14:textId="77777777" w:rsidR="00407009" w:rsidRDefault="00000000">
      <w:pPr>
        <w:keepNext/>
        <w:keepLines/>
        <w:numPr>
          <w:ilvl w:val="0"/>
          <w:numId w:val="10"/>
        </w:numPr>
        <w:pBdr>
          <w:top w:val="nil"/>
          <w:left w:val="nil"/>
          <w:bottom w:val="nil"/>
          <w:right w:val="nil"/>
          <w:between w:val="nil"/>
        </w:pBdr>
        <w:spacing w:before="480" w:after="120" w:line="276" w:lineRule="auto"/>
        <w:jc w:val="both"/>
        <w:rPr>
          <w:b/>
          <w:bCs/>
          <w:color w:val="000000"/>
        </w:rPr>
      </w:pPr>
      <w:r>
        <w:rPr>
          <w:b/>
          <w:bCs/>
          <w:color w:val="000000"/>
        </w:rPr>
        <w:t>CRITÉRIOS DE MEDIÇÃO E DE PAGAMENTO</w:t>
      </w:r>
    </w:p>
    <w:p w14:paraId="625CF565"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 avaliação da execução do objeto utilizará o Instrumento de Medição de Resultado (IMR), conforme previsto no ANEXO I.</w:t>
      </w:r>
    </w:p>
    <w:p w14:paraId="233F1A4E"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Será indicada a retenção ou glosa no pagamento, proporcional à irregularidade verificada, sem prejuízo das sanções cabíveis, caso se constate que o Contratado:</w:t>
      </w:r>
    </w:p>
    <w:p w14:paraId="46E0EA6B"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não produziu os resultados acordados,</w:t>
      </w:r>
    </w:p>
    <w:p w14:paraId="3D8DDAAC"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deixou de executar, ou não executou com a qualidade mínima exigida as atividades contratadas; ou</w:t>
      </w:r>
    </w:p>
    <w:p w14:paraId="060ABD1F"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deixou de utilizar materiais e recursos humanos exigidos para a execução do serviço, ou os utilizou com qualidade ou quantidade inferior à demandada.</w:t>
      </w:r>
    </w:p>
    <w:p w14:paraId="6506106C"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 utilização do IMR não impede a aplicação concomitante de outros mecanismos para a avaliação da prestação dos serviços.</w:t>
      </w:r>
    </w:p>
    <w:p w14:paraId="34B0E7FC" w14:textId="77777777" w:rsidR="00407009" w:rsidRDefault="00407009">
      <w:pPr>
        <w:rPr>
          <w:b/>
          <w:bCs/>
        </w:rPr>
      </w:pPr>
    </w:p>
    <w:p w14:paraId="01C085D8" w14:textId="77777777" w:rsidR="00407009" w:rsidRDefault="00000000">
      <w:pPr>
        <w:rPr>
          <w:b/>
          <w:bCs/>
        </w:rPr>
      </w:pPr>
      <w:r>
        <w:rPr>
          <w:b/>
          <w:bCs/>
        </w:rPr>
        <w:t>Do recebimento</w:t>
      </w:r>
    </w:p>
    <w:p w14:paraId="51DB5408"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Os serviços serão recebidos provisoriamente, no prazo de 10 (dez) dias úteis, pelos fiscais técnico e administrativo, mediante termos detalhados, quando verificado o cumprimento das exigências de caráter técnico e administrativo.</w:t>
      </w:r>
    </w:p>
    <w:p w14:paraId="6633A952"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Tratando-se de obra ou serviço de engenharia, ao final de cada etapa da execução contratual, conforme previsto no Cronograma Físico-Financeiro, o Contratado apresentará a medição prévia dos serviços executados no período, por meio de planilha e memória de cálculo detalhada.</w:t>
      </w:r>
    </w:p>
    <w:p w14:paraId="66F3ADA4"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Uma etapa será considerada efetivamente concluída quando os serviços previstos para aquela etapa, no Cronograma Físico-Financeiro, estiverem executados em sua totalidade.</w:t>
      </w:r>
    </w:p>
    <w:p w14:paraId="2D595A46"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O Contratado também apresentará, a cada medição, os documentos comprobatórios da procedência legal dos produtos e subprodutos florestais utilizados naquela etapa da execução contratual, quando for o caso.</w:t>
      </w:r>
    </w:p>
    <w:p w14:paraId="57E90645"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prazo para recebimento provisório será contado do recebimento de comunicação de cobrança oriunda do Contratado com a comprovação da prestação dos serviços a que se referem a parcela a ser paga.</w:t>
      </w:r>
    </w:p>
    <w:p w14:paraId="21A272EA"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fiscal técnico do contrato realizará o recebimento provisório do objeto do contrato mediante termo detalhado que comprove o cumprimento das exigências de caráter técnico.</w:t>
      </w:r>
    </w:p>
    <w:p w14:paraId="701F396C"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fiscal administrativo do contrato realizará o recebimento provisório do objeto do contrato mediante termo detalhado que comprove o cumprimento das exigências de caráter administrativo.</w:t>
      </w:r>
    </w:p>
    <w:p w14:paraId="78EAC9D6"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fiscal setorial do contrato, quando houver, realizará o recebimento provisório sob o ponto de vista técnico e administrativo.</w:t>
      </w:r>
    </w:p>
    <w:p w14:paraId="624DFC45"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lastRenderedPageBreak/>
        <w:t>Para efeito de recebimento provisório, será considerado para fins de faturamento o período 05 (cinco) dias úteis.</w:t>
      </w:r>
    </w:p>
    <w:p w14:paraId="64D3C1B3"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Ao final de cada período/evento de faturamento:</w:t>
      </w:r>
    </w:p>
    <w:p w14:paraId="2ABAD9AE"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5D3DA008"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2031391C"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Será considerado como ocorrido o recebimento provisório com a entrega do termo detalhado ou, em havendo mais de um a ser feito, com a entrega do último.</w:t>
      </w:r>
    </w:p>
    <w:p w14:paraId="1B68B7B9"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B5CF1CD"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 fiscalização não efetuará o ateste da última e/ou única medição de serviços até que sejam sanadas todas as eventuais pendências que possam vir a ser apontadas no recebimento provisório.</w:t>
      </w:r>
    </w:p>
    <w:p w14:paraId="57B504C9"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recebimento provisório também ficará sujeito, quando cabível, à conclusão de todos os testes de campo e à entrega dos Manuais e Instruções exigíveis.</w:t>
      </w:r>
    </w:p>
    <w:p w14:paraId="56857F84"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Os serviços poderão ser rejeitados, no todo ou em parte, quando em desacordo com as especificações constantes neste Termo de Referência e na proposta, sem prejuízo da aplicação das penalidades.</w:t>
      </w:r>
    </w:p>
    <w:p w14:paraId="5A79C564"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C967063"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Os serviços serão recebidos definitivamente no prazo de 10 (dez) dias úteis, contados do recebimento provisório, por servidor ou comissão designada pela autoridade competente, após a verificação da qualidade e quantidade do serviço e consequente aceitação mediante termo detalhado, obedecendo os seguintes procedimentos:</w:t>
      </w:r>
    </w:p>
    <w:p w14:paraId="02623E64"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0E002D31"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37D26062"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Emitir Termo Detalhado para efeito de recebimento definitivo dos serviços prestados, com base nos relatórios e documentações apresentadas; e</w:t>
      </w:r>
    </w:p>
    <w:p w14:paraId="1CC86732"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Comunicar a empresa para que emita a Nota Fiscal ou Fatura, com o valor exato dimensionado pela fiscalização.</w:t>
      </w:r>
    </w:p>
    <w:p w14:paraId="4F2BA99A"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Enviar a documentação pertinente ao setor de contratos para a formalização dos procedimentos de liquidação e pagamento, no valor dimensionado pela fiscalização e gestão.</w:t>
      </w:r>
    </w:p>
    <w:p w14:paraId="59165AE0"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 xml:space="preserve">No caso de controvérsia sobre a execução do objeto, quanto à dimensão, qualidade e quantidade, deverá ser observado o teor do art. 143 da Lei nº 14.133, de 2021, comunicando-se à </w:t>
      </w:r>
      <w:r>
        <w:rPr>
          <w:color w:val="000000"/>
        </w:rPr>
        <w:lastRenderedPageBreak/>
        <w:t>empresa para emissão de Nota Fiscal quanto à parcela incontroversa da execução do objeto, para efeito de liquidação e pagamento.</w:t>
      </w:r>
    </w:p>
    <w:p w14:paraId="49A92CB9"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Nenhum prazo de recebimento ocorrerá enquanto pendente a solução, pelo Contratado, de inconsistências verificadas na execução do objeto ou no instrumento de cobrança.</w:t>
      </w:r>
    </w:p>
    <w:p w14:paraId="7A259DE1"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recebimento provisório ou definitivo não excluirá a responsabilidade civil pela solidez e pela segurança do serviço nem a responsabilidade ético-profissional pela perfeita execução do contrato.</w:t>
      </w:r>
    </w:p>
    <w:p w14:paraId="1026B76E" w14:textId="77777777" w:rsidR="00407009" w:rsidRDefault="00407009">
      <w:pPr>
        <w:rPr>
          <w:b/>
          <w:bCs/>
        </w:rPr>
      </w:pPr>
    </w:p>
    <w:p w14:paraId="38579FA6" w14:textId="77777777" w:rsidR="00407009" w:rsidRDefault="00000000">
      <w:pPr>
        <w:spacing w:line="276" w:lineRule="auto"/>
        <w:ind w:left="284"/>
        <w:jc w:val="both"/>
        <w:rPr>
          <w:b/>
          <w:bCs/>
        </w:rPr>
      </w:pPr>
      <w:r>
        <w:rPr>
          <w:b/>
          <w:bCs/>
        </w:rPr>
        <w:t>Liquidação</w:t>
      </w:r>
    </w:p>
    <w:p w14:paraId="14946EFC"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Recebida a Nota Fiscal ou documento de cobrança equivalente, correrá o prazo de 10 (dez) dias úteis para fins de liquidação, na forma desta seção, prorrogáveis por igual período, nos termos do art. 7º, §3º da Instrução Normativa SEGES/ME nº 77/2022.</w:t>
      </w:r>
    </w:p>
    <w:p w14:paraId="1D727E8F"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4C6DF297"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 xml:space="preserve">Para fins de liquidação, o setor competente deverá verificar se a nota fiscal ou instrumento de cobrança equivalente apresentado expressa os elementos necessários e essenciais do documento, tais como: </w:t>
      </w:r>
    </w:p>
    <w:p w14:paraId="31005F00"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o prazo de validade;</w:t>
      </w:r>
    </w:p>
    <w:p w14:paraId="76495C29"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 xml:space="preserve">a data da emissão; </w:t>
      </w:r>
    </w:p>
    <w:p w14:paraId="776196F0"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 xml:space="preserve">os dados do contrato e do órgão contratante; </w:t>
      </w:r>
    </w:p>
    <w:p w14:paraId="75E873BD"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 xml:space="preserve">o período respectivo de execução do contrato; </w:t>
      </w:r>
    </w:p>
    <w:p w14:paraId="71AD11EB"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 xml:space="preserve">o valor a pagar; e </w:t>
      </w:r>
    </w:p>
    <w:p w14:paraId="179552BE"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eventual destaque do valor de retenções tributárias cabíveis.</w:t>
      </w:r>
    </w:p>
    <w:p w14:paraId="56940BED"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89A7930"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2927E41B"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 Administração deverá realizar consulta ao SICAF para:</w:t>
      </w:r>
    </w:p>
    <w:p w14:paraId="7A66A617"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verificar a manutenção das condições de habilitação exigidas;</w:t>
      </w:r>
    </w:p>
    <w:p w14:paraId="4EFEA8BB"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identificar possível razão que impeça a participação em licitação/contratação no âmbito do órgão ou entidade, tais como a proibição de contratar com a Administração ou com o Poder Público, bem como ocorrências impeditivas indiretas.</w:t>
      </w:r>
    </w:p>
    <w:p w14:paraId="1A9BE8D3"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A3FA6CA"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6EE7FCE"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 xml:space="preserve">Persistindo a irregularidade, o Contratante deverá adotar as medidas necessárias à rescisão contratual nos autos do processo administrativo correspondente, assegurada ao Contratado a ampla defesa. </w:t>
      </w:r>
    </w:p>
    <w:p w14:paraId="26A9D54F"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Havendo a efetiva execução do objeto, os pagamentos serão realizados normalmente, até que se decida pela rescisão do contrato, caso o Contratado não regularize sua situação junto ao SICAF.</w:t>
      </w:r>
    </w:p>
    <w:p w14:paraId="5C68F883" w14:textId="77777777" w:rsidR="00407009" w:rsidRDefault="00407009">
      <w:pPr>
        <w:spacing w:line="276" w:lineRule="auto"/>
        <w:jc w:val="both"/>
      </w:pPr>
    </w:p>
    <w:p w14:paraId="42129800" w14:textId="77777777" w:rsidR="00407009" w:rsidRDefault="00000000">
      <w:pPr>
        <w:rPr>
          <w:b/>
          <w:bCs/>
        </w:rPr>
      </w:pPr>
      <w:r>
        <w:rPr>
          <w:b/>
          <w:bCs/>
        </w:rPr>
        <w:lastRenderedPageBreak/>
        <w:t>Prazo de pagamento</w:t>
      </w:r>
    </w:p>
    <w:p w14:paraId="5E5E0CBE"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pagamento será efetuado no prazo de até 10 (dez) dias úteis contados da finalização da liquidação da despesa, conforme seção anterior, nos termos da Instrução Normativa SEGES/ME nº 77, de 2022.</w:t>
      </w:r>
    </w:p>
    <w:p w14:paraId="591BBF92"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No caso de atraso pelo Contratante, os valores devidos ao Contratado serão atualizados monetariamente entre o termo final do prazo de pagamento até a data de sua efetiva realização, mediante aplicação do índice INPC de correção monetária.</w:t>
      </w:r>
    </w:p>
    <w:p w14:paraId="1891291F" w14:textId="77777777" w:rsidR="00407009" w:rsidRDefault="00407009">
      <w:pPr>
        <w:spacing w:line="276" w:lineRule="auto"/>
        <w:jc w:val="both"/>
      </w:pPr>
    </w:p>
    <w:p w14:paraId="13E33F04" w14:textId="77777777" w:rsidR="00407009" w:rsidRDefault="00000000">
      <w:pPr>
        <w:spacing w:line="276" w:lineRule="auto"/>
        <w:jc w:val="both"/>
        <w:rPr>
          <w:b/>
          <w:bCs/>
        </w:rPr>
      </w:pPr>
      <w:r>
        <w:rPr>
          <w:b/>
          <w:bCs/>
        </w:rPr>
        <w:t>Forma de pagamento</w:t>
      </w:r>
    </w:p>
    <w:p w14:paraId="0FF52B23"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pagamento será realizado por meio de ordem bancária, para crédito em banco, agência e conta corrente indicados pelo Contratado, de acordo com as aplicações realizadas.</w:t>
      </w:r>
    </w:p>
    <w:p w14:paraId="4B849769"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Será considerada data do pagamento o dia em que constar como emitida a ordem bancária para pagamento.</w:t>
      </w:r>
    </w:p>
    <w:p w14:paraId="38B16BBD"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Quando do pagamento, será efetuada a retenção tributária prevista na legislação aplicável.</w:t>
      </w:r>
    </w:p>
    <w:p w14:paraId="097F0E46"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Independentemente do percentual de tributo inserido na planilha, quando houver, serão retidos na fonte, quando da realização do pagamento, os percentuais estabelecidos na legislação vigente.</w:t>
      </w:r>
    </w:p>
    <w:p w14:paraId="6A535A62"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ABF6255" w14:textId="77777777" w:rsidR="00407009" w:rsidRDefault="00407009">
      <w:pPr>
        <w:spacing w:line="276" w:lineRule="auto"/>
        <w:jc w:val="both"/>
      </w:pPr>
    </w:p>
    <w:p w14:paraId="3B2C0C9A" w14:textId="77777777" w:rsidR="00407009" w:rsidRDefault="00000000">
      <w:pPr>
        <w:spacing w:line="276" w:lineRule="auto"/>
        <w:jc w:val="both"/>
        <w:rPr>
          <w:b/>
          <w:bCs/>
        </w:rPr>
      </w:pPr>
      <w:r>
        <w:rPr>
          <w:b/>
          <w:bCs/>
        </w:rPr>
        <w:t>Antecipação de pagamento</w:t>
      </w:r>
    </w:p>
    <w:p w14:paraId="23EC52DA" w14:textId="77777777" w:rsidR="00407009" w:rsidRDefault="00000000">
      <w:pPr>
        <w:spacing w:line="276" w:lineRule="auto"/>
        <w:jc w:val="both"/>
      </w:pPr>
      <w:r>
        <w:t>Não se aplica.</w:t>
      </w:r>
    </w:p>
    <w:p w14:paraId="3C33460B" w14:textId="77777777" w:rsidR="00407009" w:rsidRDefault="00407009">
      <w:pPr>
        <w:spacing w:line="276" w:lineRule="auto"/>
        <w:jc w:val="both"/>
      </w:pPr>
    </w:p>
    <w:p w14:paraId="1612ED77" w14:textId="77777777" w:rsidR="00407009" w:rsidRDefault="00000000">
      <w:pPr>
        <w:spacing w:line="276" w:lineRule="auto"/>
        <w:jc w:val="both"/>
        <w:rPr>
          <w:b/>
          <w:bCs/>
        </w:rPr>
      </w:pPr>
      <w:r>
        <w:rPr>
          <w:b/>
          <w:bCs/>
        </w:rPr>
        <w:t>Repactuação</w:t>
      </w:r>
    </w:p>
    <w:p w14:paraId="6F2C9D0F" w14:textId="77777777" w:rsidR="00407009" w:rsidRDefault="00000000">
      <w:pPr>
        <w:spacing w:line="276" w:lineRule="auto"/>
        <w:jc w:val="both"/>
      </w:pPr>
      <w:r>
        <w:t>Não se aplica</w:t>
      </w:r>
    </w:p>
    <w:p w14:paraId="1D923672" w14:textId="77777777" w:rsidR="00407009" w:rsidRDefault="00407009">
      <w:pPr>
        <w:spacing w:line="276" w:lineRule="auto"/>
        <w:jc w:val="both"/>
      </w:pPr>
    </w:p>
    <w:p w14:paraId="0D3F7FC5" w14:textId="77777777" w:rsidR="00407009" w:rsidRDefault="00000000">
      <w:pPr>
        <w:spacing w:line="276" w:lineRule="auto"/>
        <w:jc w:val="both"/>
        <w:rPr>
          <w:b/>
          <w:bCs/>
        </w:rPr>
      </w:pPr>
      <w:r>
        <w:rPr>
          <w:b/>
          <w:bCs/>
        </w:rPr>
        <w:t>Reajuste</w:t>
      </w:r>
    </w:p>
    <w:p w14:paraId="58155F90"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Os preços inicialmente contratados são fixos e irreajustáveis no prazo de um ano contado da data do orçamento estimado.</w:t>
      </w:r>
    </w:p>
    <w:p w14:paraId="46FFFD97"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Os preços registrados poderão ser alterados ou atualizados em decorrência de eventual redução dos preços praticados no mercado ou de fato que eleve o custo dos bens, das obras ou dos serviços registrados, nas seguintes situações:</w:t>
      </w:r>
    </w:p>
    <w:p w14:paraId="65B0615F"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3A945958"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Em caso de criação, alteração ou extinção de quaisquer tributos ou encargos legais ou superveniência de disposições legais, com comprovada repercussão sobre os preços registrados; ou</w:t>
      </w:r>
    </w:p>
    <w:p w14:paraId="68346B05"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Na hipótese de previsão no edital ou no aviso de contratação direta de cláusula de reajustamento ou repactuação sobre os preços registrados, nos termos do disposto na Lei nº 14.133, de 2021.</w:t>
      </w:r>
    </w:p>
    <w:p w14:paraId="3DFA87CB"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 xml:space="preserve">Após o interregno de um ano, a pedido do Contratado, os preços iniciais poderão ser reajustados, mediante a aplicação, pelo Contratante, do </w:t>
      </w:r>
      <w:r>
        <w:rPr>
          <w:b/>
          <w:bCs/>
          <w:color w:val="000000"/>
        </w:rPr>
        <w:t>índice INPC</w:t>
      </w:r>
      <w:r>
        <w:rPr>
          <w:color w:val="000000"/>
        </w:rPr>
        <w:t>, exclusivamente para as obrigações iniciadas e concluídas após a ocorrência da anualidade.</w:t>
      </w:r>
    </w:p>
    <w:p w14:paraId="4F383C94"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Nos reajustes subsequentes ao primeiro, o interregno mínimo de um ano será contado a partir dos efeitos financeiros do último reajuste.</w:t>
      </w:r>
    </w:p>
    <w:p w14:paraId="3B78DEB2"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lastRenderedPageBreak/>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7041FD8"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Nas aferições finais, o(s) índice(s) utilizado(s) para reajuste será(</w:t>
      </w:r>
      <w:proofErr w:type="spellStart"/>
      <w:r>
        <w:rPr>
          <w:color w:val="000000"/>
        </w:rPr>
        <w:t>ão</w:t>
      </w:r>
      <w:proofErr w:type="spellEnd"/>
      <w:r>
        <w:rPr>
          <w:color w:val="000000"/>
        </w:rPr>
        <w:t>), obrigatoriamente, o(s) definitivo(s).</w:t>
      </w:r>
    </w:p>
    <w:p w14:paraId="64465864"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Caso o(s) índice(s) estabelecido(s) para reajustamento venha(m) a ser extinto(s) ou de qualquer forma não possa(m) mais ser utilizado(s), será(</w:t>
      </w:r>
      <w:proofErr w:type="spellStart"/>
      <w:r>
        <w:rPr>
          <w:color w:val="000000"/>
        </w:rPr>
        <w:t>ão</w:t>
      </w:r>
      <w:proofErr w:type="spellEnd"/>
      <w:r>
        <w:rPr>
          <w:color w:val="000000"/>
        </w:rPr>
        <w:t>) adotado(s), em substituição, o(s) que vier(em) a ser determinado(s) pela legislação então em vigor.</w:t>
      </w:r>
    </w:p>
    <w:p w14:paraId="79B9D3A2"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 xml:space="preserve">Na ausência de previsão legal quanto ao índice substituto, as partes elegerão novo índice oficial, para reajustamento do preço do valor remanescente, por meio de termo aditivo. </w:t>
      </w:r>
    </w:p>
    <w:p w14:paraId="68F8EFDA"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reajuste será realizado por apostilamento.</w:t>
      </w:r>
    </w:p>
    <w:p w14:paraId="31165DBB" w14:textId="77777777" w:rsidR="00407009" w:rsidRDefault="00407009">
      <w:pPr>
        <w:spacing w:line="276" w:lineRule="auto"/>
        <w:jc w:val="both"/>
        <w:rPr>
          <w:b/>
          <w:bCs/>
        </w:rPr>
      </w:pPr>
    </w:p>
    <w:p w14:paraId="4216991D" w14:textId="77777777" w:rsidR="00407009" w:rsidRDefault="00000000">
      <w:pPr>
        <w:spacing w:line="276" w:lineRule="auto"/>
        <w:jc w:val="both"/>
        <w:rPr>
          <w:b/>
          <w:bCs/>
        </w:rPr>
      </w:pPr>
      <w:r>
        <w:rPr>
          <w:b/>
          <w:bCs/>
        </w:rPr>
        <w:t>Cessão de crédito</w:t>
      </w:r>
    </w:p>
    <w:p w14:paraId="77FCC0A1" w14:textId="77777777" w:rsidR="00407009" w:rsidRDefault="00000000">
      <w:pPr>
        <w:spacing w:line="276" w:lineRule="auto"/>
        <w:jc w:val="both"/>
      </w:pPr>
      <w:r>
        <w:t>Não se aplica.</w:t>
      </w:r>
    </w:p>
    <w:p w14:paraId="3676CB30" w14:textId="77777777" w:rsidR="00407009" w:rsidRDefault="00407009">
      <w:pPr>
        <w:spacing w:line="276" w:lineRule="auto"/>
        <w:jc w:val="both"/>
      </w:pPr>
    </w:p>
    <w:p w14:paraId="065DBD18" w14:textId="77777777" w:rsidR="00407009" w:rsidRDefault="00000000">
      <w:pPr>
        <w:spacing w:line="276" w:lineRule="auto"/>
        <w:jc w:val="both"/>
        <w:rPr>
          <w:b/>
          <w:bCs/>
        </w:rPr>
      </w:pPr>
      <w:r>
        <w:rPr>
          <w:b/>
          <w:bCs/>
        </w:rPr>
        <w:t>Conta-Depósito Vinculada ou Pagamento por Fato Gerador</w:t>
      </w:r>
    </w:p>
    <w:p w14:paraId="552BEE3A" w14:textId="77777777" w:rsidR="00407009" w:rsidRDefault="00000000">
      <w:pPr>
        <w:spacing w:line="276" w:lineRule="auto"/>
        <w:jc w:val="both"/>
      </w:pPr>
      <w:r>
        <w:t>Não se aplica.</w:t>
      </w:r>
    </w:p>
    <w:p w14:paraId="115EFCDE" w14:textId="77777777" w:rsidR="00407009" w:rsidRDefault="00000000">
      <w:pPr>
        <w:keepNext/>
        <w:keepLines/>
        <w:numPr>
          <w:ilvl w:val="0"/>
          <w:numId w:val="10"/>
        </w:numPr>
        <w:pBdr>
          <w:top w:val="nil"/>
          <w:left w:val="nil"/>
          <w:bottom w:val="nil"/>
          <w:right w:val="nil"/>
          <w:between w:val="nil"/>
        </w:pBdr>
        <w:spacing w:before="480" w:after="120" w:line="276" w:lineRule="auto"/>
        <w:jc w:val="both"/>
        <w:rPr>
          <w:b/>
          <w:bCs/>
          <w:color w:val="000000"/>
        </w:rPr>
      </w:pPr>
      <w:r>
        <w:rPr>
          <w:b/>
          <w:bCs/>
          <w:color w:val="000000"/>
        </w:rPr>
        <w:t>INFRAÇÕES E SANÇÕES ADMINISTRATIVAS</w:t>
      </w:r>
    </w:p>
    <w:p w14:paraId="0417834E"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Comete infração administrativa, nos termos da Lei nº 14.133, de 2021, o Contratado que:</w:t>
      </w:r>
    </w:p>
    <w:p w14:paraId="1514F2B9" w14:textId="77777777" w:rsidR="00407009" w:rsidRDefault="00000000">
      <w:pPr>
        <w:numPr>
          <w:ilvl w:val="0"/>
          <w:numId w:val="13"/>
        </w:numPr>
        <w:pBdr>
          <w:top w:val="nil"/>
          <w:left w:val="nil"/>
          <w:bottom w:val="nil"/>
          <w:right w:val="nil"/>
          <w:between w:val="nil"/>
        </w:pBdr>
        <w:spacing w:line="276" w:lineRule="auto"/>
        <w:jc w:val="both"/>
        <w:rPr>
          <w:color w:val="000000"/>
        </w:rPr>
      </w:pPr>
      <w:r>
        <w:rPr>
          <w:color w:val="000000"/>
        </w:rPr>
        <w:t>der causa à inexecução parcial do contrato;</w:t>
      </w:r>
    </w:p>
    <w:p w14:paraId="5FB05D33" w14:textId="77777777" w:rsidR="00407009" w:rsidRDefault="00000000">
      <w:pPr>
        <w:numPr>
          <w:ilvl w:val="0"/>
          <w:numId w:val="13"/>
        </w:numPr>
        <w:pBdr>
          <w:top w:val="nil"/>
          <w:left w:val="nil"/>
          <w:bottom w:val="nil"/>
          <w:right w:val="nil"/>
          <w:between w:val="nil"/>
        </w:pBdr>
        <w:spacing w:line="276" w:lineRule="auto"/>
        <w:jc w:val="both"/>
        <w:rPr>
          <w:color w:val="000000"/>
        </w:rPr>
      </w:pPr>
      <w:r>
        <w:rPr>
          <w:color w:val="000000"/>
        </w:rPr>
        <w:t>der causa à inexecução parcial do contrato que cause grave dano à Administração ou ao funcionamento dos serviços públicos ou ao interesse coletivo;</w:t>
      </w:r>
    </w:p>
    <w:p w14:paraId="0BF45E00" w14:textId="77777777" w:rsidR="00407009" w:rsidRDefault="00000000">
      <w:pPr>
        <w:numPr>
          <w:ilvl w:val="0"/>
          <w:numId w:val="13"/>
        </w:numPr>
        <w:pBdr>
          <w:top w:val="nil"/>
          <w:left w:val="nil"/>
          <w:bottom w:val="nil"/>
          <w:right w:val="nil"/>
          <w:between w:val="nil"/>
        </w:pBdr>
        <w:spacing w:line="276" w:lineRule="auto"/>
        <w:jc w:val="both"/>
        <w:rPr>
          <w:color w:val="000000"/>
        </w:rPr>
      </w:pPr>
      <w:r>
        <w:rPr>
          <w:color w:val="000000"/>
        </w:rPr>
        <w:t>der causa à inexecução total do contrato;</w:t>
      </w:r>
    </w:p>
    <w:p w14:paraId="38C6CBC4" w14:textId="77777777" w:rsidR="00407009" w:rsidRDefault="00000000">
      <w:pPr>
        <w:numPr>
          <w:ilvl w:val="0"/>
          <w:numId w:val="13"/>
        </w:numPr>
        <w:pBdr>
          <w:top w:val="nil"/>
          <w:left w:val="nil"/>
          <w:bottom w:val="nil"/>
          <w:right w:val="nil"/>
          <w:between w:val="nil"/>
        </w:pBdr>
        <w:spacing w:line="276" w:lineRule="auto"/>
        <w:jc w:val="both"/>
        <w:rPr>
          <w:color w:val="000000"/>
        </w:rPr>
      </w:pPr>
      <w:r>
        <w:rPr>
          <w:color w:val="000000"/>
        </w:rPr>
        <w:t>ensejar o retardamento da execução ou da entrega do objeto da contratação sem motivo justificado;</w:t>
      </w:r>
    </w:p>
    <w:p w14:paraId="3D83E6A9" w14:textId="77777777" w:rsidR="00407009" w:rsidRDefault="00000000">
      <w:pPr>
        <w:numPr>
          <w:ilvl w:val="0"/>
          <w:numId w:val="13"/>
        </w:numPr>
        <w:pBdr>
          <w:top w:val="nil"/>
          <w:left w:val="nil"/>
          <w:bottom w:val="nil"/>
          <w:right w:val="nil"/>
          <w:between w:val="nil"/>
        </w:pBdr>
        <w:spacing w:line="276" w:lineRule="auto"/>
        <w:jc w:val="both"/>
        <w:rPr>
          <w:color w:val="000000"/>
        </w:rPr>
      </w:pPr>
      <w:r>
        <w:rPr>
          <w:color w:val="000000"/>
        </w:rPr>
        <w:t>apresentar documentação falsa ou prestar declaração falsa durante a execução do contrato;</w:t>
      </w:r>
    </w:p>
    <w:p w14:paraId="0834ADAD" w14:textId="77777777" w:rsidR="00407009" w:rsidRDefault="00000000">
      <w:pPr>
        <w:numPr>
          <w:ilvl w:val="0"/>
          <w:numId w:val="13"/>
        </w:numPr>
        <w:pBdr>
          <w:top w:val="nil"/>
          <w:left w:val="nil"/>
          <w:bottom w:val="nil"/>
          <w:right w:val="nil"/>
          <w:between w:val="nil"/>
        </w:pBdr>
        <w:spacing w:line="276" w:lineRule="auto"/>
        <w:jc w:val="both"/>
        <w:rPr>
          <w:color w:val="000000"/>
        </w:rPr>
      </w:pPr>
      <w:r>
        <w:rPr>
          <w:color w:val="000000"/>
        </w:rPr>
        <w:t>praticar ato fraudulento na execução do contrato;</w:t>
      </w:r>
    </w:p>
    <w:p w14:paraId="67F775E0" w14:textId="77777777" w:rsidR="00407009" w:rsidRDefault="00000000">
      <w:pPr>
        <w:numPr>
          <w:ilvl w:val="0"/>
          <w:numId w:val="13"/>
        </w:numPr>
        <w:pBdr>
          <w:top w:val="nil"/>
          <w:left w:val="nil"/>
          <w:bottom w:val="nil"/>
          <w:right w:val="nil"/>
          <w:between w:val="nil"/>
        </w:pBdr>
        <w:spacing w:line="276" w:lineRule="auto"/>
        <w:jc w:val="both"/>
        <w:rPr>
          <w:color w:val="000000"/>
        </w:rPr>
      </w:pPr>
      <w:r>
        <w:rPr>
          <w:color w:val="000000"/>
        </w:rPr>
        <w:t>comportar-se de modo inidôneo ou cometer fraude de qualquer natureza;</w:t>
      </w:r>
    </w:p>
    <w:p w14:paraId="1B71FCC7" w14:textId="77777777" w:rsidR="00407009" w:rsidRDefault="00000000">
      <w:pPr>
        <w:numPr>
          <w:ilvl w:val="0"/>
          <w:numId w:val="13"/>
        </w:numPr>
        <w:pBdr>
          <w:top w:val="nil"/>
          <w:left w:val="nil"/>
          <w:bottom w:val="nil"/>
          <w:right w:val="nil"/>
          <w:between w:val="nil"/>
        </w:pBdr>
        <w:spacing w:line="276" w:lineRule="auto"/>
        <w:jc w:val="both"/>
        <w:rPr>
          <w:color w:val="000000"/>
        </w:rPr>
      </w:pPr>
      <w:r>
        <w:rPr>
          <w:color w:val="000000"/>
        </w:rPr>
        <w:t>praticar ato lesivo previsto no art. 5º da Lei nº 12.846, de 1º de agosto de 2013.</w:t>
      </w:r>
    </w:p>
    <w:p w14:paraId="7EFB0F11"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Serão aplicadas ao Contratado que incorrer nas infrações acima descritas as seguintes sanções:</w:t>
      </w:r>
    </w:p>
    <w:p w14:paraId="007E08E6"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Advertência, quando o Contratado der causa à inexecução parcial do contrato, sempre que não se justificar a imposição de penalidade mais grave;</w:t>
      </w:r>
    </w:p>
    <w:p w14:paraId="7E280DA2"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Impedimento de licitar e contratar, quando praticadas as condutas descritas nas alíneas “b”, “c” e “d” do subitem acima, sempre que não se justificar a imposição de penalidade mais grave;</w:t>
      </w:r>
    </w:p>
    <w:p w14:paraId="619FF4E4"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Declaração de inidoneidade para licitar e contratar, quando praticadas as condutas descritas nas alíneas “e”, “f”, “g” e “h” do subitem acima, bem como nas alíneas “b”, “c” e “d”, que justifiquem a imposição de penalidade mais grave.</w:t>
      </w:r>
    </w:p>
    <w:p w14:paraId="5082A991"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Multa:</w:t>
      </w:r>
    </w:p>
    <w:p w14:paraId="3FAFF83E" w14:textId="77777777" w:rsidR="00407009" w:rsidRDefault="00000000">
      <w:pPr>
        <w:numPr>
          <w:ilvl w:val="3"/>
          <w:numId w:val="10"/>
        </w:numPr>
        <w:pBdr>
          <w:top w:val="nil"/>
          <w:left w:val="nil"/>
          <w:bottom w:val="nil"/>
          <w:right w:val="nil"/>
          <w:between w:val="nil"/>
        </w:pBdr>
        <w:spacing w:line="276" w:lineRule="auto"/>
        <w:ind w:hanging="647"/>
        <w:jc w:val="both"/>
        <w:rPr>
          <w:color w:val="000000"/>
        </w:rPr>
      </w:pPr>
      <w:r>
        <w:rPr>
          <w:color w:val="000000"/>
        </w:rPr>
        <w:t>Moratória, para as infrações descritas no item “d”, de 0,2% (zero virgula dois por cento por cento) por dia de atraso injustificado sobre o valor da parcela inadimplida, até o limite de 15 (quinze) dias;</w:t>
      </w:r>
    </w:p>
    <w:p w14:paraId="5CD330D2" w14:textId="77777777" w:rsidR="00407009" w:rsidRDefault="00000000">
      <w:pPr>
        <w:numPr>
          <w:ilvl w:val="3"/>
          <w:numId w:val="10"/>
        </w:numPr>
        <w:pBdr>
          <w:top w:val="nil"/>
          <w:left w:val="nil"/>
          <w:bottom w:val="nil"/>
          <w:right w:val="nil"/>
          <w:between w:val="nil"/>
        </w:pBdr>
        <w:spacing w:line="276" w:lineRule="auto"/>
        <w:ind w:hanging="647"/>
        <w:jc w:val="both"/>
        <w:rPr>
          <w:color w:val="000000"/>
        </w:rPr>
      </w:pPr>
      <w:r>
        <w:rPr>
          <w:color w:val="000000"/>
        </w:rPr>
        <w:t>Moratória de 0,07% (sete centésimos por cento) por dia de atraso injustificado sobre o valor total do contrato, até o máximo de 2% (dois por cento), pela inobservância do prazo fixado para apresentação, suplementação ou reposição da garantia;</w:t>
      </w:r>
    </w:p>
    <w:p w14:paraId="2D04E160" w14:textId="77777777" w:rsidR="00407009" w:rsidRDefault="00000000">
      <w:pPr>
        <w:numPr>
          <w:ilvl w:val="4"/>
          <w:numId w:val="10"/>
        </w:numPr>
        <w:pBdr>
          <w:top w:val="nil"/>
          <w:left w:val="nil"/>
          <w:bottom w:val="nil"/>
          <w:right w:val="nil"/>
          <w:between w:val="nil"/>
        </w:pBdr>
        <w:spacing w:line="276" w:lineRule="auto"/>
        <w:ind w:hanging="791"/>
        <w:jc w:val="both"/>
        <w:rPr>
          <w:color w:val="000000"/>
        </w:rPr>
      </w:pPr>
      <w:r>
        <w:rPr>
          <w:color w:val="000000"/>
        </w:rPr>
        <w:t xml:space="preserve">O atraso superior a 25 (vinte e cinco) dias para apresentação, suplementação ou reposição da garantia autoriza a Administração a promover a extinção do contrato </w:t>
      </w:r>
      <w:r>
        <w:rPr>
          <w:color w:val="000000"/>
        </w:rPr>
        <w:lastRenderedPageBreak/>
        <w:t>por descumprimento ou cumprimento irregular de suas cláusulas, conforme dispõe o inciso I do art. 137 da Lei n. 14.133, de 2021.</w:t>
      </w:r>
    </w:p>
    <w:p w14:paraId="2F46E7BC"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 aplicação das sanções previstas neste Termo de Referência não exclui, em hipótese alguma, a obrigação de reparação integral do dano causado ao Contratante.</w:t>
      </w:r>
    </w:p>
    <w:p w14:paraId="4E34D231"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Todas as sanções previstas neste Termo de Referência poderão ser aplicadas cumulativamente com a multa</w:t>
      </w:r>
    </w:p>
    <w:p w14:paraId="5B7072CC"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Antes da aplicação da multa será facultada a defesa do interessado no prazo de 15 (quinze) dias úteis, contado da data de sua intimação.</w:t>
      </w:r>
    </w:p>
    <w:p w14:paraId="03F0E384"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Se a multa aplicada e as indenizações cabíveis forem superiores ao valor do pagamento eventualmente devido pelo Contratante ao Contratado, além da perda desse valor, a diferença será descontada da garantia prestada ou será cobrada judicialmente.</w:t>
      </w:r>
    </w:p>
    <w:p w14:paraId="4B54E58A"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 multa poderá ser recolhida administrativamente no prazo máximo de 15 (quinze) dias corridos, a contar da data do recebimento da comunicação enviada pela autoridade competente.</w:t>
      </w:r>
    </w:p>
    <w:p w14:paraId="12F6CDE1"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144F60D"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Para a garantia da ampla defesa e contraditório, as notificações serão enviadas eletronicamente para os endereços de e-mail informados na proposta comercial, bem como os cadastrados pela empresa no SICAF.</w:t>
      </w:r>
    </w:p>
    <w:p w14:paraId="6DA004DF"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Os endereços de e-mail informados na proposta comercial e/ou cadastrados no SICAF serão considerados de uso contínuo da empresa, não cabendo alegação de desconhecimento das comunicações a eles comprovadamente enviadas.</w:t>
      </w:r>
    </w:p>
    <w:p w14:paraId="2EE7C909"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Na aplicação das sanções serão considerados:</w:t>
      </w:r>
    </w:p>
    <w:p w14:paraId="0D183903"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a natureza e a gravidade da infração cometida;</w:t>
      </w:r>
    </w:p>
    <w:p w14:paraId="754FDA4A"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as peculiaridades do caso concreto;</w:t>
      </w:r>
    </w:p>
    <w:p w14:paraId="13763D8D"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as circunstâncias agravantes ou atenuantes;</w:t>
      </w:r>
    </w:p>
    <w:p w14:paraId="3A23F6A8"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os danos que dela provierem para o Contratante; e</w:t>
      </w:r>
    </w:p>
    <w:p w14:paraId="10BA59DC"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a implantação ou o aperfeiçoamento de programa de integridade, conforme normas e orientações dos órgãos de controle.</w:t>
      </w:r>
    </w:p>
    <w:p w14:paraId="581603B1"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5F989509"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B9A5E25"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C1AB683" w14:textId="77777777" w:rsidR="00407009" w:rsidRDefault="00000000">
      <w:pPr>
        <w:numPr>
          <w:ilvl w:val="2"/>
          <w:numId w:val="10"/>
        </w:numPr>
        <w:pBdr>
          <w:top w:val="nil"/>
          <w:left w:val="nil"/>
          <w:bottom w:val="nil"/>
          <w:right w:val="nil"/>
          <w:between w:val="nil"/>
        </w:pBdr>
        <w:rPr>
          <w:color w:val="000000"/>
        </w:rPr>
      </w:pPr>
      <w:r>
        <w:rPr>
          <w:color w:val="000000"/>
        </w:rPr>
        <w:t>As penalidades serão obrigatoriamente registradas no SICAF.</w:t>
      </w:r>
    </w:p>
    <w:p w14:paraId="57D8B035"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As sanções de impedimento de licitar e contratar e declaração de inidoneidade para licitar ou contratar são passíveis de reabilitação na forma do art. 163 da Lei nº 14.133, de 2021.</w:t>
      </w:r>
    </w:p>
    <w:p w14:paraId="2EECBB65"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 xml:space="preserve">Os débitos do Contratado para com a Administração Contratante, resultantes de multa administrativa e/ou indenizações, não inscritos em dívida ativa, poderão ser compensados, total ou </w:t>
      </w:r>
      <w:r>
        <w:rPr>
          <w:color w:val="000000"/>
        </w:rPr>
        <w:lastRenderedPageBreak/>
        <w:t>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4ADDD8DF" w14:textId="77777777" w:rsidR="00407009" w:rsidRDefault="00000000">
      <w:pPr>
        <w:keepNext/>
        <w:keepLines/>
        <w:numPr>
          <w:ilvl w:val="0"/>
          <w:numId w:val="10"/>
        </w:numPr>
        <w:pBdr>
          <w:top w:val="nil"/>
          <w:left w:val="nil"/>
          <w:bottom w:val="nil"/>
          <w:right w:val="nil"/>
          <w:between w:val="nil"/>
        </w:pBdr>
        <w:spacing w:before="480" w:after="120" w:line="276" w:lineRule="auto"/>
        <w:jc w:val="both"/>
        <w:rPr>
          <w:b/>
          <w:bCs/>
          <w:color w:val="000000"/>
        </w:rPr>
      </w:pPr>
      <w:r>
        <w:rPr>
          <w:b/>
          <w:bCs/>
          <w:color w:val="000000"/>
        </w:rPr>
        <w:t>FORMA E CRITÉRIO DE SELEÇÃO DO FORNECEDOR E FORMA DE FORNECIMENTO</w:t>
      </w:r>
    </w:p>
    <w:p w14:paraId="3BD5D248" w14:textId="77777777" w:rsidR="00407009" w:rsidRDefault="00000000">
      <w:pPr>
        <w:spacing w:line="276" w:lineRule="auto"/>
        <w:jc w:val="both"/>
        <w:rPr>
          <w:b/>
          <w:bCs/>
        </w:rPr>
      </w:pPr>
      <w:r>
        <w:rPr>
          <w:b/>
          <w:bCs/>
        </w:rPr>
        <w:t>Forma de seleção e critério de julgamento da proposta</w:t>
      </w:r>
    </w:p>
    <w:p w14:paraId="14F0E3E2"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O fornecedor será selecionado por meio da realização de procedimento de LICITAÇÃO, na modalidade PREGÃO, sob a forma ELETRÔNICA, com adoção do critério de julgamento pelo MENOR PREÇO GLOBAL.</w:t>
      </w:r>
    </w:p>
    <w:p w14:paraId="786312C4" w14:textId="77777777" w:rsidR="00407009" w:rsidRDefault="00407009">
      <w:pPr>
        <w:pBdr>
          <w:top w:val="nil"/>
          <w:left w:val="nil"/>
          <w:bottom w:val="nil"/>
          <w:right w:val="nil"/>
          <w:between w:val="nil"/>
        </w:pBdr>
        <w:spacing w:line="276" w:lineRule="auto"/>
        <w:ind w:left="716"/>
        <w:jc w:val="both"/>
        <w:rPr>
          <w:color w:val="000000"/>
        </w:rPr>
      </w:pPr>
    </w:p>
    <w:p w14:paraId="0BD3D5DA" w14:textId="77777777" w:rsidR="00407009" w:rsidRDefault="00000000">
      <w:pPr>
        <w:spacing w:line="276" w:lineRule="auto"/>
        <w:jc w:val="both"/>
        <w:rPr>
          <w:b/>
          <w:bCs/>
        </w:rPr>
      </w:pPr>
      <w:r>
        <w:rPr>
          <w:b/>
          <w:bCs/>
        </w:rPr>
        <w:t>Regime de Execução</w:t>
      </w:r>
    </w:p>
    <w:p w14:paraId="58BFCE5B"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regime de execução do objeto será de empreitada por preço unitário.</w:t>
      </w:r>
    </w:p>
    <w:p w14:paraId="515C61CF" w14:textId="77777777" w:rsidR="00407009" w:rsidRDefault="00407009">
      <w:pPr>
        <w:spacing w:line="276" w:lineRule="auto"/>
        <w:jc w:val="both"/>
      </w:pPr>
    </w:p>
    <w:p w14:paraId="6021197D" w14:textId="77777777" w:rsidR="00407009" w:rsidRDefault="00000000">
      <w:pPr>
        <w:spacing w:line="276" w:lineRule="auto"/>
        <w:jc w:val="both"/>
        <w:rPr>
          <w:b/>
          <w:bCs/>
        </w:rPr>
      </w:pPr>
      <w:r>
        <w:rPr>
          <w:b/>
          <w:bCs/>
        </w:rPr>
        <w:t>Critérios de aceitabilidade de preços</w:t>
      </w:r>
    </w:p>
    <w:p w14:paraId="70DBC1B3"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Tendo em vista que o objeto terá como regime de execução a empreitada por preço unitário, o critério de aceitabilidade de preços será valor global, conforme valor estimado da contratação.</w:t>
      </w:r>
    </w:p>
    <w:p w14:paraId="39A2E272"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Como condição para a aceitação da proposta, o licitante vencedor deverá apresentar uma RELAÇÃO DOS PRODUTOS SANEANTES DOMISSANITÁRIOS/DESINFESTANTES que pretende utilizar no controle de pragas e vetores urbanos, indicando a MARCA e o respectivo FABRICANTE, bem como as comprovações em relação a tais produtos.</w:t>
      </w:r>
    </w:p>
    <w:p w14:paraId="38D5F0FA"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 Pregoeiro solicitará ao licitante provisoriamente classificado em primeiro lugar, que apresente ou envie juntamente com sua proposta, sob pena de não aceitação, o documento comprobatório do registro na ANVISA dos produtos saneantes domissanitários/desinfetantes que se fazem necessários, conforme legislação vigente, notadamente Lei federal nº 6.360, de 1976, Decreto nº 8.077, de 2013, RDC ANVISA Nº 622, de 2022).</w:t>
      </w:r>
    </w:p>
    <w:p w14:paraId="028A7E31"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Para os produtos, cujos respectivos fabricantes desenvolvem atividades listadas no Anexo I da Instrução Normativa IBAMA nº 13/2021, e que são obrigados ao registro no Cadastro Técnico Federal de Atividades Potencialmente Poluidoras ou Utilizadoras de Recursos Ambientais, instituído pelo art. 17, inciso II, da Lei nº 6.938, de 1981, o Pregoeiro solicitará ao licitante provisoriamente classificado em primeiro lugar que apresente ou envie juntamente com a proposta, sob pena de não-aceitação, o Comprovante de Registro do fabricante do produto no Cadastro Técnico Federal de Atividades Potencialmente Poluidoras ou Utilizadoras de Recursos Ambientais (Categoria: Indústria Química; Código: 15-9; Descrição: Fabricação de preparados para limpeza e polimento, desinfetantes, inseticidas, germicidas e fungicidas), acompanhado do respectivo Certificado de Regularidade válido, nos termos do artigo 17, inciso II, da Lei nº 6.938, de 1981, e da Instrução Normativa IBAMA Nº 13, de 23/08/2021, e legislação correlata.</w:t>
      </w:r>
    </w:p>
    <w:p w14:paraId="1617C956"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A apresentação do Certificado de Regularidade será dispensada, caso o Pregoeiro logre êxito em obtê-lo mediante consulta online ao sítio oficial do IBAMA, anexando-o ao processo.</w:t>
      </w:r>
    </w:p>
    <w:p w14:paraId="2993B02D"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Importante pontuar que não se está exigindo comprovação de inscrição e regularidade no Cadastro Técnico Federal/APP-Ibama do licitante, mas sim do fabricante do produto que será utilizado pelo licitante na prestação do serviço. Nessa linha, deverá o licitante diligenciar para a obtenção do comprovante do registro no CTF/APP-Ibama e do respectivo Certificado de Regularidade do fabricante do produto ofertado, sob pena de não-aceitação, caso o Pregoeiro não logre êxito em obtê-lo.</w:t>
      </w:r>
    </w:p>
    <w:p w14:paraId="21DA8737" w14:textId="77777777" w:rsidR="00407009" w:rsidRDefault="00407009">
      <w:pPr>
        <w:spacing w:line="276" w:lineRule="auto"/>
        <w:jc w:val="both"/>
      </w:pPr>
    </w:p>
    <w:p w14:paraId="57820CCA" w14:textId="77777777" w:rsidR="00407009" w:rsidRDefault="00000000">
      <w:pPr>
        <w:spacing w:line="276" w:lineRule="auto"/>
        <w:jc w:val="both"/>
        <w:rPr>
          <w:b/>
          <w:bCs/>
        </w:rPr>
      </w:pPr>
      <w:r>
        <w:rPr>
          <w:b/>
          <w:bCs/>
        </w:rPr>
        <w:t>Exigências de habilitação</w:t>
      </w:r>
    </w:p>
    <w:p w14:paraId="333189FC" w14:textId="77777777" w:rsidR="00407009" w:rsidRDefault="00000000">
      <w:pPr>
        <w:numPr>
          <w:ilvl w:val="1"/>
          <w:numId w:val="10"/>
        </w:numPr>
        <w:pBdr>
          <w:top w:val="nil"/>
          <w:left w:val="nil"/>
          <w:bottom w:val="nil"/>
          <w:right w:val="nil"/>
          <w:between w:val="nil"/>
        </w:pBdr>
        <w:spacing w:after="120" w:line="276" w:lineRule="auto"/>
        <w:jc w:val="both"/>
        <w:rPr>
          <w:color w:val="000000"/>
        </w:rPr>
      </w:pPr>
      <w:r>
        <w:rPr>
          <w:color w:val="000000"/>
        </w:rPr>
        <w:t xml:space="preserve">Para o exercício de atividade de controle de vetores e pragas urbanas: ato de registro, autorização ou licença para funcionamento expedido pelo órgão competente do Estado, do Distrito Federal e/ou do </w:t>
      </w:r>
      <w:r>
        <w:rPr>
          <w:color w:val="000000"/>
        </w:rPr>
        <w:lastRenderedPageBreak/>
        <w:t>Município, nos termos da Lei n° 6.360, de 1976, do Decreto n° 8.077, de 2013, artigos 5º e 9º da Instrução Normativa Ibama nº 141, de 19 de dezembro de 2006, da RDC Anvisa nº 622, de 2022 e legislação e normatização correlata, além da Lei Estadual nº 7.806/2017 que Regulamenta as questões técnicas para o funcionamento das empresas controladoras no estado do Rio de Janeiro;</w:t>
      </w:r>
    </w:p>
    <w:p w14:paraId="0E8751E8" w14:textId="77777777" w:rsidR="00407009" w:rsidRDefault="00000000">
      <w:pPr>
        <w:numPr>
          <w:ilvl w:val="1"/>
          <w:numId w:val="10"/>
        </w:numPr>
        <w:pBdr>
          <w:top w:val="nil"/>
          <w:left w:val="nil"/>
          <w:bottom w:val="nil"/>
          <w:right w:val="nil"/>
          <w:between w:val="nil"/>
        </w:pBdr>
        <w:spacing w:after="120" w:line="276" w:lineRule="auto"/>
        <w:jc w:val="both"/>
        <w:rPr>
          <w:b/>
          <w:bCs/>
          <w:color w:val="000000"/>
        </w:rPr>
      </w:pPr>
      <w:r>
        <w:rPr>
          <w:color w:val="000000"/>
        </w:rPr>
        <w:t xml:space="preserve"> Para fins de habilitação jurídica, fiscal, social, trabalhista e econômico financeira, deverão ser atendidos os requisitos especificados no Edital, conforme art. 62 a 70 da Lei nº 14.133/2021, podendo ser dispensada total ou parcialmente nas contratações com para entrega imediata, nas contratações em valores inferiores a 1/4 (um quarto) do limite para dispensa de licitação para compras em geral e nas contratações de produto para pesquisa e desenvolvimento até o valor de R$ 300.000,00 (trezentos mil reais).</w:t>
      </w:r>
    </w:p>
    <w:p w14:paraId="785DDE16" w14:textId="77777777" w:rsidR="00407009" w:rsidRDefault="00407009">
      <w:pPr>
        <w:spacing w:line="276" w:lineRule="auto"/>
        <w:ind w:left="284"/>
        <w:jc w:val="both"/>
        <w:rPr>
          <w:b/>
          <w:bCs/>
        </w:rPr>
      </w:pPr>
    </w:p>
    <w:p w14:paraId="441DE3A9" w14:textId="77777777" w:rsidR="00407009" w:rsidRDefault="00000000">
      <w:pPr>
        <w:spacing w:line="276" w:lineRule="auto"/>
        <w:ind w:left="284"/>
        <w:jc w:val="both"/>
        <w:rPr>
          <w:b/>
          <w:bCs/>
        </w:rPr>
      </w:pPr>
      <w:r>
        <w:rPr>
          <w:b/>
          <w:bCs/>
        </w:rPr>
        <w:t>Qualificação técnica</w:t>
      </w:r>
    </w:p>
    <w:p w14:paraId="49B39300"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Declaração de que o fornecedor tomou conhecimento de todas as informações e das condições locais para o cumprimento das obrigações objeto da contratação.</w:t>
      </w:r>
    </w:p>
    <w:p w14:paraId="091B4138"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Essa declaração poderá ser substituída por declaração formal assinada pelo responsável técnico do interessado acerca do conhecimento pleno das condições e peculiaridades da contratação.</w:t>
      </w:r>
    </w:p>
    <w:p w14:paraId="75A1A921"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Sociedades empresárias estrangeiras atenderão à exigência por meio da apresentação, no momento da assinatura do contrato ou do aceite de instrumento equivalente, da solicitação de registro perante a entidade profissional competente no Brasil.</w:t>
      </w:r>
    </w:p>
    <w:p w14:paraId="55E24222" w14:textId="77777777" w:rsidR="00407009" w:rsidRDefault="00000000">
      <w:pPr>
        <w:numPr>
          <w:ilvl w:val="1"/>
          <w:numId w:val="10"/>
        </w:numPr>
        <w:pBdr>
          <w:top w:val="nil"/>
          <w:left w:val="nil"/>
          <w:bottom w:val="nil"/>
          <w:right w:val="nil"/>
          <w:between w:val="nil"/>
        </w:pBdr>
        <w:spacing w:after="120" w:line="276" w:lineRule="auto"/>
        <w:jc w:val="both"/>
        <w:rPr>
          <w:color w:val="000000"/>
        </w:rPr>
      </w:pPr>
      <w:r>
        <w:rPr>
          <w:color w:val="000000"/>
        </w:rPr>
        <w:t>Registro no Conselho Profissional afeto à categoria do respectivo Responsável Técnico para prestar serviços de controle de vetores e pragas urbanas, nos termos da Lei n° 6.360, de 1976, do Decreto n° 8.077, de 2013, RDC Anvisa nº 622, de 2022 e Lei Estadual nº 7.806/2017 que regulamenta as questões técnicas para o funcionamento das empresas controladoras no estado;</w:t>
      </w:r>
    </w:p>
    <w:p w14:paraId="641008F6" w14:textId="77777777" w:rsidR="00407009" w:rsidRDefault="00000000">
      <w:pPr>
        <w:numPr>
          <w:ilvl w:val="1"/>
          <w:numId w:val="10"/>
        </w:numPr>
        <w:pBdr>
          <w:top w:val="nil"/>
          <w:left w:val="nil"/>
          <w:bottom w:val="nil"/>
          <w:right w:val="nil"/>
          <w:between w:val="nil"/>
        </w:pBdr>
        <w:spacing w:after="120" w:line="276" w:lineRule="auto"/>
        <w:jc w:val="both"/>
        <w:rPr>
          <w:color w:val="000000"/>
        </w:rPr>
      </w:pPr>
      <w:r>
        <w:rPr>
          <w:color w:val="000000"/>
        </w:rPr>
        <w:t>Comprovação da capacitação técnico-profissional: comprovação do licitante de possuir em seu quadro permanente, na data prevista para entrega da proposta, profissional de nível superior ou outro devidamente reconhecido pela respectiva entidade profissional, detentor de atestado de responsabilidade técnica (Certidão de Acervo Técnico ou documento equivalente) relativo à execução dos serviços de controle de vetores e pragas urbanas, nos termos da Lei n° 6.360, de 1976, do Decreto n° 8.077, de 2013, RDC Anvisa nº 622, de 2022 e Lei Estadual nº 7.806/2017 que regulamenta as questões técnicas para o funcionamento das empresas controladoras no estado do Rio de Janeiro;</w:t>
      </w:r>
    </w:p>
    <w:p w14:paraId="5634B3CF" w14:textId="77777777" w:rsidR="00407009" w:rsidRDefault="00407009">
      <w:pPr>
        <w:spacing w:line="276" w:lineRule="auto"/>
        <w:jc w:val="both"/>
        <w:rPr>
          <w:highlight w:val="yellow"/>
        </w:rPr>
      </w:pPr>
    </w:p>
    <w:p w14:paraId="3EE3025D" w14:textId="77777777" w:rsidR="00407009" w:rsidRDefault="00000000">
      <w:pPr>
        <w:spacing w:line="276" w:lineRule="auto"/>
        <w:jc w:val="both"/>
        <w:rPr>
          <w:b/>
          <w:bCs/>
        </w:rPr>
      </w:pPr>
      <w:r>
        <w:rPr>
          <w:b/>
          <w:bCs/>
        </w:rPr>
        <w:t>Qualificação Técnico-Operacional</w:t>
      </w:r>
    </w:p>
    <w:p w14:paraId="25DE6E6C"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613EE765" w14:textId="77777777" w:rsidR="00407009" w:rsidRDefault="00000000">
      <w:pPr>
        <w:numPr>
          <w:ilvl w:val="2"/>
          <w:numId w:val="10"/>
        </w:numPr>
        <w:pBdr>
          <w:top w:val="nil"/>
          <w:left w:val="nil"/>
          <w:bottom w:val="nil"/>
          <w:right w:val="nil"/>
          <w:between w:val="nil"/>
        </w:pBdr>
        <w:spacing w:line="276" w:lineRule="auto"/>
        <w:jc w:val="both"/>
        <w:rPr>
          <w:color w:val="000000"/>
        </w:rPr>
      </w:pPr>
      <w:r>
        <w:rPr>
          <w:color w:val="000000"/>
        </w:rPr>
        <w:t>Para fins da comprovação de que trata este subitem, os atestados deverão dizer respeito a contrato(s) executado(s) com as seguintes características mínimas:</w:t>
      </w:r>
    </w:p>
    <w:p w14:paraId="453FF671" w14:textId="77777777" w:rsidR="00407009" w:rsidRDefault="00000000">
      <w:pPr>
        <w:numPr>
          <w:ilvl w:val="3"/>
          <w:numId w:val="10"/>
        </w:numPr>
        <w:pBdr>
          <w:top w:val="nil"/>
          <w:left w:val="nil"/>
          <w:bottom w:val="nil"/>
          <w:right w:val="nil"/>
          <w:between w:val="nil"/>
        </w:pBdr>
        <w:spacing w:line="276" w:lineRule="auto"/>
        <w:ind w:hanging="647"/>
        <w:jc w:val="both"/>
        <w:rPr>
          <w:color w:val="000000"/>
        </w:rPr>
      </w:pPr>
      <w:r>
        <w:rPr>
          <w:color w:val="000000"/>
        </w:rPr>
        <w:t>contrato(s) que comprove(m) a experiência mínima de 01 (um) anos do fornecedor na prestação dos serviços, em períodos sucessivos ou não, sendo aceito o somatório de atestados de períodos diferentes;</w:t>
      </w:r>
    </w:p>
    <w:p w14:paraId="41DE2458"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Serão admitidos, para fins de comprovação de quantitativo mínimo de serviço, a apresentação e o somatório de diferentes atestados de serviços executados de forma concomitante, pois essa situação equivale, para fins de comprovação de capacidade técnico-operacional, a uma única contratação.</w:t>
      </w:r>
    </w:p>
    <w:p w14:paraId="02250EE7"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Os atestados de capacidade técnica poderão ser apresentados em nome da matriz ou da filial do fornecedor.</w:t>
      </w:r>
    </w:p>
    <w:p w14:paraId="62B9599B"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lastRenderedPageBreak/>
        <w:t>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14:paraId="7BAF7729"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Os atestados deverão referir-se a serviços prestados no âmbito de sua atividade econômica principal ou secundária especificadas no contrato social vigente.</w:t>
      </w:r>
    </w:p>
    <w:p w14:paraId="157B474C"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Serão aceitos atestados ou outros documentos hábeis emitidos por entidades estrangeiras quando acompanhados de tradução para o português, salvo se comprovada a inidoneidade da entidade emissora.</w:t>
      </w:r>
    </w:p>
    <w:p w14:paraId="356AFB90"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A apresentação, pelo fornecedor, de certidões ou atestados de desempenho anterior emitido em favor de consórcio do qual tenha feito parte será admitida, desde que atendidos os requisitos do art. 67, §§ 10 e 11, da Lei nº 14.133/2021 e regulamentos sobre o tema.</w:t>
      </w:r>
    </w:p>
    <w:p w14:paraId="64418BB1" w14:textId="77777777" w:rsidR="00407009" w:rsidRDefault="00407009">
      <w:pPr>
        <w:spacing w:line="276" w:lineRule="auto"/>
        <w:ind w:left="426"/>
        <w:jc w:val="both"/>
      </w:pPr>
    </w:p>
    <w:p w14:paraId="4198F0F9" w14:textId="77777777" w:rsidR="00407009" w:rsidRDefault="00000000">
      <w:pPr>
        <w:spacing w:line="276" w:lineRule="auto"/>
        <w:ind w:left="426"/>
        <w:jc w:val="both"/>
        <w:rPr>
          <w:b/>
          <w:bCs/>
        </w:rPr>
      </w:pPr>
      <w:r>
        <w:rPr>
          <w:b/>
          <w:bCs/>
        </w:rPr>
        <w:t>Qualificação Técnico-Profissional</w:t>
      </w:r>
    </w:p>
    <w:p w14:paraId="23615AF9"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O(s) profissional(</w:t>
      </w:r>
      <w:proofErr w:type="spellStart"/>
      <w:r>
        <w:rPr>
          <w:color w:val="000000"/>
        </w:rPr>
        <w:t>is</w:t>
      </w:r>
      <w:proofErr w:type="spellEnd"/>
      <w:r>
        <w:rPr>
          <w:color w:val="000000"/>
        </w:rPr>
        <w:t>) indicado(s) deverá(</w:t>
      </w:r>
      <w:proofErr w:type="spellStart"/>
      <w:r>
        <w:rPr>
          <w:color w:val="000000"/>
        </w:rPr>
        <w:t>ão</w:t>
      </w:r>
      <w:proofErr w:type="spellEnd"/>
      <w:r>
        <w:rPr>
          <w:color w:val="000000"/>
        </w:rPr>
        <w:t>) participar do serviço objeto do contrato, e será admitida a sua substituição por profissionais de experiência equivalente ou superior, desde que aprovada pela Administração (§ 6º do art. 67 da Lei nº 14.133, de 2021)</w:t>
      </w:r>
    </w:p>
    <w:p w14:paraId="68EBC61D"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Não serão admitidos atestados de responsabilidade técnica de profissionais que, na forma de regulamento, tenham dado causa à aplicação das sanções previstas nos incisos III e IV do caput do art. 156 da Lei n.º 14.133, de 2021, em decorrência de orientação proposta, de prescrição técnica ou de qualquer ato profissional de sua responsabilidade.</w:t>
      </w:r>
    </w:p>
    <w:p w14:paraId="381C4790"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Os atestados de capacidade técnica poderão ser apresentados em nome da matriz ou da filial do fornecedor.</w:t>
      </w:r>
    </w:p>
    <w:p w14:paraId="2FF230E9" w14:textId="77777777" w:rsidR="00407009" w:rsidRDefault="00407009">
      <w:pPr>
        <w:spacing w:line="276" w:lineRule="auto"/>
        <w:jc w:val="both"/>
        <w:rPr>
          <w:b/>
          <w:bCs/>
        </w:rPr>
      </w:pPr>
    </w:p>
    <w:p w14:paraId="794B2D10" w14:textId="77777777" w:rsidR="00407009" w:rsidRDefault="00000000">
      <w:pPr>
        <w:spacing w:line="276" w:lineRule="auto"/>
        <w:jc w:val="both"/>
        <w:rPr>
          <w:b/>
          <w:bCs/>
        </w:rPr>
      </w:pPr>
      <w:r>
        <w:rPr>
          <w:b/>
          <w:bCs/>
        </w:rPr>
        <w:t>Disposições gerais sobre habilitação</w:t>
      </w:r>
    </w:p>
    <w:p w14:paraId="540CB785" w14:textId="77777777" w:rsidR="00407009" w:rsidRDefault="00000000">
      <w:pPr>
        <w:spacing w:line="276" w:lineRule="auto"/>
        <w:jc w:val="both"/>
      </w:pPr>
      <w:r>
        <w:t>Não se aplica.</w:t>
      </w:r>
    </w:p>
    <w:p w14:paraId="06E95B23" w14:textId="77777777" w:rsidR="00407009" w:rsidRDefault="00407009">
      <w:pPr>
        <w:spacing w:line="276" w:lineRule="auto"/>
        <w:jc w:val="both"/>
      </w:pPr>
    </w:p>
    <w:p w14:paraId="4159FDD2" w14:textId="77777777" w:rsidR="00407009" w:rsidRDefault="00000000">
      <w:pPr>
        <w:spacing w:line="276" w:lineRule="auto"/>
        <w:jc w:val="both"/>
        <w:rPr>
          <w:b/>
          <w:bCs/>
        </w:rPr>
      </w:pPr>
      <w:r>
        <w:rPr>
          <w:b/>
          <w:bCs/>
        </w:rPr>
        <w:t>Documentação complementar para cooperativas</w:t>
      </w:r>
    </w:p>
    <w:p w14:paraId="346B2C4B" w14:textId="77777777" w:rsidR="00407009" w:rsidRDefault="00000000">
      <w:pPr>
        <w:spacing w:line="276" w:lineRule="auto"/>
        <w:jc w:val="both"/>
      </w:pPr>
      <w:r>
        <w:t>Não se aplica</w:t>
      </w:r>
    </w:p>
    <w:p w14:paraId="0E8F0C45" w14:textId="77777777" w:rsidR="00407009" w:rsidRDefault="00000000">
      <w:pPr>
        <w:keepNext/>
        <w:keepLines/>
        <w:numPr>
          <w:ilvl w:val="0"/>
          <w:numId w:val="10"/>
        </w:numPr>
        <w:pBdr>
          <w:top w:val="nil"/>
          <w:left w:val="nil"/>
          <w:bottom w:val="nil"/>
          <w:right w:val="nil"/>
          <w:between w:val="nil"/>
        </w:pBdr>
        <w:spacing w:before="480" w:after="120" w:line="276" w:lineRule="auto"/>
        <w:jc w:val="both"/>
        <w:rPr>
          <w:b/>
          <w:bCs/>
          <w:color w:val="000000"/>
        </w:rPr>
      </w:pPr>
      <w:r>
        <w:rPr>
          <w:b/>
          <w:bCs/>
          <w:color w:val="000000"/>
        </w:rPr>
        <w:t>ESTIMATIVAS DO VALOR DA CONTRATAÇÃO</w:t>
      </w:r>
    </w:p>
    <w:p w14:paraId="20D6706F" w14:textId="77777777" w:rsidR="00407009" w:rsidRDefault="00000000">
      <w:pPr>
        <w:numPr>
          <w:ilvl w:val="1"/>
          <w:numId w:val="10"/>
        </w:numPr>
        <w:pBdr>
          <w:top w:val="nil"/>
          <w:left w:val="nil"/>
          <w:bottom w:val="nil"/>
          <w:right w:val="nil"/>
          <w:between w:val="nil"/>
        </w:pBdr>
        <w:spacing w:line="276" w:lineRule="auto"/>
        <w:jc w:val="both"/>
        <w:rPr>
          <w:color w:val="000000"/>
        </w:rPr>
      </w:pPr>
      <w:r>
        <w:rPr>
          <w:color w:val="000000"/>
        </w:rPr>
        <w:t>De acordo com o fluxo processual do Departamento Técnico de Contratações e Convênios, a estimativa de preços será precedida de regular pesquisa pelo Departamento responsável, nos moldes do art. 23 da Lei nº 14.133/21 e da Instrução Normativa SEGES/ME nº 65/2021.</w:t>
      </w:r>
    </w:p>
    <w:p w14:paraId="5DA42318" w14:textId="77777777" w:rsidR="00407009" w:rsidRDefault="00000000">
      <w:pPr>
        <w:keepNext/>
        <w:keepLines/>
        <w:numPr>
          <w:ilvl w:val="0"/>
          <w:numId w:val="10"/>
        </w:numPr>
        <w:pBdr>
          <w:top w:val="nil"/>
          <w:left w:val="nil"/>
          <w:bottom w:val="nil"/>
          <w:right w:val="nil"/>
          <w:between w:val="nil"/>
        </w:pBdr>
        <w:spacing w:before="480" w:line="276" w:lineRule="auto"/>
        <w:jc w:val="both"/>
        <w:rPr>
          <w:b/>
          <w:bCs/>
          <w:color w:val="000000"/>
        </w:rPr>
      </w:pPr>
      <w:r>
        <w:rPr>
          <w:b/>
          <w:bCs/>
          <w:color w:val="000000"/>
        </w:rPr>
        <w:t>ADEQUAÇÃO ORÇAMENTÁRIA</w:t>
      </w:r>
    </w:p>
    <w:p w14:paraId="7CE34893" w14:textId="77777777" w:rsidR="00407009" w:rsidRDefault="00407009"/>
    <w:p w14:paraId="36642F15"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As despesas decorrentes da presente contratação correrão à conta de recursos próprios.</w:t>
      </w:r>
    </w:p>
    <w:p w14:paraId="3C6EFFE3"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A contratação será atendida pela seguinte dotação:</w:t>
      </w:r>
    </w:p>
    <w:p w14:paraId="095B7758" w14:textId="77777777" w:rsidR="00407009" w:rsidRDefault="00000000">
      <w:pPr>
        <w:numPr>
          <w:ilvl w:val="3"/>
          <w:numId w:val="10"/>
        </w:numPr>
        <w:pBdr>
          <w:top w:val="nil"/>
          <w:left w:val="nil"/>
          <w:bottom w:val="nil"/>
          <w:right w:val="nil"/>
          <w:between w:val="nil"/>
        </w:pBdr>
        <w:spacing w:line="276" w:lineRule="auto"/>
        <w:ind w:hanging="647"/>
        <w:jc w:val="both"/>
        <w:rPr>
          <w:color w:val="000000"/>
        </w:rPr>
      </w:pPr>
      <w:r>
        <w:rPr>
          <w:color w:val="000000"/>
        </w:rPr>
        <w:t>6.2.2.1.1.01.33.90.039.002.036 – Demais Serviços de Higiene Sem Locação de Mão de Obra</w:t>
      </w:r>
    </w:p>
    <w:p w14:paraId="14FE1036"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A dotação relativa aos exercícios financeiros subsequentes será indicada após aprovação da Lei Orçamentária respectiva e liberação dos créditos correspondentes, mediante apostilamento.</w:t>
      </w:r>
    </w:p>
    <w:p w14:paraId="71C0A5A8" w14:textId="77777777" w:rsidR="00407009" w:rsidRDefault="00000000">
      <w:pPr>
        <w:keepNext/>
        <w:keepLines/>
        <w:numPr>
          <w:ilvl w:val="0"/>
          <w:numId w:val="10"/>
        </w:numPr>
        <w:pBdr>
          <w:top w:val="nil"/>
          <w:left w:val="nil"/>
          <w:bottom w:val="nil"/>
          <w:right w:val="nil"/>
          <w:between w:val="nil"/>
        </w:pBdr>
        <w:spacing w:before="480" w:after="120" w:line="276" w:lineRule="auto"/>
        <w:jc w:val="both"/>
        <w:rPr>
          <w:b/>
          <w:bCs/>
          <w:color w:val="000000"/>
        </w:rPr>
      </w:pPr>
      <w:r>
        <w:rPr>
          <w:b/>
          <w:bCs/>
          <w:color w:val="000000"/>
        </w:rPr>
        <w:lastRenderedPageBreak/>
        <w:t>DISPOSIÇÕES FINAIS</w:t>
      </w:r>
    </w:p>
    <w:p w14:paraId="06A00729" w14:textId="77777777" w:rsidR="00407009" w:rsidRDefault="00000000">
      <w:pPr>
        <w:numPr>
          <w:ilvl w:val="1"/>
          <w:numId w:val="10"/>
        </w:numPr>
        <w:pBdr>
          <w:top w:val="nil"/>
          <w:left w:val="nil"/>
          <w:bottom w:val="nil"/>
          <w:right w:val="nil"/>
          <w:between w:val="nil"/>
        </w:pBdr>
        <w:spacing w:after="120" w:line="276" w:lineRule="auto"/>
        <w:jc w:val="both"/>
      </w:pPr>
      <w:r>
        <w:rPr>
          <w:color w:val="000000"/>
        </w:rPr>
        <w:t>As informações contidas neste Termo de Referência não são classificadas como sigilosas.</w:t>
      </w:r>
    </w:p>
    <w:p w14:paraId="443F5D60" w14:textId="77777777" w:rsidR="00407009" w:rsidRDefault="00407009">
      <w:pPr>
        <w:pBdr>
          <w:top w:val="nil"/>
          <w:left w:val="nil"/>
          <w:bottom w:val="nil"/>
          <w:right w:val="nil"/>
          <w:between w:val="nil"/>
        </w:pBdr>
        <w:spacing w:after="120" w:line="276" w:lineRule="auto"/>
        <w:ind w:left="284" w:hanging="432"/>
        <w:jc w:val="both"/>
        <w:rPr>
          <w:color w:val="000000"/>
        </w:rPr>
      </w:pPr>
    </w:p>
    <w:p w14:paraId="4DEE0F87" w14:textId="77777777" w:rsidR="00407009" w:rsidRDefault="00000000">
      <w:pPr>
        <w:spacing w:after="360" w:line="276" w:lineRule="auto"/>
        <w:ind w:left="360"/>
        <w:jc w:val="center"/>
      </w:pPr>
      <w:r>
        <w:rPr>
          <w:i/>
          <w:iCs/>
        </w:rPr>
        <w:t>Rio de Janeiro</w:t>
      </w:r>
      <w:r>
        <w:t>, 19 de maio de 2026.</w:t>
      </w:r>
    </w:p>
    <w:p w14:paraId="40D69E36" w14:textId="77777777" w:rsidR="00407009" w:rsidRDefault="00000000">
      <w:pPr>
        <w:spacing w:after="360" w:line="276" w:lineRule="auto"/>
        <w:ind w:left="360"/>
        <w:jc w:val="center"/>
      </w:pPr>
      <w:r>
        <w:t>__________________________________</w:t>
      </w:r>
    </w:p>
    <w:p w14:paraId="0480543D" w14:textId="77777777" w:rsidR="00407009" w:rsidRDefault="00000000">
      <w:pPr>
        <w:spacing w:after="360" w:line="276" w:lineRule="auto"/>
        <w:ind w:left="360"/>
        <w:jc w:val="center"/>
      </w:pPr>
      <w:r>
        <w:t>Luiz André Costa Gonçalves</w:t>
      </w:r>
      <w:r>
        <w:br/>
        <w:t>Assessor Técnico</w:t>
      </w:r>
      <w:r>
        <w:br/>
        <w:t>Matrícula 630</w:t>
      </w:r>
    </w:p>
    <w:p w14:paraId="4A2C5ABD" w14:textId="77777777" w:rsidR="00407009" w:rsidRDefault="00000000">
      <w:pPr>
        <w:rPr>
          <w:b/>
          <w:bCs/>
        </w:rPr>
      </w:pPr>
      <w:r>
        <w:br w:type="page"/>
      </w:r>
    </w:p>
    <w:p w14:paraId="22A1CF71" w14:textId="77777777" w:rsidR="00407009" w:rsidRDefault="00407009">
      <w:pPr>
        <w:pBdr>
          <w:top w:val="nil"/>
          <w:left w:val="nil"/>
          <w:bottom w:val="nil"/>
          <w:right w:val="nil"/>
          <w:between w:val="nil"/>
        </w:pBdr>
        <w:jc w:val="center"/>
        <w:rPr>
          <w:b/>
          <w:bCs/>
          <w:color w:val="000000"/>
        </w:rPr>
      </w:pPr>
    </w:p>
    <w:p w14:paraId="349FE02B" w14:textId="77777777" w:rsidR="00407009" w:rsidRDefault="00000000">
      <w:pPr>
        <w:pBdr>
          <w:top w:val="nil"/>
          <w:left w:val="nil"/>
          <w:bottom w:val="nil"/>
          <w:right w:val="nil"/>
          <w:between w:val="nil"/>
        </w:pBdr>
        <w:jc w:val="center"/>
        <w:rPr>
          <w:b/>
          <w:bCs/>
          <w:color w:val="000000"/>
        </w:rPr>
      </w:pPr>
      <w:r>
        <w:rPr>
          <w:b/>
          <w:bCs/>
          <w:color w:val="000000"/>
        </w:rPr>
        <w:t>ANEXO I DO TERMO DE REFERÊNCIA</w:t>
      </w:r>
    </w:p>
    <w:p w14:paraId="74679B59" w14:textId="77777777" w:rsidR="00407009" w:rsidRDefault="00000000">
      <w:pPr>
        <w:jc w:val="center"/>
        <w:rPr>
          <w:b/>
          <w:bCs/>
        </w:rPr>
      </w:pPr>
      <w:r>
        <w:rPr>
          <w:b/>
          <w:bCs/>
        </w:rPr>
        <w:t>INSTRUMENTO DE MEDIÇÃO DE RESULTADO – IMR</w:t>
      </w:r>
    </w:p>
    <w:p w14:paraId="45BF9B58" w14:textId="77777777" w:rsidR="00407009" w:rsidRDefault="00407009">
      <w:pPr>
        <w:spacing w:line="360" w:lineRule="auto"/>
        <w:jc w:val="both"/>
      </w:pPr>
    </w:p>
    <w:p w14:paraId="62B75C1A" w14:textId="77777777" w:rsidR="00407009" w:rsidRDefault="00000000">
      <w:pPr>
        <w:spacing w:line="360" w:lineRule="auto"/>
        <w:jc w:val="both"/>
      </w:pPr>
      <w:r>
        <w:t>EMPRESA: ____________________________ SERVIÇO: __________________________</w:t>
      </w:r>
    </w:p>
    <w:p w14:paraId="2F55492F" w14:textId="77777777" w:rsidR="00407009" w:rsidRDefault="00000000">
      <w:pPr>
        <w:spacing w:line="360" w:lineRule="auto"/>
        <w:jc w:val="both"/>
      </w:pPr>
      <w:r>
        <w:t>Contrato nº __________________________</w:t>
      </w:r>
    </w:p>
    <w:p w14:paraId="75E54D96" w14:textId="77777777" w:rsidR="00407009" w:rsidRDefault="00407009">
      <w:pPr>
        <w:spacing w:line="360" w:lineRule="auto"/>
        <w:jc w:val="both"/>
        <w:rPr>
          <w:rFonts w:ascii="Times New Roman" w:eastAsia="Times New Roman" w:hAnsi="Times New Roman" w:cs="Times New Roman"/>
          <w:sz w:val="22"/>
          <w:szCs w:val="22"/>
        </w:rPr>
      </w:pPr>
    </w:p>
    <w:p w14:paraId="78DE7890" w14:textId="77777777" w:rsidR="00407009" w:rsidRDefault="00000000">
      <w:pPr>
        <w:spacing w:line="360" w:lineRule="auto"/>
        <w:jc w:val="both"/>
        <w:rPr>
          <w:b/>
          <w:bCs/>
        </w:rPr>
      </w:pPr>
      <w:r>
        <w:rPr>
          <w:b/>
          <w:bCs/>
        </w:rPr>
        <w:t>1. Finalidade</w:t>
      </w:r>
    </w:p>
    <w:p w14:paraId="09C41CEF" w14:textId="77777777" w:rsidR="00407009" w:rsidRDefault="00000000">
      <w:pPr>
        <w:spacing w:line="360" w:lineRule="auto"/>
        <w:jc w:val="both"/>
      </w:pPr>
      <w:r>
        <w:t>O presente Instrumento de Medição de Resultados (IMR) tem por finalidade estabelecer critérios objetivos para avaliação da qualidade dos serviços prestados pela CONTRATADA, subsidiando o aceite, a eventual aplicação de glosas e o acompanhamento do desempenho contratual, em observância aos princípios da eficiência, economicidade e interesse público.</w:t>
      </w:r>
    </w:p>
    <w:p w14:paraId="4396B09A" w14:textId="77777777" w:rsidR="00407009" w:rsidRDefault="00407009">
      <w:pPr>
        <w:spacing w:line="360" w:lineRule="auto"/>
        <w:jc w:val="both"/>
      </w:pPr>
    </w:p>
    <w:p w14:paraId="0701CB22" w14:textId="77777777" w:rsidR="00407009" w:rsidRDefault="00000000">
      <w:pPr>
        <w:spacing w:line="360" w:lineRule="auto"/>
        <w:jc w:val="both"/>
        <w:rPr>
          <w:b/>
          <w:bCs/>
        </w:rPr>
      </w:pPr>
      <w:r>
        <w:rPr>
          <w:b/>
          <w:bCs/>
        </w:rPr>
        <w:t>2. Metodologia de avaliação</w:t>
      </w:r>
    </w:p>
    <w:p w14:paraId="6ADA79E4" w14:textId="77777777" w:rsidR="00407009" w:rsidRDefault="00000000">
      <w:pPr>
        <w:spacing w:line="360" w:lineRule="auto"/>
        <w:jc w:val="both"/>
      </w:pPr>
      <w:r>
        <w:t xml:space="preserve">A avaliação será realizada pelo fiscal do contrato, com base em indicadores de desempenho previamente definidos, mediante verificação documental, inspeção in loco e análise dos relatórios técnicos apresentados pela CONTRATADA. A aferição ocorrerá </w:t>
      </w:r>
      <w:r>
        <w:rPr>
          <w:b/>
          <w:bCs/>
        </w:rPr>
        <w:t>mensalmente</w:t>
      </w:r>
      <w:r>
        <w:t>, considerando o desempenho no período de referência.</w:t>
      </w:r>
    </w:p>
    <w:p w14:paraId="5A8315EA" w14:textId="77777777" w:rsidR="00407009" w:rsidRDefault="00407009">
      <w:pPr>
        <w:spacing w:line="360" w:lineRule="auto"/>
        <w:jc w:val="both"/>
      </w:pPr>
    </w:p>
    <w:p w14:paraId="71EC9609" w14:textId="77777777" w:rsidR="00407009" w:rsidRDefault="00000000">
      <w:pPr>
        <w:spacing w:line="360" w:lineRule="auto"/>
        <w:jc w:val="both"/>
        <w:rPr>
          <w:b/>
          <w:bCs/>
        </w:rPr>
      </w:pPr>
      <w:r>
        <w:rPr>
          <w:b/>
          <w:bCs/>
        </w:rPr>
        <w:t>3. Indicadores de desempenho</w:t>
      </w:r>
    </w:p>
    <w:p w14:paraId="1C44C3EB" w14:textId="77777777" w:rsidR="00407009" w:rsidRDefault="00000000">
      <w:pPr>
        <w:spacing w:line="360" w:lineRule="auto"/>
        <w:jc w:val="both"/>
        <w:rPr>
          <w:b/>
          <w:bCs/>
        </w:rPr>
      </w:pPr>
      <w:r>
        <w:rPr>
          <w:b/>
          <w:bCs/>
        </w:rPr>
        <w:t>3.1 Índice de Atendimento ao Cronograma (IAC)</w:t>
      </w:r>
    </w:p>
    <w:p w14:paraId="151CD089" w14:textId="77777777" w:rsidR="00407009" w:rsidRDefault="00000000">
      <w:pPr>
        <w:numPr>
          <w:ilvl w:val="0"/>
          <w:numId w:val="3"/>
        </w:numPr>
        <w:spacing w:line="360" w:lineRule="auto"/>
        <w:jc w:val="both"/>
      </w:pPr>
      <w:r>
        <w:rPr>
          <w:b/>
          <w:bCs/>
        </w:rPr>
        <w:t>Descrição:</w:t>
      </w:r>
      <w:r>
        <w:t xml:space="preserve"> Verifica o cumprimento das atividades programadas no período. </w:t>
      </w:r>
    </w:p>
    <w:p w14:paraId="0D78DA29" w14:textId="77777777" w:rsidR="00407009" w:rsidRDefault="00000000">
      <w:pPr>
        <w:numPr>
          <w:ilvl w:val="0"/>
          <w:numId w:val="3"/>
        </w:numPr>
        <w:spacing w:line="360" w:lineRule="auto"/>
        <w:jc w:val="both"/>
      </w:pPr>
      <w:r>
        <w:rPr>
          <w:b/>
          <w:bCs/>
        </w:rPr>
        <w:t xml:space="preserve">Fórmula: </w:t>
      </w:r>
      <w:r>
        <w:t xml:space="preserve">IAC = (Serviços executados no prazo / Serviços programados) × 100 </w:t>
      </w:r>
    </w:p>
    <w:p w14:paraId="705607D2" w14:textId="77777777" w:rsidR="00407009" w:rsidRDefault="00000000">
      <w:pPr>
        <w:numPr>
          <w:ilvl w:val="0"/>
          <w:numId w:val="3"/>
        </w:numPr>
        <w:spacing w:line="360" w:lineRule="auto"/>
        <w:jc w:val="both"/>
      </w:pPr>
      <w:r>
        <w:rPr>
          <w:b/>
          <w:bCs/>
        </w:rPr>
        <w:t>Meta:</w:t>
      </w:r>
      <w:sdt>
        <w:sdtPr>
          <w:tag w:val="goog_rdk_0"/>
          <w:id w:val="1060334410"/>
        </w:sdtPr>
        <w:sdtContent>
          <w:r>
            <w:rPr>
              <w:rFonts w:ascii="Arial Unicode MS" w:eastAsia="Arial Unicode MS" w:hAnsi="Arial Unicode MS" w:cs="Arial Unicode MS"/>
            </w:rPr>
            <w:t xml:space="preserve"> ≥ 95% </w:t>
          </w:r>
        </w:sdtContent>
      </w:sdt>
    </w:p>
    <w:p w14:paraId="2F76F495" w14:textId="77777777" w:rsidR="00407009" w:rsidRDefault="00407009">
      <w:pPr>
        <w:spacing w:line="360" w:lineRule="auto"/>
        <w:jc w:val="both"/>
      </w:pPr>
    </w:p>
    <w:p w14:paraId="0191C42F" w14:textId="77777777" w:rsidR="00407009" w:rsidRDefault="00000000">
      <w:pPr>
        <w:spacing w:line="360" w:lineRule="auto"/>
        <w:jc w:val="both"/>
        <w:rPr>
          <w:b/>
          <w:bCs/>
        </w:rPr>
      </w:pPr>
      <w:r>
        <w:rPr>
          <w:b/>
          <w:bCs/>
        </w:rPr>
        <w:t>3.2 Índice de Atendimento Emergencial (IAE)</w:t>
      </w:r>
    </w:p>
    <w:p w14:paraId="50200090" w14:textId="77777777" w:rsidR="00407009" w:rsidRDefault="00000000">
      <w:pPr>
        <w:numPr>
          <w:ilvl w:val="0"/>
          <w:numId w:val="4"/>
        </w:numPr>
        <w:spacing w:line="360" w:lineRule="auto"/>
        <w:jc w:val="both"/>
      </w:pPr>
      <w:r>
        <w:rPr>
          <w:b/>
          <w:bCs/>
        </w:rPr>
        <w:t>Descrição:</w:t>
      </w:r>
      <w:r>
        <w:t xml:space="preserve"> Mede o cumprimento do prazo de atendimento às demandas emergenciais dentro do prazo estipulado de 24 (vinte e quatro) horas. </w:t>
      </w:r>
    </w:p>
    <w:p w14:paraId="76C264B5" w14:textId="77777777" w:rsidR="00407009" w:rsidRDefault="00000000">
      <w:pPr>
        <w:numPr>
          <w:ilvl w:val="0"/>
          <w:numId w:val="4"/>
        </w:numPr>
        <w:spacing w:line="360" w:lineRule="auto"/>
        <w:jc w:val="both"/>
      </w:pPr>
      <w:r>
        <w:rPr>
          <w:b/>
          <w:bCs/>
        </w:rPr>
        <w:t xml:space="preserve">Fórmula: </w:t>
      </w:r>
      <w:r>
        <w:t xml:space="preserve">IAE = (Chamados atendidos no prazo / Total de chamados) × 100 </w:t>
      </w:r>
    </w:p>
    <w:p w14:paraId="1A9E7B9A" w14:textId="77777777" w:rsidR="00407009" w:rsidRDefault="00000000">
      <w:pPr>
        <w:numPr>
          <w:ilvl w:val="0"/>
          <w:numId w:val="4"/>
        </w:numPr>
        <w:spacing w:line="360" w:lineRule="auto"/>
        <w:jc w:val="both"/>
      </w:pPr>
      <w:r>
        <w:rPr>
          <w:b/>
          <w:bCs/>
        </w:rPr>
        <w:t>Meta:</w:t>
      </w:r>
      <w:sdt>
        <w:sdtPr>
          <w:tag w:val="goog_rdk_1"/>
          <w:id w:val="1596302188"/>
        </w:sdtPr>
        <w:sdtContent>
          <w:r>
            <w:rPr>
              <w:rFonts w:ascii="Arial Unicode MS" w:eastAsia="Arial Unicode MS" w:hAnsi="Arial Unicode MS" w:cs="Arial Unicode MS"/>
            </w:rPr>
            <w:t xml:space="preserve"> ≥ 95% </w:t>
          </w:r>
        </w:sdtContent>
      </w:sdt>
    </w:p>
    <w:p w14:paraId="4CF8828F" w14:textId="77777777" w:rsidR="00407009" w:rsidRDefault="00407009">
      <w:pPr>
        <w:spacing w:line="360" w:lineRule="auto"/>
        <w:jc w:val="both"/>
      </w:pPr>
    </w:p>
    <w:p w14:paraId="74B589F4" w14:textId="77777777" w:rsidR="00407009" w:rsidRDefault="00000000">
      <w:pPr>
        <w:spacing w:line="360" w:lineRule="auto"/>
        <w:jc w:val="both"/>
        <w:rPr>
          <w:b/>
          <w:bCs/>
        </w:rPr>
      </w:pPr>
      <w:r>
        <w:rPr>
          <w:b/>
          <w:bCs/>
        </w:rPr>
        <w:t>3.3 Índice de Eficácia do Controle (IEC)</w:t>
      </w:r>
    </w:p>
    <w:p w14:paraId="737A45F5" w14:textId="77777777" w:rsidR="00407009" w:rsidRDefault="00000000">
      <w:pPr>
        <w:numPr>
          <w:ilvl w:val="0"/>
          <w:numId w:val="5"/>
        </w:numPr>
        <w:spacing w:line="360" w:lineRule="auto"/>
        <w:jc w:val="both"/>
      </w:pPr>
      <w:r>
        <w:rPr>
          <w:b/>
          <w:bCs/>
        </w:rPr>
        <w:t>Descrição:</w:t>
      </w:r>
      <w:r>
        <w:t xml:space="preserve"> Avalia a reincidência de pragas nas áreas tratadas. </w:t>
      </w:r>
    </w:p>
    <w:p w14:paraId="34DAACA2" w14:textId="77777777" w:rsidR="00407009" w:rsidRDefault="00000000">
      <w:pPr>
        <w:numPr>
          <w:ilvl w:val="0"/>
          <w:numId w:val="5"/>
        </w:numPr>
        <w:spacing w:line="360" w:lineRule="auto"/>
        <w:jc w:val="both"/>
      </w:pPr>
      <w:r>
        <w:rPr>
          <w:b/>
          <w:bCs/>
        </w:rPr>
        <w:t xml:space="preserve">Fórmula: </w:t>
      </w:r>
      <w:sdt>
        <w:sdtPr>
          <w:tag w:val="goog_rdk_2"/>
          <w:id w:val="-521719957"/>
        </w:sdtPr>
        <w:sdtContent>
          <w:r>
            <w:rPr>
              <w:rFonts w:ascii="Arial Unicode MS" w:eastAsia="Arial Unicode MS" w:hAnsi="Arial Unicode MS" w:cs="Arial Unicode MS"/>
            </w:rPr>
            <w:t xml:space="preserve">IEC = 100 − (% de reincidência no período) </w:t>
          </w:r>
        </w:sdtContent>
      </w:sdt>
    </w:p>
    <w:p w14:paraId="441D9A98" w14:textId="77777777" w:rsidR="00407009" w:rsidRDefault="00000000">
      <w:pPr>
        <w:numPr>
          <w:ilvl w:val="0"/>
          <w:numId w:val="5"/>
        </w:numPr>
        <w:spacing w:line="360" w:lineRule="auto"/>
        <w:jc w:val="both"/>
      </w:pPr>
      <w:r>
        <w:rPr>
          <w:b/>
          <w:bCs/>
        </w:rPr>
        <w:t>Meta:</w:t>
      </w:r>
      <w:sdt>
        <w:sdtPr>
          <w:tag w:val="goog_rdk_3"/>
          <w:id w:val="869075426"/>
        </w:sdtPr>
        <w:sdtContent>
          <w:r>
            <w:rPr>
              <w:rFonts w:ascii="Arial Unicode MS" w:eastAsia="Arial Unicode MS" w:hAnsi="Arial Unicode MS" w:cs="Arial Unicode MS"/>
            </w:rPr>
            <w:t xml:space="preserve"> ≥ 90% </w:t>
          </w:r>
        </w:sdtContent>
      </w:sdt>
    </w:p>
    <w:p w14:paraId="3EC08798" w14:textId="77777777" w:rsidR="00407009" w:rsidRDefault="00407009">
      <w:pPr>
        <w:spacing w:line="360" w:lineRule="auto"/>
        <w:jc w:val="both"/>
      </w:pPr>
    </w:p>
    <w:p w14:paraId="7B1EABE8" w14:textId="77777777" w:rsidR="00407009" w:rsidRDefault="00000000">
      <w:pPr>
        <w:spacing w:line="360" w:lineRule="auto"/>
        <w:jc w:val="both"/>
        <w:rPr>
          <w:b/>
          <w:bCs/>
        </w:rPr>
      </w:pPr>
      <w:r>
        <w:rPr>
          <w:b/>
          <w:bCs/>
        </w:rPr>
        <w:t>3.4 Índice de Qualidade dos Relatórios (IQR)</w:t>
      </w:r>
    </w:p>
    <w:p w14:paraId="62B5CD61" w14:textId="77777777" w:rsidR="00407009" w:rsidRDefault="00000000">
      <w:pPr>
        <w:numPr>
          <w:ilvl w:val="0"/>
          <w:numId w:val="6"/>
        </w:numPr>
        <w:spacing w:line="360" w:lineRule="auto"/>
        <w:jc w:val="both"/>
      </w:pPr>
      <w:r>
        <w:rPr>
          <w:b/>
          <w:bCs/>
        </w:rPr>
        <w:t>Descrição:</w:t>
      </w:r>
      <w:r>
        <w:t xml:space="preserve"> Avalia a conformidade dos relatórios técnicos apresentados. </w:t>
      </w:r>
    </w:p>
    <w:p w14:paraId="7394E3DE" w14:textId="77777777" w:rsidR="00407009" w:rsidRDefault="00000000">
      <w:pPr>
        <w:numPr>
          <w:ilvl w:val="0"/>
          <w:numId w:val="6"/>
        </w:numPr>
        <w:spacing w:line="360" w:lineRule="auto"/>
        <w:jc w:val="both"/>
      </w:pPr>
      <w:r>
        <w:rPr>
          <w:b/>
          <w:bCs/>
        </w:rPr>
        <w:t>Critérios:</w:t>
      </w:r>
      <w:r>
        <w:t xml:space="preserve"> completude, clareza, identificação de produtos, recomendações. </w:t>
      </w:r>
    </w:p>
    <w:p w14:paraId="31F6AF7D" w14:textId="77777777" w:rsidR="00407009" w:rsidRDefault="00000000">
      <w:pPr>
        <w:numPr>
          <w:ilvl w:val="0"/>
          <w:numId w:val="6"/>
        </w:numPr>
        <w:spacing w:line="360" w:lineRule="auto"/>
        <w:jc w:val="both"/>
      </w:pPr>
      <w:r>
        <w:rPr>
          <w:b/>
          <w:bCs/>
        </w:rPr>
        <w:lastRenderedPageBreak/>
        <w:t>Meta:</w:t>
      </w:r>
      <w:sdt>
        <w:sdtPr>
          <w:tag w:val="goog_rdk_4"/>
          <w:id w:val="1551242388"/>
        </w:sdtPr>
        <w:sdtContent>
          <w:r>
            <w:rPr>
              <w:rFonts w:ascii="Arial Unicode MS" w:eastAsia="Arial Unicode MS" w:hAnsi="Arial Unicode MS" w:cs="Arial Unicode MS"/>
            </w:rPr>
            <w:t xml:space="preserve"> ≥ 95% de conformidade </w:t>
          </w:r>
        </w:sdtContent>
      </w:sdt>
    </w:p>
    <w:p w14:paraId="5FB7215B" w14:textId="77777777" w:rsidR="00407009" w:rsidRDefault="00407009">
      <w:pPr>
        <w:spacing w:line="360" w:lineRule="auto"/>
        <w:jc w:val="both"/>
      </w:pPr>
    </w:p>
    <w:p w14:paraId="0F877CD3" w14:textId="77777777" w:rsidR="00407009" w:rsidRDefault="00000000">
      <w:pPr>
        <w:spacing w:line="360" w:lineRule="auto"/>
        <w:jc w:val="both"/>
        <w:rPr>
          <w:b/>
          <w:bCs/>
        </w:rPr>
      </w:pPr>
      <w:r>
        <w:rPr>
          <w:b/>
          <w:bCs/>
        </w:rPr>
        <w:t>3.5 Índice de Conformidade Legal e de Segurança (ICLS)</w:t>
      </w:r>
    </w:p>
    <w:p w14:paraId="5BCC592E" w14:textId="77777777" w:rsidR="00407009" w:rsidRDefault="00000000">
      <w:pPr>
        <w:numPr>
          <w:ilvl w:val="0"/>
          <w:numId w:val="7"/>
        </w:numPr>
        <w:spacing w:line="360" w:lineRule="auto"/>
        <w:jc w:val="both"/>
      </w:pPr>
      <w:r>
        <w:rPr>
          <w:b/>
          <w:bCs/>
        </w:rPr>
        <w:t>Descrição:</w:t>
      </w:r>
      <w:r>
        <w:t xml:space="preserve"> Verifica o cumprimento das normas sanitárias, ambientais e de segurança do trabalho. </w:t>
      </w:r>
    </w:p>
    <w:p w14:paraId="49863232" w14:textId="77777777" w:rsidR="00407009" w:rsidRDefault="00000000">
      <w:pPr>
        <w:numPr>
          <w:ilvl w:val="0"/>
          <w:numId w:val="7"/>
        </w:numPr>
        <w:spacing w:line="360" w:lineRule="auto"/>
        <w:jc w:val="both"/>
      </w:pPr>
      <w:r>
        <w:rPr>
          <w:b/>
          <w:bCs/>
        </w:rPr>
        <w:t>Meta:</w:t>
      </w:r>
      <w:r>
        <w:t xml:space="preserve"> 100% (não conformidades graves implicam penalização imediata)</w:t>
      </w:r>
    </w:p>
    <w:p w14:paraId="3C408500" w14:textId="77777777" w:rsidR="00407009" w:rsidRDefault="00407009">
      <w:pPr>
        <w:spacing w:line="360" w:lineRule="auto"/>
        <w:jc w:val="both"/>
      </w:pPr>
    </w:p>
    <w:p w14:paraId="123B2CDD" w14:textId="77777777" w:rsidR="00407009" w:rsidRDefault="00000000">
      <w:pPr>
        <w:spacing w:line="360" w:lineRule="auto"/>
        <w:jc w:val="both"/>
        <w:rPr>
          <w:b/>
          <w:bCs/>
        </w:rPr>
      </w:pPr>
      <w:r>
        <w:rPr>
          <w:b/>
          <w:bCs/>
        </w:rPr>
        <w:t>4. Sistema de pontuação</w:t>
      </w:r>
    </w:p>
    <w:p w14:paraId="0334E84A" w14:textId="77777777" w:rsidR="00407009" w:rsidRDefault="00000000">
      <w:pPr>
        <w:spacing w:line="360" w:lineRule="auto"/>
        <w:jc w:val="both"/>
      </w:pPr>
      <w:r>
        <w:t>Cada indicador terá peso específico para composição do resultado final:</w:t>
      </w:r>
    </w:p>
    <w:tbl>
      <w:tblPr>
        <w:tblStyle w:val="af1"/>
        <w:tblW w:w="2230" w:type="dxa"/>
        <w:tblInd w:w="0" w:type="dxa"/>
        <w:tblLayout w:type="fixed"/>
        <w:tblLook w:val="0400" w:firstRow="0" w:lastRow="0" w:firstColumn="0" w:lastColumn="0" w:noHBand="0" w:noVBand="1"/>
      </w:tblPr>
      <w:tblGrid>
        <w:gridCol w:w="976"/>
        <w:gridCol w:w="1254"/>
      </w:tblGrid>
      <w:tr w:rsidR="00407009" w14:paraId="72359730" w14:textId="77777777">
        <w:trPr>
          <w:tblHeader/>
        </w:trPr>
        <w:tc>
          <w:tcPr>
            <w:tcW w:w="976" w:type="dxa"/>
            <w:vAlign w:val="center"/>
          </w:tcPr>
          <w:p w14:paraId="1FC015BC" w14:textId="77777777" w:rsidR="00407009" w:rsidRDefault="00000000">
            <w:pPr>
              <w:spacing w:line="360" w:lineRule="auto"/>
              <w:jc w:val="center"/>
              <w:rPr>
                <w:b/>
                <w:bCs/>
              </w:rPr>
            </w:pPr>
            <w:r>
              <w:rPr>
                <w:b/>
                <w:bCs/>
              </w:rPr>
              <w:t>Indicador</w:t>
            </w:r>
          </w:p>
        </w:tc>
        <w:tc>
          <w:tcPr>
            <w:tcW w:w="1254" w:type="dxa"/>
            <w:vAlign w:val="center"/>
          </w:tcPr>
          <w:p w14:paraId="270E7F47" w14:textId="77777777" w:rsidR="00407009" w:rsidRDefault="00000000">
            <w:pPr>
              <w:spacing w:line="360" w:lineRule="auto"/>
              <w:jc w:val="center"/>
              <w:rPr>
                <w:b/>
                <w:bCs/>
              </w:rPr>
            </w:pPr>
            <w:r>
              <w:rPr>
                <w:b/>
                <w:bCs/>
              </w:rPr>
              <w:t xml:space="preserve">      Peso (%)</w:t>
            </w:r>
          </w:p>
        </w:tc>
      </w:tr>
      <w:tr w:rsidR="00407009" w14:paraId="54AE7537" w14:textId="77777777">
        <w:tc>
          <w:tcPr>
            <w:tcW w:w="976" w:type="dxa"/>
            <w:vAlign w:val="center"/>
          </w:tcPr>
          <w:p w14:paraId="0CF608D2" w14:textId="77777777" w:rsidR="00407009" w:rsidRDefault="00000000">
            <w:pPr>
              <w:spacing w:line="360" w:lineRule="auto"/>
              <w:jc w:val="center"/>
            </w:pPr>
            <w:r>
              <w:t>IAC</w:t>
            </w:r>
          </w:p>
        </w:tc>
        <w:tc>
          <w:tcPr>
            <w:tcW w:w="1254" w:type="dxa"/>
            <w:vAlign w:val="center"/>
          </w:tcPr>
          <w:p w14:paraId="55BD27D8" w14:textId="77777777" w:rsidR="00407009" w:rsidRDefault="00000000">
            <w:pPr>
              <w:spacing w:line="360" w:lineRule="auto"/>
              <w:jc w:val="center"/>
            </w:pPr>
            <w:r>
              <w:t>25</w:t>
            </w:r>
          </w:p>
        </w:tc>
      </w:tr>
      <w:tr w:rsidR="00407009" w14:paraId="5D86C49A" w14:textId="77777777">
        <w:tc>
          <w:tcPr>
            <w:tcW w:w="976" w:type="dxa"/>
            <w:vAlign w:val="center"/>
          </w:tcPr>
          <w:p w14:paraId="43D3A076" w14:textId="77777777" w:rsidR="00407009" w:rsidRDefault="00000000">
            <w:pPr>
              <w:spacing w:line="360" w:lineRule="auto"/>
              <w:jc w:val="center"/>
            </w:pPr>
            <w:r>
              <w:t>IAE</w:t>
            </w:r>
          </w:p>
        </w:tc>
        <w:tc>
          <w:tcPr>
            <w:tcW w:w="1254" w:type="dxa"/>
            <w:vAlign w:val="center"/>
          </w:tcPr>
          <w:p w14:paraId="28BFB4C5" w14:textId="77777777" w:rsidR="00407009" w:rsidRDefault="00000000">
            <w:pPr>
              <w:spacing w:line="360" w:lineRule="auto"/>
              <w:jc w:val="center"/>
            </w:pPr>
            <w:r>
              <w:t>20</w:t>
            </w:r>
          </w:p>
        </w:tc>
      </w:tr>
      <w:tr w:rsidR="00407009" w14:paraId="15F54FE1" w14:textId="77777777">
        <w:tc>
          <w:tcPr>
            <w:tcW w:w="976" w:type="dxa"/>
            <w:vAlign w:val="center"/>
          </w:tcPr>
          <w:p w14:paraId="16313C63" w14:textId="77777777" w:rsidR="00407009" w:rsidRDefault="00000000">
            <w:pPr>
              <w:spacing w:line="360" w:lineRule="auto"/>
              <w:jc w:val="center"/>
            </w:pPr>
            <w:r>
              <w:t>IEC</w:t>
            </w:r>
          </w:p>
        </w:tc>
        <w:tc>
          <w:tcPr>
            <w:tcW w:w="1254" w:type="dxa"/>
            <w:vAlign w:val="center"/>
          </w:tcPr>
          <w:p w14:paraId="79E65FC7" w14:textId="77777777" w:rsidR="00407009" w:rsidRDefault="00000000">
            <w:pPr>
              <w:spacing w:line="360" w:lineRule="auto"/>
              <w:jc w:val="center"/>
            </w:pPr>
            <w:r>
              <w:t>25</w:t>
            </w:r>
          </w:p>
        </w:tc>
      </w:tr>
      <w:tr w:rsidR="00407009" w14:paraId="6314A005" w14:textId="77777777">
        <w:tc>
          <w:tcPr>
            <w:tcW w:w="976" w:type="dxa"/>
            <w:vAlign w:val="center"/>
          </w:tcPr>
          <w:p w14:paraId="7F062481" w14:textId="77777777" w:rsidR="00407009" w:rsidRDefault="00000000">
            <w:pPr>
              <w:spacing w:line="360" w:lineRule="auto"/>
              <w:jc w:val="center"/>
            </w:pPr>
            <w:r>
              <w:t>IQR</w:t>
            </w:r>
          </w:p>
        </w:tc>
        <w:tc>
          <w:tcPr>
            <w:tcW w:w="1254" w:type="dxa"/>
            <w:vAlign w:val="center"/>
          </w:tcPr>
          <w:p w14:paraId="29B36ACA" w14:textId="77777777" w:rsidR="00407009" w:rsidRDefault="00000000">
            <w:pPr>
              <w:spacing w:line="360" w:lineRule="auto"/>
              <w:jc w:val="center"/>
            </w:pPr>
            <w:r>
              <w:t>15</w:t>
            </w:r>
          </w:p>
        </w:tc>
      </w:tr>
      <w:tr w:rsidR="00407009" w14:paraId="3CBEE678" w14:textId="77777777">
        <w:tc>
          <w:tcPr>
            <w:tcW w:w="976" w:type="dxa"/>
            <w:vAlign w:val="center"/>
          </w:tcPr>
          <w:p w14:paraId="294BDB73" w14:textId="77777777" w:rsidR="00407009" w:rsidRDefault="00000000">
            <w:pPr>
              <w:spacing w:line="360" w:lineRule="auto"/>
              <w:jc w:val="center"/>
            </w:pPr>
            <w:r>
              <w:t>ICLS</w:t>
            </w:r>
          </w:p>
        </w:tc>
        <w:tc>
          <w:tcPr>
            <w:tcW w:w="1254" w:type="dxa"/>
            <w:vAlign w:val="center"/>
          </w:tcPr>
          <w:p w14:paraId="5E2E9960" w14:textId="77777777" w:rsidR="00407009" w:rsidRDefault="00000000">
            <w:pPr>
              <w:spacing w:line="360" w:lineRule="auto"/>
              <w:jc w:val="center"/>
            </w:pPr>
            <w:r>
              <w:t>15</w:t>
            </w:r>
          </w:p>
        </w:tc>
      </w:tr>
    </w:tbl>
    <w:p w14:paraId="029C6755" w14:textId="77777777" w:rsidR="00407009" w:rsidRDefault="00407009">
      <w:pPr>
        <w:spacing w:line="360" w:lineRule="auto"/>
        <w:jc w:val="both"/>
        <w:rPr>
          <w:b/>
          <w:bCs/>
        </w:rPr>
      </w:pPr>
    </w:p>
    <w:p w14:paraId="4534E445" w14:textId="77777777" w:rsidR="00407009" w:rsidRDefault="00000000">
      <w:pPr>
        <w:spacing w:line="360" w:lineRule="auto"/>
      </w:pPr>
      <w:r>
        <w:rPr>
          <w:b/>
          <w:bCs/>
        </w:rPr>
        <w:t xml:space="preserve">Resultado Final (RF): </w:t>
      </w:r>
      <w:r>
        <w:t>RF = soma ponderada dos indicadores</w:t>
      </w:r>
    </w:p>
    <w:p w14:paraId="19261458" w14:textId="77777777" w:rsidR="00407009" w:rsidRDefault="00407009">
      <w:pPr>
        <w:spacing w:line="360" w:lineRule="auto"/>
        <w:jc w:val="both"/>
      </w:pPr>
    </w:p>
    <w:p w14:paraId="64E74650" w14:textId="77777777" w:rsidR="00407009" w:rsidRDefault="00000000">
      <w:pPr>
        <w:spacing w:line="360" w:lineRule="auto"/>
        <w:jc w:val="both"/>
        <w:rPr>
          <w:b/>
          <w:bCs/>
        </w:rPr>
      </w:pPr>
      <w:r>
        <w:rPr>
          <w:b/>
          <w:bCs/>
        </w:rPr>
        <w:t>5. Faixas de desempenho e efeitos</w:t>
      </w:r>
    </w:p>
    <w:tbl>
      <w:tblPr>
        <w:tblStyle w:val="af2"/>
        <w:tblW w:w="6663" w:type="dxa"/>
        <w:tblInd w:w="0" w:type="dxa"/>
        <w:tblLayout w:type="fixed"/>
        <w:tblLook w:val="0400" w:firstRow="0" w:lastRow="0" w:firstColumn="0" w:lastColumn="0" w:noHBand="0" w:noVBand="1"/>
      </w:tblPr>
      <w:tblGrid>
        <w:gridCol w:w="1985"/>
        <w:gridCol w:w="1559"/>
        <w:gridCol w:w="3119"/>
      </w:tblGrid>
      <w:tr w:rsidR="00407009" w14:paraId="0404FCCC" w14:textId="77777777">
        <w:trPr>
          <w:tblHeader/>
        </w:trPr>
        <w:tc>
          <w:tcPr>
            <w:tcW w:w="1985" w:type="dxa"/>
            <w:vAlign w:val="center"/>
          </w:tcPr>
          <w:p w14:paraId="17815CCE" w14:textId="77777777" w:rsidR="00407009" w:rsidRDefault="00000000">
            <w:pPr>
              <w:spacing w:line="360" w:lineRule="auto"/>
              <w:jc w:val="both"/>
              <w:rPr>
                <w:b/>
                <w:bCs/>
              </w:rPr>
            </w:pPr>
            <w:r>
              <w:rPr>
                <w:b/>
                <w:bCs/>
              </w:rPr>
              <w:t>Resultado Final</w:t>
            </w:r>
          </w:p>
        </w:tc>
        <w:tc>
          <w:tcPr>
            <w:tcW w:w="1559" w:type="dxa"/>
            <w:vAlign w:val="center"/>
          </w:tcPr>
          <w:p w14:paraId="58D21A55" w14:textId="77777777" w:rsidR="00407009" w:rsidRDefault="00000000">
            <w:pPr>
              <w:spacing w:line="360" w:lineRule="auto"/>
              <w:jc w:val="both"/>
              <w:rPr>
                <w:b/>
                <w:bCs/>
              </w:rPr>
            </w:pPr>
            <w:r>
              <w:rPr>
                <w:b/>
                <w:bCs/>
              </w:rPr>
              <w:t>Avaliação</w:t>
            </w:r>
          </w:p>
        </w:tc>
        <w:tc>
          <w:tcPr>
            <w:tcW w:w="3119" w:type="dxa"/>
            <w:vAlign w:val="center"/>
          </w:tcPr>
          <w:p w14:paraId="0F49245F" w14:textId="77777777" w:rsidR="00407009" w:rsidRDefault="00000000">
            <w:pPr>
              <w:spacing w:line="360" w:lineRule="auto"/>
              <w:jc w:val="both"/>
              <w:rPr>
                <w:b/>
                <w:bCs/>
              </w:rPr>
            </w:pPr>
            <w:r>
              <w:rPr>
                <w:b/>
                <w:bCs/>
              </w:rPr>
              <w:t>Consequência</w:t>
            </w:r>
          </w:p>
        </w:tc>
      </w:tr>
      <w:tr w:rsidR="00407009" w14:paraId="26D697D4" w14:textId="77777777">
        <w:tc>
          <w:tcPr>
            <w:tcW w:w="1985" w:type="dxa"/>
            <w:vAlign w:val="center"/>
          </w:tcPr>
          <w:p w14:paraId="4E62DEFF" w14:textId="77777777" w:rsidR="00407009" w:rsidRDefault="00000000">
            <w:pPr>
              <w:spacing w:line="360" w:lineRule="auto"/>
              <w:jc w:val="both"/>
            </w:pPr>
            <w:sdt>
              <w:sdtPr>
                <w:tag w:val="goog_rdk_5"/>
                <w:id w:val="-685491998"/>
              </w:sdtPr>
              <w:sdtContent>
                <w:r>
                  <w:rPr>
                    <w:rFonts w:ascii="Arial Unicode MS" w:eastAsia="Arial Unicode MS" w:hAnsi="Arial Unicode MS" w:cs="Arial Unicode MS"/>
                  </w:rPr>
                  <w:t>≥ 95%</w:t>
                </w:r>
              </w:sdtContent>
            </w:sdt>
          </w:p>
        </w:tc>
        <w:tc>
          <w:tcPr>
            <w:tcW w:w="1559" w:type="dxa"/>
            <w:vAlign w:val="center"/>
          </w:tcPr>
          <w:p w14:paraId="4211C204" w14:textId="77777777" w:rsidR="00407009" w:rsidRDefault="00000000">
            <w:pPr>
              <w:spacing w:line="360" w:lineRule="auto"/>
              <w:jc w:val="both"/>
            </w:pPr>
            <w:r>
              <w:t>Excelente</w:t>
            </w:r>
          </w:p>
        </w:tc>
        <w:tc>
          <w:tcPr>
            <w:tcW w:w="3119" w:type="dxa"/>
            <w:vAlign w:val="center"/>
          </w:tcPr>
          <w:p w14:paraId="3E4CE414" w14:textId="77777777" w:rsidR="00407009" w:rsidRDefault="00000000">
            <w:pPr>
              <w:spacing w:line="360" w:lineRule="auto"/>
              <w:jc w:val="both"/>
            </w:pPr>
            <w:r>
              <w:t>Aceite integral</w:t>
            </w:r>
          </w:p>
        </w:tc>
      </w:tr>
      <w:tr w:rsidR="00407009" w14:paraId="13AE91F3" w14:textId="77777777">
        <w:tc>
          <w:tcPr>
            <w:tcW w:w="1985" w:type="dxa"/>
            <w:vAlign w:val="center"/>
          </w:tcPr>
          <w:p w14:paraId="118B5B36" w14:textId="77777777" w:rsidR="00407009" w:rsidRDefault="00000000">
            <w:pPr>
              <w:spacing w:line="360" w:lineRule="auto"/>
              <w:jc w:val="both"/>
            </w:pPr>
            <w:r>
              <w:t>90% a 94,99%</w:t>
            </w:r>
          </w:p>
        </w:tc>
        <w:tc>
          <w:tcPr>
            <w:tcW w:w="1559" w:type="dxa"/>
            <w:vAlign w:val="center"/>
          </w:tcPr>
          <w:p w14:paraId="2A36ED20" w14:textId="77777777" w:rsidR="00407009" w:rsidRDefault="00000000">
            <w:pPr>
              <w:spacing w:line="360" w:lineRule="auto"/>
              <w:jc w:val="both"/>
            </w:pPr>
            <w:r>
              <w:t>Adequado</w:t>
            </w:r>
          </w:p>
        </w:tc>
        <w:tc>
          <w:tcPr>
            <w:tcW w:w="3119" w:type="dxa"/>
            <w:vAlign w:val="center"/>
          </w:tcPr>
          <w:p w14:paraId="1833BB8B" w14:textId="77777777" w:rsidR="00407009" w:rsidRDefault="00000000">
            <w:pPr>
              <w:spacing w:line="360" w:lineRule="auto"/>
              <w:jc w:val="both"/>
            </w:pPr>
            <w:r>
              <w:t>Aceite sem ressalvas</w:t>
            </w:r>
          </w:p>
        </w:tc>
      </w:tr>
      <w:tr w:rsidR="00407009" w14:paraId="69707BD2" w14:textId="77777777">
        <w:tc>
          <w:tcPr>
            <w:tcW w:w="1985" w:type="dxa"/>
            <w:vAlign w:val="center"/>
          </w:tcPr>
          <w:p w14:paraId="2B21D193" w14:textId="77777777" w:rsidR="00407009" w:rsidRDefault="00000000">
            <w:pPr>
              <w:spacing w:line="360" w:lineRule="auto"/>
              <w:jc w:val="both"/>
            </w:pPr>
            <w:r>
              <w:t>80% a 89,99%</w:t>
            </w:r>
          </w:p>
        </w:tc>
        <w:tc>
          <w:tcPr>
            <w:tcW w:w="1559" w:type="dxa"/>
            <w:vAlign w:val="center"/>
          </w:tcPr>
          <w:p w14:paraId="4B71B404" w14:textId="77777777" w:rsidR="00407009" w:rsidRDefault="00000000">
            <w:pPr>
              <w:spacing w:line="360" w:lineRule="auto"/>
              <w:jc w:val="both"/>
            </w:pPr>
            <w:r>
              <w:t>Regular</w:t>
            </w:r>
          </w:p>
        </w:tc>
        <w:tc>
          <w:tcPr>
            <w:tcW w:w="3119" w:type="dxa"/>
            <w:vAlign w:val="center"/>
          </w:tcPr>
          <w:p w14:paraId="6413DF75" w14:textId="77777777" w:rsidR="00407009" w:rsidRDefault="00000000">
            <w:pPr>
              <w:spacing w:line="360" w:lineRule="auto"/>
              <w:jc w:val="both"/>
            </w:pPr>
            <w:r>
              <w:t>Aceite com ressalvas</w:t>
            </w:r>
          </w:p>
        </w:tc>
      </w:tr>
      <w:tr w:rsidR="00407009" w14:paraId="4959D63D" w14:textId="77777777">
        <w:tc>
          <w:tcPr>
            <w:tcW w:w="1985" w:type="dxa"/>
            <w:vAlign w:val="center"/>
          </w:tcPr>
          <w:p w14:paraId="1B4B0BD8" w14:textId="77777777" w:rsidR="00407009" w:rsidRDefault="00000000">
            <w:pPr>
              <w:spacing w:line="360" w:lineRule="auto"/>
              <w:jc w:val="both"/>
            </w:pPr>
            <w:r>
              <w:t>&lt; 80%</w:t>
            </w:r>
          </w:p>
        </w:tc>
        <w:tc>
          <w:tcPr>
            <w:tcW w:w="1559" w:type="dxa"/>
            <w:vAlign w:val="center"/>
          </w:tcPr>
          <w:p w14:paraId="29122E2B" w14:textId="77777777" w:rsidR="00407009" w:rsidRDefault="00000000">
            <w:pPr>
              <w:spacing w:line="360" w:lineRule="auto"/>
              <w:jc w:val="both"/>
            </w:pPr>
            <w:r>
              <w:t>Insatisfatório</w:t>
            </w:r>
          </w:p>
        </w:tc>
        <w:tc>
          <w:tcPr>
            <w:tcW w:w="3119" w:type="dxa"/>
            <w:vAlign w:val="center"/>
          </w:tcPr>
          <w:p w14:paraId="3981F326" w14:textId="77777777" w:rsidR="00407009" w:rsidRDefault="00000000">
            <w:pPr>
              <w:spacing w:line="360" w:lineRule="auto"/>
              <w:jc w:val="both"/>
            </w:pPr>
            <w:r>
              <w:t>Glosa e/ou penalidades</w:t>
            </w:r>
          </w:p>
        </w:tc>
      </w:tr>
    </w:tbl>
    <w:p w14:paraId="167CCF69" w14:textId="77777777" w:rsidR="00407009" w:rsidRDefault="00407009">
      <w:pPr>
        <w:spacing w:line="360" w:lineRule="auto"/>
        <w:jc w:val="both"/>
      </w:pPr>
    </w:p>
    <w:p w14:paraId="4D2D9C2D" w14:textId="77777777" w:rsidR="00407009" w:rsidRDefault="00000000">
      <w:pPr>
        <w:spacing w:line="360" w:lineRule="auto"/>
        <w:jc w:val="both"/>
        <w:rPr>
          <w:b/>
          <w:bCs/>
        </w:rPr>
      </w:pPr>
      <w:r>
        <w:rPr>
          <w:b/>
          <w:bCs/>
        </w:rPr>
        <w:t>6. Aplicação de glosas</w:t>
      </w:r>
    </w:p>
    <w:p w14:paraId="69CD4A8E" w14:textId="77777777" w:rsidR="00407009" w:rsidRDefault="00000000">
      <w:pPr>
        <w:spacing w:line="360" w:lineRule="auto"/>
        <w:jc w:val="both"/>
      </w:pPr>
      <w:r>
        <w:t>Nos casos de desempenho inferior ao nível mínimo aceitável, poderão ser aplicadas glosas proporcionais ao grau de inexecução, sem prejuízo das sanções administrativas cabíveis.</w:t>
      </w:r>
    </w:p>
    <w:p w14:paraId="03B20C1F" w14:textId="77777777" w:rsidR="00407009" w:rsidRDefault="00407009">
      <w:pPr>
        <w:spacing w:line="360" w:lineRule="auto"/>
        <w:jc w:val="both"/>
      </w:pPr>
    </w:p>
    <w:p w14:paraId="6087AF44" w14:textId="77777777" w:rsidR="00407009" w:rsidRDefault="00407009">
      <w:pPr>
        <w:spacing w:line="360" w:lineRule="auto"/>
        <w:jc w:val="both"/>
      </w:pPr>
    </w:p>
    <w:p w14:paraId="505BB1C6" w14:textId="77777777" w:rsidR="00407009" w:rsidRDefault="00407009">
      <w:pPr>
        <w:spacing w:line="360" w:lineRule="auto"/>
        <w:jc w:val="both"/>
      </w:pPr>
    </w:p>
    <w:p w14:paraId="68BFCC3F" w14:textId="77777777" w:rsidR="00407009" w:rsidRDefault="00407009">
      <w:pPr>
        <w:spacing w:line="360" w:lineRule="auto"/>
        <w:jc w:val="both"/>
      </w:pPr>
    </w:p>
    <w:p w14:paraId="210B8C7E" w14:textId="77777777" w:rsidR="00407009" w:rsidRDefault="00407009">
      <w:pPr>
        <w:spacing w:line="360" w:lineRule="auto"/>
        <w:jc w:val="both"/>
      </w:pPr>
    </w:p>
    <w:p w14:paraId="53197E10" w14:textId="77777777" w:rsidR="00407009" w:rsidRDefault="00407009">
      <w:pPr>
        <w:spacing w:line="360" w:lineRule="auto"/>
        <w:jc w:val="both"/>
      </w:pPr>
    </w:p>
    <w:p w14:paraId="1405FFCF" w14:textId="77777777" w:rsidR="00407009" w:rsidRDefault="00407009">
      <w:pPr>
        <w:spacing w:line="360" w:lineRule="auto"/>
        <w:jc w:val="both"/>
      </w:pPr>
    </w:p>
    <w:p w14:paraId="4533736D" w14:textId="77777777" w:rsidR="00407009" w:rsidRDefault="00407009">
      <w:pPr>
        <w:spacing w:line="276" w:lineRule="auto"/>
        <w:jc w:val="center"/>
        <w:rPr>
          <w:b/>
          <w:bCs/>
          <w:sz w:val="24"/>
          <w:szCs w:val="24"/>
        </w:rPr>
      </w:pPr>
    </w:p>
    <w:p w14:paraId="61E00485" w14:textId="77777777" w:rsidR="00407009" w:rsidRDefault="00407009">
      <w:pPr>
        <w:spacing w:line="276" w:lineRule="auto"/>
        <w:jc w:val="center"/>
        <w:rPr>
          <w:b/>
          <w:bCs/>
          <w:sz w:val="24"/>
          <w:szCs w:val="24"/>
        </w:rPr>
        <w:sectPr w:rsidR="00407009">
          <w:headerReference w:type="default" r:id="rId45"/>
          <w:footerReference w:type="default" r:id="rId46"/>
          <w:pgSz w:w="11906" w:h="16838"/>
          <w:pgMar w:top="1440" w:right="1080" w:bottom="1440" w:left="1080" w:header="709" w:footer="709" w:gutter="0"/>
          <w:pgNumType w:start="1"/>
          <w:cols w:space="720"/>
        </w:sectPr>
      </w:pPr>
    </w:p>
    <w:p w14:paraId="6A1A600B" w14:textId="77777777" w:rsidR="00407009" w:rsidRDefault="00000000">
      <w:pPr>
        <w:spacing w:line="276" w:lineRule="auto"/>
        <w:jc w:val="center"/>
        <w:rPr>
          <w:b/>
          <w:bCs/>
          <w:sz w:val="24"/>
          <w:szCs w:val="24"/>
        </w:rPr>
      </w:pPr>
      <w:r>
        <w:rPr>
          <w:b/>
          <w:bCs/>
          <w:sz w:val="24"/>
          <w:szCs w:val="24"/>
        </w:rPr>
        <w:lastRenderedPageBreak/>
        <w:t>ANEXO II DO EDITAL</w:t>
      </w:r>
    </w:p>
    <w:p w14:paraId="10E37E42" w14:textId="77777777" w:rsidR="00407009" w:rsidRDefault="00000000">
      <w:pPr>
        <w:spacing w:line="360" w:lineRule="auto"/>
        <w:jc w:val="center"/>
        <w:rPr>
          <w:b/>
          <w:bCs/>
          <w:sz w:val="24"/>
          <w:szCs w:val="24"/>
        </w:rPr>
      </w:pPr>
      <w:r>
        <w:rPr>
          <w:b/>
          <w:bCs/>
          <w:sz w:val="24"/>
          <w:szCs w:val="24"/>
        </w:rPr>
        <w:t>MAPA COMPARATIVO DE PREÇOS</w:t>
      </w:r>
    </w:p>
    <w:p w14:paraId="026F71E9" w14:textId="77777777" w:rsidR="00407009" w:rsidRDefault="00407009">
      <w:pPr>
        <w:spacing w:line="360" w:lineRule="auto"/>
        <w:jc w:val="center"/>
        <w:rPr>
          <w:b/>
          <w:bCs/>
          <w:sz w:val="24"/>
          <w:szCs w:val="24"/>
        </w:rPr>
      </w:pPr>
    </w:p>
    <w:tbl>
      <w:tblPr>
        <w:tblStyle w:val="af3"/>
        <w:tblW w:w="13873" w:type="dxa"/>
        <w:jc w:val="center"/>
        <w:tblInd w:w="0" w:type="dxa"/>
        <w:tblLayout w:type="fixed"/>
        <w:tblLook w:val="0400" w:firstRow="0" w:lastRow="0" w:firstColumn="0" w:lastColumn="0" w:noHBand="0" w:noVBand="1"/>
      </w:tblPr>
      <w:tblGrid>
        <w:gridCol w:w="629"/>
        <w:gridCol w:w="190"/>
        <w:gridCol w:w="190"/>
        <w:gridCol w:w="190"/>
        <w:gridCol w:w="190"/>
        <w:gridCol w:w="3714"/>
        <w:gridCol w:w="1137"/>
        <w:gridCol w:w="740"/>
        <w:gridCol w:w="306"/>
        <w:gridCol w:w="1319"/>
        <w:gridCol w:w="190"/>
        <w:gridCol w:w="735"/>
        <w:gridCol w:w="190"/>
        <w:gridCol w:w="138"/>
        <w:gridCol w:w="747"/>
        <w:gridCol w:w="372"/>
        <w:gridCol w:w="704"/>
        <w:gridCol w:w="190"/>
        <w:gridCol w:w="949"/>
        <w:gridCol w:w="139"/>
        <w:gridCol w:w="190"/>
        <w:gridCol w:w="724"/>
      </w:tblGrid>
      <w:tr w:rsidR="00407009" w14:paraId="5E5A4D37" w14:textId="77777777">
        <w:trPr>
          <w:gridAfter w:val="3"/>
          <w:trHeight w:val="276"/>
          <w:jc w:val="center"/>
        </w:trPr>
        <w:tc>
          <w:tcPr>
            <w:tcW w:w="12820" w:type="dxa"/>
            <w:gridSpan w:val="19"/>
            <w:vMerge w:val="restart"/>
            <w:tcBorders>
              <w:top w:val="single" w:sz="4" w:space="0" w:color="000000"/>
              <w:left w:val="single" w:sz="4" w:space="0" w:color="000000"/>
              <w:right w:val="single" w:sz="4" w:space="0" w:color="000000"/>
            </w:tcBorders>
            <w:shd w:val="clear" w:color="auto" w:fill="FFFFFF"/>
          </w:tcPr>
          <w:p w14:paraId="0871B983" w14:textId="77777777" w:rsidR="00407009" w:rsidRDefault="00407009">
            <w:pPr>
              <w:tabs>
                <w:tab w:val="left" w:pos="0"/>
              </w:tabs>
              <w:jc w:val="center"/>
              <w:rPr>
                <w:rFonts w:ascii="Times New Roman" w:eastAsia="Times New Roman" w:hAnsi="Times New Roman" w:cs="Times New Roman"/>
              </w:rPr>
            </w:pPr>
          </w:p>
          <w:p w14:paraId="0DE67D1C"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RESUMO DOS ITENS</w:t>
            </w:r>
          </w:p>
        </w:tc>
      </w:tr>
      <w:tr w:rsidR="00407009" w14:paraId="54E85444" w14:textId="77777777">
        <w:trPr>
          <w:trHeight w:val="260"/>
          <w:jc w:val="center"/>
        </w:trPr>
        <w:tc>
          <w:tcPr>
            <w:tcW w:w="12820" w:type="dxa"/>
            <w:gridSpan w:val="19"/>
            <w:vMerge/>
            <w:tcBorders>
              <w:top w:val="single" w:sz="4" w:space="0" w:color="000000"/>
              <w:left w:val="single" w:sz="4" w:space="0" w:color="000000"/>
              <w:right w:val="single" w:sz="4" w:space="0" w:color="000000"/>
            </w:tcBorders>
            <w:shd w:val="clear" w:color="auto" w:fill="FFFFFF"/>
          </w:tcPr>
          <w:p w14:paraId="49510E76" w14:textId="77777777" w:rsidR="00407009" w:rsidRDefault="00407009">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1053" w:type="dxa"/>
            <w:gridSpan w:val="3"/>
            <w:tcBorders>
              <w:top w:val="nil"/>
              <w:left w:val="nil"/>
              <w:bottom w:val="nil"/>
              <w:right w:val="nil"/>
            </w:tcBorders>
            <w:vAlign w:val="bottom"/>
          </w:tcPr>
          <w:p w14:paraId="45A48DFF" w14:textId="77777777" w:rsidR="00407009" w:rsidRDefault="00407009">
            <w:pPr>
              <w:tabs>
                <w:tab w:val="left" w:pos="0"/>
              </w:tabs>
              <w:jc w:val="center"/>
              <w:rPr>
                <w:rFonts w:ascii="Times New Roman" w:eastAsia="Times New Roman" w:hAnsi="Times New Roman" w:cs="Times New Roman"/>
              </w:rPr>
            </w:pPr>
          </w:p>
        </w:tc>
      </w:tr>
      <w:tr w:rsidR="00407009" w14:paraId="1790776B" w14:textId="77777777">
        <w:trPr>
          <w:trHeight w:val="260"/>
          <w:jc w:val="center"/>
        </w:trPr>
        <w:tc>
          <w:tcPr>
            <w:tcW w:w="629" w:type="dxa"/>
            <w:tcBorders>
              <w:top w:val="nil"/>
              <w:left w:val="nil"/>
              <w:bottom w:val="nil"/>
              <w:right w:val="nil"/>
            </w:tcBorders>
            <w:shd w:val="clear" w:color="auto" w:fill="FFFFFF"/>
            <w:vAlign w:val="bottom"/>
          </w:tcPr>
          <w:p w14:paraId="6FF58C5E"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3A16DFEB"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1A991842"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7E44664D"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21159F5F"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3714" w:type="dxa"/>
            <w:tcBorders>
              <w:top w:val="nil"/>
              <w:left w:val="nil"/>
              <w:bottom w:val="nil"/>
              <w:right w:val="nil"/>
            </w:tcBorders>
            <w:shd w:val="clear" w:color="auto" w:fill="FFFFFF"/>
            <w:vAlign w:val="bottom"/>
          </w:tcPr>
          <w:p w14:paraId="558FBBAE"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877" w:type="dxa"/>
            <w:gridSpan w:val="2"/>
            <w:tcBorders>
              <w:top w:val="nil"/>
              <w:left w:val="nil"/>
              <w:bottom w:val="nil"/>
              <w:right w:val="nil"/>
            </w:tcBorders>
            <w:shd w:val="clear" w:color="auto" w:fill="FFFFFF"/>
            <w:vAlign w:val="bottom"/>
          </w:tcPr>
          <w:p w14:paraId="061FD696"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306" w:type="dxa"/>
            <w:tcBorders>
              <w:top w:val="nil"/>
              <w:left w:val="nil"/>
              <w:bottom w:val="nil"/>
              <w:right w:val="nil"/>
            </w:tcBorders>
            <w:shd w:val="clear" w:color="auto" w:fill="FFFFFF"/>
            <w:vAlign w:val="bottom"/>
          </w:tcPr>
          <w:p w14:paraId="0E77D9D7"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319" w:type="dxa"/>
            <w:tcBorders>
              <w:top w:val="nil"/>
              <w:left w:val="nil"/>
              <w:bottom w:val="nil"/>
              <w:right w:val="nil"/>
            </w:tcBorders>
            <w:shd w:val="clear" w:color="auto" w:fill="FFFFFF"/>
            <w:vAlign w:val="bottom"/>
          </w:tcPr>
          <w:p w14:paraId="26ECBA10"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62AAD10D"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735" w:type="dxa"/>
            <w:tcBorders>
              <w:top w:val="nil"/>
              <w:left w:val="nil"/>
              <w:bottom w:val="nil"/>
              <w:right w:val="nil"/>
            </w:tcBorders>
            <w:shd w:val="clear" w:color="auto" w:fill="FFFFFF"/>
            <w:vAlign w:val="bottom"/>
          </w:tcPr>
          <w:p w14:paraId="4E22C660"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272124DF"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885" w:type="dxa"/>
            <w:gridSpan w:val="2"/>
            <w:tcBorders>
              <w:top w:val="nil"/>
              <w:left w:val="nil"/>
              <w:bottom w:val="nil"/>
              <w:right w:val="nil"/>
            </w:tcBorders>
            <w:shd w:val="clear" w:color="auto" w:fill="FFFFFF"/>
          </w:tcPr>
          <w:p w14:paraId="3D904A3D" w14:textId="77777777" w:rsidR="00407009" w:rsidRDefault="00407009">
            <w:pPr>
              <w:tabs>
                <w:tab w:val="left" w:pos="0"/>
              </w:tabs>
              <w:rPr>
                <w:rFonts w:ascii="Times New Roman" w:eastAsia="Times New Roman" w:hAnsi="Times New Roman" w:cs="Times New Roman"/>
              </w:rPr>
            </w:pPr>
          </w:p>
        </w:tc>
        <w:tc>
          <w:tcPr>
            <w:tcW w:w="1076" w:type="dxa"/>
            <w:gridSpan w:val="2"/>
            <w:tcBorders>
              <w:top w:val="nil"/>
              <w:left w:val="nil"/>
              <w:bottom w:val="nil"/>
              <w:right w:val="nil"/>
            </w:tcBorders>
            <w:shd w:val="clear" w:color="auto" w:fill="FFFFFF"/>
            <w:vAlign w:val="bottom"/>
          </w:tcPr>
          <w:p w14:paraId="637CEE15"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4AC6995C"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088" w:type="dxa"/>
            <w:gridSpan w:val="2"/>
            <w:tcBorders>
              <w:top w:val="nil"/>
              <w:left w:val="nil"/>
              <w:bottom w:val="nil"/>
              <w:right w:val="nil"/>
            </w:tcBorders>
            <w:shd w:val="clear" w:color="auto" w:fill="FFFFFF"/>
            <w:vAlign w:val="bottom"/>
          </w:tcPr>
          <w:p w14:paraId="3FF63052"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62A881B8"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724" w:type="dxa"/>
            <w:vAlign w:val="center"/>
          </w:tcPr>
          <w:p w14:paraId="75855811" w14:textId="77777777" w:rsidR="00407009" w:rsidRDefault="00407009">
            <w:pPr>
              <w:tabs>
                <w:tab w:val="left" w:pos="0"/>
              </w:tabs>
              <w:rPr>
                <w:rFonts w:ascii="Times New Roman" w:eastAsia="Times New Roman" w:hAnsi="Times New Roman" w:cs="Times New Roman"/>
              </w:rPr>
            </w:pPr>
          </w:p>
        </w:tc>
      </w:tr>
      <w:tr w:rsidR="00407009" w14:paraId="5708967E" w14:textId="77777777">
        <w:trPr>
          <w:trHeight w:val="260"/>
          <w:jc w:val="center"/>
        </w:trPr>
        <w:tc>
          <w:tcPr>
            <w:tcW w:w="62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C420570"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ITEM</w:t>
            </w:r>
          </w:p>
        </w:tc>
        <w:tc>
          <w:tcPr>
            <w:tcW w:w="4474" w:type="dxa"/>
            <w:gridSpan w:val="5"/>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BD74AB1"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ESPECIFICAÇÃO - OBJETO TR</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7D593A32"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QTDADE UNITÁRIA</w:t>
            </w:r>
          </w:p>
        </w:tc>
        <w:tc>
          <w:tcPr>
            <w:tcW w:w="1046"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631A7E75"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QTDADE TOTAL</w:t>
            </w:r>
          </w:p>
        </w:tc>
        <w:tc>
          <w:tcPr>
            <w:tcW w:w="131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A7236BC"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UNIDADE DE MEDIDA</w:t>
            </w:r>
          </w:p>
        </w:tc>
        <w:tc>
          <w:tcPr>
            <w:tcW w:w="1253" w:type="dxa"/>
            <w:gridSpan w:val="4"/>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5AAA70CF"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QTDADE MESES</w:t>
            </w:r>
          </w:p>
        </w:tc>
        <w:tc>
          <w:tcPr>
            <w:tcW w:w="1119" w:type="dxa"/>
            <w:gridSpan w:val="2"/>
            <w:vMerge w:val="restart"/>
            <w:tcBorders>
              <w:top w:val="single" w:sz="4" w:space="0" w:color="000000"/>
              <w:left w:val="single" w:sz="4" w:space="0" w:color="000000"/>
              <w:right w:val="single" w:sz="4" w:space="0" w:color="000000"/>
            </w:tcBorders>
            <w:shd w:val="clear" w:color="auto" w:fill="FFFFFF"/>
          </w:tcPr>
          <w:p w14:paraId="57B69CF9"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CTATMAT</w:t>
            </w:r>
          </w:p>
          <w:p w14:paraId="13B0EC41"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/CATSER</w:t>
            </w:r>
          </w:p>
        </w:tc>
        <w:tc>
          <w:tcPr>
            <w:tcW w:w="1843"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5642D65"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PREÇO VÁLIDO</w:t>
            </w:r>
          </w:p>
        </w:tc>
        <w:tc>
          <w:tcPr>
            <w:tcW w:w="1053" w:type="dxa"/>
            <w:gridSpan w:val="3"/>
            <w:vAlign w:val="center"/>
          </w:tcPr>
          <w:p w14:paraId="6F2E1C82" w14:textId="77777777" w:rsidR="00407009" w:rsidRDefault="00407009">
            <w:pPr>
              <w:tabs>
                <w:tab w:val="left" w:pos="0"/>
              </w:tabs>
              <w:rPr>
                <w:rFonts w:ascii="Times New Roman" w:eastAsia="Times New Roman" w:hAnsi="Times New Roman" w:cs="Times New Roman"/>
              </w:rPr>
            </w:pPr>
          </w:p>
        </w:tc>
      </w:tr>
      <w:tr w:rsidR="00407009" w14:paraId="590789BE" w14:textId="77777777">
        <w:trPr>
          <w:trHeight w:val="260"/>
          <w:jc w:val="center"/>
        </w:trPr>
        <w:tc>
          <w:tcPr>
            <w:tcW w:w="62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F8255EF" w14:textId="77777777" w:rsidR="00407009" w:rsidRDefault="00407009">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4474" w:type="dxa"/>
            <w:gridSpan w:val="5"/>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6279CD2" w14:textId="77777777" w:rsidR="00407009" w:rsidRDefault="00407009">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8B80CD0" w14:textId="77777777" w:rsidR="00407009" w:rsidRDefault="00407009">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1046" w:type="dxa"/>
            <w:gridSpan w:val="2"/>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7D07050" w14:textId="77777777" w:rsidR="00407009" w:rsidRDefault="00407009">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131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2718482" w14:textId="77777777" w:rsidR="00407009" w:rsidRDefault="00407009">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1253" w:type="dxa"/>
            <w:gridSpan w:val="4"/>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7F521BA" w14:textId="77777777" w:rsidR="00407009" w:rsidRDefault="00407009">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1119" w:type="dxa"/>
            <w:gridSpan w:val="2"/>
            <w:vMerge/>
            <w:tcBorders>
              <w:top w:val="single" w:sz="4" w:space="0" w:color="000000"/>
              <w:left w:val="single" w:sz="4" w:space="0" w:color="000000"/>
              <w:right w:val="single" w:sz="4" w:space="0" w:color="000000"/>
            </w:tcBorders>
            <w:shd w:val="clear" w:color="auto" w:fill="FFFFFF"/>
          </w:tcPr>
          <w:p w14:paraId="121BC6BF" w14:textId="77777777" w:rsidR="00407009" w:rsidRDefault="00407009">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1843" w:type="dxa"/>
            <w:gridSpan w:val="3"/>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EA44FB3" w14:textId="77777777" w:rsidR="00407009" w:rsidRDefault="00407009">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1053" w:type="dxa"/>
            <w:gridSpan w:val="3"/>
            <w:tcBorders>
              <w:top w:val="nil"/>
              <w:left w:val="nil"/>
              <w:bottom w:val="nil"/>
              <w:right w:val="nil"/>
            </w:tcBorders>
            <w:vAlign w:val="bottom"/>
          </w:tcPr>
          <w:p w14:paraId="1092565B" w14:textId="77777777" w:rsidR="00407009" w:rsidRDefault="00407009">
            <w:pPr>
              <w:tabs>
                <w:tab w:val="left" w:pos="0"/>
              </w:tabs>
              <w:jc w:val="center"/>
              <w:rPr>
                <w:rFonts w:ascii="Times New Roman" w:eastAsia="Times New Roman" w:hAnsi="Times New Roman" w:cs="Times New Roman"/>
              </w:rPr>
            </w:pPr>
          </w:p>
        </w:tc>
      </w:tr>
      <w:tr w:rsidR="00407009" w14:paraId="6F63C565" w14:textId="77777777">
        <w:trPr>
          <w:trHeight w:val="1633"/>
          <w:jc w:val="center"/>
        </w:trPr>
        <w:tc>
          <w:tcPr>
            <w:tcW w:w="629" w:type="dxa"/>
            <w:tcBorders>
              <w:top w:val="nil"/>
              <w:left w:val="single" w:sz="4" w:space="0" w:color="000000"/>
              <w:bottom w:val="single" w:sz="4" w:space="0" w:color="000000"/>
              <w:right w:val="single" w:sz="4" w:space="0" w:color="000000"/>
            </w:tcBorders>
            <w:shd w:val="clear" w:color="auto" w:fill="FFFFFF"/>
            <w:vAlign w:val="center"/>
          </w:tcPr>
          <w:p w14:paraId="113C3011"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1</w:t>
            </w:r>
          </w:p>
        </w:tc>
        <w:tc>
          <w:tcPr>
            <w:tcW w:w="4474" w:type="dxa"/>
            <w:gridSpan w:val="5"/>
            <w:tcBorders>
              <w:top w:val="single" w:sz="4" w:space="0" w:color="000000"/>
              <w:left w:val="nil"/>
              <w:bottom w:val="single" w:sz="4" w:space="0" w:color="000000"/>
              <w:right w:val="single" w:sz="4" w:space="0" w:color="000000"/>
            </w:tcBorders>
            <w:shd w:val="clear" w:color="auto" w:fill="FFFFFF"/>
            <w:vAlign w:val="center"/>
          </w:tcPr>
          <w:p w14:paraId="4D0CC12F" w14:textId="77777777" w:rsidR="00407009" w:rsidRDefault="00000000">
            <w:pPr>
              <w:tabs>
                <w:tab w:val="left" w:pos="0"/>
              </w:tabs>
              <w:jc w:val="both"/>
              <w:rPr>
                <w:rFonts w:ascii="Times New Roman" w:eastAsia="Times New Roman" w:hAnsi="Times New Roman" w:cs="Times New Roman"/>
              </w:rPr>
            </w:pPr>
            <w:r>
              <w:rPr>
                <w:rFonts w:ascii="Times New Roman" w:eastAsia="Times New Roman" w:hAnsi="Times New Roman" w:cs="Times New Roman"/>
              </w:rPr>
              <w:t>Serviço de dedetização, consistindo em desinsetização, desratização, descupinização e controle de vetores e pragas, através do Manejo Integrado de Pragas definido neste Termo de Referência.</w:t>
            </w:r>
          </w:p>
        </w:tc>
        <w:tc>
          <w:tcPr>
            <w:tcW w:w="1137" w:type="dxa"/>
            <w:tcBorders>
              <w:top w:val="single" w:sz="4" w:space="0" w:color="000000"/>
              <w:left w:val="nil"/>
              <w:bottom w:val="single" w:sz="4" w:space="0" w:color="000000"/>
              <w:right w:val="single" w:sz="4" w:space="0" w:color="000000"/>
            </w:tcBorders>
            <w:shd w:val="clear" w:color="auto" w:fill="FFFFFF"/>
            <w:vAlign w:val="center"/>
          </w:tcPr>
          <w:p w14:paraId="7D5C0D13"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3.377,66</w:t>
            </w:r>
          </w:p>
        </w:tc>
        <w:tc>
          <w:tcPr>
            <w:tcW w:w="1046" w:type="dxa"/>
            <w:gridSpan w:val="2"/>
            <w:tcBorders>
              <w:top w:val="single" w:sz="4" w:space="0" w:color="000000"/>
              <w:left w:val="nil"/>
              <w:bottom w:val="nil"/>
              <w:right w:val="single" w:sz="4" w:space="0" w:color="000000"/>
            </w:tcBorders>
            <w:shd w:val="clear" w:color="auto" w:fill="FFFFFF"/>
            <w:vAlign w:val="center"/>
          </w:tcPr>
          <w:p w14:paraId="4F6E8C69"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xml:space="preserve">27.021,28  </w:t>
            </w:r>
          </w:p>
        </w:tc>
        <w:tc>
          <w:tcPr>
            <w:tcW w:w="1319" w:type="dxa"/>
            <w:tcBorders>
              <w:top w:val="single" w:sz="4" w:space="0" w:color="000000"/>
              <w:left w:val="nil"/>
              <w:bottom w:val="nil"/>
              <w:right w:val="single" w:sz="4" w:space="0" w:color="000000"/>
            </w:tcBorders>
            <w:shd w:val="clear" w:color="auto" w:fill="FFFFFF"/>
            <w:vAlign w:val="center"/>
          </w:tcPr>
          <w:p w14:paraId="5F0D7162"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m²</w:t>
            </w:r>
          </w:p>
        </w:tc>
        <w:tc>
          <w:tcPr>
            <w:tcW w:w="1253" w:type="dxa"/>
            <w:gridSpan w:val="4"/>
            <w:tcBorders>
              <w:top w:val="single" w:sz="4" w:space="0" w:color="000000"/>
              <w:left w:val="nil"/>
              <w:bottom w:val="nil"/>
              <w:right w:val="single" w:sz="4" w:space="0" w:color="000000"/>
            </w:tcBorders>
            <w:shd w:val="clear" w:color="auto" w:fill="FFFFFF"/>
            <w:vAlign w:val="center"/>
          </w:tcPr>
          <w:p w14:paraId="21C3A341"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8</w:t>
            </w:r>
          </w:p>
        </w:tc>
        <w:tc>
          <w:tcPr>
            <w:tcW w:w="111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5AC89B" w14:textId="77777777" w:rsidR="00407009" w:rsidRDefault="00407009">
            <w:pPr>
              <w:tabs>
                <w:tab w:val="left" w:pos="0"/>
              </w:tabs>
              <w:jc w:val="center"/>
              <w:rPr>
                <w:rFonts w:ascii="Times New Roman" w:eastAsia="Times New Roman" w:hAnsi="Times New Roman" w:cs="Times New Roman"/>
              </w:rPr>
            </w:pPr>
          </w:p>
          <w:p w14:paraId="5ACED3E6" w14:textId="77777777" w:rsidR="00407009" w:rsidRDefault="00407009">
            <w:pPr>
              <w:tabs>
                <w:tab w:val="left" w:pos="0"/>
              </w:tabs>
              <w:jc w:val="center"/>
              <w:rPr>
                <w:rFonts w:ascii="Times New Roman" w:eastAsia="Times New Roman" w:hAnsi="Times New Roman" w:cs="Times New Roman"/>
              </w:rPr>
            </w:pPr>
          </w:p>
          <w:p w14:paraId="4BA4067B" w14:textId="77777777" w:rsidR="00407009" w:rsidRDefault="00407009">
            <w:pPr>
              <w:tabs>
                <w:tab w:val="left" w:pos="0"/>
              </w:tabs>
              <w:jc w:val="center"/>
              <w:rPr>
                <w:rFonts w:ascii="Times New Roman" w:eastAsia="Times New Roman" w:hAnsi="Times New Roman" w:cs="Times New Roman"/>
              </w:rPr>
            </w:pPr>
          </w:p>
          <w:p w14:paraId="6E99740C"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3417</w:t>
            </w:r>
          </w:p>
        </w:tc>
        <w:tc>
          <w:tcPr>
            <w:tcW w:w="184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1005E89F"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xml:space="preserve"> R$                  0,34 </w:t>
            </w:r>
          </w:p>
        </w:tc>
        <w:tc>
          <w:tcPr>
            <w:tcW w:w="1053" w:type="dxa"/>
            <w:gridSpan w:val="3"/>
            <w:tcBorders>
              <w:left w:val="single" w:sz="4" w:space="0" w:color="000000"/>
            </w:tcBorders>
            <w:vAlign w:val="center"/>
          </w:tcPr>
          <w:p w14:paraId="4DB9E3C4" w14:textId="77777777" w:rsidR="00407009" w:rsidRDefault="00407009">
            <w:pPr>
              <w:tabs>
                <w:tab w:val="left" w:pos="0"/>
              </w:tabs>
              <w:rPr>
                <w:rFonts w:ascii="Times New Roman" w:eastAsia="Times New Roman" w:hAnsi="Times New Roman" w:cs="Times New Roman"/>
              </w:rPr>
            </w:pPr>
          </w:p>
        </w:tc>
      </w:tr>
      <w:tr w:rsidR="00407009" w14:paraId="0AC1A2BC" w14:textId="77777777">
        <w:trPr>
          <w:trHeight w:val="260"/>
          <w:jc w:val="center"/>
        </w:trPr>
        <w:tc>
          <w:tcPr>
            <w:tcW w:w="10977" w:type="dxa"/>
            <w:gridSpan w:val="16"/>
            <w:vMerge w:val="restart"/>
            <w:tcBorders>
              <w:top w:val="single" w:sz="4" w:space="0" w:color="000000"/>
              <w:left w:val="single" w:sz="4" w:space="0" w:color="000000"/>
              <w:right w:val="single" w:sz="4" w:space="0" w:color="000000"/>
            </w:tcBorders>
            <w:shd w:val="clear" w:color="auto" w:fill="FFFFFF"/>
            <w:vAlign w:val="center"/>
          </w:tcPr>
          <w:p w14:paraId="6198A2CF"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TOTAL GERAL</w:t>
            </w:r>
          </w:p>
        </w:tc>
        <w:tc>
          <w:tcPr>
            <w:tcW w:w="1843"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37AAC76D"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xml:space="preserve"> R$        9.187,24 </w:t>
            </w:r>
          </w:p>
        </w:tc>
        <w:tc>
          <w:tcPr>
            <w:tcW w:w="1053" w:type="dxa"/>
            <w:gridSpan w:val="3"/>
            <w:vAlign w:val="center"/>
          </w:tcPr>
          <w:p w14:paraId="2DB16D7A" w14:textId="77777777" w:rsidR="00407009" w:rsidRDefault="00407009">
            <w:pPr>
              <w:tabs>
                <w:tab w:val="left" w:pos="0"/>
              </w:tabs>
              <w:rPr>
                <w:rFonts w:ascii="Times New Roman" w:eastAsia="Times New Roman" w:hAnsi="Times New Roman" w:cs="Times New Roman"/>
              </w:rPr>
            </w:pPr>
          </w:p>
        </w:tc>
      </w:tr>
      <w:tr w:rsidR="00407009" w14:paraId="3B9957E1" w14:textId="77777777">
        <w:trPr>
          <w:trHeight w:val="260"/>
          <w:jc w:val="center"/>
        </w:trPr>
        <w:tc>
          <w:tcPr>
            <w:tcW w:w="10977" w:type="dxa"/>
            <w:gridSpan w:val="16"/>
            <w:vMerge/>
            <w:tcBorders>
              <w:top w:val="single" w:sz="4" w:space="0" w:color="000000"/>
              <w:left w:val="single" w:sz="4" w:space="0" w:color="000000"/>
              <w:right w:val="single" w:sz="4" w:space="0" w:color="000000"/>
            </w:tcBorders>
            <w:shd w:val="clear" w:color="auto" w:fill="FFFFFF"/>
            <w:vAlign w:val="center"/>
          </w:tcPr>
          <w:p w14:paraId="418CCFBA" w14:textId="77777777" w:rsidR="00407009" w:rsidRDefault="00407009">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1843" w:type="dxa"/>
            <w:gridSpan w:val="3"/>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209ECB5" w14:textId="77777777" w:rsidR="00407009" w:rsidRDefault="00407009">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1053" w:type="dxa"/>
            <w:gridSpan w:val="3"/>
            <w:tcBorders>
              <w:top w:val="nil"/>
              <w:left w:val="nil"/>
              <w:bottom w:val="nil"/>
              <w:right w:val="nil"/>
            </w:tcBorders>
            <w:vAlign w:val="bottom"/>
          </w:tcPr>
          <w:p w14:paraId="61CAC94C" w14:textId="77777777" w:rsidR="00407009" w:rsidRDefault="00407009">
            <w:pPr>
              <w:tabs>
                <w:tab w:val="left" w:pos="0"/>
              </w:tabs>
              <w:jc w:val="center"/>
              <w:rPr>
                <w:rFonts w:ascii="Times New Roman" w:eastAsia="Times New Roman" w:hAnsi="Times New Roman" w:cs="Times New Roman"/>
              </w:rPr>
            </w:pPr>
          </w:p>
        </w:tc>
      </w:tr>
      <w:tr w:rsidR="00407009" w14:paraId="7FCB6CA7" w14:textId="77777777">
        <w:trPr>
          <w:trHeight w:val="260"/>
          <w:jc w:val="center"/>
        </w:trPr>
        <w:tc>
          <w:tcPr>
            <w:tcW w:w="629" w:type="dxa"/>
            <w:tcBorders>
              <w:top w:val="nil"/>
              <w:left w:val="nil"/>
              <w:bottom w:val="nil"/>
              <w:right w:val="nil"/>
            </w:tcBorders>
            <w:shd w:val="clear" w:color="auto" w:fill="FFFFFF"/>
            <w:vAlign w:val="center"/>
          </w:tcPr>
          <w:p w14:paraId="04CD2277"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4CAFECE5"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141FF9D7"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29C06F1E"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5673ACB6"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3714" w:type="dxa"/>
            <w:tcBorders>
              <w:top w:val="nil"/>
              <w:left w:val="nil"/>
              <w:bottom w:val="nil"/>
              <w:right w:val="nil"/>
            </w:tcBorders>
            <w:shd w:val="clear" w:color="auto" w:fill="FFFFFF"/>
            <w:vAlign w:val="center"/>
          </w:tcPr>
          <w:p w14:paraId="2EB5A1A7"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877" w:type="dxa"/>
            <w:gridSpan w:val="2"/>
            <w:tcBorders>
              <w:top w:val="nil"/>
              <w:left w:val="nil"/>
              <w:bottom w:val="nil"/>
              <w:right w:val="nil"/>
            </w:tcBorders>
            <w:shd w:val="clear" w:color="auto" w:fill="FFFFFF"/>
            <w:vAlign w:val="center"/>
          </w:tcPr>
          <w:p w14:paraId="09074DDA"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306" w:type="dxa"/>
            <w:tcBorders>
              <w:top w:val="nil"/>
              <w:left w:val="nil"/>
              <w:bottom w:val="nil"/>
              <w:right w:val="nil"/>
            </w:tcBorders>
            <w:shd w:val="clear" w:color="auto" w:fill="FFFFFF"/>
            <w:vAlign w:val="center"/>
          </w:tcPr>
          <w:p w14:paraId="784250ED"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319" w:type="dxa"/>
            <w:tcBorders>
              <w:top w:val="nil"/>
              <w:left w:val="nil"/>
              <w:bottom w:val="nil"/>
              <w:right w:val="nil"/>
            </w:tcBorders>
            <w:shd w:val="clear" w:color="auto" w:fill="FFFFFF"/>
            <w:vAlign w:val="center"/>
          </w:tcPr>
          <w:p w14:paraId="23277ECC"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3D3824C3"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735" w:type="dxa"/>
            <w:tcBorders>
              <w:top w:val="nil"/>
              <w:left w:val="nil"/>
              <w:bottom w:val="nil"/>
              <w:right w:val="nil"/>
            </w:tcBorders>
            <w:shd w:val="clear" w:color="auto" w:fill="FFFFFF"/>
            <w:vAlign w:val="center"/>
          </w:tcPr>
          <w:p w14:paraId="2DE71FB6"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16B85EEA"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885" w:type="dxa"/>
            <w:gridSpan w:val="2"/>
            <w:tcBorders>
              <w:top w:val="nil"/>
              <w:left w:val="nil"/>
              <w:bottom w:val="nil"/>
              <w:right w:val="nil"/>
            </w:tcBorders>
            <w:shd w:val="clear" w:color="auto" w:fill="FFFFFF"/>
          </w:tcPr>
          <w:p w14:paraId="3A1DE9A9" w14:textId="77777777" w:rsidR="00407009" w:rsidRDefault="00407009">
            <w:pPr>
              <w:tabs>
                <w:tab w:val="left" w:pos="0"/>
              </w:tabs>
              <w:jc w:val="center"/>
              <w:rPr>
                <w:rFonts w:ascii="Times New Roman" w:eastAsia="Times New Roman" w:hAnsi="Times New Roman" w:cs="Times New Roman"/>
              </w:rPr>
            </w:pPr>
          </w:p>
        </w:tc>
        <w:tc>
          <w:tcPr>
            <w:tcW w:w="1076" w:type="dxa"/>
            <w:gridSpan w:val="2"/>
            <w:tcBorders>
              <w:top w:val="nil"/>
              <w:left w:val="nil"/>
              <w:bottom w:val="nil"/>
              <w:right w:val="nil"/>
            </w:tcBorders>
            <w:shd w:val="clear" w:color="auto" w:fill="FFFFFF"/>
            <w:vAlign w:val="center"/>
          </w:tcPr>
          <w:p w14:paraId="2899CA25"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2EECA770"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088" w:type="dxa"/>
            <w:gridSpan w:val="2"/>
            <w:tcBorders>
              <w:top w:val="nil"/>
              <w:left w:val="nil"/>
              <w:bottom w:val="nil"/>
              <w:right w:val="nil"/>
            </w:tcBorders>
            <w:shd w:val="clear" w:color="auto" w:fill="FFFFFF"/>
            <w:vAlign w:val="center"/>
          </w:tcPr>
          <w:p w14:paraId="47E03DCB"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00AF60E1"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724" w:type="dxa"/>
            <w:vAlign w:val="center"/>
          </w:tcPr>
          <w:p w14:paraId="632439D4" w14:textId="77777777" w:rsidR="00407009" w:rsidRDefault="00407009">
            <w:pPr>
              <w:tabs>
                <w:tab w:val="left" w:pos="0"/>
              </w:tabs>
              <w:rPr>
                <w:rFonts w:ascii="Times New Roman" w:eastAsia="Times New Roman" w:hAnsi="Times New Roman" w:cs="Times New Roman"/>
              </w:rPr>
            </w:pPr>
          </w:p>
        </w:tc>
      </w:tr>
      <w:tr w:rsidR="00407009" w14:paraId="14EC027B" w14:textId="77777777">
        <w:trPr>
          <w:trHeight w:val="260"/>
          <w:jc w:val="center"/>
        </w:trPr>
        <w:tc>
          <w:tcPr>
            <w:tcW w:w="629" w:type="dxa"/>
            <w:tcBorders>
              <w:top w:val="nil"/>
              <w:left w:val="nil"/>
              <w:bottom w:val="nil"/>
              <w:right w:val="nil"/>
            </w:tcBorders>
            <w:shd w:val="clear" w:color="auto" w:fill="FFFFFF"/>
            <w:vAlign w:val="bottom"/>
          </w:tcPr>
          <w:p w14:paraId="3A144AE3"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3789C8FF"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3BF0B302"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1C101B6F"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30F944A5"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3714" w:type="dxa"/>
            <w:tcBorders>
              <w:top w:val="nil"/>
              <w:left w:val="nil"/>
              <w:bottom w:val="nil"/>
              <w:right w:val="nil"/>
            </w:tcBorders>
            <w:shd w:val="clear" w:color="auto" w:fill="FFFFFF"/>
            <w:vAlign w:val="bottom"/>
          </w:tcPr>
          <w:p w14:paraId="65CB472E"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877" w:type="dxa"/>
            <w:gridSpan w:val="2"/>
            <w:tcBorders>
              <w:top w:val="nil"/>
              <w:left w:val="nil"/>
              <w:bottom w:val="nil"/>
              <w:right w:val="nil"/>
            </w:tcBorders>
            <w:shd w:val="clear" w:color="auto" w:fill="FFFFFF"/>
            <w:vAlign w:val="bottom"/>
          </w:tcPr>
          <w:p w14:paraId="4276965D"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306" w:type="dxa"/>
            <w:tcBorders>
              <w:top w:val="nil"/>
              <w:left w:val="nil"/>
              <w:bottom w:val="nil"/>
              <w:right w:val="nil"/>
            </w:tcBorders>
            <w:shd w:val="clear" w:color="auto" w:fill="FFFFFF"/>
            <w:vAlign w:val="bottom"/>
          </w:tcPr>
          <w:p w14:paraId="5A7341C7"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319" w:type="dxa"/>
            <w:tcBorders>
              <w:top w:val="nil"/>
              <w:left w:val="nil"/>
              <w:bottom w:val="nil"/>
              <w:right w:val="nil"/>
            </w:tcBorders>
            <w:shd w:val="clear" w:color="auto" w:fill="FFFFFF"/>
            <w:vAlign w:val="bottom"/>
          </w:tcPr>
          <w:p w14:paraId="12AF60E3"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6D24A606"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735" w:type="dxa"/>
            <w:tcBorders>
              <w:top w:val="nil"/>
              <w:left w:val="nil"/>
              <w:bottom w:val="nil"/>
              <w:right w:val="nil"/>
            </w:tcBorders>
            <w:shd w:val="clear" w:color="auto" w:fill="FFFFFF"/>
            <w:vAlign w:val="bottom"/>
          </w:tcPr>
          <w:p w14:paraId="320231E9"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194189B2"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885" w:type="dxa"/>
            <w:gridSpan w:val="2"/>
            <w:tcBorders>
              <w:top w:val="nil"/>
              <w:left w:val="nil"/>
              <w:bottom w:val="nil"/>
              <w:right w:val="nil"/>
            </w:tcBorders>
            <w:shd w:val="clear" w:color="auto" w:fill="FFFFFF"/>
          </w:tcPr>
          <w:p w14:paraId="024C212C" w14:textId="77777777" w:rsidR="00407009" w:rsidRDefault="00407009">
            <w:pPr>
              <w:tabs>
                <w:tab w:val="left" w:pos="0"/>
              </w:tabs>
              <w:rPr>
                <w:rFonts w:ascii="Times New Roman" w:eastAsia="Times New Roman" w:hAnsi="Times New Roman" w:cs="Times New Roman"/>
              </w:rPr>
            </w:pPr>
          </w:p>
        </w:tc>
        <w:tc>
          <w:tcPr>
            <w:tcW w:w="1076" w:type="dxa"/>
            <w:gridSpan w:val="2"/>
            <w:tcBorders>
              <w:top w:val="nil"/>
              <w:left w:val="nil"/>
              <w:bottom w:val="nil"/>
              <w:right w:val="nil"/>
            </w:tcBorders>
            <w:shd w:val="clear" w:color="auto" w:fill="FFFFFF"/>
            <w:vAlign w:val="bottom"/>
          </w:tcPr>
          <w:p w14:paraId="3DA14E9B"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70515DEF"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088" w:type="dxa"/>
            <w:gridSpan w:val="2"/>
            <w:tcBorders>
              <w:top w:val="nil"/>
              <w:left w:val="nil"/>
              <w:bottom w:val="nil"/>
              <w:right w:val="nil"/>
            </w:tcBorders>
            <w:shd w:val="clear" w:color="auto" w:fill="FFFFFF"/>
            <w:vAlign w:val="bottom"/>
          </w:tcPr>
          <w:p w14:paraId="7C8D918E"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5E15FEFA"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724" w:type="dxa"/>
            <w:vAlign w:val="center"/>
          </w:tcPr>
          <w:p w14:paraId="0CE3A98B" w14:textId="77777777" w:rsidR="00407009" w:rsidRDefault="00407009">
            <w:pPr>
              <w:tabs>
                <w:tab w:val="left" w:pos="0"/>
              </w:tabs>
              <w:rPr>
                <w:rFonts w:ascii="Times New Roman" w:eastAsia="Times New Roman" w:hAnsi="Times New Roman" w:cs="Times New Roman"/>
              </w:rPr>
            </w:pPr>
          </w:p>
        </w:tc>
      </w:tr>
      <w:tr w:rsidR="00407009" w14:paraId="0AE0EF81" w14:textId="77777777">
        <w:trPr>
          <w:trHeight w:val="274"/>
          <w:jc w:val="center"/>
        </w:trPr>
        <w:tc>
          <w:tcPr>
            <w:tcW w:w="629" w:type="dxa"/>
            <w:tcBorders>
              <w:top w:val="nil"/>
              <w:left w:val="nil"/>
              <w:bottom w:val="nil"/>
              <w:right w:val="nil"/>
            </w:tcBorders>
            <w:shd w:val="clear" w:color="auto" w:fill="FFFFFF"/>
            <w:vAlign w:val="bottom"/>
          </w:tcPr>
          <w:p w14:paraId="3D27D903"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3CBD2800"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3FB44EA8"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033A67E4"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72B035AB"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3714" w:type="dxa"/>
            <w:tcBorders>
              <w:top w:val="nil"/>
              <w:left w:val="nil"/>
              <w:bottom w:val="nil"/>
              <w:right w:val="nil"/>
            </w:tcBorders>
            <w:shd w:val="clear" w:color="auto" w:fill="FFFFFF"/>
            <w:vAlign w:val="bottom"/>
          </w:tcPr>
          <w:p w14:paraId="6D07E8E4"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877" w:type="dxa"/>
            <w:gridSpan w:val="2"/>
            <w:tcBorders>
              <w:top w:val="nil"/>
              <w:left w:val="nil"/>
              <w:bottom w:val="nil"/>
              <w:right w:val="nil"/>
            </w:tcBorders>
            <w:shd w:val="clear" w:color="auto" w:fill="FFFFFF"/>
            <w:vAlign w:val="bottom"/>
          </w:tcPr>
          <w:p w14:paraId="637E68D7"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306" w:type="dxa"/>
            <w:tcBorders>
              <w:top w:val="nil"/>
              <w:left w:val="nil"/>
              <w:bottom w:val="nil"/>
              <w:right w:val="nil"/>
            </w:tcBorders>
            <w:shd w:val="clear" w:color="auto" w:fill="FFFFFF"/>
            <w:vAlign w:val="bottom"/>
          </w:tcPr>
          <w:p w14:paraId="0388DD3F"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319" w:type="dxa"/>
            <w:tcBorders>
              <w:top w:val="nil"/>
              <w:left w:val="nil"/>
              <w:bottom w:val="nil"/>
              <w:right w:val="nil"/>
            </w:tcBorders>
            <w:shd w:val="clear" w:color="auto" w:fill="FFFFFF"/>
            <w:vAlign w:val="bottom"/>
          </w:tcPr>
          <w:p w14:paraId="349C64E6"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6ED78911"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735" w:type="dxa"/>
            <w:tcBorders>
              <w:top w:val="nil"/>
              <w:left w:val="nil"/>
              <w:bottom w:val="nil"/>
              <w:right w:val="nil"/>
            </w:tcBorders>
            <w:shd w:val="clear" w:color="auto" w:fill="FFFFFF"/>
            <w:vAlign w:val="bottom"/>
          </w:tcPr>
          <w:p w14:paraId="5DB2563F"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1DA39F82"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885" w:type="dxa"/>
            <w:gridSpan w:val="2"/>
            <w:tcBorders>
              <w:top w:val="nil"/>
              <w:left w:val="nil"/>
              <w:bottom w:val="nil"/>
              <w:right w:val="nil"/>
            </w:tcBorders>
            <w:shd w:val="clear" w:color="auto" w:fill="FFFFFF"/>
          </w:tcPr>
          <w:p w14:paraId="292AF1EE" w14:textId="77777777" w:rsidR="00407009" w:rsidRDefault="00407009">
            <w:pPr>
              <w:tabs>
                <w:tab w:val="left" w:pos="0"/>
              </w:tabs>
              <w:rPr>
                <w:rFonts w:ascii="Times New Roman" w:eastAsia="Times New Roman" w:hAnsi="Times New Roman" w:cs="Times New Roman"/>
              </w:rPr>
            </w:pPr>
          </w:p>
        </w:tc>
        <w:tc>
          <w:tcPr>
            <w:tcW w:w="1076" w:type="dxa"/>
            <w:gridSpan w:val="2"/>
            <w:tcBorders>
              <w:top w:val="nil"/>
              <w:left w:val="nil"/>
              <w:bottom w:val="nil"/>
              <w:right w:val="nil"/>
            </w:tcBorders>
            <w:shd w:val="clear" w:color="auto" w:fill="FFFFFF"/>
            <w:vAlign w:val="bottom"/>
          </w:tcPr>
          <w:p w14:paraId="6F8FF7AC"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011D74E1"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088" w:type="dxa"/>
            <w:gridSpan w:val="2"/>
            <w:tcBorders>
              <w:top w:val="nil"/>
              <w:left w:val="nil"/>
              <w:bottom w:val="nil"/>
              <w:right w:val="nil"/>
            </w:tcBorders>
            <w:shd w:val="clear" w:color="auto" w:fill="FFFFFF"/>
            <w:vAlign w:val="bottom"/>
          </w:tcPr>
          <w:p w14:paraId="621984B9"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bottom"/>
          </w:tcPr>
          <w:p w14:paraId="080594C3" w14:textId="77777777" w:rsidR="00407009" w:rsidRDefault="00000000">
            <w:pPr>
              <w:tabs>
                <w:tab w:val="left" w:pos="0"/>
              </w:tabs>
              <w:rPr>
                <w:rFonts w:ascii="Times New Roman" w:eastAsia="Times New Roman" w:hAnsi="Times New Roman" w:cs="Times New Roman"/>
              </w:rPr>
            </w:pPr>
            <w:r>
              <w:rPr>
                <w:rFonts w:ascii="Times New Roman" w:eastAsia="Times New Roman" w:hAnsi="Times New Roman" w:cs="Times New Roman"/>
              </w:rPr>
              <w:t> </w:t>
            </w:r>
          </w:p>
        </w:tc>
        <w:tc>
          <w:tcPr>
            <w:tcW w:w="724" w:type="dxa"/>
            <w:vAlign w:val="center"/>
          </w:tcPr>
          <w:p w14:paraId="5928BCD4" w14:textId="77777777" w:rsidR="00407009" w:rsidRDefault="00407009">
            <w:pPr>
              <w:tabs>
                <w:tab w:val="left" w:pos="0"/>
              </w:tabs>
              <w:rPr>
                <w:rFonts w:ascii="Times New Roman" w:eastAsia="Times New Roman" w:hAnsi="Times New Roman" w:cs="Times New Roman"/>
              </w:rPr>
            </w:pPr>
          </w:p>
        </w:tc>
      </w:tr>
      <w:tr w:rsidR="00407009" w14:paraId="1EF01DC8" w14:textId="77777777">
        <w:trPr>
          <w:trHeight w:val="260"/>
          <w:jc w:val="center"/>
        </w:trPr>
        <w:tc>
          <w:tcPr>
            <w:tcW w:w="629" w:type="dxa"/>
            <w:tcBorders>
              <w:top w:val="nil"/>
              <w:left w:val="nil"/>
              <w:bottom w:val="nil"/>
              <w:right w:val="nil"/>
            </w:tcBorders>
            <w:shd w:val="clear" w:color="auto" w:fill="FFFFFF"/>
            <w:vAlign w:val="center"/>
          </w:tcPr>
          <w:p w14:paraId="7250DD36"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2343470C"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67095686"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6C49313D"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4EF2D3D7"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3714" w:type="dxa"/>
            <w:tcBorders>
              <w:top w:val="nil"/>
              <w:left w:val="nil"/>
              <w:bottom w:val="nil"/>
              <w:right w:val="nil"/>
            </w:tcBorders>
            <w:shd w:val="clear" w:color="auto" w:fill="FFFFFF"/>
            <w:vAlign w:val="center"/>
          </w:tcPr>
          <w:p w14:paraId="54B5C17C"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877" w:type="dxa"/>
            <w:gridSpan w:val="2"/>
            <w:tcBorders>
              <w:top w:val="nil"/>
              <w:left w:val="nil"/>
              <w:bottom w:val="nil"/>
              <w:right w:val="nil"/>
            </w:tcBorders>
            <w:shd w:val="clear" w:color="auto" w:fill="FFFFFF"/>
            <w:vAlign w:val="center"/>
          </w:tcPr>
          <w:p w14:paraId="5BCC9ED7"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306" w:type="dxa"/>
            <w:tcBorders>
              <w:top w:val="nil"/>
              <w:left w:val="nil"/>
              <w:bottom w:val="nil"/>
              <w:right w:val="nil"/>
            </w:tcBorders>
            <w:shd w:val="clear" w:color="auto" w:fill="FFFFFF"/>
            <w:vAlign w:val="center"/>
          </w:tcPr>
          <w:p w14:paraId="53F6946B"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319" w:type="dxa"/>
            <w:tcBorders>
              <w:top w:val="nil"/>
              <w:left w:val="nil"/>
              <w:bottom w:val="nil"/>
              <w:right w:val="nil"/>
            </w:tcBorders>
            <w:shd w:val="clear" w:color="auto" w:fill="FFFFFF"/>
            <w:vAlign w:val="center"/>
          </w:tcPr>
          <w:p w14:paraId="35A89F71"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20F99256"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735" w:type="dxa"/>
            <w:tcBorders>
              <w:top w:val="nil"/>
              <w:left w:val="nil"/>
              <w:bottom w:val="nil"/>
              <w:right w:val="nil"/>
            </w:tcBorders>
            <w:shd w:val="clear" w:color="auto" w:fill="FFFFFF"/>
            <w:vAlign w:val="center"/>
          </w:tcPr>
          <w:p w14:paraId="216FB061"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54CE497C"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885" w:type="dxa"/>
            <w:gridSpan w:val="2"/>
            <w:tcBorders>
              <w:top w:val="nil"/>
              <w:left w:val="nil"/>
              <w:bottom w:val="nil"/>
              <w:right w:val="nil"/>
            </w:tcBorders>
            <w:shd w:val="clear" w:color="auto" w:fill="FFFFFF"/>
          </w:tcPr>
          <w:p w14:paraId="08E6087F" w14:textId="77777777" w:rsidR="00407009" w:rsidRDefault="00407009">
            <w:pPr>
              <w:tabs>
                <w:tab w:val="left" w:pos="0"/>
              </w:tabs>
              <w:jc w:val="center"/>
              <w:rPr>
                <w:rFonts w:ascii="Times New Roman" w:eastAsia="Times New Roman" w:hAnsi="Times New Roman" w:cs="Times New Roman"/>
              </w:rPr>
            </w:pPr>
          </w:p>
        </w:tc>
        <w:tc>
          <w:tcPr>
            <w:tcW w:w="1076" w:type="dxa"/>
            <w:gridSpan w:val="2"/>
            <w:tcBorders>
              <w:top w:val="nil"/>
              <w:left w:val="nil"/>
              <w:bottom w:val="nil"/>
              <w:right w:val="nil"/>
            </w:tcBorders>
            <w:shd w:val="clear" w:color="auto" w:fill="FFFFFF"/>
            <w:vAlign w:val="center"/>
          </w:tcPr>
          <w:p w14:paraId="7BE09992"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72706109"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088" w:type="dxa"/>
            <w:gridSpan w:val="2"/>
            <w:tcBorders>
              <w:top w:val="nil"/>
              <w:left w:val="nil"/>
              <w:bottom w:val="nil"/>
              <w:right w:val="nil"/>
            </w:tcBorders>
            <w:shd w:val="clear" w:color="auto" w:fill="FFFFFF"/>
            <w:vAlign w:val="center"/>
          </w:tcPr>
          <w:p w14:paraId="5C477ECB"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190" w:type="dxa"/>
            <w:tcBorders>
              <w:top w:val="nil"/>
              <w:left w:val="nil"/>
              <w:bottom w:val="nil"/>
              <w:right w:val="nil"/>
            </w:tcBorders>
            <w:shd w:val="clear" w:color="auto" w:fill="FFFFFF"/>
            <w:vAlign w:val="center"/>
          </w:tcPr>
          <w:p w14:paraId="3DD81A92"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w:t>
            </w:r>
          </w:p>
        </w:tc>
        <w:tc>
          <w:tcPr>
            <w:tcW w:w="724" w:type="dxa"/>
            <w:vAlign w:val="center"/>
          </w:tcPr>
          <w:p w14:paraId="2680314D" w14:textId="77777777" w:rsidR="00407009" w:rsidRDefault="00407009">
            <w:pPr>
              <w:tabs>
                <w:tab w:val="left" w:pos="0"/>
              </w:tabs>
              <w:rPr>
                <w:rFonts w:ascii="Times New Roman" w:eastAsia="Times New Roman" w:hAnsi="Times New Roman" w:cs="Times New Roman"/>
              </w:rPr>
            </w:pPr>
          </w:p>
        </w:tc>
      </w:tr>
      <w:tr w:rsidR="00407009" w14:paraId="747D08A7" w14:textId="77777777">
        <w:trPr>
          <w:trHeight w:val="260"/>
          <w:jc w:val="center"/>
        </w:trPr>
        <w:tc>
          <w:tcPr>
            <w:tcW w:w="10977" w:type="dxa"/>
            <w:gridSpan w:val="16"/>
            <w:vMerge w:val="restart"/>
            <w:tcBorders>
              <w:top w:val="single" w:sz="8" w:space="0" w:color="000000"/>
              <w:left w:val="single" w:sz="8" w:space="0" w:color="000000"/>
              <w:right w:val="single" w:sz="8" w:space="0" w:color="000000"/>
            </w:tcBorders>
            <w:shd w:val="clear" w:color="auto" w:fill="FFFFFF"/>
            <w:vAlign w:val="center"/>
          </w:tcPr>
          <w:p w14:paraId="7CB34E14"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TOTAL GERAL DAS SOMAS DOS ITENS</w:t>
            </w:r>
          </w:p>
        </w:tc>
        <w:tc>
          <w:tcPr>
            <w:tcW w:w="184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14:paraId="05C75FF6" w14:textId="77777777" w:rsidR="00407009" w:rsidRDefault="00000000">
            <w:pPr>
              <w:tabs>
                <w:tab w:val="left" w:pos="0"/>
              </w:tabs>
              <w:jc w:val="center"/>
              <w:rPr>
                <w:rFonts w:ascii="Times New Roman" w:eastAsia="Times New Roman" w:hAnsi="Times New Roman" w:cs="Times New Roman"/>
              </w:rPr>
            </w:pPr>
            <w:r>
              <w:rPr>
                <w:rFonts w:ascii="Times New Roman" w:eastAsia="Times New Roman" w:hAnsi="Times New Roman" w:cs="Times New Roman"/>
              </w:rPr>
              <w:t xml:space="preserve"> R$      9.187,24 </w:t>
            </w:r>
          </w:p>
        </w:tc>
        <w:tc>
          <w:tcPr>
            <w:tcW w:w="1053" w:type="dxa"/>
            <w:gridSpan w:val="3"/>
            <w:vAlign w:val="center"/>
          </w:tcPr>
          <w:p w14:paraId="4CB91C3C" w14:textId="77777777" w:rsidR="00407009" w:rsidRDefault="00407009">
            <w:pPr>
              <w:tabs>
                <w:tab w:val="left" w:pos="0"/>
              </w:tabs>
              <w:rPr>
                <w:rFonts w:ascii="Times New Roman" w:eastAsia="Times New Roman" w:hAnsi="Times New Roman" w:cs="Times New Roman"/>
              </w:rPr>
            </w:pPr>
          </w:p>
        </w:tc>
      </w:tr>
      <w:tr w:rsidR="00407009" w14:paraId="3F1C8342" w14:textId="77777777">
        <w:trPr>
          <w:trHeight w:val="274"/>
          <w:jc w:val="center"/>
        </w:trPr>
        <w:tc>
          <w:tcPr>
            <w:tcW w:w="10977" w:type="dxa"/>
            <w:gridSpan w:val="16"/>
            <w:vMerge/>
            <w:tcBorders>
              <w:top w:val="single" w:sz="8" w:space="0" w:color="000000"/>
              <w:left w:val="single" w:sz="8" w:space="0" w:color="000000"/>
              <w:right w:val="single" w:sz="8" w:space="0" w:color="000000"/>
            </w:tcBorders>
            <w:shd w:val="clear" w:color="auto" w:fill="FFFFFF"/>
            <w:vAlign w:val="center"/>
          </w:tcPr>
          <w:p w14:paraId="7BC1ED38" w14:textId="77777777" w:rsidR="00407009" w:rsidRDefault="00407009">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1843" w:type="dxa"/>
            <w:gridSpan w:val="3"/>
            <w:vMerge/>
            <w:tcBorders>
              <w:top w:val="single" w:sz="8" w:space="0" w:color="000000"/>
              <w:left w:val="single" w:sz="8" w:space="0" w:color="000000"/>
              <w:bottom w:val="single" w:sz="8" w:space="0" w:color="000000"/>
              <w:right w:val="single" w:sz="8" w:space="0" w:color="000000"/>
            </w:tcBorders>
            <w:shd w:val="clear" w:color="auto" w:fill="FFFFFF"/>
            <w:vAlign w:val="center"/>
          </w:tcPr>
          <w:p w14:paraId="59B6759A" w14:textId="77777777" w:rsidR="00407009" w:rsidRDefault="00407009">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1053" w:type="dxa"/>
            <w:gridSpan w:val="3"/>
            <w:tcBorders>
              <w:top w:val="nil"/>
              <w:left w:val="nil"/>
              <w:bottom w:val="nil"/>
              <w:right w:val="nil"/>
            </w:tcBorders>
            <w:vAlign w:val="bottom"/>
          </w:tcPr>
          <w:p w14:paraId="47CA8351" w14:textId="77777777" w:rsidR="00407009" w:rsidRDefault="00407009">
            <w:pPr>
              <w:tabs>
                <w:tab w:val="left" w:pos="0"/>
              </w:tabs>
              <w:jc w:val="center"/>
              <w:rPr>
                <w:rFonts w:ascii="Times New Roman" w:eastAsia="Times New Roman" w:hAnsi="Times New Roman" w:cs="Times New Roman"/>
              </w:rPr>
            </w:pPr>
          </w:p>
        </w:tc>
      </w:tr>
    </w:tbl>
    <w:p w14:paraId="43E443BB" w14:textId="77777777" w:rsidR="00407009" w:rsidRDefault="00407009">
      <w:pPr>
        <w:spacing w:line="360" w:lineRule="auto"/>
        <w:jc w:val="center"/>
        <w:rPr>
          <w:b/>
          <w:bCs/>
          <w:sz w:val="24"/>
          <w:szCs w:val="24"/>
        </w:rPr>
        <w:sectPr w:rsidR="00407009">
          <w:pgSz w:w="16838" w:h="11906" w:orient="landscape"/>
          <w:pgMar w:top="1077" w:right="1440" w:bottom="1077" w:left="1440" w:header="709" w:footer="709" w:gutter="0"/>
          <w:cols w:space="720"/>
        </w:sectPr>
      </w:pPr>
    </w:p>
    <w:p w14:paraId="27074516" w14:textId="77777777" w:rsidR="00407009" w:rsidRDefault="00407009">
      <w:pPr>
        <w:spacing w:line="360" w:lineRule="auto"/>
        <w:jc w:val="center"/>
      </w:pPr>
    </w:p>
    <w:p w14:paraId="5CF222E6" w14:textId="77777777" w:rsidR="00407009" w:rsidRDefault="00000000">
      <w:pPr>
        <w:spacing w:line="276" w:lineRule="auto"/>
        <w:jc w:val="center"/>
        <w:rPr>
          <w:b/>
          <w:bCs/>
          <w:sz w:val="24"/>
          <w:szCs w:val="24"/>
        </w:rPr>
      </w:pPr>
      <w:r>
        <w:rPr>
          <w:b/>
          <w:bCs/>
          <w:sz w:val="24"/>
          <w:szCs w:val="24"/>
        </w:rPr>
        <w:t>ANEXO III DO EDITAL</w:t>
      </w:r>
    </w:p>
    <w:p w14:paraId="5031BD73" w14:textId="77777777" w:rsidR="00407009" w:rsidRDefault="00000000">
      <w:pPr>
        <w:spacing w:line="360" w:lineRule="auto"/>
        <w:jc w:val="center"/>
        <w:rPr>
          <w:b/>
          <w:bCs/>
          <w:sz w:val="24"/>
          <w:szCs w:val="24"/>
        </w:rPr>
      </w:pPr>
      <w:r>
        <w:rPr>
          <w:b/>
          <w:bCs/>
          <w:sz w:val="24"/>
          <w:szCs w:val="24"/>
        </w:rPr>
        <w:t>MINUTA DO TERMO DE CONTRATO</w:t>
      </w:r>
    </w:p>
    <w:p w14:paraId="1F3DD433" w14:textId="77777777" w:rsidR="00407009" w:rsidRDefault="00407009">
      <w:pPr>
        <w:tabs>
          <w:tab w:val="left" w:pos="567"/>
        </w:tabs>
        <w:spacing w:line="360" w:lineRule="auto"/>
        <w:ind w:left="3261"/>
        <w:jc w:val="both"/>
        <w:rPr>
          <w:rFonts w:ascii="Times New Roman" w:eastAsia="Times New Roman" w:hAnsi="Times New Roman" w:cs="Times New Roman"/>
          <w:b/>
          <w:bCs/>
        </w:rPr>
      </w:pPr>
    </w:p>
    <w:p w14:paraId="22025FD4" w14:textId="77777777" w:rsidR="00407009" w:rsidRDefault="00000000">
      <w:pPr>
        <w:tabs>
          <w:tab w:val="left" w:pos="567"/>
        </w:tabs>
        <w:spacing w:line="360" w:lineRule="auto"/>
        <w:ind w:left="3261"/>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CONTRATO COREN/RJ Nº. _______/_________ QUE ENTRE SI CELEBRAM O CONSELHO REGIONAL DE ENFERMAGEM DO RIO DE JANEIRO/COREN/RJ E A EMPRESA ___________________.</w:t>
      </w:r>
    </w:p>
    <w:p w14:paraId="5022FD70" w14:textId="77777777" w:rsidR="00407009" w:rsidRDefault="00407009">
      <w:pPr>
        <w:tabs>
          <w:tab w:val="left" w:pos="567"/>
        </w:tabs>
        <w:spacing w:line="360" w:lineRule="auto"/>
        <w:jc w:val="both"/>
        <w:rPr>
          <w:rFonts w:ascii="Times New Roman" w:eastAsia="Times New Roman" w:hAnsi="Times New Roman" w:cs="Times New Roman"/>
          <w:b/>
          <w:bCs/>
          <w:sz w:val="24"/>
          <w:szCs w:val="24"/>
        </w:rPr>
      </w:pPr>
    </w:p>
    <w:p w14:paraId="69619F15" w14:textId="77777777" w:rsidR="00407009" w:rsidRDefault="00000000">
      <w:p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w:t>
      </w:r>
      <w:r>
        <w:rPr>
          <w:rFonts w:ascii="Times New Roman" w:eastAsia="Times New Roman" w:hAnsi="Times New Roman" w:cs="Times New Roman"/>
          <w:b/>
          <w:bCs/>
          <w:sz w:val="24"/>
          <w:szCs w:val="24"/>
        </w:rPr>
        <w:t>CONSELHO REGIONAL DE ENFERMAGEM DO RIO DE JANEIRO – COREN-RJ</w:t>
      </w:r>
      <w:r>
        <w:rPr>
          <w:rFonts w:ascii="Times New Roman" w:eastAsia="Times New Roman" w:hAnsi="Times New Roman" w:cs="Times New Roman"/>
          <w:sz w:val="24"/>
          <w:szCs w:val="24"/>
        </w:rPr>
        <w:t xml:space="preserve">, autarquia federal fiscalizadora do exercício profissional de enfermagem no âmbito do Estado do Rio de Janeiro, </w:t>
      </w:r>
      <w:proofErr w:type="spellStart"/>
      <w:r>
        <w:rPr>
          <w:rFonts w:ascii="Times New Roman" w:eastAsia="Times New Roman" w:hAnsi="Times New Roman" w:cs="Times New Roman"/>
          <w:i/>
          <w:iCs/>
          <w:sz w:val="24"/>
          <w:szCs w:val="24"/>
        </w:rPr>
        <w:t>ex</w:t>
      </w:r>
      <w:proofErr w:type="spellEnd"/>
      <w:r>
        <w:rPr>
          <w:rFonts w:ascii="Times New Roman" w:eastAsia="Times New Roman" w:hAnsi="Times New Roman" w:cs="Times New Roman"/>
          <w:i/>
          <w:iCs/>
          <w:sz w:val="24"/>
          <w:szCs w:val="24"/>
        </w:rPr>
        <w:t xml:space="preserve"> vi</w:t>
      </w:r>
      <w:r>
        <w:rPr>
          <w:rFonts w:ascii="Times New Roman" w:eastAsia="Times New Roman" w:hAnsi="Times New Roman" w:cs="Times New Roman"/>
          <w:sz w:val="24"/>
          <w:szCs w:val="24"/>
        </w:rPr>
        <w:t xml:space="preserve"> da Lei Federal n.º 5.905/73, com sede na Av. Presidente Vargas, n.º 502, 5º andar, Centro, Rio de Janeiro/RJ, CEP: 20.071.000, CNPJ nº 27.149.095/001-66, doravante denominado </w:t>
      </w:r>
      <w:r>
        <w:rPr>
          <w:rFonts w:ascii="Times New Roman" w:eastAsia="Times New Roman" w:hAnsi="Times New Roman" w:cs="Times New Roman"/>
          <w:b/>
          <w:bCs/>
          <w:sz w:val="24"/>
          <w:szCs w:val="24"/>
        </w:rPr>
        <w:t>CONTRATANTE</w:t>
      </w:r>
      <w:r>
        <w:rPr>
          <w:rFonts w:ascii="Times New Roman" w:eastAsia="Times New Roman" w:hAnsi="Times New Roman" w:cs="Times New Roman"/>
          <w:sz w:val="24"/>
          <w:szCs w:val="24"/>
        </w:rPr>
        <w:t xml:space="preserve">, representado neste ato por sua Presidente em Exercício, nos termos da </w:t>
      </w:r>
      <w:r>
        <w:rPr>
          <w:rFonts w:ascii="Times New Roman" w:eastAsia="Times New Roman" w:hAnsi="Times New Roman" w:cs="Times New Roman"/>
          <w:b/>
          <w:bCs/>
          <w:sz w:val="24"/>
          <w:szCs w:val="24"/>
        </w:rPr>
        <w:t>Decisão Coren-RJ nº 1.343, de 27 de março de 2026</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Srª</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ROSIMERE MARIA DA SILVA</w:t>
      </w:r>
      <w:r>
        <w:rPr>
          <w:rFonts w:ascii="Times New Roman" w:eastAsia="Times New Roman" w:hAnsi="Times New Roman" w:cs="Times New Roman"/>
          <w:sz w:val="24"/>
          <w:szCs w:val="24"/>
        </w:rPr>
        <w:t xml:space="preserve">, brasileira, casada, enfermeira, portadora da identidade profissional </w:t>
      </w:r>
      <w:r>
        <w:rPr>
          <w:rFonts w:ascii="Times New Roman" w:eastAsia="Times New Roman" w:hAnsi="Times New Roman" w:cs="Times New Roman"/>
          <w:b/>
          <w:bCs/>
          <w:sz w:val="24"/>
          <w:szCs w:val="24"/>
        </w:rPr>
        <w:t>COREN/RJ nº 518.721-ENF-R</w:t>
      </w:r>
      <w:r>
        <w:rPr>
          <w:rFonts w:ascii="Times New Roman" w:eastAsia="Times New Roman" w:hAnsi="Times New Roman" w:cs="Times New Roman"/>
          <w:sz w:val="24"/>
          <w:szCs w:val="24"/>
        </w:rPr>
        <w:t xml:space="preserve">, e pelo Primeiro Tesoureiro, Sr. </w:t>
      </w:r>
      <w:r>
        <w:rPr>
          <w:rFonts w:ascii="Times New Roman" w:eastAsia="Times New Roman" w:hAnsi="Times New Roman" w:cs="Times New Roman"/>
          <w:b/>
          <w:bCs/>
          <w:sz w:val="24"/>
          <w:szCs w:val="24"/>
        </w:rPr>
        <w:t>LEILTON ALVES COELHO</w:t>
      </w:r>
      <w:r>
        <w:rPr>
          <w:rFonts w:ascii="Times New Roman" w:eastAsia="Times New Roman" w:hAnsi="Times New Roman" w:cs="Times New Roman"/>
          <w:sz w:val="24"/>
          <w:szCs w:val="24"/>
        </w:rPr>
        <w:t xml:space="preserve">, brasileiro, casado, técnico de enfermagem, portador de identidade </w:t>
      </w:r>
      <w:r>
        <w:rPr>
          <w:rFonts w:ascii="Times New Roman" w:eastAsia="Times New Roman" w:hAnsi="Times New Roman" w:cs="Times New Roman"/>
          <w:b/>
          <w:bCs/>
          <w:sz w:val="24"/>
          <w:szCs w:val="24"/>
        </w:rPr>
        <w:t>COREN/RJ nº 773.892-TE</w:t>
      </w:r>
      <w:r>
        <w:rPr>
          <w:rFonts w:ascii="Times New Roman" w:eastAsia="Times New Roman" w:hAnsi="Times New Roman" w:cs="Times New Roman"/>
          <w:sz w:val="24"/>
          <w:szCs w:val="24"/>
        </w:rPr>
        <w:t xml:space="preserve">, empossado pela </w:t>
      </w:r>
      <w:r>
        <w:rPr>
          <w:rFonts w:ascii="Times New Roman" w:eastAsia="Times New Roman" w:hAnsi="Times New Roman" w:cs="Times New Roman"/>
          <w:b/>
          <w:bCs/>
          <w:sz w:val="24"/>
          <w:szCs w:val="24"/>
        </w:rPr>
        <w:t>Decisão n.º COREN RJ n.º 1096, de 11 de dezembro de 2023</w:t>
      </w:r>
      <w:r>
        <w:rPr>
          <w:rFonts w:ascii="Times New Roman" w:eastAsia="Times New Roman" w:hAnsi="Times New Roman" w:cs="Times New Roman"/>
          <w:sz w:val="24"/>
          <w:szCs w:val="24"/>
        </w:rPr>
        <w:t xml:space="preserve">, de outro lado, e a empresa ______________, inscrita no CNPJ sob o nº_____________, neste ato representada pelo(a) Sr.(a) _________________, portador(a) da Carteira de Identidade nº ____________, expedida pela (o) ______________, e CPF nº ___________, doravante denominada </w:t>
      </w:r>
      <w:r>
        <w:rPr>
          <w:rFonts w:ascii="Times New Roman" w:eastAsia="Times New Roman" w:hAnsi="Times New Roman" w:cs="Times New Roman"/>
          <w:b/>
          <w:bCs/>
          <w:sz w:val="24"/>
          <w:szCs w:val="24"/>
        </w:rPr>
        <w:t>CONTRATADA</w:t>
      </w:r>
      <w:r>
        <w:rPr>
          <w:rFonts w:ascii="Times New Roman" w:eastAsia="Times New Roman" w:hAnsi="Times New Roman" w:cs="Times New Roman"/>
          <w:sz w:val="24"/>
          <w:szCs w:val="24"/>
        </w:rPr>
        <w:t xml:space="preserve">, tendo em vista o que consta no Processo Administrativo nº ___________________, resolvem celebrar o presente </w:t>
      </w:r>
      <w:r>
        <w:rPr>
          <w:rFonts w:ascii="Times New Roman" w:eastAsia="Times New Roman" w:hAnsi="Times New Roman" w:cs="Times New Roman"/>
          <w:b/>
          <w:bCs/>
          <w:sz w:val="24"/>
          <w:szCs w:val="24"/>
        </w:rPr>
        <w:t>CONTRATO COREN/RJ Nº. _________/__________</w:t>
      </w:r>
      <w:r>
        <w:rPr>
          <w:rFonts w:ascii="Times New Roman" w:eastAsia="Times New Roman" w:hAnsi="Times New Roman" w:cs="Times New Roman"/>
          <w:sz w:val="24"/>
          <w:szCs w:val="24"/>
        </w:rPr>
        <w:t>, e em observância às disposições da Lei nº 14.133, de 1º de abril de 2021, e demais legislação aplicável, resolvem celebrar o presente Termo de Contrato, decorrente do Pregão Eletrônico n. .../..., mediante as cláusulas e condições a seguir enunciadas.</w:t>
      </w:r>
    </w:p>
    <w:p w14:paraId="6120C9F6" w14:textId="77777777" w:rsidR="00407009" w:rsidRDefault="00407009">
      <w:pPr>
        <w:tabs>
          <w:tab w:val="left" w:pos="567"/>
        </w:tabs>
        <w:spacing w:line="360" w:lineRule="auto"/>
        <w:jc w:val="both"/>
        <w:rPr>
          <w:rFonts w:ascii="Times New Roman" w:eastAsia="Times New Roman" w:hAnsi="Times New Roman" w:cs="Times New Roman"/>
          <w:sz w:val="24"/>
          <w:szCs w:val="24"/>
        </w:rPr>
      </w:pPr>
    </w:p>
    <w:p w14:paraId="41F0BA55" w14:textId="77777777" w:rsidR="00407009" w:rsidRDefault="00000000">
      <w:pPr>
        <w:keepNext/>
        <w:keepLines/>
        <w:numPr>
          <w:ilvl w:val="0"/>
          <w:numId w:val="11"/>
        </w:numPr>
        <w:tabs>
          <w:tab w:val="left" w:pos="567"/>
        </w:tabs>
        <w:spacing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PRIMEIRA – OBJETO</w:t>
      </w:r>
    </w:p>
    <w:p w14:paraId="4B293229" w14:textId="77777777" w:rsidR="00407009" w:rsidRDefault="00000000">
      <w:pPr>
        <w:widowControl w:val="0"/>
        <w:numPr>
          <w:ilvl w:val="1"/>
          <w:numId w:val="11"/>
        </w:numPr>
        <w:pBdr>
          <w:top w:val="nil"/>
          <w:left w:val="nil"/>
          <w:bottom w:val="nil"/>
          <w:right w:val="nil"/>
          <w:between w:val="nil"/>
        </w:pBdr>
        <w:tabs>
          <w:tab w:val="left" w:pos="930"/>
        </w:tabs>
        <w:spacing w:line="360" w:lineRule="auto"/>
        <w:jc w:val="both"/>
        <w:rPr>
          <w:rFonts w:ascii="Times New Roman" w:eastAsia="Times New Roman" w:hAnsi="Times New Roman" w:cs="Times New Roman"/>
          <w:color w:val="000000"/>
          <w:sz w:val="24"/>
          <w:szCs w:val="24"/>
        </w:rPr>
      </w:pPr>
      <w:bookmarkStart w:id="25" w:name="_heading=h.a2kxpu1365it" w:colFirst="0" w:colLast="0"/>
      <w:bookmarkEnd w:id="25"/>
      <w:r>
        <w:rPr>
          <w:rFonts w:ascii="Times New Roman" w:eastAsia="Times New Roman" w:hAnsi="Times New Roman" w:cs="Times New Roman"/>
          <w:color w:val="000000"/>
          <w:sz w:val="24"/>
          <w:szCs w:val="24"/>
        </w:rPr>
        <w:t xml:space="preserve">O objeto do presente instrumento é a </w:t>
      </w:r>
      <w:r>
        <w:rPr>
          <w:rFonts w:ascii="Times New Roman" w:eastAsia="Times New Roman" w:hAnsi="Times New Roman" w:cs="Times New Roman"/>
          <w:color w:val="EE0000"/>
          <w:sz w:val="24"/>
          <w:szCs w:val="24"/>
        </w:rPr>
        <w:t>contratação de empresa especializada na prestação de serviços de controle de pragas e vetores, compreendendo a execução de desinsetização, desratização, descupinização e controle de vetores e pragas nas unidades do Coren-RJ</w:t>
      </w:r>
      <w:r>
        <w:rPr>
          <w:rFonts w:ascii="Times New Roman" w:eastAsia="Times New Roman" w:hAnsi="Times New Roman" w:cs="Times New Roman"/>
          <w:color w:val="000000"/>
          <w:sz w:val="24"/>
          <w:szCs w:val="24"/>
        </w:rPr>
        <w:t>, conforme condições, quantidades e exigências estabelecidas no Termo de Referência, anexo do Edital.</w:t>
      </w:r>
    </w:p>
    <w:p w14:paraId="06761C39" w14:textId="77777777" w:rsidR="00407009" w:rsidRDefault="00000000">
      <w:pPr>
        <w:numPr>
          <w:ilvl w:val="1"/>
          <w:numId w:val="11"/>
        </w:num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Objeto da contratação:</w:t>
      </w:r>
    </w:p>
    <w:tbl>
      <w:tblPr>
        <w:tblStyle w:val="af4"/>
        <w:tblW w:w="9498" w:type="dxa"/>
        <w:tblInd w:w="-5" w:type="dxa"/>
        <w:tblLayout w:type="fixed"/>
        <w:tblLook w:val="0400" w:firstRow="0" w:lastRow="0" w:firstColumn="0" w:lastColumn="0" w:noHBand="0" w:noVBand="1"/>
      </w:tblPr>
      <w:tblGrid>
        <w:gridCol w:w="707"/>
        <w:gridCol w:w="2554"/>
        <w:gridCol w:w="1277"/>
        <w:gridCol w:w="1134"/>
        <w:gridCol w:w="1558"/>
        <w:gridCol w:w="1279"/>
        <w:gridCol w:w="989"/>
      </w:tblGrid>
      <w:tr w:rsidR="00407009" w14:paraId="2D5F23B7" w14:textId="77777777">
        <w:tc>
          <w:tcPr>
            <w:tcW w:w="707" w:type="dxa"/>
            <w:tcBorders>
              <w:top w:val="single" w:sz="4" w:space="0" w:color="000000"/>
              <w:left w:val="single" w:sz="4" w:space="0" w:color="000000"/>
              <w:bottom w:val="single" w:sz="4" w:space="0" w:color="000000"/>
              <w:right w:val="single" w:sz="4" w:space="0" w:color="000000"/>
            </w:tcBorders>
          </w:tcPr>
          <w:p w14:paraId="7C257B90" w14:textId="77777777" w:rsidR="00407009" w:rsidRDefault="00000000">
            <w:pPr>
              <w:widowControl w:val="0"/>
              <w:spacing w:before="120" w:after="288" w:line="312" w:lineRule="auto"/>
              <w:jc w:val="center"/>
              <w:rPr>
                <w:b/>
                <w:bCs/>
                <w:color w:val="000000"/>
              </w:rPr>
            </w:pPr>
            <w:r>
              <w:rPr>
                <w:b/>
                <w:bCs/>
                <w:color w:val="000000"/>
              </w:rPr>
              <w:t>ITEM</w:t>
            </w:r>
          </w:p>
          <w:p w14:paraId="450240BE" w14:textId="77777777" w:rsidR="00407009" w:rsidRDefault="00407009">
            <w:pPr>
              <w:widowControl w:val="0"/>
              <w:spacing w:before="120" w:after="288" w:line="312" w:lineRule="auto"/>
              <w:jc w:val="center"/>
              <w:rPr>
                <w:b/>
                <w:bCs/>
                <w:color w:val="000000"/>
              </w:rPr>
            </w:pPr>
          </w:p>
        </w:tc>
        <w:tc>
          <w:tcPr>
            <w:tcW w:w="2554" w:type="dxa"/>
            <w:tcBorders>
              <w:top w:val="single" w:sz="4" w:space="0" w:color="000000"/>
              <w:left w:val="single" w:sz="4" w:space="0" w:color="000000"/>
              <w:bottom w:val="single" w:sz="4" w:space="0" w:color="000000"/>
              <w:right w:val="single" w:sz="4" w:space="0" w:color="000000"/>
            </w:tcBorders>
          </w:tcPr>
          <w:p w14:paraId="027A9590" w14:textId="77777777" w:rsidR="00407009" w:rsidRDefault="00000000">
            <w:pPr>
              <w:widowControl w:val="0"/>
              <w:spacing w:before="120" w:after="288" w:line="312" w:lineRule="auto"/>
              <w:jc w:val="center"/>
              <w:rPr>
                <w:color w:val="000000"/>
              </w:rPr>
            </w:pPr>
            <w:r>
              <w:rPr>
                <w:b/>
                <w:bCs/>
                <w:color w:val="000000"/>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33C8754D" w14:textId="77777777" w:rsidR="00407009" w:rsidRDefault="00000000">
            <w:pPr>
              <w:widowControl w:val="0"/>
              <w:spacing w:before="120" w:after="288" w:line="312" w:lineRule="auto"/>
              <w:jc w:val="center"/>
              <w:rPr>
                <w:color w:val="000000"/>
              </w:rPr>
            </w:pPr>
            <w:r>
              <w:rPr>
                <w:b/>
                <w:bCs/>
                <w:color w:val="000000"/>
              </w:rPr>
              <w:t>CATMAT</w:t>
            </w:r>
          </w:p>
        </w:tc>
        <w:tc>
          <w:tcPr>
            <w:tcW w:w="1134" w:type="dxa"/>
            <w:tcBorders>
              <w:top w:val="single" w:sz="4" w:space="0" w:color="000000"/>
              <w:left w:val="single" w:sz="4" w:space="0" w:color="000000"/>
              <w:bottom w:val="single" w:sz="4" w:space="0" w:color="000000"/>
              <w:right w:val="single" w:sz="4" w:space="0" w:color="000000"/>
            </w:tcBorders>
          </w:tcPr>
          <w:p w14:paraId="2C48E976" w14:textId="77777777" w:rsidR="00407009" w:rsidRDefault="00000000">
            <w:pPr>
              <w:widowControl w:val="0"/>
              <w:spacing w:before="120" w:after="288" w:line="312" w:lineRule="auto"/>
              <w:jc w:val="center"/>
              <w:rPr>
                <w:color w:val="000000"/>
              </w:rPr>
            </w:pPr>
            <w:r>
              <w:rPr>
                <w:b/>
                <w:bCs/>
                <w:color w:val="000000"/>
              </w:rPr>
              <w:t>UNIDADE DE MEDIDA</w:t>
            </w:r>
          </w:p>
        </w:tc>
        <w:tc>
          <w:tcPr>
            <w:tcW w:w="1558" w:type="dxa"/>
            <w:tcBorders>
              <w:top w:val="single" w:sz="4" w:space="0" w:color="000000"/>
              <w:left w:val="single" w:sz="4" w:space="0" w:color="000000"/>
              <w:bottom w:val="single" w:sz="4" w:space="0" w:color="000000"/>
              <w:right w:val="single" w:sz="4" w:space="0" w:color="000000"/>
            </w:tcBorders>
          </w:tcPr>
          <w:p w14:paraId="04312039" w14:textId="77777777" w:rsidR="00407009" w:rsidRDefault="00000000">
            <w:pPr>
              <w:widowControl w:val="0"/>
              <w:spacing w:before="120" w:after="288" w:line="312" w:lineRule="auto"/>
              <w:jc w:val="center"/>
              <w:rPr>
                <w:b/>
                <w:bCs/>
              </w:rPr>
            </w:pPr>
            <w:r>
              <w:rPr>
                <w:b/>
                <w:bCs/>
              </w:rPr>
              <w:t>QUANTIDADE</w:t>
            </w:r>
          </w:p>
        </w:tc>
        <w:tc>
          <w:tcPr>
            <w:tcW w:w="1279" w:type="dxa"/>
            <w:tcBorders>
              <w:top w:val="single" w:sz="4" w:space="0" w:color="000000"/>
              <w:left w:val="single" w:sz="4" w:space="0" w:color="000000"/>
              <w:bottom w:val="single" w:sz="4" w:space="0" w:color="000000"/>
              <w:right w:val="single" w:sz="4" w:space="0" w:color="000000"/>
            </w:tcBorders>
          </w:tcPr>
          <w:p w14:paraId="6BADE1B4" w14:textId="77777777" w:rsidR="00407009" w:rsidRDefault="00000000">
            <w:pPr>
              <w:widowControl w:val="0"/>
              <w:spacing w:before="120" w:after="288" w:line="312" w:lineRule="auto"/>
              <w:jc w:val="center"/>
              <w:rPr>
                <w:b/>
                <w:bCs/>
              </w:rPr>
            </w:pPr>
            <w:r>
              <w:rPr>
                <w:b/>
                <w:bCs/>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08B89CAC" w14:textId="77777777" w:rsidR="00407009" w:rsidRDefault="00000000">
            <w:pPr>
              <w:widowControl w:val="0"/>
              <w:spacing w:before="120" w:after="288" w:line="312" w:lineRule="auto"/>
              <w:jc w:val="center"/>
              <w:rPr>
                <w:b/>
                <w:bCs/>
              </w:rPr>
            </w:pPr>
            <w:r>
              <w:rPr>
                <w:b/>
                <w:bCs/>
              </w:rPr>
              <w:t>VALOR TOTAL</w:t>
            </w:r>
          </w:p>
        </w:tc>
      </w:tr>
      <w:tr w:rsidR="00407009" w14:paraId="521F004B" w14:textId="77777777">
        <w:tc>
          <w:tcPr>
            <w:tcW w:w="707" w:type="dxa"/>
            <w:tcBorders>
              <w:top w:val="single" w:sz="4" w:space="0" w:color="000000"/>
              <w:left w:val="single" w:sz="4" w:space="0" w:color="000000"/>
              <w:bottom w:val="single" w:sz="4" w:space="0" w:color="000000"/>
              <w:right w:val="single" w:sz="4" w:space="0" w:color="000000"/>
            </w:tcBorders>
          </w:tcPr>
          <w:p w14:paraId="35E9E3EB" w14:textId="77777777" w:rsidR="00407009" w:rsidRDefault="00000000">
            <w:pPr>
              <w:widowControl w:val="0"/>
              <w:spacing w:before="120" w:after="288" w:line="312" w:lineRule="auto"/>
              <w:jc w:val="center"/>
              <w:rPr>
                <w:b/>
                <w:bCs/>
                <w:color w:val="000000"/>
              </w:rPr>
            </w:pPr>
            <w:r>
              <w:rPr>
                <w:b/>
                <w:bCs/>
                <w:color w:val="000000"/>
              </w:rPr>
              <w:t>1</w:t>
            </w:r>
          </w:p>
        </w:tc>
        <w:tc>
          <w:tcPr>
            <w:tcW w:w="2554" w:type="dxa"/>
            <w:tcBorders>
              <w:top w:val="single" w:sz="4" w:space="0" w:color="000000"/>
              <w:left w:val="single" w:sz="4" w:space="0" w:color="000000"/>
              <w:bottom w:val="single" w:sz="4" w:space="0" w:color="000000"/>
              <w:right w:val="single" w:sz="4" w:space="0" w:color="000000"/>
            </w:tcBorders>
          </w:tcPr>
          <w:p w14:paraId="68D9904D" w14:textId="77777777" w:rsidR="00407009" w:rsidRDefault="00407009">
            <w:pPr>
              <w:widowControl w:val="0"/>
              <w:spacing w:before="120" w:after="288" w:line="312" w:lineRule="auto"/>
              <w:rPr>
                <w:color w:val="000000"/>
              </w:rPr>
            </w:pPr>
          </w:p>
        </w:tc>
        <w:tc>
          <w:tcPr>
            <w:tcW w:w="1277" w:type="dxa"/>
            <w:tcBorders>
              <w:top w:val="single" w:sz="4" w:space="0" w:color="000000"/>
              <w:left w:val="single" w:sz="4" w:space="0" w:color="000000"/>
              <w:bottom w:val="single" w:sz="4" w:space="0" w:color="000000"/>
              <w:right w:val="single" w:sz="4" w:space="0" w:color="000000"/>
            </w:tcBorders>
          </w:tcPr>
          <w:p w14:paraId="7D81C352" w14:textId="77777777" w:rsidR="00407009" w:rsidRDefault="00407009">
            <w:pPr>
              <w:widowControl w:val="0"/>
              <w:spacing w:before="120" w:after="288" w:line="312" w:lineRule="auto"/>
              <w:rPr>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762F0976" w14:textId="77777777" w:rsidR="00407009" w:rsidRDefault="00407009">
            <w:pPr>
              <w:widowControl w:val="0"/>
              <w:spacing w:before="120" w:after="288" w:line="312" w:lineRule="auto"/>
              <w:rPr>
                <w:color w:val="000000"/>
              </w:rPr>
            </w:pPr>
          </w:p>
        </w:tc>
        <w:tc>
          <w:tcPr>
            <w:tcW w:w="1558" w:type="dxa"/>
            <w:tcBorders>
              <w:top w:val="single" w:sz="4" w:space="0" w:color="000000"/>
              <w:left w:val="single" w:sz="4" w:space="0" w:color="000000"/>
              <w:bottom w:val="single" w:sz="4" w:space="0" w:color="000000"/>
              <w:right w:val="single" w:sz="4" w:space="0" w:color="000000"/>
            </w:tcBorders>
          </w:tcPr>
          <w:p w14:paraId="058AEAA2" w14:textId="77777777" w:rsidR="00407009" w:rsidRDefault="00407009">
            <w:pPr>
              <w:widowControl w:val="0"/>
              <w:spacing w:before="120" w:after="288" w:line="312" w:lineRule="auto"/>
              <w:rPr>
                <w:color w:val="000000"/>
              </w:rPr>
            </w:pPr>
          </w:p>
        </w:tc>
        <w:tc>
          <w:tcPr>
            <w:tcW w:w="1279" w:type="dxa"/>
            <w:tcBorders>
              <w:top w:val="single" w:sz="4" w:space="0" w:color="000000"/>
              <w:left w:val="single" w:sz="4" w:space="0" w:color="000000"/>
              <w:bottom w:val="single" w:sz="4" w:space="0" w:color="000000"/>
              <w:right w:val="single" w:sz="4" w:space="0" w:color="000000"/>
            </w:tcBorders>
          </w:tcPr>
          <w:p w14:paraId="3D57F895" w14:textId="77777777" w:rsidR="00407009" w:rsidRDefault="00407009">
            <w:pPr>
              <w:widowControl w:val="0"/>
              <w:spacing w:before="120" w:after="288" w:line="312" w:lineRule="auto"/>
              <w:rPr>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72E83AA7" w14:textId="77777777" w:rsidR="00407009" w:rsidRDefault="00407009">
            <w:pPr>
              <w:widowControl w:val="0"/>
              <w:spacing w:before="120" w:after="288" w:line="312" w:lineRule="auto"/>
              <w:rPr>
                <w:color w:val="000000"/>
              </w:rPr>
            </w:pPr>
          </w:p>
        </w:tc>
      </w:tr>
      <w:tr w:rsidR="00407009" w14:paraId="0B25CFE9" w14:textId="77777777">
        <w:tc>
          <w:tcPr>
            <w:tcW w:w="707" w:type="dxa"/>
            <w:tcBorders>
              <w:top w:val="single" w:sz="4" w:space="0" w:color="000000"/>
              <w:left w:val="single" w:sz="4" w:space="0" w:color="000000"/>
              <w:bottom w:val="single" w:sz="4" w:space="0" w:color="000000"/>
              <w:right w:val="single" w:sz="4" w:space="0" w:color="000000"/>
            </w:tcBorders>
          </w:tcPr>
          <w:p w14:paraId="0A5B1F2E" w14:textId="77777777" w:rsidR="00407009" w:rsidRDefault="00000000">
            <w:pPr>
              <w:widowControl w:val="0"/>
              <w:spacing w:before="120" w:after="288" w:line="312" w:lineRule="auto"/>
              <w:jc w:val="center"/>
              <w:rPr>
                <w:b/>
                <w:bCs/>
                <w:color w:val="000000"/>
              </w:rPr>
            </w:pPr>
            <w:r>
              <w:rPr>
                <w:b/>
                <w:bCs/>
                <w:color w:val="000000"/>
              </w:rPr>
              <w:t>2</w:t>
            </w:r>
          </w:p>
        </w:tc>
        <w:tc>
          <w:tcPr>
            <w:tcW w:w="2554" w:type="dxa"/>
            <w:tcBorders>
              <w:top w:val="single" w:sz="4" w:space="0" w:color="000000"/>
              <w:left w:val="single" w:sz="4" w:space="0" w:color="000000"/>
              <w:bottom w:val="single" w:sz="4" w:space="0" w:color="000000"/>
              <w:right w:val="single" w:sz="4" w:space="0" w:color="000000"/>
            </w:tcBorders>
          </w:tcPr>
          <w:p w14:paraId="64C7EAB2" w14:textId="77777777" w:rsidR="00407009" w:rsidRDefault="00407009">
            <w:pPr>
              <w:widowControl w:val="0"/>
              <w:spacing w:before="120" w:after="288" w:line="312" w:lineRule="auto"/>
              <w:rPr>
                <w:color w:val="000000"/>
              </w:rPr>
            </w:pPr>
          </w:p>
        </w:tc>
        <w:tc>
          <w:tcPr>
            <w:tcW w:w="1277" w:type="dxa"/>
            <w:tcBorders>
              <w:top w:val="single" w:sz="4" w:space="0" w:color="000000"/>
              <w:left w:val="single" w:sz="4" w:space="0" w:color="000000"/>
              <w:bottom w:val="single" w:sz="4" w:space="0" w:color="000000"/>
              <w:right w:val="single" w:sz="4" w:space="0" w:color="000000"/>
            </w:tcBorders>
          </w:tcPr>
          <w:p w14:paraId="64839756" w14:textId="77777777" w:rsidR="00407009" w:rsidRDefault="00407009">
            <w:pPr>
              <w:widowControl w:val="0"/>
              <w:spacing w:before="120" w:after="288" w:line="312" w:lineRule="auto"/>
              <w:rPr>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2751B4EE" w14:textId="77777777" w:rsidR="00407009" w:rsidRDefault="00407009">
            <w:pPr>
              <w:widowControl w:val="0"/>
              <w:spacing w:before="120" w:after="288" w:line="312" w:lineRule="auto"/>
              <w:rPr>
                <w:color w:val="000000"/>
              </w:rPr>
            </w:pPr>
          </w:p>
        </w:tc>
        <w:tc>
          <w:tcPr>
            <w:tcW w:w="1558" w:type="dxa"/>
            <w:tcBorders>
              <w:top w:val="single" w:sz="4" w:space="0" w:color="000000"/>
              <w:left w:val="single" w:sz="4" w:space="0" w:color="000000"/>
              <w:bottom w:val="single" w:sz="4" w:space="0" w:color="000000"/>
              <w:right w:val="single" w:sz="4" w:space="0" w:color="000000"/>
            </w:tcBorders>
          </w:tcPr>
          <w:p w14:paraId="0496DD84" w14:textId="77777777" w:rsidR="00407009" w:rsidRDefault="00407009">
            <w:pPr>
              <w:widowControl w:val="0"/>
              <w:spacing w:before="120" w:after="288" w:line="312" w:lineRule="auto"/>
              <w:rPr>
                <w:color w:val="000000"/>
              </w:rPr>
            </w:pPr>
          </w:p>
        </w:tc>
        <w:tc>
          <w:tcPr>
            <w:tcW w:w="1279" w:type="dxa"/>
            <w:tcBorders>
              <w:top w:val="single" w:sz="4" w:space="0" w:color="000000"/>
              <w:left w:val="single" w:sz="4" w:space="0" w:color="000000"/>
              <w:bottom w:val="single" w:sz="4" w:space="0" w:color="000000"/>
              <w:right w:val="single" w:sz="4" w:space="0" w:color="000000"/>
            </w:tcBorders>
          </w:tcPr>
          <w:p w14:paraId="2ABCB645" w14:textId="77777777" w:rsidR="00407009" w:rsidRDefault="00407009">
            <w:pPr>
              <w:widowControl w:val="0"/>
              <w:spacing w:before="120" w:after="288" w:line="312" w:lineRule="auto"/>
              <w:rPr>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24A93A14" w14:textId="77777777" w:rsidR="00407009" w:rsidRDefault="00407009">
            <w:pPr>
              <w:widowControl w:val="0"/>
              <w:spacing w:before="120" w:after="288" w:line="312" w:lineRule="auto"/>
              <w:rPr>
                <w:color w:val="000000"/>
              </w:rPr>
            </w:pPr>
          </w:p>
        </w:tc>
      </w:tr>
      <w:tr w:rsidR="00407009" w14:paraId="64EB8FCB" w14:textId="77777777">
        <w:tc>
          <w:tcPr>
            <w:tcW w:w="707" w:type="dxa"/>
            <w:tcBorders>
              <w:top w:val="single" w:sz="4" w:space="0" w:color="000000"/>
              <w:left w:val="single" w:sz="4" w:space="0" w:color="000000"/>
              <w:bottom w:val="single" w:sz="4" w:space="0" w:color="000000"/>
              <w:right w:val="single" w:sz="4" w:space="0" w:color="000000"/>
            </w:tcBorders>
          </w:tcPr>
          <w:p w14:paraId="44A5CB6D" w14:textId="77777777" w:rsidR="00407009" w:rsidRDefault="00000000">
            <w:pPr>
              <w:widowControl w:val="0"/>
              <w:spacing w:before="120" w:after="288" w:line="312" w:lineRule="auto"/>
              <w:jc w:val="center"/>
              <w:rPr>
                <w:b/>
                <w:bCs/>
                <w:color w:val="000000"/>
              </w:rPr>
            </w:pPr>
            <w:r>
              <w:rPr>
                <w:b/>
                <w:bCs/>
                <w:color w:val="000000"/>
              </w:rPr>
              <w:t>3</w:t>
            </w:r>
          </w:p>
        </w:tc>
        <w:tc>
          <w:tcPr>
            <w:tcW w:w="2554" w:type="dxa"/>
            <w:tcBorders>
              <w:top w:val="single" w:sz="4" w:space="0" w:color="000000"/>
              <w:left w:val="single" w:sz="4" w:space="0" w:color="000000"/>
              <w:bottom w:val="single" w:sz="4" w:space="0" w:color="000000"/>
              <w:right w:val="single" w:sz="4" w:space="0" w:color="000000"/>
            </w:tcBorders>
          </w:tcPr>
          <w:p w14:paraId="2779EDC4" w14:textId="77777777" w:rsidR="00407009" w:rsidRDefault="00407009">
            <w:pPr>
              <w:widowControl w:val="0"/>
              <w:spacing w:before="120" w:after="288" w:line="312" w:lineRule="auto"/>
              <w:rPr>
                <w:color w:val="000000"/>
              </w:rPr>
            </w:pPr>
          </w:p>
        </w:tc>
        <w:tc>
          <w:tcPr>
            <w:tcW w:w="1277" w:type="dxa"/>
            <w:tcBorders>
              <w:top w:val="single" w:sz="4" w:space="0" w:color="000000"/>
              <w:left w:val="single" w:sz="4" w:space="0" w:color="000000"/>
              <w:bottom w:val="single" w:sz="4" w:space="0" w:color="000000"/>
              <w:right w:val="single" w:sz="4" w:space="0" w:color="000000"/>
            </w:tcBorders>
          </w:tcPr>
          <w:p w14:paraId="0BA33187" w14:textId="77777777" w:rsidR="00407009" w:rsidRDefault="00407009">
            <w:pPr>
              <w:widowControl w:val="0"/>
              <w:spacing w:before="120" w:after="288" w:line="312" w:lineRule="auto"/>
              <w:rPr>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0EAFB9CC" w14:textId="77777777" w:rsidR="00407009" w:rsidRDefault="00407009">
            <w:pPr>
              <w:widowControl w:val="0"/>
              <w:spacing w:before="120" w:after="288" w:line="312" w:lineRule="auto"/>
              <w:rPr>
                <w:color w:val="000000"/>
              </w:rPr>
            </w:pPr>
          </w:p>
        </w:tc>
        <w:tc>
          <w:tcPr>
            <w:tcW w:w="1558" w:type="dxa"/>
            <w:tcBorders>
              <w:top w:val="single" w:sz="4" w:space="0" w:color="000000"/>
              <w:left w:val="single" w:sz="4" w:space="0" w:color="000000"/>
              <w:bottom w:val="single" w:sz="4" w:space="0" w:color="000000"/>
              <w:right w:val="single" w:sz="4" w:space="0" w:color="000000"/>
            </w:tcBorders>
          </w:tcPr>
          <w:p w14:paraId="067791F7" w14:textId="77777777" w:rsidR="00407009" w:rsidRDefault="00407009">
            <w:pPr>
              <w:widowControl w:val="0"/>
              <w:spacing w:before="120" w:after="288" w:line="312" w:lineRule="auto"/>
              <w:rPr>
                <w:color w:val="000000"/>
              </w:rPr>
            </w:pPr>
          </w:p>
        </w:tc>
        <w:tc>
          <w:tcPr>
            <w:tcW w:w="1279" w:type="dxa"/>
            <w:tcBorders>
              <w:top w:val="single" w:sz="4" w:space="0" w:color="000000"/>
              <w:left w:val="single" w:sz="4" w:space="0" w:color="000000"/>
              <w:bottom w:val="single" w:sz="4" w:space="0" w:color="000000"/>
              <w:right w:val="single" w:sz="4" w:space="0" w:color="000000"/>
            </w:tcBorders>
          </w:tcPr>
          <w:p w14:paraId="342775D1" w14:textId="77777777" w:rsidR="00407009" w:rsidRDefault="00407009">
            <w:pPr>
              <w:widowControl w:val="0"/>
              <w:spacing w:before="120" w:after="288" w:line="312" w:lineRule="auto"/>
              <w:rPr>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68DF9888" w14:textId="77777777" w:rsidR="00407009" w:rsidRDefault="00407009">
            <w:pPr>
              <w:widowControl w:val="0"/>
              <w:spacing w:before="120" w:after="288" w:line="312" w:lineRule="auto"/>
              <w:rPr>
                <w:color w:val="000000"/>
              </w:rPr>
            </w:pPr>
          </w:p>
        </w:tc>
      </w:tr>
      <w:tr w:rsidR="00407009" w14:paraId="03846806" w14:textId="77777777">
        <w:tc>
          <w:tcPr>
            <w:tcW w:w="707" w:type="dxa"/>
            <w:tcBorders>
              <w:top w:val="single" w:sz="4" w:space="0" w:color="000000"/>
              <w:left w:val="single" w:sz="4" w:space="0" w:color="000000"/>
              <w:bottom w:val="single" w:sz="4" w:space="0" w:color="000000"/>
              <w:right w:val="single" w:sz="4" w:space="0" w:color="000000"/>
            </w:tcBorders>
          </w:tcPr>
          <w:p w14:paraId="3BF83849" w14:textId="77777777" w:rsidR="00407009" w:rsidRDefault="00000000">
            <w:pPr>
              <w:widowControl w:val="0"/>
              <w:spacing w:before="120" w:after="288" w:line="312" w:lineRule="auto"/>
              <w:jc w:val="center"/>
              <w:rPr>
                <w:b/>
                <w:bCs/>
                <w:color w:val="000000"/>
              </w:rPr>
            </w:pPr>
            <w:r>
              <w:rPr>
                <w:b/>
                <w:bCs/>
                <w:color w:val="000000"/>
              </w:rPr>
              <w:t>4</w:t>
            </w:r>
          </w:p>
        </w:tc>
        <w:tc>
          <w:tcPr>
            <w:tcW w:w="2554" w:type="dxa"/>
            <w:tcBorders>
              <w:top w:val="single" w:sz="4" w:space="0" w:color="000000"/>
              <w:left w:val="single" w:sz="4" w:space="0" w:color="000000"/>
              <w:bottom w:val="single" w:sz="4" w:space="0" w:color="000000"/>
              <w:right w:val="single" w:sz="4" w:space="0" w:color="000000"/>
            </w:tcBorders>
          </w:tcPr>
          <w:p w14:paraId="3C9424AF" w14:textId="77777777" w:rsidR="00407009" w:rsidRDefault="00407009">
            <w:pPr>
              <w:widowControl w:val="0"/>
              <w:spacing w:before="120" w:after="288" w:line="312" w:lineRule="auto"/>
              <w:rPr>
                <w:color w:val="000000"/>
              </w:rPr>
            </w:pPr>
          </w:p>
        </w:tc>
        <w:tc>
          <w:tcPr>
            <w:tcW w:w="1277" w:type="dxa"/>
            <w:tcBorders>
              <w:top w:val="single" w:sz="4" w:space="0" w:color="000000"/>
              <w:left w:val="single" w:sz="4" w:space="0" w:color="000000"/>
              <w:bottom w:val="single" w:sz="4" w:space="0" w:color="000000"/>
              <w:right w:val="single" w:sz="4" w:space="0" w:color="000000"/>
            </w:tcBorders>
          </w:tcPr>
          <w:p w14:paraId="1A501116" w14:textId="77777777" w:rsidR="00407009" w:rsidRDefault="00407009">
            <w:pPr>
              <w:widowControl w:val="0"/>
              <w:spacing w:before="120" w:after="288" w:line="312" w:lineRule="auto"/>
              <w:rPr>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0CAC45B9" w14:textId="77777777" w:rsidR="00407009" w:rsidRDefault="00407009">
            <w:pPr>
              <w:widowControl w:val="0"/>
              <w:spacing w:before="120" w:after="288" w:line="312" w:lineRule="auto"/>
              <w:rPr>
                <w:color w:val="000000"/>
              </w:rPr>
            </w:pPr>
          </w:p>
        </w:tc>
        <w:tc>
          <w:tcPr>
            <w:tcW w:w="1558" w:type="dxa"/>
            <w:tcBorders>
              <w:top w:val="single" w:sz="4" w:space="0" w:color="000000"/>
              <w:left w:val="single" w:sz="4" w:space="0" w:color="000000"/>
              <w:bottom w:val="single" w:sz="4" w:space="0" w:color="000000"/>
              <w:right w:val="single" w:sz="4" w:space="0" w:color="000000"/>
            </w:tcBorders>
          </w:tcPr>
          <w:p w14:paraId="47FB7DAF" w14:textId="77777777" w:rsidR="00407009" w:rsidRDefault="00407009">
            <w:pPr>
              <w:widowControl w:val="0"/>
              <w:spacing w:before="120" w:after="288" w:line="312" w:lineRule="auto"/>
              <w:rPr>
                <w:color w:val="000000"/>
              </w:rPr>
            </w:pPr>
          </w:p>
        </w:tc>
        <w:tc>
          <w:tcPr>
            <w:tcW w:w="1279" w:type="dxa"/>
            <w:tcBorders>
              <w:top w:val="single" w:sz="4" w:space="0" w:color="000000"/>
              <w:left w:val="single" w:sz="4" w:space="0" w:color="000000"/>
              <w:bottom w:val="single" w:sz="4" w:space="0" w:color="000000"/>
              <w:right w:val="single" w:sz="4" w:space="0" w:color="000000"/>
            </w:tcBorders>
          </w:tcPr>
          <w:p w14:paraId="16117440" w14:textId="77777777" w:rsidR="00407009" w:rsidRDefault="00407009">
            <w:pPr>
              <w:widowControl w:val="0"/>
              <w:spacing w:before="120" w:after="288" w:line="312" w:lineRule="auto"/>
              <w:rPr>
                <w:color w:val="000000"/>
              </w:rPr>
            </w:pPr>
          </w:p>
        </w:tc>
        <w:tc>
          <w:tcPr>
            <w:tcW w:w="989" w:type="dxa"/>
            <w:tcBorders>
              <w:top w:val="single" w:sz="4" w:space="0" w:color="000000"/>
              <w:left w:val="single" w:sz="4" w:space="0" w:color="000000"/>
              <w:bottom w:val="single" w:sz="4" w:space="0" w:color="000000"/>
              <w:right w:val="single" w:sz="4" w:space="0" w:color="000000"/>
            </w:tcBorders>
          </w:tcPr>
          <w:p w14:paraId="36A56E47" w14:textId="77777777" w:rsidR="00407009" w:rsidRDefault="00407009">
            <w:pPr>
              <w:widowControl w:val="0"/>
              <w:spacing w:before="120" w:after="288" w:line="312" w:lineRule="auto"/>
              <w:rPr>
                <w:color w:val="000000"/>
              </w:rPr>
            </w:pPr>
          </w:p>
        </w:tc>
      </w:tr>
    </w:tbl>
    <w:p w14:paraId="09975393" w14:textId="77777777" w:rsidR="00407009" w:rsidRDefault="00407009">
      <w:pPr>
        <w:tabs>
          <w:tab w:val="left" w:pos="567"/>
        </w:tabs>
        <w:spacing w:line="360" w:lineRule="auto"/>
        <w:jc w:val="both"/>
        <w:rPr>
          <w:rFonts w:ascii="Times New Roman" w:eastAsia="Times New Roman" w:hAnsi="Times New Roman" w:cs="Times New Roman"/>
          <w:color w:val="000000"/>
          <w:sz w:val="24"/>
          <w:szCs w:val="24"/>
        </w:rPr>
      </w:pPr>
    </w:p>
    <w:p w14:paraId="0D6DD405" w14:textId="77777777" w:rsidR="00407009" w:rsidRDefault="00000000">
      <w:pPr>
        <w:numPr>
          <w:ilvl w:val="1"/>
          <w:numId w:val="11"/>
        </w:numPr>
        <w:tabs>
          <w:tab w:val="left" w:pos="567"/>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Este Termo de Contrato vincula-se ao Edital do Pregão, identificada no preâmbulo, ao Termo de Referência, à proposta vencedora e eventuais anexos dos documentos supracitados, independentemente de transcrição.</w:t>
      </w:r>
    </w:p>
    <w:p w14:paraId="496B7E56" w14:textId="77777777" w:rsidR="00407009" w:rsidRDefault="00407009">
      <w:pPr>
        <w:tabs>
          <w:tab w:val="left" w:pos="567"/>
        </w:tabs>
        <w:spacing w:line="360" w:lineRule="auto"/>
        <w:jc w:val="both"/>
        <w:rPr>
          <w:rFonts w:ascii="Times New Roman" w:eastAsia="Times New Roman" w:hAnsi="Times New Roman" w:cs="Times New Roman"/>
          <w:color w:val="000000"/>
          <w:sz w:val="24"/>
          <w:szCs w:val="24"/>
        </w:rPr>
      </w:pPr>
    </w:p>
    <w:p w14:paraId="3BDA7DC3" w14:textId="77777777" w:rsidR="00407009"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SEGUNDA – VIGÊNCIA E PRORROGAÇÃO</w:t>
      </w:r>
    </w:p>
    <w:p w14:paraId="4817777C" w14:textId="77777777" w:rsidR="00407009" w:rsidRDefault="00000000">
      <w:pPr>
        <w:numPr>
          <w:ilvl w:val="2"/>
          <w:numId w:val="11"/>
        </w:numP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prazo de vigência da contratação é de </w:t>
      </w:r>
      <w:r>
        <w:rPr>
          <w:rFonts w:ascii="Times New Roman" w:eastAsia="Times New Roman" w:hAnsi="Times New Roman" w:cs="Times New Roman"/>
          <w:color w:val="EE0000"/>
          <w:sz w:val="24"/>
          <w:szCs w:val="24"/>
        </w:rPr>
        <w:t>24 (vinte e quatro) meses</w:t>
      </w:r>
      <w:r>
        <w:rPr>
          <w:rFonts w:ascii="Times New Roman" w:eastAsia="Times New Roman" w:hAnsi="Times New Roman" w:cs="Times New Roman"/>
          <w:color w:val="000000"/>
          <w:sz w:val="24"/>
          <w:szCs w:val="24"/>
        </w:rPr>
        <w:t xml:space="preserve"> contados da data de assinatura do presente contrato, desde que posterior à data da publicação do extrato deste instrumento no PNCP, valendo a data de publicação do extrato como termo de vigência, caso posterior à data convencionada nesta cláusula.</w:t>
      </w:r>
    </w:p>
    <w:p w14:paraId="474F9B20" w14:textId="77777777" w:rsidR="00407009" w:rsidRDefault="00000000">
      <w:pPr>
        <w:numPr>
          <w:ilvl w:val="2"/>
          <w:numId w:val="11"/>
        </w:numP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prazo de vigência do contrato poderá ser prorrogado </w:t>
      </w:r>
      <w:r>
        <w:rPr>
          <w:rFonts w:ascii="Times New Roman" w:eastAsia="Times New Roman" w:hAnsi="Times New Roman" w:cs="Times New Roman"/>
          <w:sz w:val="24"/>
          <w:szCs w:val="24"/>
        </w:rPr>
        <w:t xml:space="preserve">por </w:t>
      </w:r>
      <w:r>
        <w:rPr>
          <w:rFonts w:ascii="Times New Roman" w:eastAsia="Times New Roman" w:hAnsi="Times New Roman" w:cs="Times New Roman"/>
          <w:color w:val="EE0000"/>
          <w:sz w:val="24"/>
          <w:szCs w:val="24"/>
        </w:rPr>
        <w:t xml:space="preserve">24 (vinte e quatro) meses </w:t>
      </w:r>
      <w:r>
        <w:rPr>
          <w:rFonts w:ascii="Times New Roman" w:eastAsia="Times New Roman" w:hAnsi="Times New Roman" w:cs="Times New Roman"/>
          <w:sz w:val="24"/>
          <w:szCs w:val="24"/>
        </w:rPr>
        <w:t xml:space="preserve">e poderá ser prorrogado por </w:t>
      </w:r>
      <w:r>
        <w:rPr>
          <w:rFonts w:ascii="Times New Roman" w:eastAsia="Times New Roman" w:hAnsi="Times New Roman" w:cs="Times New Roman"/>
          <w:color w:val="FF0000"/>
          <w:sz w:val="24"/>
          <w:szCs w:val="24"/>
        </w:rPr>
        <w:t>até 10 (dez) anos</w:t>
      </w:r>
      <w:r>
        <w:rPr>
          <w:rFonts w:ascii="Times New Roman" w:eastAsia="Times New Roman" w:hAnsi="Times New Roman" w:cs="Times New Roman"/>
          <w:sz w:val="24"/>
          <w:szCs w:val="24"/>
        </w:rPr>
        <w:t xml:space="preserve">, na forma do </w:t>
      </w:r>
      <w:r>
        <w:rPr>
          <w:rFonts w:ascii="Times New Roman" w:eastAsia="Times New Roman" w:hAnsi="Times New Roman" w:cs="Times New Roman"/>
          <w:color w:val="EE0000"/>
          <w:sz w:val="24"/>
          <w:szCs w:val="24"/>
        </w:rPr>
        <w:t xml:space="preserve">artigo 105, 106 e 107 </w:t>
      </w:r>
      <w:r>
        <w:rPr>
          <w:rFonts w:ascii="Times New Roman" w:eastAsia="Times New Roman" w:hAnsi="Times New Roman" w:cs="Times New Roman"/>
          <w:sz w:val="24"/>
          <w:szCs w:val="24"/>
        </w:rPr>
        <w:t>da Lei nº 14.133/2021.</w:t>
      </w:r>
    </w:p>
    <w:p w14:paraId="53FEF49D" w14:textId="77777777" w:rsidR="00407009" w:rsidRDefault="00000000">
      <w:pPr>
        <w:numPr>
          <w:ilvl w:val="2"/>
          <w:numId w:val="11"/>
        </w:numP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prorrogação de que trata este item é condicionada ao ateste, pela autoridade competente, de que as condições e os preços permanecem vantajosos para a Administração, permitida a negociação com o contratado, bem como à inexistência de registros no Cadastro Informativo de créditos não quitados do setor público federal (Cadin), desde que:</w:t>
      </w:r>
    </w:p>
    <w:p w14:paraId="76FB0AA4" w14:textId="77777777" w:rsidR="00407009" w:rsidRDefault="00000000">
      <w:pPr>
        <w:numPr>
          <w:ilvl w:val="3"/>
          <w:numId w:val="11"/>
        </w:numP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serviços tenham sido prestados regularmente;</w:t>
      </w:r>
    </w:p>
    <w:p w14:paraId="17D42D17" w14:textId="77777777" w:rsidR="00407009" w:rsidRDefault="00000000">
      <w:pPr>
        <w:numPr>
          <w:ilvl w:val="3"/>
          <w:numId w:val="11"/>
        </w:numP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Esteja formalmente demonstrado que a forma de prestação dos serviços tem natureza continuada;  </w:t>
      </w:r>
    </w:p>
    <w:p w14:paraId="41D29A68" w14:textId="77777777" w:rsidR="00407009" w:rsidRDefault="00000000">
      <w:pPr>
        <w:numPr>
          <w:ilvl w:val="2"/>
          <w:numId w:val="11"/>
        </w:numPr>
        <w:spacing w:before="120" w:after="120" w:line="360" w:lineRule="auto"/>
        <w:ind w:left="1135" w:hanging="50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Seja juntado relatório que discorra sobre a execução do contrato, com informações de que os serviços tenham sido prestados regularmente;  </w:t>
      </w:r>
    </w:p>
    <w:p w14:paraId="477A5375" w14:textId="77777777" w:rsidR="00407009" w:rsidRDefault="00000000">
      <w:pPr>
        <w:numPr>
          <w:ilvl w:val="2"/>
          <w:numId w:val="11"/>
        </w:numPr>
        <w:spacing w:before="120" w:after="120" w:line="360" w:lineRule="auto"/>
        <w:ind w:left="1135" w:hanging="50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Seja juntada justificativa e motivo, por escrito, de que a Administração mantém interesse na realização do serviço;  </w:t>
      </w:r>
    </w:p>
    <w:p w14:paraId="3AE09AE0" w14:textId="77777777" w:rsidR="00407009" w:rsidRDefault="00000000">
      <w:pPr>
        <w:numPr>
          <w:ilvl w:val="2"/>
          <w:numId w:val="11"/>
        </w:numPr>
        <w:spacing w:before="120" w:after="120" w:line="360" w:lineRule="auto"/>
        <w:ind w:left="1135" w:hanging="50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Seja comprovado que o valor do contrato permanece economicamente vantajoso para a Administração;  </w:t>
      </w:r>
    </w:p>
    <w:p w14:paraId="55A26861" w14:textId="77777777" w:rsidR="00407009" w:rsidRDefault="00000000">
      <w:pPr>
        <w:numPr>
          <w:ilvl w:val="2"/>
          <w:numId w:val="11"/>
        </w:numPr>
        <w:spacing w:before="120" w:after="120" w:line="360" w:lineRule="auto"/>
        <w:ind w:left="1135" w:hanging="50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Haja manifestação expressa da contratada informando o interesse na prorrogação; </w:t>
      </w:r>
    </w:p>
    <w:p w14:paraId="528B2562" w14:textId="77777777" w:rsidR="00407009" w:rsidRDefault="00000000">
      <w:pPr>
        <w:numPr>
          <w:ilvl w:val="2"/>
          <w:numId w:val="11"/>
        </w:numPr>
        <w:spacing w:before="120" w:after="120" w:line="360" w:lineRule="auto"/>
        <w:ind w:left="1135" w:hanging="50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Seja comprovado que o contratado mantém as condições iniciais de habilitação;</w:t>
      </w:r>
    </w:p>
    <w:p w14:paraId="3F25F9C4" w14:textId="77777777" w:rsidR="00407009" w:rsidRDefault="00000000">
      <w:pPr>
        <w:numPr>
          <w:ilvl w:val="2"/>
          <w:numId w:val="11"/>
        </w:numPr>
        <w:spacing w:before="120" w:after="120" w:line="360" w:lineRule="auto"/>
        <w:ind w:left="1135" w:hanging="50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tiver sido penalizado nas sanções de declaração de inidoneidade ou impedimento de licitar e contratar com poder público, observadas as abrangências de aplicação.</w:t>
      </w:r>
    </w:p>
    <w:p w14:paraId="2EEBB3E3" w14:textId="77777777" w:rsidR="00407009" w:rsidRDefault="00000000">
      <w:pPr>
        <w:numPr>
          <w:ilvl w:val="1"/>
          <w:numId w:val="11"/>
        </w:numP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CONTRATADA não tem direito subjetivo à prorrogação contratual.</w:t>
      </w:r>
    </w:p>
    <w:p w14:paraId="2360E395" w14:textId="77777777" w:rsidR="00407009" w:rsidRDefault="00000000">
      <w:pPr>
        <w:numPr>
          <w:ilvl w:val="1"/>
          <w:numId w:val="11"/>
        </w:numP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prorrogação de contrato deverá ser promovida mediante celebração de termo aditivo. </w:t>
      </w:r>
    </w:p>
    <w:p w14:paraId="570795FB" w14:textId="77777777" w:rsidR="00407009" w:rsidRDefault="00000000">
      <w:pPr>
        <w:numPr>
          <w:ilvl w:val="1"/>
          <w:numId w:val="11"/>
        </w:numP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Nas eventuais prorrogações dos contratos com dedicação exclusiva de mão de obra, os custos não renováveis já pagos ou amortizados no primeiro ano da contratação deverão ser reduzidos e/ou eliminados como condição para a renovação. </w:t>
      </w:r>
    </w:p>
    <w:p w14:paraId="5911A9A1" w14:textId="77777777" w:rsidR="00407009"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CLÁUSULA TERCEIRA – PREÇO, PAGAMENTO, REAJUSTE E DOTAÇÃO ORÇAMENTÁRIA </w:t>
      </w:r>
    </w:p>
    <w:p w14:paraId="15A57176" w14:textId="77777777" w:rsidR="00407009" w:rsidRDefault="00000000">
      <w:pPr>
        <w:numPr>
          <w:ilvl w:val="1"/>
          <w:numId w:val="11"/>
        </w:num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valor total da contratação é de R$ ...... (</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w:t>
      </w:r>
    </w:p>
    <w:p w14:paraId="06FE8BE5" w14:textId="77777777" w:rsidR="00407009" w:rsidRDefault="00000000">
      <w:pPr>
        <w:numPr>
          <w:ilvl w:val="1"/>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E49835D" w14:textId="77777777" w:rsidR="00407009" w:rsidRDefault="00000000">
      <w:pPr>
        <w:numPr>
          <w:ilvl w:val="1"/>
          <w:numId w:val="11"/>
        </w:num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valor acima é meramente estimativo, de forma que os pagamentos devidos à CONTRATADA dependerão dos quantitativos efetivamente prestados.</w:t>
      </w:r>
    </w:p>
    <w:p w14:paraId="15418950" w14:textId="77777777" w:rsidR="00407009" w:rsidRDefault="00000000">
      <w:pPr>
        <w:numPr>
          <w:ilvl w:val="1"/>
          <w:numId w:val="11"/>
        </w:num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prazo para pagamento à CONTRATADA e demais condições a ele referentes encontram-se definidos no Termo de Referência. </w:t>
      </w:r>
    </w:p>
    <w:p w14:paraId="0E3D85BA" w14:textId="77777777" w:rsidR="00407009" w:rsidRDefault="00000000">
      <w:pPr>
        <w:numPr>
          <w:ilvl w:val="1"/>
          <w:numId w:val="11"/>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Os preços inicialmente contratados são fixos e irreajustáveis no prazo de um ano contado da data do orçamento estimado, em __/__/__.</w:t>
      </w:r>
    </w:p>
    <w:p w14:paraId="693FE4DE" w14:textId="77777777" w:rsidR="00407009" w:rsidRDefault="00000000">
      <w:pPr>
        <w:numPr>
          <w:ilvl w:val="1"/>
          <w:numId w:val="11"/>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reajuste será realizado por apostilamento.</w:t>
      </w:r>
    </w:p>
    <w:p w14:paraId="533C109C" w14:textId="77777777" w:rsidR="00407009" w:rsidRDefault="00000000">
      <w:pPr>
        <w:numPr>
          <w:ilvl w:val="1"/>
          <w:numId w:val="11"/>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regras acerca do reajuste do valor contratual são as estabelecidas no Termo de Referência, anexo a este Contrato.</w:t>
      </w:r>
    </w:p>
    <w:p w14:paraId="42560318" w14:textId="77777777" w:rsidR="00407009" w:rsidRDefault="00000000">
      <w:pPr>
        <w:numPr>
          <w:ilvl w:val="1"/>
          <w:numId w:val="11"/>
        </w:num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despesas decorrentes desta contratação estão programadas em dotação orçamentária </w:t>
      </w:r>
      <w:r>
        <w:rPr>
          <w:rFonts w:ascii="Times New Roman" w:eastAsia="Times New Roman" w:hAnsi="Times New Roman" w:cs="Times New Roman"/>
          <w:color w:val="000000"/>
          <w:sz w:val="24"/>
          <w:szCs w:val="24"/>
        </w:rPr>
        <w:t>própria, prevista no orçamento da União, para o exercício de 2024, na classificação abaixo:</w:t>
      </w:r>
    </w:p>
    <w:p w14:paraId="78C18210" w14:textId="77777777" w:rsidR="00407009" w:rsidRDefault="00000000">
      <w:pPr>
        <w:tabs>
          <w:tab w:val="left" w:pos="567"/>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Natureza das Despesas: XXX</w:t>
      </w:r>
    </w:p>
    <w:p w14:paraId="32A7918E" w14:textId="77777777" w:rsidR="00407009" w:rsidRDefault="00000000">
      <w:pPr>
        <w:tabs>
          <w:tab w:val="left" w:pos="567"/>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Nota de empenho:</w:t>
      </w:r>
    </w:p>
    <w:p w14:paraId="6187C43C" w14:textId="77777777" w:rsidR="00407009" w:rsidRDefault="00000000">
      <w:pPr>
        <w:tabs>
          <w:tab w:val="left" w:pos="567"/>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Fonte de Recurso: Próprio</w:t>
      </w:r>
    </w:p>
    <w:p w14:paraId="30800EDC" w14:textId="77777777" w:rsidR="00407009" w:rsidRDefault="00000000">
      <w:pPr>
        <w:numPr>
          <w:ilvl w:val="1"/>
          <w:numId w:val="11"/>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dotação relativa aos exercícios financeiros subsequentes será indicada após aprovação da Lei Orçamentária respectiva e liberação dos créditos correspondentes, mediante apostilamento.</w:t>
      </w:r>
    </w:p>
    <w:p w14:paraId="3BC6D854" w14:textId="77777777" w:rsidR="00407009" w:rsidRDefault="00000000">
      <w:pPr>
        <w:keepNext/>
        <w:keepLines/>
        <w:numPr>
          <w:ilvl w:val="0"/>
          <w:numId w:val="11"/>
        </w:numPr>
        <w:tabs>
          <w:tab w:val="left" w:pos="555"/>
        </w:tabs>
        <w:spacing w:before="24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QUARTA – MODELOS DE EXECUÇÃO DOS SERVIÇOS, GESTÃO CONTRATUAL E FISCALIZAÇÃO</w:t>
      </w:r>
    </w:p>
    <w:p w14:paraId="5665D027" w14:textId="77777777" w:rsidR="00407009" w:rsidRDefault="00000000">
      <w:pPr>
        <w:numPr>
          <w:ilvl w:val="1"/>
          <w:numId w:val="11"/>
        </w:numPr>
        <w:tabs>
          <w:tab w:val="left" w:pos="567"/>
        </w:tabs>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O regime de execução contratual, dos serviços, os modelos de gestão e de execução, assim como os prazos e condições de conclusão, os materiais que serão empregados, a disciplina do recebimento do objeto e a fiscalização pela CONTRATANTE constam no Termo de Referência, anexo a este Contrato.</w:t>
      </w:r>
    </w:p>
    <w:p w14:paraId="1AEF4681" w14:textId="77777777" w:rsidR="00407009" w:rsidRDefault="00000000">
      <w:pPr>
        <w:numPr>
          <w:ilvl w:val="1"/>
          <w:numId w:val="11"/>
        </w:num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prazo de execução dos serviços será de ........... (indicar o período de tempo previsto para a conclusão dos serviços), com início ................................. (indicar a data ou evento para o início dos serviços).</w:t>
      </w:r>
    </w:p>
    <w:p w14:paraId="687090A3" w14:textId="77777777" w:rsidR="00407009" w:rsidRDefault="00407009">
      <w:pPr>
        <w:tabs>
          <w:tab w:val="left" w:pos="567"/>
        </w:tabs>
        <w:spacing w:line="360" w:lineRule="auto"/>
        <w:jc w:val="both"/>
        <w:rPr>
          <w:rFonts w:ascii="Times New Roman" w:eastAsia="Times New Roman" w:hAnsi="Times New Roman" w:cs="Times New Roman"/>
          <w:color w:val="FF0000"/>
          <w:sz w:val="24"/>
          <w:szCs w:val="24"/>
        </w:rPr>
      </w:pPr>
    </w:p>
    <w:p w14:paraId="4169ABE2" w14:textId="77777777" w:rsidR="00407009"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CLÁUSULA QUINTA – DA GARANTIA </w:t>
      </w:r>
    </w:p>
    <w:p w14:paraId="0DF3E1CF" w14:textId="77777777" w:rsidR="00407009" w:rsidRDefault="00000000">
      <w:pPr>
        <w:numPr>
          <w:ilvl w:val="1"/>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Não será exigida garantia da contratação, nos termos do art. 96 da Lei nº 14.133/2021, considerando a baixa complexidade do objeto, o reduzido valor estimado da contratação e o fato de que tal exigência poderá restringir a competitividade do certame, sem representar benefício proporcional à Administração. </w:t>
      </w:r>
    </w:p>
    <w:p w14:paraId="602A7A78" w14:textId="77777777" w:rsidR="00407009" w:rsidRDefault="00000000">
      <w:pPr>
        <w:numPr>
          <w:ilvl w:val="1"/>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regras serão as estabelecidas no Termo de Referência, referente a garantia dos bens e condições de manutenção e assistência técnica.</w:t>
      </w:r>
    </w:p>
    <w:p w14:paraId="58A9373E" w14:textId="77777777" w:rsidR="00407009" w:rsidRDefault="00407009">
      <w:pPr>
        <w:spacing w:line="360" w:lineRule="auto"/>
        <w:jc w:val="both"/>
        <w:rPr>
          <w:rFonts w:ascii="Times New Roman" w:eastAsia="Times New Roman" w:hAnsi="Times New Roman" w:cs="Times New Roman"/>
          <w:sz w:val="24"/>
          <w:szCs w:val="24"/>
        </w:rPr>
      </w:pPr>
    </w:p>
    <w:p w14:paraId="6EB923B5" w14:textId="77777777" w:rsidR="00407009" w:rsidRDefault="00407009">
      <w:pPr>
        <w:rPr>
          <w:rFonts w:ascii="Times New Roman" w:eastAsia="Times New Roman" w:hAnsi="Times New Roman" w:cs="Times New Roman"/>
          <w:sz w:val="24"/>
          <w:szCs w:val="24"/>
        </w:rPr>
      </w:pPr>
    </w:p>
    <w:p w14:paraId="4F9BBCF5" w14:textId="77777777" w:rsidR="00407009"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SEXTA – OBRIGAÇÕES DA CONTRATANTE E DA CONTRATADA</w:t>
      </w:r>
    </w:p>
    <w:p w14:paraId="24ACD38E"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São obrigações do CONTRATANTE:</w:t>
      </w:r>
    </w:p>
    <w:p w14:paraId="153CAC2E" w14:textId="77777777" w:rsidR="00407009"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Exigir o cumprimento de todas as obrigações assumidas pelo CONTRATADO, de acordo com o contrato e seus anexos;</w:t>
      </w:r>
    </w:p>
    <w:p w14:paraId="53A62006" w14:textId="77777777" w:rsidR="00407009"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Receber o objeto no prazo e condições estabelecidas no Termo de Referência;</w:t>
      </w:r>
    </w:p>
    <w:p w14:paraId="272772AD" w14:textId="77777777" w:rsidR="00407009"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F67314A" w14:textId="77777777" w:rsidR="00407009"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Acompanhar e fiscalizar a execução do contrato e o cumprimento das obrigações pelo CONTRATADO;</w:t>
      </w:r>
    </w:p>
    <w:p w14:paraId="24DAA094" w14:textId="77777777" w:rsidR="00407009"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Efetuar o pagamento ao CONTRATADO do valor correspondente ao fornecimento do objeto, no prazo, forma e condições estabelecidos no presente Contrato e no Termo de Referência.</w:t>
      </w:r>
    </w:p>
    <w:p w14:paraId="724F062F" w14:textId="77777777" w:rsidR="00407009"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Aplicar ao CONTRATADO as sanções previstas na lei e neste Contrato; </w:t>
      </w:r>
    </w:p>
    <w:p w14:paraId="5CAD30A9" w14:textId="77777777" w:rsidR="00407009"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Cientificar o órgão de representação judicial da CONTRATANTE para adoção das medidas cabíveis quando do descumprimento de obrigações pelo CONTRATADO;</w:t>
      </w:r>
    </w:p>
    <w:p w14:paraId="7B309956" w14:textId="77777777" w:rsidR="00407009"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775F32" w14:textId="77777777" w:rsidR="00407009" w:rsidRDefault="00000000">
      <w:pPr>
        <w:numPr>
          <w:ilvl w:val="3"/>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Administração terá o prazo de 1 mês, a contar da data do protocolo do requerimento para decidir, admitida a prorrogação motivada, por igual período.</w:t>
      </w:r>
    </w:p>
    <w:p w14:paraId="088BCAD3" w14:textId="77777777" w:rsidR="00407009" w:rsidRDefault="00000000">
      <w:pPr>
        <w:numPr>
          <w:ilvl w:val="2"/>
          <w:numId w:val="11"/>
        </w:numPr>
        <w:pBdr>
          <w:top w:val="nil"/>
          <w:left w:val="nil"/>
          <w:bottom w:val="nil"/>
          <w:right w:val="nil"/>
          <w:between w:val="nil"/>
        </w:pBdr>
        <w:spacing w:before="120" w:after="120" w:line="276" w:lineRule="auto"/>
        <w:ind w:left="990"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Responder eventuais pedidos de reestabelecimento do equilíbrio econômico-financeiro feitos pelo CONTRATADO no prazo máximo de 45 dias.</w:t>
      </w:r>
    </w:p>
    <w:p w14:paraId="75F0A2F7" w14:textId="77777777" w:rsidR="00407009" w:rsidRDefault="00000000">
      <w:pPr>
        <w:numPr>
          <w:ilvl w:val="2"/>
          <w:numId w:val="11"/>
        </w:numPr>
        <w:pBdr>
          <w:top w:val="nil"/>
          <w:left w:val="nil"/>
          <w:bottom w:val="nil"/>
          <w:right w:val="nil"/>
          <w:between w:val="nil"/>
        </w:pBdr>
        <w:spacing w:before="120" w:after="120" w:line="276" w:lineRule="auto"/>
        <w:ind w:left="990"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Notificar os emitentes das garantias quanto ao início de processo administrativo para apuração de descumprimento de cláusulas contratuais, n/f do art. </w:t>
      </w:r>
      <w:proofErr w:type="gramStart"/>
      <w:r>
        <w:rPr>
          <w:rFonts w:ascii="Times New Roman" w:eastAsia="Times New Roman" w:hAnsi="Times New Roman" w:cs="Times New Roman"/>
          <w:color w:val="000000"/>
          <w:sz w:val="24"/>
          <w:szCs w:val="24"/>
        </w:rPr>
        <w:t>137,§</w:t>
      </w:r>
      <w:proofErr w:type="gramEnd"/>
      <w:r>
        <w:rPr>
          <w:rFonts w:ascii="Times New Roman" w:eastAsia="Times New Roman" w:hAnsi="Times New Roman" w:cs="Times New Roman"/>
          <w:color w:val="000000"/>
          <w:sz w:val="24"/>
          <w:szCs w:val="24"/>
        </w:rPr>
        <w:t xml:space="preserve"> 4º da Lei 14.133/2021.</w:t>
      </w:r>
    </w:p>
    <w:p w14:paraId="2BA8E547" w14:textId="77777777" w:rsidR="00407009" w:rsidRDefault="00000000">
      <w:pPr>
        <w:numPr>
          <w:ilvl w:val="2"/>
          <w:numId w:val="11"/>
        </w:numPr>
        <w:pBdr>
          <w:top w:val="nil"/>
          <w:left w:val="nil"/>
          <w:bottom w:val="nil"/>
          <w:right w:val="nil"/>
          <w:between w:val="nil"/>
        </w:pBdr>
        <w:spacing w:before="120" w:after="120" w:line="276" w:lineRule="auto"/>
        <w:ind w:left="990"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709EE7" w14:textId="77777777" w:rsidR="00407009" w:rsidRDefault="00000000">
      <w:pPr>
        <w:numPr>
          <w:ilvl w:val="2"/>
          <w:numId w:val="11"/>
        </w:numPr>
        <w:pBdr>
          <w:top w:val="nil"/>
          <w:left w:val="nil"/>
          <w:bottom w:val="nil"/>
          <w:right w:val="nil"/>
          <w:between w:val="nil"/>
        </w:pBdr>
        <w:spacing w:before="120" w:after="120" w:line="276" w:lineRule="auto"/>
        <w:ind w:left="990"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presente contrato não configura </w:t>
      </w:r>
      <w:proofErr w:type="spellStart"/>
      <w:r>
        <w:rPr>
          <w:rFonts w:ascii="Times New Roman" w:eastAsia="Times New Roman" w:hAnsi="Times New Roman" w:cs="Times New Roman"/>
          <w:color w:val="000000"/>
          <w:sz w:val="24"/>
          <w:szCs w:val="24"/>
        </w:rPr>
        <w:t>vinculo</w:t>
      </w:r>
      <w:proofErr w:type="spellEnd"/>
      <w:r>
        <w:rPr>
          <w:rFonts w:ascii="Times New Roman" w:eastAsia="Times New Roman" w:hAnsi="Times New Roman" w:cs="Times New Roman"/>
          <w:color w:val="000000"/>
          <w:sz w:val="24"/>
          <w:szCs w:val="24"/>
        </w:rPr>
        <w:t xml:space="preserve"> empregatício entre os trabalhadores ou sócios do contratado ou contratante.</w:t>
      </w:r>
    </w:p>
    <w:p w14:paraId="408CA9AF" w14:textId="77777777" w:rsidR="00407009" w:rsidRDefault="00000000">
      <w:pPr>
        <w:numPr>
          <w:ilvl w:val="2"/>
          <w:numId w:val="11"/>
        </w:numPr>
        <w:pBdr>
          <w:top w:val="nil"/>
          <w:left w:val="nil"/>
          <w:bottom w:val="nil"/>
          <w:right w:val="nil"/>
          <w:between w:val="nil"/>
        </w:pBdr>
        <w:spacing w:before="120" w:after="120" w:line="276" w:lineRule="auto"/>
        <w:ind w:left="990"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Cumprir demais obrigações constantes no TR.</w:t>
      </w:r>
    </w:p>
    <w:p w14:paraId="6F566707"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São obrigações do CONTRATADO:</w:t>
      </w:r>
    </w:p>
    <w:p w14:paraId="60BB6A2E"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CONTRATADO deve cumprir todas as obrigações constantes deste Contrato e de seus anexos, assumindo como exclusivamente seus os riscos e as despesas decorrentes da boa e perfeita execução do objeto, observando, ainda, as obrigações a seguir dispostas:</w:t>
      </w:r>
    </w:p>
    <w:p w14:paraId="10E5639F" w14:textId="77777777" w:rsidR="00407009" w:rsidRDefault="00000000">
      <w:pPr>
        <w:numPr>
          <w:ilvl w:val="2"/>
          <w:numId w:val="11"/>
        </w:numPr>
        <w:pBdr>
          <w:top w:val="nil"/>
          <w:left w:val="nil"/>
          <w:bottom w:val="nil"/>
          <w:right w:val="nil"/>
          <w:between w:val="nil"/>
        </w:pBdr>
        <w:spacing w:before="120" w:after="120" w:line="276" w:lineRule="auto"/>
        <w:ind w:left="284"/>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Atender às determinações regulares emitidas pelo fiscal ou gestor do contrato ou autoridade superior e prestar todo esclarecimento ou informação por eles solicitados;</w:t>
      </w:r>
    </w:p>
    <w:p w14:paraId="4B2B765F"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5D68E969"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CCF4540"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14:paraId="56A07580" w14:textId="77777777" w:rsidR="00407009" w:rsidRDefault="00000000">
      <w:pPr>
        <w:numPr>
          <w:ilvl w:val="2"/>
          <w:numId w:val="11"/>
        </w:numPr>
        <w:pBdr>
          <w:top w:val="nil"/>
          <w:left w:val="nil"/>
          <w:bottom w:val="nil"/>
          <w:right w:val="nil"/>
          <w:between w:val="nil"/>
        </w:pBdr>
        <w:spacing w:before="120" w:after="120" w:line="276" w:lineRule="auto"/>
        <w:ind w:left="992" w:hanging="7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prova de regularidade relativa à Seguridade Social;</w:t>
      </w:r>
    </w:p>
    <w:p w14:paraId="64C893C1" w14:textId="77777777" w:rsidR="00407009" w:rsidRDefault="00000000">
      <w:pPr>
        <w:numPr>
          <w:ilvl w:val="2"/>
          <w:numId w:val="11"/>
        </w:numPr>
        <w:pBdr>
          <w:top w:val="nil"/>
          <w:left w:val="nil"/>
          <w:bottom w:val="nil"/>
          <w:right w:val="nil"/>
          <w:between w:val="nil"/>
        </w:pBdr>
        <w:spacing w:before="120" w:after="120" w:line="276" w:lineRule="auto"/>
        <w:ind w:left="990"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certidão conjunta relativa aos tributos federais e à Dívida Ativa da União;</w:t>
      </w:r>
    </w:p>
    <w:p w14:paraId="7DD92E4C" w14:textId="77777777" w:rsidR="00407009" w:rsidRDefault="00000000">
      <w:pPr>
        <w:numPr>
          <w:ilvl w:val="2"/>
          <w:numId w:val="11"/>
        </w:numPr>
        <w:pBdr>
          <w:top w:val="nil"/>
          <w:left w:val="nil"/>
          <w:bottom w:val="nil"/>
          <w:right w:val="nil"/>
          <w:between w:val="nil"/>
        </w:pBdr>
        <w:spacing w:before="120" w:after="120" w:line="276" w:lineRule="auto"/>
        <w:ind w:left="990"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certidões que comprovem a regularidade perante a Fazenda Estadual ou Distrital do domicílio ou sede do CONTRATADO;</w:t>
      </w:r>
    </w:p>
    <w:p w14:paraId="0FD21BFD" w14:textId="77777777" w:rsidR="00407009" w:rsidRDefault="00000000">
      <w:pPr>
        <w:numPr>
          <w:ilvl w:val="2"/>
          <w:numId w:val="11"/>
        </w:numPr>
        <w:pBdr>
          <w:top w:val="nil"/>
          <w:left w:val="nil"/>
          <w:bottom w:val="nil"/>
          <w:right w:val="nil"/>
          <w:between w:val="nil"/>
        </w:pBdr>
        <w:spacing w:before="120" w:after="120" w:line="276" w:lineRule="auto"/>
        <w:ind w:left="990"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Certidão de Regularidade do FGTS – CRF; e</w:t>
      </w:r>
    </w:p>
    <w:p w14:paraId="0A886E7D" w14:textId="77777777" w:rsidR="00407009" w:rsidRDefault="00000000">
      <w:pPr>
        <w:numPr>
          <w:ilvl w:val="2"/>
          <w:numId w:val="11"/>
        </w:numPr>
        <w:pBdr>
          <w:top w:val="nil"/>
          <w:left w:val="nil"/>
          <w:bottom w:val="nil"/>
          <w:right w:val="nil"/>
          <w:between w:val="nil"/>
        </w:pBdr>
        <w:spacing w:before="120" w:after="120" w:line="276" w:lineRule="auto"/>
        <w:ind w:left="990"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Certidão Negativa de Débitos Trabalhistas – CNDT.</w:t>
      </w:r>
    </w:p>
    <w:p w14:paraId="2F036004"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F87528B"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75767735"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Paralisar, por determinação do CONTRATANTE, qualquer atividade que não esteja sendo executada de acordo com a boa técnica ou que ponha em risco a segurança de pessoas ou bens de terceiros;</w:t>
      </w:r>
    </w:p>
    <w:p w14:paraId="5CC82EDA"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bookmarkStart w:id="26" w:name="_heading=h.mgpal1s4ijt8" w:colFirst="0" w:colLast="0"/>
      <w:bookmarkEnd w:id="26"/>
      <w:r>
        <w:rPr>
          <w:rFonts w:ascii="Times New Roman" w:eastAsia="Times New Roman" w:hAnsi="Times New Roman" w:cs="Times New Roman"/>
          <w:color w:val="000000"/>
          <w:sz w:val="24"/>
          <w:szCs w:val="24"/>
        </w:rPr>
        <w:t>Manter, durante toda a vigência do contrato, em compatibilidade com as obrigações assumidas, todas as condições exigidas para habilitação na licitação ou para qualificação na contratação direta;</w:t>
      </w:r>
    </w:p>
    <w:p w14:paraId="06BA521E"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Cumprir, durante todo o período de execução do contrato, a reserva de cargos prevista em lei para pessoa com deficiência, para reabilitado da Previdência Social ou para aprendiz, bem como as reservas de cargos previstas na legislação;</w:t>
      </w:r>
    </w:p>
    <w:p w14:paraId="34ECF21C"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Comprovar a reserva de cargos a que se refere a cláusula acima, no prazo fixado pelo fiscal do contrato, com a indicação dos empregados que preencheram as referidas vagas;</w:t>
      </w:r>
    </w:p>
    <w:p w14:paraId="0110F245"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Guardar sigilo sobre todas as informações obtidas em decorrência do cumprimento do contrato;</w:t>
      </w:r>
    </w:p>
    <w:p w14:paraId="022AE93B"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3423DB3"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Cumprir, além dos postulados legais vigentes de âmbito federal, estadual ou municipal, as normas de segurança do CONTRATANTE; </w:t>
      </w:r>
    </w:p>
    <w:p w14:paraId="5F45C305"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Alocar os empregados necessários ao perfeito cumprimento das cláusulas deste contrato, com habilitação e conhecimento adequados;</w:t>
      </w:r>
    </w:p>
    <w:p w14:paraId="125770E2"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Prestar os serviços dentro dos parâmetros e rotinas estabelecidos;</w:t>
      </w:r>
    </w:p>
    <w:p w14:paraId="3F924E51"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Fornecer</w:t>
      </w:r>
      <w:proofErr w:type="spellEnd"/>
      <w:r>
        <w:rPr>
          <w:rFonts w:ascii="Times New Roman" w:eastAsia="Times New Roman" w:hAnsi="Times New Roman" w:cs="Times New Roman"/>
          <w:color w:val="000000"/>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6AD34673"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6429F7D"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Submeter previamente, por escrito, ao CONTRATANTE, para análise e aprovação, quaisquer mudanças nos métodos executivos que fujam às especificações do memorial descritivo ou instrumento congênere;</w:t>
      </w:r>
    </w:p>
    <w:p w14:paraId="04ED660A"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Cumprir as normas de proteção ao trabalho, inclusive aquelas relativas à segurança e à saúde no trabalho;</w:t>
      </w:r>
    </w:p>
    <w:p w14:paraId="22704921"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submeter os trabalhadores a condições degradantes de trabalho, jornadas exaustivas, servidão por dívida ou trabalhos forçados;</w:t>
      </w:r>
    </w:p>
    <w:p w14:paraId="48B23301"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permitir a utilização de qualquer trabalho do menor de dezesseis anos de idade, exceto na condição de aprendiz para os maiores de quatorze anos de idade, observada a legislação pertinente;</w:t>
      </w:r>
    </w:p>
    <w:p w14:paraId="775B9A28"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1035E6D9"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Receber e dar o tratamento adequado a denúncias de discriminação, violência e assédio no ambiente de trabalho;</w:t>
      </w:r>
    </w:p>
    <w:p w14:paraId="7EE5BF1C"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Entregar o objeto acompanhado do manual do usuário, com uma versão em português, e da relação da rede de assistência técnica autorizada;</w:t>
      </w:r>
    </w:p>
    <w:p w14:paraId="4EE1A2C9"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Responsabilizar-se pelos vícios e danos decorrentes do objeto, de acordo com o Código de Defesa do Consumidor (Lei nº 8.078, de 1990);</w:t>
      </w:r>
    </w:p>
    <w:p w14:paraId="412EDE8C"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Comunicar ao CONTRATANTE, no prazo máximo de 24 (vinte e quatro) horas que antecede a data da entrega, os motivos que impossibilitem o cumprimento do prazo previsto, com a devida comprovação;</w:t>
      </w:r>
    </w:p>
    <w:p w14:paraId="3E1C7F6B"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Orientar e treinar seus empregados sobre os deveres previstos na Lei nº 13.709, de 14 de agosto de 2018, adotando medidas eficazes para proteção de dados pessoais a que tenha acesso por força da execução deste contrato;</w:t>
      </w:r>
    </w:p>
    <w:p w14:paraId="66510E8D"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Não contratar, durante a vigência do contrato, cônjuge, companheiro ou parente na linha reta, colateral ou por afinidade, até o 3º grau, de dirigente do contratante ou de agente público que atue na fiscalização ou na gestão do contrato, nos termos do art. </w:t>
      </w:r>
      <w:proofErr w:type="gramStart"/>
      <w:r>
        <w:rPr>
          <w:rFonts w:ascii="Times New Roman" w:eastAsia="Times New Roman" w:hAnsi="Times New Roman" w:cs="Times New Roman"/>
          <w:color w:val="000000"/>
          <w:sz w:val="24"/>
          <w:szCs w:val="24"/>
        </w:rPr>
        <w:t>48,p</w:t>
      </w:r>
      <w:proofErr w:type="gramEnd"/>
      <w:r>
        <w:rPr>
          <w:rFonts w:ascii="Times New Roman" w:eastAsia="Times New Roman" w:hAnsi="Times New Roman" w:cs="Times New Roman"/>
          <w:color w:val="000000"/>
          <w:sz w:val="24"/>
          <w:szCs w:val="24"/>
        </w:rPr>
        <w:t>.u, da lei 14.133/2021;</w:t>
      </w:r>
    </w:p>
    <w:p w14:paraId="4EA81987"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Prestar esclarecimentos ou informações solicitadas pelo contratante ou por seus prepostos;</w:t>
      </w:r>
    </w:p>
    <w:p w14:paraId="21E835DF"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Nas contratações de fornecimento de grande vulto, o licitante vencedor deverá apresentar programa de integridade, no prazo de 6 meses, contados da celebração do contrato, conforme art. </w:t>
      </w:r>
      <w:proofErr w:type="gramStart"/>
      <w:r>
        <w:rPr>
          <w:rFonts w:ascii="Times New Roman" w:eastAsia="Times New Roman" w:hAnsi="Times New Roman" w:cs="Times New Roman"/>
          <w:color w:val="000000"/>
          <w:sz w:val="24"/>
          <w:szCs w:val="24"/>
        </w:rPr>
        <w:t>25,º</w:t>
      </w:r>
      <w:proofErr w:type="gramEnd"/>
      <w:r>
        <w:rPr>
          <w:rFonts w:ascii="Times New Roman" w:eastAsia="Times New Roman" w:hAnsi="Times New Roman" w:cs="Times New Roman"/>
          <w:color w:val="000000"/>
          <w:sz w:val="24"/>
          <w:szCs w:val="24"/>
        </w:rPr>
        <w:t xml:space="preserve">§4º, lei 14133/2021 e </w:t>
      </w:r>
      <w:proofErr w:type="spellStart"/>
      <w:r>
        <w:rPr>
          <w:rFonts w:ascii="Times New Roman" w:eastAsia="Times New Roman" w:hAnsi="Times New Roman" w:cs="Times New Roman"/>
          <w:color w:val="000000"/>
          <w:sz w:val="24"/>
          <w:szCs w:val="24"/>
        </w:rPr>
        <w:t>D.n</w:t>
      </w:r>
      <w:proofErr w:type="spellEnd"/>
      <w:r>
        <w:rPr>
          <w:rFonts w:ascii="Times New Roman" w:eastAsia="Times New Roman" w:hAnsi="Times New Roman" w:cs="Times New Roman"/>
          <w:color w:val="000000"/>
          <w:sz w:val="24"/>
          <w:szCs w:val="24"/>
        </w:rPr>
        <w:t xml:space="preserve"> 12304/2024.</w:t>
      </w:r>
    </w:p>
    <w:p w14:paraId="64678014" w14:textId="77777777" w:rsidR="00407009" w:rsidRDefault="00407009">
      <w:pPr>
        <w:tabs>
          <w:tab w:val="left" w:pos="567"/>
        </w:tabs>
        <w:spacing w:line="360" w:lineRule="auto"/>
        <w:jc w:val="both"/>
        <w:rPr>
          <w:rFonts w:ascii="Times New Roman" w:eastAsia="Times New Roman" w:hAnsi="Times New Roman" w:cs="Times New Roman"/>
          <w:sz w:val="24"/>
          <w:szCs w:val="24"/>
        </w:rPr>
      </w:pPr>
    </w:p>
    <w:p w14:paraId="71A977D3" w14:textId="77777777" w:rsidR="00407009" w:rsidRDefault="00000000">
      <w:pPr>
        <w:keepNext/>
        <w:keepLines/>
        <w:numPr>
          <w:ilvl w:val="0"/>
          <w:numId w:val="11"/>
        </w:numPr>
        <w:tabs>
          <w:tab w:val="left" w:pos="420"/>
        </w:tabs>
        <w:spacing w:line="360" w:lineRule="auto"/>
        <w:ind w:left="566" w:hanging="57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SÉTIMA – INFRAÇÕES E SANÇÕES ADMINISTRATIVAS.</w:t>
      </w:r>
    </w:p>
    <w:p w14:paraId="0D66BD76"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Comete infração administrativa, nos termos da Lei nº 14.133, de 2021, o Contratado que:</w:t>
      </w:r>
    </w:p>
    <w:p w14:paraId="397F093F" w14:textId="77777777" w:rsidR="00407009" w:rsidRDefault="00000000">
      <w:pPr>
        <w:numPr>
          <w:ilvl w:val="0"/>
          <w:numId w:val="1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der causa à inexecução parcial do contrato;</w:t>
      </w:r>
    </w:p>
    <w:p w14:paraId="59928443" w14:textId="77777777" w:rsidR="00407009" w:rsidRDefault="00000000">
      <w:pPr>
        <w:numPr>
          <w:ilvl w:val="0"/>
          <w:numId w:val="1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der causa à inexecução parcial do contrato que cause grave dano à Administração ou ao funcionamento dos serviços públicos ou ao interesse coletivo;</w:t>
      </w:r>
    </w:p>
    <w:p w14:paraId="64E8D807" w14:textId="77777777" w:rsidR="00407009" w:rsidRDefault="00000000">
      <w:pPr>
        <w:numPr>
          <w:ilvl w:val="0"/>
          <w:numId w:val="1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der causa à inexecução total do contrato;</w:t>
      </w:r>
    </w:p>
    <w:p w14:paraId="53B46EA4" w14:textId="77777777" w:rsidR="00407009" w:rsidRDefault="00000000">
      <w:pPr>
        <w:numPr>
          <w:ilvl w:val="0"/>
          <w:numId w:val="1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ensejar o retardamento da execução ou da entrega do objeto da contratação sem motivo justificado;</w:t>
      </w:r>
    </w:p>
    <w:p w14:paraId="4C056B36" w14:textId="77777777" w:rsidR="00407009" w:rsidRDefault="00000000">
      <w:pPr>
        <w:numPr>
          <w:ilvl w:val="0"/>
          <w:numId w:val="1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apresentar documentação falsa ou prestar declaração falsa durante a execução do contrato;</w:t>
      </w:r>
    </w:p>
    <w:p w14:paraId="06EEC419" w14:textId="77777777" w:rsidR="00407009" w:rsidRDefault="00000000">
      <w:pPr>
        <w:numPr>
          <w:ilvl w:val="0"/>
          <w:numId w:val="1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praticar ato fraudulento na execução do contrato;</w:t>
      </w:r>
    </w:p>
    <w:p w14:paraId="10E59F85" w14:textId="77777777" w:rsidR="00407009" w:rsidRDefault="00000000">
      <w:pPr>
        <w:numPr>
          <w:ilvl w:val="0"/>
          <w:numId w:val="1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comportar-se de modo inidôneo ou cometer fraude de qualquer natureza;</w:t>
      </w:r>
    </w:p>
    <w:p w14:paraId="542559C7" w14:textId="77777777" w:rsidR="00407009" w:rsidRDefault="00000000">
      <w:pPr>
        <w:numPr>
          <w:ilvl w:val="0"/>
          <w:numId w:val="12"/>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praticar ato lesivo previsto no art. 5º da Lei nº 12.846, de 1º de agosto de 2013.</w:t>
      </w:r>
    </w:p>
    <w:p w14:paraId="37F2046E"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Serão aplicadas ao Contratado que incorrer nas infrações acima descritas as seguintes sanções:</w:t>
      </w:r>
    </w:p>
    <w:p w14:paraId="5AA0C155" w14:textId="77777777" w:rsidR="00407009" w:rsidRDefault="00000000">
      <w:pPr>
        <w:numPr>
          <w:ilvl w:val="2"/>
          <w:numId w:val="11"/>
        </w:numPr>
        <w:pBdr>
          <w:top w:val="nil"/>
          <w:left w:val="nil"/>
          <w:bottom w:val="nil"/>
          <w:right w:val="nil"/>
          <w:between w:val="nil"/>
        </w:pBdr>
        <w:spacing w:before="120" w:after="120" w:line="276" w:lineRule="auto"/>
        <w:ind w:left="992" w:hanging="7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Advertência, quando o Contratado der causa à inexecução parcial do contrato, sempre que não se justificar a imposição de penalidade mais grave;</w:t>
      </w:r>
    </w:p>
    <w:p w14:paraId="6425BDC2" w14:textId="77777777" w:rsidR="00407009"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Impedimento de licitar e contratar, quando praticadas as condutas descritas nas alíneas “b”, “c” e “d” do subitem acima, sempre que não se justificar a imposição de penalidade mais grave;</w:t>
      </w:r>
    </w:p>
    <w:p w14:paraId="16ED9A30" w14:textId="77777777" w:rsidR="00407009"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Declaração de inidoneidade para licitar e contratar, quando praticadas as condutas descritas nas alíneas “e”, “f”, “g” e “h” do subitem acima, bem como nas alíneas “b”, “c” e “d”, que justifiquem a imposição de penalidade mais grave.</w:t>
      </w:r>
    </w:p>
    <w:p w14:paraId="3440EDB1" w14:textId="77777777" w:rsidR="00407009"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Multa:</w:t>
      </w:r>
    </w:p>
    <w:p w14:paraId="39EB795E" w14:textId="77777777" w:rsidR="00407009" w:rsidRDefault="00000000">
      <w:pPr>
        <w:numPr>
          <w:ilvl w:val="3"/>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Moratória, para as infrações descritas no item “d”, de 0,2% (zero virgula dois por cento por cento) por dia de atraso injustificado sobre o valor da parcela inadimplida, até o limite de 15 (quinze) dias;</w:t>
      </w:r>
    </w:p>
    <w:p w14:paraId="199BCB5D" w14:textId="77777777" w:rsidR="00407009" w:rsidRDefault="00000000">
      <w:pPr>
        <w:numPr>
          <w:ilvl w:val="3"/>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Moratória de 0,07% (sete centésimos por cento) por dia de atraso injustificado sobre o valor total do contrato, até o máximo de 2% (dois por cento), pela inobservância do prazo fixado para apresentação, suplementação ou reposição da garantia;</w:t>
      </w:r>
    </w:p>
    <w:p w14:paraId="08D57BD1" w14:textId="77777777" w:rsidR="00407009" w:rsidRDefault="00000000">
      <w:pPr>
        <w:numPr>
          <w:ilvl w:val="3"/>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00FBA9EA"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aplicação das sanções previstas neste Termo de Referência não exclui, em hipótese alguma, a obrigação de reparação integral do dano causado ao Contratante.</w:t>
      </w:r>
    </w:p>
    <w:p w14:paraId="51B23732"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Todas as sanções previstas neste Termo de Referência poderão ser aplicadas cumulativamente com a multa</w:t>
      </w:r>
    </w:p>
    <w:p w14:paraId="3CFC540E"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Antes da aplicação da multa será facultada a defesa do interessado no prazo de 15 (quinze) dias úteis, contado da data de sua intimação.</w:t>
      </w:r>
    </w:p>
    <w:p w14:paraId="373168B0"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 a multa aplicada e as indenizações cabíveis forem superiores ao valor do pagamento </w:t>
      </w:r>
      <w:proofErr w:type="spellStart"/>
      <w:r>
        <w:rPr>
          <w:rFonts w:ascii="Times New Roman" w:eastAsia="Times New Roman" w:hAnsi="Times New Roman" w:cs="Times New Roman"/>
          <w:color w:val="000000"/>
          <w:sz w:val="24"/>
          <w:szCs w:val="24"/>
        </w:rPr>
        <w:t>eventualm</w:t>
      </w:r>
      <w:proofErr w:type="spellEnd"/>
      <w:r>
        <w:rPr>
          <w:rFonts w:ascii="Times New Roman" w:eastAsia="Times New Roman" w:hAnsi="Times New Roman" w:cs="Times New Roman"/>
          <w:color w:val="000000"/>
          <w:sz w:val="24"/>
          <w:szCs w:val="24"/>
        </w:rPr>
        <w:tab/>
        <w:t>ente devido pelo Contratante ao Contratado, além da perda desse valor, a diferença será descontada da garantia prestada ou será cobrada judicialmente.</w:t>
      </w:r>
    </w:p>
    <w:p w14:paraId="7D8A0C57"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multa poderá ser recolhida administrativamente no prazo máximo de 15 (quinze) dias, a contar da data do recebimento da comunicação enviada pela autoridade competente.</w:t>
      </w:r>
    </w:p>
    <w:p w14:paraId="34084EBB"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DC12FC7" w14:textId="77777777" w:rsidR="00407009" w:rsidRDefault="00000000">
      <w:pPr>
        <w:numPr>
          <w:ilvl w:val="2"/>
          <w:numId w:val="11"/>
        </w:numPr>
        <w:pBdr>
          <w:top w:val="nil"/>
          <w:left w:val="nil"/>
          <w:bottom w:val="nil"/>
          <w:right w:val="nil"/>
          <w:between w:val="nil"/>
        </w:pBdr>
        <w:spacing w:before="120" w:after="120" w:line="276" w:lineRule="auto"/>
        <w:ind w:left="992"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 a garantia da ampla defesa e contraditório, as notificações serão enviadas eletronicamente para os endereços de e-mail informados na proposta comercial, bem como os cadastrados pela empresa no SICAF.</w:t>
      </w:r>
    </w:p>
    <w:p w14:paraId="3752C8F3" w14:textId="77777777" w:rsidR="00407009" w:rsidRDefault="00000000">
      <w:pPr>
        <w:numPr>
          <w:ilvl w:val="2"/>
          <w:numId w:val="11"/>
        </w:numPr>
        <w:pBdr>
          <w:top w:val="nil"/>
          <w:left w:val="nil"/>
          <w:bottom w:val="nil"/>
          <w:right w:val="nil"/>
          <w:between w:val="nil"/>
        </w:pBdr>
        <w:spacing w:before="120" w:after="120" w:line="276" w:lineRule="auto"/>
        <w:ind w:left="992" w:hanging="70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Os endereços de e-mail informados na proposta comercial e/ou cadastrados no SICAF serão considerados de uso contínuo da empresa, não cabendo alegação de desconhecimento das comunicações a eles comprovadamente enviadas.</w:t>
      </w:r>
    </w:p>
    <w:p w14:paraId="7DF3DC14"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aplicação das sanções serão considerados:</w:t>
      </w:r>
    </w:p>
    <w:p w14:paraId="0F4EE840" w14:textId="77777777" w:rsidR="00407009" w:rsidRDefault="00000000">
      <w:pPr>
        <w:numPr>
          <w:ilvl w:val="2"/>
          <w:numId w:val="11"/>
        </w:numPr>
        <w:pBdr>
          <w:top w:val="nil"/>
          <w:left w:val="nil"/>
          <w:bottom w:val="nil"/>
          <w:right w:val="nil"/>
          <w:between w:val="nil"/>
        </w:pBdr>
        <w:spacing w:before="120" w:after="120" w:line="276" w:lineRule="auto"/>
        <w:ind w:left="850" w:hanging="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natureza e a gravidade da infração cometida;</w:t>
      </w:r>
    </w:p>
    <w:p w14:paraId="613091D3" w14:textId="77777777" w:rsidR="00407009" w:rsidRDefault="00000000">
      <w:pPr>
        <w:numPr>
          <w:ilvl w:val="2"/>
          <w:numId w:val="11"/>
        </w:numPr>
        <w:pBdr>
          <w:top w:val="nil"/>
          <w:left w:val="nil"/>
          <w:bottom w:val="nil"/>
          <w:right w:val="nil"/>
          <w:between w:val="nil"/>
        </w:pBdr>
        <w:spacing w:before="120" w:after="120" w:line="276" w:lineRule="auto"/>
        <w:ind w:left="850" w:hanging="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peculiaridades do caso concreto;</w:t>
      </w:r>
    </w:p>
    <w:p w14:paraId="1F573CCC" w14:textId="77777777" w:rsidR="00407009" w:rsidRDefault="00000000">
      <w:pPr>
        <w:numPr>
          <w:ilvl w:val="2"/>
          <w:numId w:val="11"/>
        </w:numPr>
        <w:pBdr>
          <w:top w:val="nil"/>
          <w:left w:val="nil"/>
          <w:bottom w:val="nil"/>
          <w:right w:val="nil"/>
          <w:between w:val="nil"/>
        </w:pBdr>
        <w:spacing w:before="120" w:after="120" w:line="276" w:lineRule="auto"/>
        <w:ind w:left="850" w:hanging="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circunstâncias agravantes ou atenuantes;</w:t>
      </w:r>
    </w:p>
    <w:p w14:paraId="70C41C39" w14:textId="77777777" w:rsidR="00407009" w:rsidRDefault="00000000">
      <w:pPr>
        <w:numPr>
          <w:ilvl w:val="2"/>
          <w:numId w:val="11"/>
        </w:numPr>
        <w:pBdr>
          <w:top w:val="nil"/>
          <w:left w:val="nil"/>
          <w:bottom w:val="nil"/>
          <w:right w:val="nil"/>
          <w:between w:val="nil"/>
        </w:pBdr>
        <w:spacing w:before="120" w:after="120" w:line="276" w:lineRule="auto"/>
        <w:ind w:left="850" w:hanging="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danos que dela provierem para o Contratante; e</w:t>
      </w:r>
    </w:p>
    <w:p w14:paraId="2E7BA6CD" w14:textId="77777777" w:rsidR="00407009" w:rsidRDefault="00000000">
      <w:pPr>
        <w:numPr>
          <w:ilvl w:val="2"/>
          <w:numId w:val="11"/>
        </w:numPr>
        <w:pBdr>
          <w:top w:val="nil"/>
          <w:left w:val="nil"/>
          <w:bottom w:val="nil"/>
          <w:right w:val="nil"/>
          <w:between w:val="nil"/>
        </w:pBdr>
        <w:spacing w:before="120" w:after="120" w:line="276" w:lineRule="auto"/>
        <w:ind w:left="850" w:hanging="5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58BAD61F"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2B54053"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E717A8E"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2778195" w14:textId="77777777" w:rsidR="00407009" w:rsidRDefault="00000000">
      <w:pPr>
        <w:numPr>
          <w:ilvl w:val="2"/>
          <w:numId w:val="11"/>
        </w:numPr>
        <w:pBdr>
          <w:top w:val="nil"/>
          <w:left w:val="nil"/>
          <w:bottom w:val="nil"/>
          <w:right w:val="nil"/>
          <w:between w:val="nil"/>
        </w:pBdr>
        <w:spacing w:before="120" w:after="120" w:line="276" w:lineRule="auto"/>
        <w:ind w:left="992" w:hanging="99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penalidades serão obrigatoriamente registradas no SICAF.</w:t>
      </w:r>
    </w:p>
    <w:p w14:paraId="6DB335D3"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sanções de impedimento de licitar e contratar e declaração de inidoneidade para licitar ou contratar são passíveis de reabilitação na forma do art. 163 da Lei nº 14.133, de 2021.</w:t>
      </w:r>
    </w:p>
    <w:p w14:paraId="0F24D3DF"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2E0BB00" w14:textId="77777777" w:rsidR="00407009" w:rsidRDefault="00407009">
      <w:pPr>
        <w:spacing w:line="360" w:lineRule="auto"/>
        <w:rPr>
          <w:rFonts w:ascii="Times New Roman" w:eastAsia="Times New Roman" w:hAnsi="Times New Roman" w:cs="Times New Roman"/>
          <w:sz w:val="24"/>
          <w:szCs w:val="24"/>
        </w:rPr>
      </w:pPr>
    </w:p>
    <w:p w14:paraId="5272B030" w14:textId="77777777" w:rsidR="00407009" w:rsidRDefault="00000000">
      <w:pPr>
        <w:keepNext/>
        <w:keepLines/>
        <w:numPr>
          <w:ilvl w:val="0"/>
          <w:numId w:val="11"/>
        </w:numPr>
        <w:tabs>
          <w:tab w:val="left" w:pos="559"/>
        </w:tabs>
        <w:spacing w:line="360" w:lineRule="auto"/>
        <w:ind w:left="566" w:hanging="57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CLÁUSULA OITAVA – DO RECURSO AO JUDICIÁRIO </w:t>
      </w:r>
    </w:p>
    <w:p w14:paraId="14DDFC54" w14:textId="77777777" w:rsidR="00407009" w:rsidRDefault="00000000">
      <w:pPr>
        <w:numPr>
          <w:ilvl w:val="1"/>
          <w:numId w:val="11"/>
        </w:numPr>
        <w:tabs>
          <w:tab w:val="left" w:pos="420"/>
          <w:tab w:val="left" w:pos="851"/>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importâncias decorrentes de quaisquer penalidades impostas à Contratada, inclusive perdas e danos ou prejuízos que a execução do contrato tenha acarretado, quando não comportarem cobrança amigável, serão cobrados judicialmente, caso sejam superiores à garantia prestada, se for o caso, ou aos créditos que a Contratada tenha em face da Contratante.</w:t>
      </w:r>
    </w:p>
    <w:p w14:paraId="2325E2A8" w14:textId="77777777" w:rsidR="00407009" w:rsidRDefault="00000000">
      <w:pPr>
        <w:numPr>
          <w:ilvl w:val="2"/>
          <w:numId w:val="11"/>
        </w:numPr>
        <w:tabs>
          <w:tab w:val="left" w:pos="142"/>
          <w:tab w:val="left" w:pos="851"/>
        </w:tabs>
        <w:spacing w:line="360" w:lineRule="auto"/>
        <w:ind w:left="992" w:hanging="70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Caso a Contratante tenha de recorrer ou comparecer a juízo para haver o que lhe for devido, o Contratado ficará sujeita ao pagamento, além do principal do débito, da pena convencional de 10% (dez por cento) sobre o valor do litígio, dos juros de mora de 1% (um por cento) ao mês, despesas de processo e honorários de advogado, estes fixados, desde logo, em 20% (vinte por cento) sobre o valor em litígio.</w:t>
      </w:r>
    </w:p>
    <w:p w14:paraId="7F750D16" w14:textId="77777777" w:rsidR="00407009" w:rsidRDefault="00407009">
      <w:pPr>
        <w:tabs>
          <w:tab w:val="left" w:pos="567"/>
        </w:tabs>
        <w:spacing w:line="360" w:lineRule="auto"/>
        <w:jc w:val="both"/>
        <w:rPr>
          <w:rFonts w:ascii="Times New Roman" w:eastAsia="Times New Roman" w:hAnsi="Times New Roman" w:cs="Times New Roman"/>
          <w:b/>
          <w:bCs/>
          <w:sz w:val="24"/>
          <w:szCs w:val="24"/>
        </w:rPr>
      </w:pPr>
    </w:p>
    <w:p w14:paraId="4883FED3" w14:textId="77777777" w:rsidR="00407009"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CLÁUSULA NONA – SUBCONTRATAÇÃO</w:t>
      </w:r>
    </w:p>
    <w:p w14:paraId="0AD3CBFB" w14:textId="77777777" w:rsidR="00407009" w:rsidRDefault="00000000">
      <w:pPr>
        <w:numPr>
          <w:ilvl w:val="1"/>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EE0000"/>
          <w:sz w:val="24"/>
          <w:szCs w:val="24"/>
        </w:rPr>
        <w:t>Será permitida a subcontratação parcial do objeto, até o limite de 30% (trinta porcento) do valor total do contrato</w:t>
      </w:r>
      <w:r>
        <w:rPr>
          <w:rFonts w:ascii="Times New Roman" w:eastAsia="Times New Roman" w:hAnsi="Times New Roman" w:cs="Times New Roman"/>
          <w:sz w:val="24"/>
          <w:szCs w:val="24"/>
        </w:rPr>
        <w:t>, nas seguintes condições conforme consta no Termo de Referência.</w:t>
      </w:r>
    </w:p>
    <w:p w14:paraId="7A45222A" w14:textId="77777777" w:rsidR="00407009" w:rsidRDefault="00407009">
      <w:pPr>
        <w:tabs>
          <w:tab w:val="left" w:pos="567"/>
        </w:tabs>
        <w:spacing w:line="360" w:lineRule="auto"/>
        <w:jc w:val="both"/>
        <w:rPr>
          <w:rFonts w:ascii="Times New Roman" w:eastAsia="Times New Roman" w:hAnsi="Times New Roman" w:cs="Times New Roman"/>
          <w:b/>
          <w:bCs/>
          <w:color w:val="FF0000"/>
          <w:sz w:val="24"/>
          <w:szCs w:val="24"/>
        </w:rPr>
      </w:pPr>
    </w:p>
    <w:p w14:paraId="493C981F" w14:textId="77777777" w:rsidR="00407009"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DÉCIMA – ALTERAÇÕES</w:t>
      </w:r>
    </w:p>
    <w:p w14:paraId="34A4C8A3" w14:textId="77777777" w:rsidR="00407009" w:rsidRDefault="00000000">
      <w:pPr>
        <w:numPr>
          <w:ilvl w:val="1"/>
          <w:numId w:val="11"/>
        </w:num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Eventuais alterações contratuais reger-se-ão pela disciplina do </w:t>
      </w:r>
      <w:proofErr w:type="spellStart"/>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124 e seguintes da Lei nº 14.133, de 2021.</w:t>
      </w:r>
    </w:p>
    <w:p w14:paraId="30B1D3DB" w14:textId="77777777" w:rsidR="00407009" w:rsidRDefault="00000000">
      <w:pPr>
        <w:numPr>
          <w:ilvl w:val="1"/>
          <w:numId w:val="11"/>
        </w:numPr>
        <w:tabs>
          <w:tab w:val="left" w:pos="567"/>
        </w:tabs>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CONTRATADA é obrigada a aceitar, nas mesmas condições contratuais, os acréscimos ou supressões que se fizerem necessários, até o limite de 25% (vinte e cinco por cento) do valor inicial atualizado do contrato.</w:t>
      </w:r>
    </w:p>
    <w:p w14:paraId="31194CB4" w14:textId="77777777" w:rsidR="00407009" w:rsidRDefault="00000000">
      <w:pPr>
        <w:numPr>
          <w:ilvl w:val="1"/>
          <w:numId w:val="11"/>
        </w:numPr>
        <w:tabs>
          <w:tab w:val="left" w:pos="567"/>
        </w:tabs>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supressões resultantes de acordo celebrado entre as partes contratantes poderão exceder o limite de 25% (vinte e cinco por cento) do valor inicial atualizado do contrato.</w:t>
      </w:r>
    </w:p>
    <w:p w14:paraId="32A06E8E" w14:textId="77777777" w:rsidR="00407009" w:rsidRDefault="00000000">
      <w:pPr>
        <w:numPr>
          <w:ilvl w:val="1"/>
          <w:numId w:val="11"/>
        </w:numPr>
        <w:tabs>
          <w:tab w:val="left" w:pos="567"/>
        </w:tabs>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FBE1D45" w14:textId="77777777" w:rsidR="00407009" w:rsidRDefault="00000000">
      <w:pPr>
        <w:numPr>
          <w:ilvl w:val="1"/>
          <w:numId w:val="11"/>
        </w:numPr>
        <w:spacing w:before="120" w:after="288"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Registros que não caracterizam alteração do contrato podem ser realizados por simples apostila, dispensada a celebração de termo aditivo, na forma do </w:t>
      </w:r>
      <w:hyperlink r:id="rId47" w:anchor="art136">
        <w:r>
          <w:rPr>
            <w:rFonts w:ascii="Times New Roman" w:eastAsia="Times New Roman" w:hAnsi="Times New Roman" w:cs="Times New Roman"/>
            <w:sz w:val="24"/>
            <w:szCs w:val="24"/>
          </w:rPr>
          <w:t>art. 136 da Lei nº 14.133, de 2021</w:t>
        </w:r>
      </w:hyperlink>
      <w:r>
        <w:rPr>
          <w:rFonts w:ascii="Times New Roman" w:eastAsia="Times New Roman" w:hAnsi="Times New Roman" w:cs="Times New Roman"/>
          <w:sz w:val="24"/>
          <w:szCs w:val="24"/>
        </w:rPr>
        <w:t>.</w:t>
      </w:r>
    </w:p>
    <w:p w14:paraId="4B75B82F" w14:textId="77777777" w:rsidR="00407009"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CLÁUSULA DÉCIMA PRIMEIRA – DOS CASOS OMISSOS</w:t>
      </w:r>
    </w:p>
    <w:p w14:paraId="7E27ADED" w14:textId="77777777" w:rsidR="00407009" w:rsidRDefault="00000000">
      <w:pPr>
        <w:numPr>
          <w:ilvl w:val="1"/>
          <w:numId w:val="11"/>
        </w:num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348488B" w14:textId="77777777" w:rsidR="00407009" w:rsidRDefault="00407009">
      <w:pPr>
        <w:tabs>
          <w:tab w:val="left" w:pos="567"/>
        </w:tabs>
        <w:spacing w:line="360" w:lineRule="auto"/>
        <w:jc w:val="both"/>
        <w:rPr>
          <w:rFonts w:ascii="Times New Roman" w:eastAsia="Times New Roman" w:hAnsi="Times New Roman" w:cs="Times New Roman"/>
          <w:sz w:val="24"/>
          <w:szCs w:val="24"/>
        </w:rPr>
      </w:pPr>
    </w:p>
    <w:p w14:paraId="1713E89F" w14:textId="77777777" w:rsidR="00407009"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DÉCIMA SEGUNDA – PUBLICAÇÃO</w:t>
      </w:r>
    </w:p>
    <w:p w14:paraId="71CFD35B" w14:textId="77777777" w:rsidR="00407009" w:rsidRDefault="00000000">
      <w:pPr>
        <w:numPr>
          <w:ilvl w:val="1"/>
          <w:numId w:val="11"/>
        </w:num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4CEC41B8" w14:textId="77777777" w:rsidR="00407009" w:rsidRDefault="00407009">
      <w:pPr>
        <w:tabs>
          <w:tab w:val="left" w:pos="567"/>
        </w:tabs>
        <w:spacing w:line="360" w:lineRule="auto"/>
        <w:jc w:val="both"/>
        <w:rPr>
          <w:rFonts w:ascii="Times New Roman" w:eastAsia="Times New Roman" w:hAnsi="Times New Roman" w:cs="Times New Roman"/>
          <w:sz w:val="24"/>
          <w:szCs w:val="24"/>
        </w:rPr>
      </w:pPr>
    </w:p>
    <w:p w14:paraId="1EA20CD5" w14:textId="77777777" w:rsidR="00407009"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CLÁUSULA DÉCIMA TERCEIRA – DA EXTINÇÃO CONTRATUAL</w:t>
      </w:r>
    </w:p>
    <w:p w14:paraId="49D30AD0" w14:textId="77777777" w:rsidR="00407009" w:rsidRDefault="00000000">
      <w:pPr>
        <w:numPr>
          <w:ilvl w:val="1"/>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contrato será extinto quando vencido o prazo nele estipulado, independentemente de terem sido cumpridas ou não as obrigações de ambas as partes contraentes.</w:t>
      </w:r>
    </w:p>
    <w:p w14:paraId="4052B9AF" w14:textId="77777777" w:rsidR="00407009" w:rsidRDefault="00000000">
      <w:pPr>
        <w:numPr>
          <w:ilvl w:val="1"/>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40AA4C89" w14:textId="77777777" w:rsidR="00407009" w:rsidRDefault="00000000">
      <w:pPr>
        <w:numPr>
          <w:ilvl w:val="2"/>
          <w:numId w:val="11"/>
        </w:numPr>
        <w:tabs>
          <w:tab w:val="left" w:pos="142"/>
          <w:tab w:val="left" w:pos="851"/>
        </w:tabs>
        <w:spacing w:line="360" w:lineRule="auto"/>
        <w:ind w:left="992" w:hanging="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extinção nesta hipótese ocorrerá na próxima data de aniversário do contrato,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desde que haja a notificação do contratado pelo contratante nesse sentido com pelo menos 2 </w:t>
      </w:r>
      <w:r>
        <w:rPr>
          <w:rFonts w:ascii="Times New Roman" w:eastAsia="Times New Roman" w:hAnsi="Times New Roman" w:cs="Times New Roman"/>
          <w:sz w:val="24"/>
          <w:szCs w:val="24"/>
        </w:rPr>
        <w:tab/>
        <w:t>(dois) meses de antecedência desse dia.</w:t>
      </w:r>
    </w:p>
    <w:p w14:paraId="6046F511" w14:textId="77777777" w:rsidR="00407009" w:rsidRDefault="00000000">
      <w:pPr>
        <w:numPr>
          <w:ilvl w:val="2"/>
          <w:numId w:val="11"/>
        </w:numPr>
        <w:tabs>
          <w:tab w:val="left" w:pos="142"/>
          <w:tab w:val="left" w:pos="851"/>
        </w:tabs>
        <w:spacing w:line="360" w:lineRule="auto"/>
        <w:ind w:left="992" w:hanging="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Caso a notificação da não-continuidade do contrato de que trata este subitem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ocorra com menos de 2 (dois) meses da data de aniversário, a extinção contratual ocorrerá </w:t>
      </w:r>
      <w:r>
        <w:rPr>
          <w:rFonts w:ascii="Times New Roman" w:eastAsia="Times New Roman" w:hAnsi="Times New Roman" w:cs="Times New Roman"/>
          <w:sz w:val="24"/>
          <w:szCs w:val="24"/>
        </w:rPr>
        <w:tab/>
        <w:t>após 2 (dois) meses da data da comunicação.</w:t>
      </w:r>
    </w:p>
    <w:p w14:paraId="1D346A17" w14:textId="77777777" w:rsidR="00407009" w:rsidRDefault="00000000">
      <w:pPr>
        <w:numPr>
          <w:ilvl w:val="1"/>
          <w:numId w:val="11"/>
        </w:numPr>
        <w:spacing w:before="120" w:after="288"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contrato poderá ser extinto antes de cumpridas as obrigações nele estipuladas, ou antes do prazo nele fixado, por algum dos motivos previstos no </w:t>
      </w:r>
      <w:hyperlink r:id="rId48" w:anchor="art137">
        <w:r>
          <w:rPr>
            <w:rFonts w:ascii="Times New Roman" w:eastAsia="Times New Roman" w:hAnsi="Times New Roman" w:cs="Times New Roman"/>
            <w:sz w:val="24"/>
            <w:szCs w:val="24"/>
          </w:rPr>
          <w:t>artigo 137 da Lei nº 14.133/21</w:t>
        </w:r>
      </w:hyperlink>
      <w:r>
        <w:rPr>
          <w:rFonts w:ascii="Times New Roman" w:eastAsia="Times New Roman" w:hAnsi="Times New Roman" w:cs="Times New Roman"/>
          <w:sz w:val="24"/>
          <w:szCs w:val="24"/>
        </w:rPr>
        <w:t>, bem como amigavelmente, assegurados o contraditório e a ampla defesa.</w:t>
      </w:r>
    </w:p>
    <w:p w14:paraId="7ED6B0D2" w14:textId="77777777" w:rsidR="00407009" w:rsidRDefault="00000000">
      <w:pPr>
        <w:numPr>
          <w:ilvl w:val="2"/>
          <w:numId w:val="11"/>
        </w:numPr>
        <w:spacing w:before="120" w:after="288" w:line="360" w:lineRule="auto"/>
        <w:ind w:left="17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Nesta hipótese, aplicam-se também os </w:t>
      </w:r>
      <w:hyperlink r:id="rId49" w:anchor="art138">
        <w:r>
          <w:rPr>
            <w:rFonts w:ascii="Times New Roman" w:eastAsia="Times New Roman" w:hAnsi="Times New Roman" w:cs="Times New Roman"/>
            <w:sz w:val="24"/>
            <w:szCs w:val="24"/>
          </w:rPr>
          <w:t>artigos 138 e 139</w:t>
        </w:r>
      </w:hyperlink>
      <w:r>
        <w:rPr>
          <w:rFonts w:ascii="Times New Roman" w:eastAsia="Times New Roman" w:hAnsi="Times New Roman" w:cs="Times New Roman"/>
          <w:sz w:val="24"/>
          <w:szCs w:val="24"/>
        </w:rPr>
        <w:t xml:space="preserve"> da mesma Lei.</w:t>
      </w:r>
    </w:p>
    <w:p w14:paraId="0D4A5889" w14:textId="77777777" w:rsidR="00407009" w:rsidRDefault="00000000">
      <w:pPr>
        <w:numPr>
          <w:ilvl w:val="4"/>
          <w:numId w:val="11"/>
        </w:numPr>
        <w:spacing w:before="120" w:after="288"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alteração social ou a modificação da finalidade ou da estrutura da empresa não ensejará a extinção se não restringir sua capacidade de concluir o contrato.</w:t>
      </w:r>
    </w:p>
    <w:p w14:paraId="78333723" w14:textId="77777777" w:rsidR="00407009" w:rsidRDefault="00000000">
      <w:pPr>
        <w:numPr>
          <w:ilvl w:val="3"/>
          <w:numId w:val="11"/>
        </w:numPr>
        <w:spacing w:before="120" w:after="288"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 a operação implicar mudança da pessoa jurídica contratada, deverá ser formalizado termo aditivo para alteração subjetiva.</w:t>
      </w:r>
    </w:p>
    <w:p w14:paraId="5FD742D5"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extinção, sempre que possível, será precedido:</w:t>
      </w:r>
    </w:p>
    <w:p w14:paraId="602BCECD" w14:textId="77777777" w:rsidR="00407009"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Balanço dos eventos contratuais já cumpridos ou parcialmente cumpridos;</w:t>
      </w:r>
    </w:p>
    <w:p w14:paraId="0BA97E1F" w14:textId="77777777" w:rsidR="00407009"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Relação dos pagamentos já efetuados e ainda devidos;</w:t>
      </w:r>
    </w:p>
    <w:p w14:paraId="0058111B" w14:textId="77777777" w:rsidR="00407009"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Indenizações e multas.</w:t>
      </w:r>
    </w:p>
    <w:p w14:paraId="4D94E1DE" w14:textId="77777777" w:rsidR="00407009" w:rsidRDefault="00000000">
      <w:pPr>
        <w:numPr>
          <w:ilvl w:val="1"/>
          <w:numId w:val="11"/>
        </w:numPr>
        <w:spacing w:before="120" w:after="288" w:line="312"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50" w:anchor="art131">
        <w:r>
          <w:rPr>
            <w:rFonts w:ascii="Times New Roman" w:eastAsia="Times New Roman" w:hAnsi="Times New Roman" w:cs="Times New Roman"/>
            <w:sz w:val="24"/>
            <w:szCs w:val="24"/>
          </w:rPr>
          <w:t>art. 131, caput, da Lei n.º 14.133, de 2021).</w:t>
        </w:r>
      </w:hyperlink>
      <w:r>
        <w:rPr>
          <w:rFonts w:ascii="Times New Roman" w:eastAsia="Times New Roman" w:hAnsi="Times New Roman" w:cs="Times New Roman"/>
          <w:sz w:val="24"/>
          <w:szCs w:val="24"/>
        </w:rPr>
        <w:t xml:space="preserve"> </w:t>
      </w:r>
    </w:p>
    <w:p w14:paraId="63A9F02B"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CONTRATANTE poderá ainda:</w:t>
      </w:r>
    </w:p>
    <w:p w14:paraId="096F86C7" w14:textId="77777777" w:rsidR="00407009"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nos casos de obrigação de pagamento de multa pelo CONTRATADO, reter a garantia prestada a ser executada, conforme legislação que rege a matéria; e</w:t>
      </w:r>
    </w:p>
    <w:p w14:paraId="16923C04" w14:textId="77777777" w:rsidR="00407009"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nos casos em que houver necessidade de ressarcimento de prejuízos causados à Administração, nos termos do inciso IV do art. 139 da Lei n.º 14.133, de 2021, reter os eventuais créditos existentes em favor do CONTRATADO decorrentes do contrato.</w:t>
      </w:r>
    </w:p>
    <w:p w14:paraId="03151004"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5A142385" w14:textId="77777777" w:rsidR="00407009" w:rsidRDefault="00407009">
      <w:pPr>
        <w:pBdr>
          <w:top w:val="nil"/>
          <w:left w:val="nil"/>
          <w:bottom w:val="nil"/>
          <w:right w:val="nil"/>
          <w:between w:val="nil"/>
        </w:pBdr>
        <w:spacing w:before="120" w:after="120" w:line="276" w:lineRule="auto"/>
        <w:ind w:left="858" w:hanging="432"/>
        <w:jc w:val="both"/>
        <w:rPr>
          <w:rFonts w:ascii="Times New Roman" w:eastAsia="Times New Roman" w:hAnsi="Times New Roman" w:cs="Times New Roman"/>
          <w:color w:val="000000"/>
          <w:sz w:val="24"/>
          <w:szCs w:val="24"/>
        </w:rPr>
      </w:pPr>
    </w:p>
    <w:p w14:paraId="51A39CC1" w14:textId="77777777" w:rsidR="00407009" w:rsidRDefault="00000000">
      <w:pPr>
        <w:keepNext/>
        <w:keepLines/>
        <w:numPr>
          <w:ilvl w:val="0"/>
          <w:numId w:val="11"/>
        </w:numPr>
        <w:tabs>
          <w:tab w:val="left" w:pos="567"/>
        </w:tabs>
        <w:spacing w:line="360" w:lineRule="auto"/>
        <w:jc w:val="both"/>
        <w:rPr>
          <w:rFonts w:ascii="Times New Roman" w:eastAsia="Times New Roman" w:hAnsi="Times New Roman" w:cs="Times New Roman"/>
          <w:b/>
          <w:bCs/>
          <w:color w:val="000000"/>
          <w:sz w:val="24"/>
          <w:szCs w:val="24"/>
        </w:rPr>
      </w:pPr>
      <w:bookmarkStart w:id="27" w:name="_heading=h.jivifp9kcf25" w:colFirst="0" w:colLast="0"/>
      <w:bookmarkEnd w:id="27"/>
      <w:r>
        <w:rPr>
          <w:rFonts w:ascii="Times New Roman" w:eastAsia="Times New Roman" w:hAnsi="Times New Roman" w:cs="Times New Roman"/>
          <w:b/>
          <w:bCs/>
          <w:color w:val="000000"/>
          <w:sz w:val="24"/>
          <w:szCs w:val="24"/>
        </w:rPr>
        <w:t>CLÁUSULA DÉCIMA QUARTA – OBRIGAÇÕES PERTINENTES À LGPD</w:t>
      </w:r>
    </w:p>
    <w:p w14:paraId="0CC17720"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partes deverão cumprir a </w:t>
      </w:r>
      <w:hyperlink r:id="rId51">
        <w:r>
          <w:rPr>
            <w:rFonts w:ascii="Times New Roman" w:eastAsia="Times New Roman" w:hAnsi="Times New Roman" w:cs="Times New Roman"/>
            <w:color w:val="000000"/>
            <w:sz w:val="24"/>
            <w:szCs w:val="24"/>
          </w:rPr>
          <w:t>Lei nº 13.709, de 14 de agosto de 2018 (LGPD)</w:t>
        </w:r>
      </w:hyperlink>
      <w:r>
        <w:rPr>
          <w:rFonts w:ascii="Times New Roman" w:eastAsia="Times New Roman" w:hAnsi="Times New Roman" w:cs="Times New Roman"/>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503C663"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Os dados obtidos somente poderão ser utilizados para as finalidades que justificaram seu acesso e de acordo com a boa-fé e com os princípios do </w:t>
      </w:r>
      <w:hyperlink r:id="rId52" w:anchor="art6">
        <w:r>
          <w:rPr>
            <w:rFonts w:ascii="Times New Roman" w:eastAsia="Times New Roman" w:hAnsi="Times New Roman" w:cs="Times New Roman"/>
            <w:color w:val="000000"/>
            <w:sz w:val="24"/>
            <w:szCs w:val="24"/>
          </w:rPr>
          <w:t>art. 6º da LGPD</w:t>
        </w:r>
      </w:hyperlink>
      <w:r>
        <w:rPr>
          <w:rFonts w:ascii="Times New Roman" w:eastAsia="Times New Roman" w:hAnsi="Times New Roman" w:cs="Times New Roman"/>
          <w:color w:val="000000"/>
          <w:sz w:val="24"/>
          <w:szCs w:val="24"/>
        </w:rPr>
        <w:t xml:space="preserve">. </w:t>
      </w:r>
    </w:p>
    <w:p w14:paraId="2CDEB3E9"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É vedado o compartilhamento com terceiros dos dados obtidos fora das hipóteses permitidas em Lei.</w:t>
      </w:r>
    </w:p>
    <w:p w14:paraId="76A8B381"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Administração deverá ser informada no prazo de 5 (cinco) dias úteis sobre todos os contratos de suboperação firmados ou que venham a ser celebrados pelo Contratado. </w:t>
      </w:r>
    </w:p>
    <w:p w14:paraId="40FB4F1A"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Terminado o tratamento dos dados nos termos do </w:t>
      </w:r>
      <w:hyperlink r:id="rId53" w:anchor="art15">
        <w:r>
          <w:rPr>
            <w:rFonts w:ascii="Times New Roman" w:eastAsia="Times New Roman" w:hAnsi="Times New Roman" w:cs="Times New Roman"/>
            <w:color w:val="000000"/>
            <w:sz w:val="24"/>
            <w:szCs w:val="24"/>
          </w:rPr>
          <w:t>art. 15 da LGPD</w:t>
        </w:r>
      </w:hyperlink>
      <w:r>
        <w:rPr>
          <w:rFonts w:ascii="Times New Roman" w:eastAsia="Times New Roman" w:hAnsi="Times New Roman" w:cs="Times New Roman"/>
          <w:color w:val="000000"/>
          <w:sz w:val="24"/>
          <w:szCs w:val="24"/>
        </w:rPr>
        <w:t xml:space="preserve">, é dever do contratado eliminá-los, com exceção das hipóteses do </w:t>
      </w:r>
      <w:hyperlink r:id="rId54" w:anchor="art16">
        <w:r>
          <w:rPr>
            <w:rFonts w:ascii="Times New Roman" w:eastAsia="Times New Roman" w:hAnsi="Times New Roman" w:cs="Times New Roman"/>
            <w:color w:val="000000"/>
            <w:sz w:val="24"/>
            <w:szCs w:val="24"/>
          </w:rPr>
          <w:t>art. 16 da LGPD</w:t>
        </w:r>
      </w:hyperlink>
      <w:r>
        <w:rPr>
          <w:rFonts w:ascii="Times New Roman" w:eastAsia="Times New Roman" w:hAnsi="Times New Roman" w:cs="Times New Roman"/>
          <w:color w:val="000000"/>
          <w:sz w:val="24"/>
          <w:szCs w:val="24"/>
        </w:rPr>
        <w:t xml:space="preserve">, incluindo aquelas em que houver necessidade de guarda de documentação para fins de comprovação do cumprimento de obrigações legais ou contratuais e somente enquanto não prescritas essas obrigações. </w:t>
      </w:r>
    </w:p>
    <w:p w14:paraId="04168060"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É dever do contratado orientar e treinar seus empregados sobre os deveres, requisitos e responsabilidades decorrentes da LGPD. </w:t>
      </w:r>
    </w:p>
    <w:p w14:paraId="6E4793E0"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Contratado deverá exigir de suboperadores e subcontratados o cumprimento dos deveres da presente cláusula, permanecendo integralmente responsável por garantir sua observância.</w:t>
      </w:r>
    </w:p>
    <w:p w14:paraId="4B00F0A2"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Contratante poderá realizar diligência para aferir o cumprimento dessa cláusula, devendo o Contratado atender prontamente eventuais pedidos de comprovação formulados. </w:t>
      </w:r>
    </w:p>
    <w:p w14:paraId="7E1C6538"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2264048A"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55">
        <w:r>
          <w:rPr>
            <w:rFonts w:ascii="Times New Roman" w:eastAsia="Times New Roman" w:hAnsi="Times New Roman" w:cs="Times New Roman"/>
            <w:color w:val="000000"/>
            <w:sz w:val="24"/>
            <w:szCs w:val="24"/>
          </w:rPr>
          <w:t>LGPD, art. 37</w:t>
        </w:r>
      </w:hyperlink>
      <w:r>
        <w:rPr>
          <w:rFonts w:ascii="Times New Roman" w:eastAsia="Times New Roman" w:hAnsi="Times New Roman" w:cs="Times New Roman"/>
          <w:color w:val="000000"/>
          <w:sz w:val="24"/>
          <w:szCs w:val="24"/>
        </w:rPr>
        <w:t>), com cada acesso, data, horário e registro da finalidade, para efeito de responsabilização, em caso de eventuais omissões, desvios ou abusos.</w:t>
      </w:r>
    </w:p>
    <w:p w14:paraId="720EEAE3" w14:textId="77777777" w:rsidR="00407009" w:rsidRDefault="00000000">
      <w:pPr>
        <w:numPr>
          <w:ilvl w:val="2"/>
          <w:numId w:val="11"/>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referidos bancos de dados devem ser desenvolvidos em formato interoperável, a fim de garantir a reutilização desses dados pela Administração nas hipóteses previstas na LGPD.</w:t>
      </w:r>
    </w:p>
    <w:p w14:paraId="4155EE9E"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18AFE976" w14:textId="77777777" w:rsidR="00407009" w:rsidRDefault="00000000">
      <w:pPr>
        <w:numPr>
          <w:ilvl w:val="1"/>
          <w:numId w:val="11"/>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Os contratos e convênios de que trata o </w:t>
      </w:r>
      <w:hyperlink r:id="rId56" w:anchor="art26%C2%A71">
        <w:r>
          <w:rPr>
            <w:rFonts w:ascii="Times New Roman" w:eastAsia="Times New Roman" w:hAnsi="Times New Roman" w:cs="Times New Roman"/>
            <w:color w:val="000000"/>
            <w:sz w:val="24"/>
            <w:szCs w:val="24"/>
          </w:rPr>
          <w:t>§ 1º do art. 26 da LGPD</w:t>
        </w:r>
      </w:hyperlink>
      <w:r>
        <w:rPr>
          <w:rFonts w:ascii="Times New Roman" w:eastAsia="Times New Roman" w:hAnsi="Times New Roman" w:cs="Times New Roman"/>
          <w:color w:val="000000"/>
          <w:sz w:val="24"/>
          <w:szCs w:val="24"/>
        </w:rPr>
        <w:t xml:space="preserve"> deverão ser comunicados à autoridade nacional.</w:t>
      </w:r>
    </w:p>
    <w:p w14:paraId="2F9C00FA" w14:textId="77777777" w:rsidR="00407009"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CLÁUSULA DÉCIMA QUINTA – DO FORO DE ELEIÇÃO</w:t>
      </w:r>
    </w:p>
    <w:p w14:paraId="0EDE37A3" w14:textId="77777777" w:rsidR="00407009" w:rsidRDefault="00000000">
      <w:pPr>
        <w:numPr>
          <w:ilvl w:val="1"/>
          <w:numId w:val="11"/>
        </w:num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Fica eleito o Foro da Justiça Federal, Seção Judiciária do Rio de Janeiro, para dirimir qualquer litígio decorrente do presente contrato que não possa ser resolvido por meio consensual e amigável, com expressa renúncia a qualquer outro, por mais privilegiado que seja,</w:t>
      </w:r>
      <w:r>
        <w:rPr>
          <w:sz w:val="24"/>
          <w:szCs w:val="24"/>
        </w:rPr>
        <w:t xml:space="preserve"> </w:t>
      </w:r>
      <w:r>
        <w:rPr>
          <w:rFonts w:ascii="Times New Roman" w:eastAsia="Times New Roman" w:hAnsi="Times New Roman" w:cs="Times New Roman"/>
          <w:sz w:val="24"/>
          <w:szCs w:val="24"/>
        </w:rPr>
        <w:t xml:space="preserve">conforme </w:t>
      </w:r>
      <w:hyperlink r:id="rId57" w:anchor="art92%C2%A71">
        <w:r>
          <w:rPr>
            <w:rFonts w:ascii="Times New Roman" w:eastAsia="Times New Roman" w:hAnsi="Times New Roman" w:cs="Times New Roman"/>
            <w:sz w:val="24"/>
            <w:szCs w:val="24"/>
          </w:rPr>
          <w:t>art. 92, §1º, da Lei nº 14.133/21</w:t>
        </w:r>
      </w:hyperlink>
      <w:r>
        <w:rPr>
          <w:rFonts w:ascii="Times New Roman" w:eastAsia="Times New Roman" w:hAnsi="Times New Roman" w:cs="Times New Roman"/>
          <w:sz w:val="24"/>
          <w:szCs w:val="24"/>
        </w:rPr>
        <w:t>.</w:t>
      </w:r>
    </w:p>
    <w:p w14:paraId="7E092042" w14:textId="77777777" w:rsidR="00407009" w:rsidRDefault="00407009">
      <w:pPr>
        <w:tabs>
          <w:tab w:val="left" w:pos="567"/>
        </w:tabs>
        <w:spacing w:line="360" w:lineRule="auto"/>
        <w:jc w:val="both"/>
        <w:rPr>
          <w:rFonts w:ascii="Times New Roman" w:eastAsia="Times New Roman" w:hAnsi="Times New Roman" w:cs="Times New Roman"/>
          <w:sz w:val="24"/>
          <w:szCs w:val="24"/>
        </w:rPr>
      </w:pPr>
    </w:p>
    <w:p w14:paraId="3F277F16" w14:textId="77777777" w:rsidR="00407009" w:rsidRDefault="00000000">
      <w:p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por estarem assim acordes em todas as condições e cláusulas estabelecidas neste contrato, firmam as partes o presente instrumento em 03 (três) vias de igual teor e forma e para um mesmo efeito, depois de lido e achado conforme, em presença de testemunhas abaixo firmadas.</w:t>
      </w:r>
    </w:p>
    <w:p w14:paraId="69433340" w14:textId="77777777" w:rsidR="00407009" w:rsidRDefault="00407009">
      <w:pPr>
        <w:tabs>
          <w:tab w:val="left" w:pos="567"/>
        </w:tabs>
        <w:spacing w:line="360" w:lineRule="auto"/>
        <w:jc w:val="center"/>
        <w:rPr>
          <w:rFonts w:ascii="Times New Roman" w:eastAsia="Times New Roman" w:hAnsi="Times New Roman" w:cs="Times New Roman"/>
          <w:sz w:val="24"/>
          <w:szCs w:val="24"/>
        </w:rPr>
      </w:pPr>
    </w:p>
    <w:p w14:paraId="52120A4C" w14:textId="77777777" w:rsidR="00407009" w:rsidRDefault="00000000">
      <w:pPr>
        <w:tabs>
          <w:tab w:val="left" w:pos="567"/>
        </w:tabs>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Rio de Janeiro, [data]</w:t>
      </w:r>
    </w:p>
    <w:p w14:paraId="1921DC9B" w14:textId="77777777" w:rsidR="00407009" w:rsidRDefault="00000000">
      <w:pPr>
        <w:tabs>
          <w:tab w:val="left" w:pos="567"/>
        </w:tabs>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CONSELHO REGIONAL DE ENFERMAGEM DO RIO DE JANEIRO – COREN-RJ</w:t>
      </w:r>
    </w:p>
    <w:p w14:paraId="4318D55D" w14:textId="77777777" w:rsidR="00407009" w:rsidRDefault="00000000">
      <w:pPr>
        <w:tabs>
          <w:tab w:val="left" w:pos="567"/>
        </w:tabs>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CONTRATADO</w:t>
      </w:r>
    </w:p>
    <w:p w14:paraId="2ABE2D53" w14:textId="77777777" w:rsidR="00407009" w:rsidRDefault="00000000">
      <w:pPr>
        <w:tabs>
          <w:tab w:val="left" w:pos="567"/>
        </w:tabs>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TESTEMUNHAS:</w:t>
      </w:r>
    </w:p>
    <w:p w14:paraId="5CDD8924" w14:textId="77777777" w:rsidR="00407009" w:rsidRDefault="00000000">
      <w:p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1ª ______________________________ </w:t>
      </w:r>
      <w:r>
        <w:rPr>
          <w:rFonts w:ascii="Times New Roman" w:eastAsia="Times New Roman" w:hAnsi="Times New Roman" w:cs="Times New Roman"/>
          <w:sz w:val="24"/>
          <w:szCs w:val="24"/>
        </w:rPr>
        <w:tab/>
        <w:t>2ª ______________________________</w:t>
      </w:r>
    </w:p>
    <w:p w14:paraId="39E30890" w14:textId="77777777" w:rsidR="00407009" w:rsidRDefault="00000000">
      <w:p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NOME: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NOME:</w:t>
      </w:r>
    </w:p>
    <w:p w14:paraId="55CC5806" w14:textId="77777777" w:rsidR="00407009" w:rsidRDefault="00000000">
      <w:pPr>
        <w:tabs>
          <w:tab w:val="left" w:pos="567"/>
        </w:tabs>
        <w:spacing w:line="360" w:lineRule="auto"/>
        <w:jc w:val="both"/>
        <w:rPr>
          <w:sz w:val="24"/>
          <w:szCs w:val="24"/>
        </w:rPr>
      </w:pPr>
      <w:r>
        <w:rPr>
          <w:rFonts w:ascii="Times New Roman" w:eastAsia="Times New Roman" w:hAnsi="Times New Roman" w:cs="Times New Roman"/>
          <w:sz w:val="24"/>
          <w:szCs w:val="24"/>
        </w:rPr>
        <w:t xml:space="preserve">CPF: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CPF:</w:t>
      </w:r>
    </w:p>
    <w:p w14:paraId="1B59C49C" w14:textId="77777777" w:rsidR="00407009" w:rsidRDefault="00407009">
      <w:pPr>
        <w:spacing w:line="360" w:lineRule="auto"/>
        <w:jc w:val="center"/>
        <w:rPr>
          <w:sz w:val="24"/>
          <w:szCs w:val="24"/>
        </w:rPr>
      </w:pPr>
    </w:p>
    <w:sectPr w:rsidR="00407009">
      <w:pgSz w:w="11906" w:h="16838"/>
      <w:pgMar w:top="1440" w:right="1080" w:bottom="1440" w:left="108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9D597" w14:textId="77777777" w:rsidR="00063A05" w:rsidRDefault="00063A05">
      <w:r>
        <w:separator/>
      </w:r>
    </w:p>
  </w:endnote>
  <w:endnote w:type="continuationSeparator" w:id="0">
    <w:p w14:paraId="40EE9833" w14:textId="77777777" w:rsidR="00063A05" w:rsidRDefault="00063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DE62E6AC-2D37-491A-AC1B-558045DCB8A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F79F875A-6B9B-4B7B-91DD-CF35FB4F7ECA}"/>
    <w:embedItalic r:id="rId3" w:fontKey="{F90496BC-A233-45A2-B4BA-4C7487BB8EF8}"/>
  </w:font>
  <w:font w:name="Georgia">
    <w:panose1 w:val="02040502050405020303"/>
    <w:charset w:val="00"/>
    <w:family w:val="roman"/>
    <w:pitch w:val="variable"/>
    <w:sig w:usb0="00000287" w:usb1="00000000" w:usb2="00000000" w:usb3="00000000" w:csb0="0000009F" w:csb1="00000000"/>
    <w:embedItalic r:id="rId4" w:fontKey="{E8FD404C-9A43-43CF-8D2E-9F3DE3A31715}"/>
  </w:font>
  <w:font w:name="Arial Unicode MS">
    <w:altName w:val="Arial"/>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embedRegular r:id="rId5" w:fontKey="{7AEB1E96-A07C-440C-92D5-73C72B7DFCE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6C8CA" w14:textId="77777777" w:rsidR="00407009" w:rsidRDefault="00000000">
    <w:pPr>
      <w:tabs>
        <w:tab w:val="center" w:pos="4252"/>
        <w:tab w:val="right" w:pos="8504"/>
      </w:tabs>
      <w:jc w:val="center"/>
    </w:pPr>
    <w:r>
      <w:rPr>
        <w:b/>
        <w:bCs/>
        <w:i/>
        <w:iCs/>
        <w:sz w:val="16"/>
        <w:szCs w:val="16"/>
        <w:u w:val="single"/>
      </w:rPr>
      <w:t>SEDE:</w:t>
    </w:r>
    <w:r>
      <w:rPr>
        <w:sz w:val="16"/>
        <w:szCs w:val="16"/>
      </w:rPr>
      <w:t xml:space="preserve"> Av. Presidente Vargas, 502 – 3º 4º 5º e 6º andar – Centro – RJ – CEP: 20071-000</w:t>
    </w:r>
  </w:p>
  <w:p w14:paraId="6DB1D18F" w14:textId="77777777" w:rsidR="00407009" w:rsidRDefault="00000000">
    <w:pPr>
      <w:tabs>
        <w:tab w:val="center" w:pos="4252"/>
        <w:tab w:val="right" w:pos="8504"/>
      </w:tabs>
      <w:jc w:val="center"/>
    </w:pPr>
    <w:proofErr w:type="spellStart"/>
    <w:r>
      <w:rPr>
        <w:b/>
        <w:bCs/>
        <w:i/>
        <w:iCs/>
        <w:sz w:val="16"/>
        <w:szCs w:val="16"/>
        <w:u w:val="single"/>
      </w:rPr>
      <w:t>Tel</w:t>
    </w:r>
    <w:proofErr w:type="spellEnd"/>
    <w:r>
      <w:rPr>
        <w:b/>
        <w:bCs/>
        <w:i/>
        <w:iCs/>
        <w:sz w:val="16"/>
        <w:szCs w:val="16"/>
        <w:u w:val="single"/>
      </w:rPr>
      <w:t>:</w:t>
    </w:r>
    <w:r>
      <w:rPr>
        <w:sz w:val="16"/>
        <w:szCs w:val="16"/>
      </w:rPr>
      <w:t xml:space="preserve"> (21) 3232-8730 – </w:t>
    </w:r>
    <w:r>
      <w:rPr>
        <w:b/>
        <w:bCs/>
        <w:i/>
        <w:iCs/>
        <w:sz w:val="16"/>
        <w:szCs w:val="16"/>
        <w:u w:val="single"/>
      </w:rPr>
      <w:t>HOME PAGE</w:t>
    </w:r>
    <w:r>
      <w:rPr>
        <w:sz w:val="16"/>
        <w:szCs w:val="16"/>
      </w:rPr>
      <w:t xml:space="preserve"> </w:t>
    </w:r>
    <w:hyperlink r:id="rId1">
      <w:r>
        <w:rPr>
          <w:color w:val="000080"/>
          <w:sz w:val="16"/>
          <w:szCs w:val="16"/>
          <w:u w:val="single"/>
        </w:rPr>
        <w:t>www.coren-rj.org.br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C1D29" w14:textId="77777777" w:rsidR="00063A05" w:rsidRDefault="00063A05">
      <w:r>
        <w:separator/>
      </w:r>
    </w:p>
  </w:footnote>
  <w:footnote w:type="continuationSeparator" w:id="0">
    <w:p w14:paraId="5F2A4E49" w14:textId="77777777" w:rsidR="00063A05" w:rsidRDefault="00063A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EF1EC" w14:textId="77777777" w:rsidR="00407009" w:rsidRDefault="00000000">
    <w:pPr>
      <w:pBdr>
        <w:top w:val="nil"/>
        <w:left w:val="nil"/>
        <w:bottom w:val="nil"/>
        <w:right w:val="nil"/>
        <w:between w:val="nil"/>
      </w:pBdr>
      <w:tabs>
        <w:tab w:val="center" w:pos="4252"/>
        <w:tab w:val="right" w:pos="8504"/>
      </w:tabs>
      <w:rPr>
        <w:color w:val="000000"/>
      </w:rPr>
    </w:pPr>
    <w:r>
      <w:rPr>
        <w:noProof/>
      </w:rPr>
      <mc:AlternateContent>
        <mc:Choice Requires="wps">
          <w:drawing>
            <wp:anchor distT="0" distB="0" distL="114300" distR="114300" simplePos="0" relativeHeight="251658240" behindDoc="0" locked="0" layoutInCell="1" hidden="0" allowOverlap="1" wp14:anchorId="0568E3B3" wp14:editId="23F3FC28">
              <wp:simplePos x="0" y="0"/>
              <wp:positionH relativeFrom="column">
                <wp:posOffset>4744720</wp:posOffset>
              </wp:positionH>
              <wp:positionV relativeFrom="paragraph">
                <wp:posOffset>-175894</wp:posOffset>
              </wp:positionV>
              <wp:extent cx="1456690" cy="1080770"/>
              <wp:effectExtent l="0" t="0" r="0" b="0"/>
              <wp:wrapNone/>
              <wp:docPr id="1" name="Retângulo 1"/>
              <wp:cNvGraphicFramePr/>
              <a:graphic xmlns:a="http://schemas.openxmlformats.org/drawingml/2006/main">
                <a:graphicData uri="http://schemas.microsoft.com/office/word/2010/wordprocessingShape">
                  <wps:wsp>
                    <wps:cNvSpPr/>
                    <wps:spPr>
                      <a:xfrm>
                        <a:off x="4630355" y="3252315"/>
                        <a:ext cx="1431290" cy="1055370"/>
                      </a:xfrm>
                      <a:prstGeom prst="rect">
                        <a:avLst/>
                      </a:prstGeom>
                      <a:solidFill>
                        <a:srgbClr val="FFFFFF"/>
                      </a:solidFill>
                      <a:ln w="25400" cap="flat" cmpd="sng">
                        <a:solidFill>
                          <a:srgbClr val="000000"/>
                        </a:solidFill>
                        <a:prstDash val="solid"/>
                        <a:miter lim="8000"/>
                        <a:headEnd type="none" w="sm" len="sm"/>
                        <a:tailEnd type="none" w="sm" len="sm"/>
                      </a:ln>
                    </wps:spPr>
                    <wps:txbx>
                      <w:txbxContent>
                        <w:p w14:paraId="452F1710" w14:textId="77777777" w:rsidR="00407009" w:rsidRDefault="00000000">
                          <w:pPr>
                            <w:textDirection w:val="btLr"/>
                          </w:pPr>
                          <w:r>
                            <w:rPr>
                              <w:color w:val="000000"/>
                              <w:sz w:val="18"/>
                            </w:rPr>
                            <w:t>Processo n°: 1005/2026</w:t>
                          </w:r>
                        </w:p>
                        <w:p w14:paraId="3A949F5F" w14:textId="77777777" w:rsidR="00407009" w:rsidRDefault="00407009">
                          <w:pPr>
                            <w:textDirection w:val="btLr"/>
                          </w:pPr>
                        </w:p>
                        <w:p w14:paraId="72B2E231" w14:textId="77777777" w:rsidR="00407009" w:rsidRDefault="00000000">
                          <w:pPr>
                            <w:textDirection w:val="btLr"/>
                          </w:pPr>
                          <w:r>
                            <w:rPr>
                              <w:color w:val="000000"/>
                              <w:sz w:val="18"/>
                            </w:rPr>
                            <w:t>Data: 19/03/2026</w:t>
                          </w:r>
                        </w:p>
                        <w:p w14:paraId="539C541B" w14:textId="77777777" w:rsidR="00407009" w:rsidRDefault="00407009">
                          <w:pPr>
                            <w:textDirection w:val="btLr"/>
                          </w:pPr>
                        </w:p>
                        <w:p w14:paraId="2F5375A3" w14:textId="77777777" w:rsidR="00407009" w:rsidRDefault="00000000">
                          <w:pPr>
                            <w:textDirection w:val="btLr"/>
                          </w:pPr>
                          <w:r>
                            <w:rPr>
                              <w:color w:val="000000"/>
                              <w:sz w:val="18"/>
                            </w:rPr>
                            <w:t xml:space="preserve">Folhas: </w:t>
                          </w:r>
                        </w:p>
                        <w:p w14:paraId="2FD4C249" w14:textId="77777777" w:rsidR="00407009" w:rsidRDefault="00407009">
                          <w:pPr>
                            <w:textDirection w:val="btLr"/>
                          </w:pPr>
                        </w:p>
                        <w:p w14:paraId="102E3CB8" w14:textId="77777777" w:rsidR="00407009" w:rsidRDefault="00000000">
                          <w:pPr>
                            <w:textDirection w:val="btLr"/>
                          </w:pPr>
                          <w:r>
                            <w:rPr>
                              <w:color w:val="000000"/>
                              <w:sz w:val="18"/>
                            </w:rPr>
                            <w:t xml:space="preserve">Rubrica: </w:t>
                          </w:r>
                        </w:p>
                      </w:txbxContent>
                    </wps:txbx>
                    <wps:bodyPr spcFirstLastPara="1" wrap="square" lIns="91425" tIns="45700" rIns="91425" bIns="45700" anchor="t" anchorCtr="0">
                      <a:noAutofit/>
                    </wps:bodyPr>
                  </wps:wsp>
                </a:graphicData>
              </a:graphic>
            </wp:anchor>
          </w:drawing>
        </mc:Choice>
        <mc:Fallback>
          <w:pict>
            <v:rect w14:anchorId="0568E3B3" id="Retângulo 1" o:spid="_x0000_s1027" style="position:absolute;margin-left:373.6pt;margin-top:-13.85pt;width:114.7pt;height:8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" strokeweight="2pt">
              <v:stroke startarrowwidth="narrow" startarrowlength="short" endarrowwidth="narrow" endarrowlength="short" miterlimit="5243f"/>
              <v:textbox inset="2.53958mm,1.2694mm,2.53958mm,1.2694mm">
                <w:txbxContent>
                  <w:p w14:paraId="452F1710" w14:textId="77777777" w:rsidR="00407009" w:rsidRDefault="00000000">
                    <w:pPr>
                      <w:textDirection w:val="btLr"/>
                    </w:pPr>
                    <w:r>
                      <w:rPr>
                        <w:color w:val="000000"/>
                        <w:sz w:val="18"/>
                      </w:rPr>
                      <w:t>Processo n°: 1005/2026</w:t>
                    </w:r>
                  </w:p>
                  <w:p w14:paraId="3A949F5F" w14:textId="77777777" w:rsidR="00407009" w:rsidRDefault="00407009">
                    <w:pPr>
                      <w:textDirection w:val="btLr"/>
                    </w:pPr>
                  </w:p>
                  <w:p w14:paraId="72B2E231" w14:textId="77777777" w:rsidR="00407009" w:rsidRDefault="00000000">
                    <w:pPr>
                      <w:textDirection w:val="btLr"/>
                    </w:pPr>
                    <w:r>
                      <w:rPr>
                        <w:color w:val="000000"/>
                        <w:sz w:val="18"/>
                      </w:rPr>
                      <w:t>Data: 19/03/2026</w:t>
                    </w:r>
                  </w:p>
                  <w:p w14:paraId="539C541B" w14:textId="77777777" w:rsidR="00407009" w:rsidRDefault="00407009">
                    <w:pPr>
                      <w:textDirection w:val="btLr"/>
                    </w:pPr>
                  </w:p>
                  <w:p w14:paraId="2F5375A3" w14:textId="77777777" w:rsidR="00407009" w:rsidRDefault="00000000">
                    <w:pPr>
                      <w:textDirection w:val="btLr"/>
                    </w:pPr>
                    <w:r>
                      <w:rPr>
                        <w:color w:val="000000"/>
                        <w:sz w:val="18"/>
                      </w:rPr>
                      <w:t xml:space="preserve">Folhas: </w:t>
                    </w:r>
                  </w:p>
                  <w:p w14:paraId="2FD4C249" w14:textId="77777777" w:rsidR="00407009" w:rsidRDefault="00407009">
                    <w:pPr>
                      <w:textDirection w:val="btLr"/>
                    </w:pPr>
                  </w:p>
                  <w:p w14:paraId="102E3CB8" w14:textId="77777777" w:rsidR="00407009" w:rsidRDefault="00000000">
                    <w:pPr>
                      <w:textDirection w:val="btLr"/>
                    </w:pPr>
                    <w:r>
                      <w:rPr>
                        <w:color w:val="000000"/>
                        <w:sz w:val="18"/>
                      </w:rPr>
                      <w:t xml:space="preserve">Rubrica: </w:t>
                    </w:r>
                  </w:p>
                </w:txbxContent>
              </v:textbox>
            </v:rect>
          </w:pict>
        </mc:Fallback>
      </mc:AlternateContent>
    </w:r>
    <w:r>
      <w:rPr>
        <w:noProof/>
      </w:rPr>
      <w:drawing>
        <wp:anchor distT="0" distB="0" distL="114300" distR="114300" simplePos="0" relativeHeight="251659264" behindDoc="0" locked="0" layoutInCell="1" hidden="0" allowOverlap="1" wp14:anchorId="621D51DC" wp14:editId="19DA6221">
          <wp:simplePos x="0" y="0"/>
          <wp:positionH relativeFrom="column">
            <wp:posOffset>19051</wp:posOffset>
          </wp:positionH>
          <wp:positionV relativeFrom="paragraph">
            <wp:posOffset>-59689</wp:posOffset>
          </wp:positionV>
          <wp:extent cx="3324225" cy="860425"/>
          <wp:effectExtent l="0" t="0" r="0" b="0"/>
          <wp:wrapTopAndBottom distT="0" distB="0"/>
          <wp:docPr id="3" name="image1.jpg" descr="Descrição: Descrição: S:\COREN_RJ.jpg"/>
          <wp:cNvGraphicFramePr/>
          <a:graphic xmlns:a="http://schemas.openxmlformats.org/drawingml/2006/main">
            <a:graphicData uri="http://schemas.openxmlformats.org/drawingml/2006/picture">
              <pic:pic xmlns:pic="http://schemas.openxmlformats.org/drawingml/2006/picture">
                <pic:nvPicPr>
                  <pic:cNvPr id="0" name="image1.jpg" descr="Descrição: Descrição: S:\COREN_RJ.jpg"/>
                  <pic:cNvPicPr preferRelativeResize="0"/>
                </pic:nvPicPr>
                <pic:blipFill>
                  <a:blip r:embed="rId1"/>
                  <a:srcRect/>
                  <a:stretch>
                    <a:fillRect/>
                  </a:stretch>
                </pic:blipFill>
                <pic:spPr>
                  <a:xfrm>
                    <a:off x="0" y="0"/>
                    <a:ext cx="3324225" cy="8604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5F46"/>
    <w:multiLevelType w:val="multilevel"/>
    <w:tmpl w:val="96C6BA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B2540BE"/>
    <w:multiLevelType w:val="multilevel"/>
    <w:tmpl w:val="FC304DFC"/>
    <w:lvl w:ilvl="0">
      <w:start w:val="1"/>
      <w:numFmt w:val="decimal"/>
      <w:lvlText w:val="%1."/>
      <w:lvlJc w:val="left"/>
      <w:pPr>
        <w:ind w:left="360" w:hanging="360"/>
      </w:pPr>
      <w:rPr>
        <w:b/>
        <w:bCs/>
        <w:color w:val="000000"/>
      </w:rPr>
    </w:lvl>
    <w:lvl w:ilvl="1">
      <w:start w:val="1"/>
      <w:numFmt w:val="upperRoman"/>
      <w:lvlText w:val="%2."/>
      <w:lvlJc w:val="right"/>
      <w:pPr>
        <w:ind w:left="644" w:hanging="359"/>
      </w:pPr>
    </w:lvl>
    <w:lvl w:ilvl="2">
      <w:start w:val="1"/>
      <w:numFmt w:val="decimal"/>
      <w:lvlText w:val="%1.%2.%3."/>
      <w:lvlJc w:val="left"/>
      <w:pPr>
        <w:ind w:left="930" w:hanging="504"/>
      </w:pPr>
      <w:rPr>
        <w:b w:val="0"/>
        <w:bCs w:val="0"/>
        <w:i w:val="0"/>
        <w:iCs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B573EB"/>
    <w:multiLevelType w:val="multilevel"/>
    <w:tmpl w:val="AA7CEBE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1FF6506"/>
    <w:multiLevelType w:val="multilevel"/>
    <w:tmpl w:val="ABB4B96C"/>
    <w:lvl w:ilvl="0">
      <w:start w:val="1"/>
      <w:numFmt w:val="decimal"/>
      <w:lvlText w:val="%1."/>
      <w:lvlJc w:val="left"/>
      <w:pPr>
        <w:ind w:left="360" w:hanging="360"/>
      </w:pPr>
      <w:rPr>
        <w:b/>
        <w:bCs/>
        <w:color w:val="000000"/>
      </w:rPr>
    </w:lvl>
    <w:lvl w:ilvl="1">
      <w:start w:val="1"/>
      <w:numFmt w:val="decimal"/>
      <w:lvlText w:val="%1.%2."/>
      <w:lvlJc w:val="left"/>
      <w:pPr>
        <w:ind w:left="716" w:hanging="432"/>
      </w:pPr>
      <w:rPr>
        <w:b w:val="0"/>
        <w:bCs w:val="0"/>
        <w:i w:val="0"/>
        <w:iCs w:val="0"/>
        <w:strike w:val="0"/>
        <w:color w:val="000000"/>
      </w:rPr>
    </w:lvl>
    <w:lvl w:ilvl="2">
      <w:start w:val="1"/>
      <w:numFmt w:val="decimal"/>
      <w:lvlText w:val="%1.%2.%3."/>
      <w:lvlJc w:val="left"/>
      <w:pPr>
        <w:ind w:left="930" w:hanging="504"/>
      </w:pPr>
      <w:rPr>
        <w:b w:val="0"/>
        <w:bCs w:val="0"/>
        <w:i w:val="0"/>
        <w:iCs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ED545D"/>
    <w:multiLevelType w:val="multilevel"/>
    <w:tmpl w:val="94309A7A"/>
    <w:lvl w:ilvl="0">
      <w:start w:val="1"/>
      <w:numFmt w:val="decimal"/>
      <w:lvlText w:val="%1."/>
      <w:lvlJc w:val="left"/>
      <w:pPr>
        <w:ind w:left="0" w:firstLine="0"/>
      </w:pPr>
      <w:rPr>
        <w:b/>
        <w:bCs/>
        <w:i w:val="0"/>
        <w:iCs w:val="0"/>
        <w:color w:val="000000"/>
      </w:rPr>
    </w:lvl>
    <w:lvl w:ilvl="1">
      <w:start w:val="1"/>
      <w:numFmt w:val="decimal"/>
      <w:lvlText w:val="%1.%2."/>
      <w:lvlJc w:val="left"/>
      <w:pPr>
        <w:ind w:left="0" w:firstLine="0"/>
      </w:pPr>
      <w:rPr>
        <w:b w:val="0"/>
        <w:bCs w:val="0"/>
        <w:i w:val="0"/>
        <w:iCs w:val="0"/>
        <w:color w:val="000000"/>
      </w:rPr>
    </w:lvl>
    <w:lvl w:ilvl="2">
      <w:start w:val="1"/>
      <w:numFmt w:val="decimal"/>
      <w:lvlText w:val="%1.%2.%3."/>
      <w:lvlJc w:val="left"/>
      <w:pPr>
        <w:ind w:left="0" w:firstLine="0"/>
      </w:pPr>
      <w:rPr>
        <w:b w:val="0"/>
        <w:bCs w:val="0"/>
        <w:i w:val="0"/>
        <w:iCs w:val="0"/>
        <w:color w:val="000000"/>
      </w:rPr>
    </w:lvl>
    <w:lvl w:ilvl="3">
      <w:start w:val="1"/>
      <w:numFmt w:val="decimal"/>
      <w:lvlText w:val="%1.%2.%3.%4."/>
      <w:lvlJc w:val="left"/>
      <w:pPr>
        <w:ind w:left="851" w:firstLine="0"/>
      </w:pPr>
      <w:rPr>
        <w:b w:val="0"/>
        <w:bCs w:val="0"/>
        <w:i w:val="0"/>
        <w:iCs w:val="0"/>
      </w:rPr>
    </w:lvl>
    <w:lvl w:ilvl="4">
      <w:start w:val="1"/>
      <w:numFmt w:val="decimal"/>
      <w:lvlText w:val="%1.%2.%3.%4.%5."/>
      <w:lvlJc w:val="left"/>
      <w:pPr>
        <w:ind w:left="1134" w:firstLine="0"/>
      </w:pPr>
      <w:rPr>
        <w:b/>
        <w:bCs/>
        <w:i w:val="0"/>
        <w:iCs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4C869D7"/>
    <w:multiLevelType w:val="multilevel"/>
    <w:tmpl w:val="5B7E49C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5521257E"/>
    <w:multiLevelType w:val="multilevel"/>
    <w:tmpl w:val="886C08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BFB7F9B"/>
    <w:multiLevelType w:val="multilevel"/>
    <w:tmpl w:val="40D212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5E4827D1"/>
    <w:multiLevelType w:val="multilevel"/>
    <w:tmpl w:val="5F5E24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EA66055"/>
    <w:multiLevelType w:val="multilevel"/>
    <w:tmpl w:val="CAC0D6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63806937"/>
    <w:multiLevelType w:val="multilevel"/>
    <w:tmpl w:val="832EFB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73902796"/>
    <w:multiLevelType w:val="multilevel"/>
    <w:tmpl w:val="A6360FA2"/>
    <w:lvl w:ilvl="0">
      <w:start w:val="1"/>
      <w:numFmt w:val="decimal"/>
      <w:lvlText w:val="%1."/>
      <w:lvlJc w:val="left"/>
      <w:pPr>
        <w:ind w:left="360" w:hanging="360"/>
      </w:pPr>
      <w:rPr>
        <w:b/>
        <w:bCs/>
        <w:color w:val="000000"/>
      </w:rPr>
    </w:lvl>
    <w:lvl w:ilvl="1">
      <w:start w:val="1"/>
      <w:numFmt w:val="decimal"/>
      <w:lvlText w:val="%1.%2."/>
      <w:lvlJc w:val="left"/>
      <w:pPr>
        <w:ind w:left="716" w:hanging="432"/>
      </w:pPr>
      <w:rPr>
        <w:b w:val="0"/>
        <w:bCs w:val="0"/>
        <w:i w:val="0"/>
        <w:iCs w:val="0"/>
        <w:strike w:val="0"/>
        <w:color w:val="000000"/>
      </w:rPr>
    </w:lvl>
    <w:lvl w:ilvl="2">
      <w:start w:val="1"/>
      <w:numFmt w:val="upperRoman"/>
      <w:lvlText w:val="%3."/>
      <w:lvlJc w:val="right"/>
      <w:pPr>
        <w:ind w:left="786" w:hanging="360"/>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C0234E3"/>
    <w:multiLevelType w:val="multilevel"/>
    <w:tmpl w:val="627248A2"/>
    <w:lvl w:ilvl="0">
      <w:start w:val="20"/>
      <w:numFmt w:val="decimal"/>
      <w:lvlText w:val="%1."/>
      <w:lvlJc w:val="left"/>
      <w:pPr>
        <w:ind w:left="360" w:hanging="360"/>
      </w:pPr>
      <w:rPr>
        <w:b/>
        <w:bCs/>
        <w:color w:val="000000"/>
      </w:rPr>
    </w:lvl>
    <w:lvl w:ilvl="1">
      <w:start w:val="1"/>
      <w:numFmt w:val="decimal"/>
      <w:lvlText w:val="%1.%2."/>
      <w:lvlJc w:val="left"/>
      <w:pPr>
        <w:ind w:left="716" w:hanging="432"/>
      </w:pPr>
      <w:rPr>
        <w:b w:val="0"/>
        <w:bCs w:val="0"/>
        <w:i w:val="0"/>
        <w:iCs w:val="0"/>
        <w:strike w:val="0"/>
        <w:color w:val="000000"/>
      </w:rPr>
    </w:lvl>
    <w:lvl w:ilvl="2">
      <w:start w:val="1"/>
      <w:numFmt w:val="decimal"/>
      <w:lvlText w:val="%1.%2.%3."/>
      <w:lvlJc w:val="left"/>
      <w:pPr>
        <w:ind w:left="930" w:hanging="504"/>
      </w:pPr>
      <w:rPr>
        <w:b w:val="0"/>
        <w:bCs w:val="0"/>
        <w:i w:val="0"/>
        <w:iCs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70958050">
    <w:abstractNumId w:val="6"/>
  </w:num>
  <w:num w:numId="2" w16cid:durableId="1620452656">
    <w:abstractNumId w:val="11"/>
  </w:num>
  <w:num w:numId="3" w16cid:durableId="715130617">
    <w:abstractNumId w:val="0"/>
  </w:num>
  <w:num w:numId="4" w16cid:durableId="1575698999">
    <w:abstractNumId w:val="7"/>
  </w:num>
  <w:num w:numId="5" w16cid:durableId="1288272588">
    <w:abstractNumId w:val="9"/>
  </w:num>
  <w:num w:numId="6" w16cid:durableId="418909727">
    <w:abstractNumId w:val="8"/>
  </w:num>
  <w:num w:numId="7" w16cid:durableId="1628854960">
    <w:abstractNumId w:val="10"/>
  </w:num>
  <w:num w:numId="8" w16cid:durableId="1717121172">
    <w:abstractNumId w:val="1"/>
  </w:num>
  <w:num w:numId="9" w16cid:durableId="389695156">
    <w:abstractNumId w:val="12"/>
  </w:num>
  <w:num w:numId="10" w16cid:durableId="103619605">
    <w:abstractNumId w:val="3"/>
  </w:num>
  <w:num w:numId="11" w16cid:durableId="215361616">
    <w:abstractNumId w:val="4"/>
  </w:num>
  <w:num w:numId="12" w16cid:durableId="15425852">
    <w:abstractNumId w:val="5"/>
  </w:num>
  <w:num w:numId="13" w16cid:durableId="11010999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009"/>
    <w:rsid w:val="00063A05"/>
    <w:rsid w:val="00407009"/>
    <w:rsid w:val="009566F9"/>
    <w:rsid w:val="00A701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5522C"/>
  <w15:docId w15:val="{795AF5ED-73FF-4BE3-B078-4E94C16A2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outlineLvl w:val="0"/>
    </w:pPr>
    <w:rPr>
      <w:rFonts w:ascii="Cambria" w:eastAsia="Cambria" w:hAnsi="Cambria" w:cs="Cambria"/>
      <w:color w:val="366091"/>
      <w:sz w:val="32"/>
      <w:szCs w:val="32"/>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bCs/>
      <w:color w:val="000000"/>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sz w:val="24"/>
      <w:szCs w:val="24"/>
    </w:rPr>
  </w:style>
  <w:style w:type="paragraph" w:styleId="Ttulo4">
    <w:name w:val="heading 4"/>
    <w:basedOn w:val="Normal"/>
    <w:next w:val="Normal"/>
    <w:uiPriority w:val="9"/>
    <w:semiHidden/>
    <w:unhideWhenUsed/>
    <w:qFormat/>
    <w:pPr>
      <w:keepNext/>
      <w:keepLines/>
      <w:spacing w:before="40"/>
      <w:outlineLvl w:val="3"/>
    </w:pPr>
    <w:rPr>
      <w:rFonts w:ascii="Cambria" w:eastAsia="Cambria" w:hAnsi="Cambria" w:cs="Cambria"/>
      <w:i/>
      <w:iCs/>
      <w:color w:val="366091"/>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tblPr>
      <w:tblStyleRowBandSize w:val="1"/>
      <w:tblStyleColBandSize w:val="1"/>
      <w:tblCellMar>
        <w:top w:w="0" w:type="dxa"/>
        <w:left w:w="70" w:type="dxa"/>
        <w:bottom w:w="0" w:type="dxa"/>
        <w:right w:w="70"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table" w:customStyle="1" w:styleId="aa">
    <w:basedOn w:val="TableNormal"/>
    <w:tblPr>
      <w:tblStyleRowBandSize w:val="1"/>
      <w:tblStyleColBandSize w:val="1"/>
      <w:tblCellMar>
        <w:top w:w="0" w:type="dxa"/>
        <w:left w:w="70" w:type="dxa"/>
        <w:bottom w:w="0" w:type="dxa"/>
        <w:right w:w="70" w:type="dxa"/>
      </w:tblCellMar>
    </w:tblPr>
  </w:style>
  <w:style w:type="table" w:customStyle="1" w:styleId="ab">
    <w:basedOn w:val="TableNormal"/>
    <w:tblPr>
      <w:tblStyleRowBandSize w:val="1"/>
      <w:tblStyleColBandSize w:val="1"/>
      <w:tblCellMar>
        <w:top w:w="0" w:type="dxa"/>
        <w:left w:w="70" w:type="dxa"/>
        <w:bottom w:w="0" w:type="dxa"/>
        <w:right w:w="70" w:type="dxa"/>
      </w:tblCellMar>
    </w:tblPr>
  </w:style>
  <w:style w:type="table" w:customStyle="1" w:styleId="ac">
    <w:basedOn w:val="TableNormal"/>
    <w:tblPr>
      <w:tblStyleRowBandSize w:val="1"/>
      <w:tblStyleColBandSize w:val="1"/>
      <w:tblCellMar>
        <w:top w:w="0" w:type="dxa"/>
        <w:left w:w="70" w:type="dxa"/>
        <w:bottom w:w="0" w:type="dxa"/>
        <w:right w:w="70" w:type="dxa"/>
      </w:tblCellMar>
    </w:tblPr>
  </w:style>
  <w:style w:type="table" w:customStyle="1" w:styleId="ad">
    <w:basedOn w:val="TableNormal"/>
    <w:tblPr>
      <w:tblStyleRowBandSize w:val="1"/>
      <w:tblStyleColBandSize w:val="1"/>
      <w:tblCellMar>
        <w:top w:w="0" w:type="dxa"/>
        <w:left w:w="70" w:type="dxa"/>
        <w:bottom w:w="0" w:type="dxa"/>
        <w:right w:w="70" w:type="dxa"/>
      </w:tblCellMar>
    </w:tblPr>
  </w:style>
  <w:style w:type="table" w:customStyle="1" w:styleId="ae">
    <w:basedOn w:val="TableNormal"/>
    <w:tblPr>
      <w:tblStyleRowBandSize w:val="1"/>
      <w:tblStyleColBandSize w:val="1"/>
      <w:tblCellMar>
        <w:top w:w="0" w:type="dxa"/>
        <w:left w:w="70" w:type="dxa"/>
        <w:bottom w:w="0" w:type="dxa"/>
        <w:right w:w="70" w:type="dxa"/>
      </w:tblCellMar>
    </w:tblPr>
  </w:style>
  <w:style w:type="table" w:customStyle="1" w:styleId="af">
    <w:basedOn w:val="TableNormal"/>
    <w:tblPr>
      <w:tblStyleRowBandSize w:val="1"/>
      <w:tblStyleColBandSize w:val="1"/>
      <w:tblCellMar>
        <w:top w:w="0" w:type="dxa"/>
        <w:left w:w="70" w:type="dxa"/>
        <w:bottom w:w="0" w:type="dxa"/>
        <w:right w:w="70"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70" w:type="dxa"/>
        <w:bottom w:w="0" w:type="dxa"/>
        <w:right w:w="70"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_ato2015-2018/2015/decreto/d8539.htm" TargetMode="External"/><Relationship Id="rId39" Type="http://schemas.openxmlformats.org/officeDocument/2006/relationships/hyperlink" Target="https://www.planalto.gov.br/ccivil_03/Constituicao/Constituicao.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ortaltransparencia.gov.br/sancoes/cnep" TargetMode="External"/><Relationship Id="rId42" Type="http://schemas.openxmlformats.org/officeDocument/2006/relationships/hyperlink" Target="http://www.coren-rj.org.b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cnj.jus.br/improbidade_adm/consultar_requerido.php"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oter" Target="footer1.xm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seges-mgi-no-382-de-17-de-setembro-de-2025" TargetMode="External"/><Relationship Id="rId41" Type="http://schemas.openxmlformats.org/officeDocument/2006/relationships/hyperlink" Target="mailto:pregao@coren-rj.org.br" TargetMode="External"/><Relationship Id="rId54"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br/compras"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portaltransparencia.gov.br/sancoes/ceis"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1.xml"/><Relationship Id="rId53" Type="http://schemas.openxmlformats.org/officeDocument/2006/relationships/hyperlink" Target="https://www.planalto.gov.br/ccivil_03/_ato2015-2018/2018/lei/l13709.htm"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23-2026/2023/decreto/d11430.ht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comprasgovernamentais.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07-2010/2009/lei/l12187.htm" TargetMode="External"/><Relationship Id="rId44" Type="http://schemas.openxmlformats.org/officeDocument/2006/relationships/hyperlink" Target="mailto:pregao@coren-rj.org.br" TargetMode="External"/><Relationship Id="rId52"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www.comprasgovernamentais.gov.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in.gov.br/en/web/dou/-/portaria-normativa-se/cgu-n-226-de-9-de-setembro-de-2025-654677738"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in.gov.br/en/web/dou/-/portaria-normativa-se/cgu-n-226-de-9-de-setembro-de-2025-654677738" TargetMode="External"/><Relationship Id="rId35" Type="http://schemas.openxmlformats.org/officeDocument/2006/relationships/hyperlink" Target="https://certidoesapf.apps.tcu.gov.br" TargetMode="External"/><Relationship Id="rId43" Type="http://schemas.openxmlformats.org/officeDocument/2006/relationships/hyperlink" Target="http://www.comprasgovernamentais.gov.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5-2018/2018/lei/l13709.htm" TargetMode="External"/><Relationship Id="rId8" Type="http://schemas.openxmlformats.org/officeDocument/2006/relationships/hyperlink" Target="http://www.comprasgovernamentais.gov.br" TargetMode="External"/><Relationship Id="rId51" Type="http://schemas.openxmlformats.org/officeDocument/2006/relationships/hyperlink" Target="https://www.planalto.gov.br/ccivil_03/_ato2015-2018/2018/lei/l13709.htm" TargetMode="Externa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http://www.coren-rj.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M4qLDHoCXKmBnxOFqbkHD+o/4w==">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71</Pages>
  <Words>27038</Words>
  <Characters>146011</Characters>
  <Application>Microsoft Office Word</Application>
  <DocSecurity>0</DocSecurity>
  <Lines>1216</Lines>
  <Paragraphs>345</Paragraphs>
  <ScaleCrop>false</ScaleCrop>
  <Company/>
  <LinksUpToDate>false</LinksUpToDate>
  <CharactersWithSpaces>172704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Ygor Michel Machado Ramos</dc:creator>
  <cp:lastModifiedBy>Ygor Michel Machado Ramos</cp:lastModifiedBy>
  <cp:revision>2</cp:revision>
  <dcterms:created xsi:type="dcterms:W3CDTF">2026-07-01T18:28:00Z</dcterms:created>
  <dcterms:modified xsi:type="dcterms:W3CDTF">2026-07-01T18:28:00Z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