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Types>
</file>

<file path=_rels/.rels>&#65279;<?xml version="1.0" encoding="utf-8"?><Relationships xmlns="http://schemas.openxmlformats.org/package/2006/relationships"><Relationship Id="R7B5AF5BC" Type="http://schemas.openxmlformats.org/officeDocument/2006/relationships/officeDocument" Target="/word/document.xml" /><Relationship Id="coreR7B5AF5BC" Type="http://schemas.openxmlformats.org/package/2006/relationships/metadata/core-properties" Target="/docProps/core.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body>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center"/>
        <w:rPr>
          <w:rFonts w:ascii="Arial" w:hAnsi="Arial"/>
          <w:b w:val="1"/>
          <w:color w:val="000000"/>
          <w:sz w:val="20"/>
        </w:rPr>
      </w:pPr>
      <w:r>
        <w:rPr>
          <w:rFonts w:ascii="Arial" w:hAnsi="Arial"/>
          <w:b w:val="1"/>
          <w:color w:val="000000"/>
          <w:sz w:val="20"/>
        </w:rPr>
        <w:t>Edital</w:t>
      </w:r>
    </w:p>
    <w:p>
      <w:pPr>
        <w:spacing w:lineRule="auto" w:line="240" w:after="0" w:beforeAutospacing="0" w:afterAutospacing="0"/>
        <w:jc w:val="center"/>
        <w:rPr>
          <w:rFonts w:ascii="Arial" w:hAnsi="Arial"/>
          <w:b w:val="1"/>
          <w:color w:val="000000"/>
          <w:sz w:val="20"/>
        </w:rPr>
      </w:pPr>
      <w:r>
        <w:rPr>
          <w:rFonts w:ascii="Arial" w:hAnsi="Arial"/>
          <w:b w:val="1"/>
          <w:color w:val="000000"/>
          <w:sz w:val="20"/>
        </w:rPr>
        <w:t xml:space="preserve"> PREGÃO ELETRÔNICO Nº 000007/2026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MINUTA DO EDITAL</w:t>
        <w:tab/>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sz w:val="20"/>
        </w:rPr>
        <w:t xml:space="preserve">O </w:t>
      </w:r>
      <w:r>
        <w:rPr>
          <w:rFonts w:ascii="Arial" w:hAnsi="Arial"/>
          <w:b w:val="1"/>
          <w:sz w:val="20"/>
        </w:rPr>
        <w:t>MUNICÍPIO DE DOMINGOS MARTINS,</w:t>
      </w:r>
      <w:r>
        <w:rPr>
          <w:rFonts w:ascii="Arial" w:hAnsi="Arial"/>
          <w:sz w:val="20"/>
        </w:rPr>
        <w:t xml:space="preserve"> inscrito no CNPJ sob o n.º 27.150.556/0001-10, situado na Rua Bernardino Monteiro, n.º 22, Centro, Domingos Martins - ES, para conhecimento dos interessados que realizará licitação na modalidade </w:t>
      </w:r>
      <w:r>
        <w:rPr>
          <w:rFonts w:ascii="Arial" w:hAnsi="Arial"/>
          <w:b w:val="1"/>
          <w:sz w:val="20"/>
        </w:rPr>
        <w:t>PREGÃO</w:t>
      </w:r>
      <w:r>
        <w:rPr>
          <w:rFonts w:ascii="Arial" w:hAnsi="Arial"/>
          <w:sz w:val="20"/>
        </w:rPr>
        <w:t xml:space="preserve">, na forma </w:t>
      </w:r>
      <w:r>
        <w:rPr>
          <w:rFonts w:ascii="Arial" w:hAnsi="Arial"/>
          <w:b w:val="1"/>
          <w:sz w:val="20"/>
        </w:rPr>
        <w:t>ELETRÔNICA</w:t>
      </w:r>
      <w:r>
        <w:rPr>
          <w:rFonts w:ascii="Arial" w:hAnsi="Arial"/>
          <w:sz w:val="20"/>
        </w:rPr>
        <w:t xml:space="preserve">, para </w:t>
      </w:r>
      <w:r>
        <w:rPr>
          <w:rFonts w:ascii="Arial" w:hAnsi="Arial"/>
          <w:b w:val="1"/>
          <w:sz w:val="20"/>
        </w:rPr>
        <w:t>REGISTRO DE PREÇOS,</w:t>
      </w:r>
      <w:r>
        <w:rPr>
          <w:rFonts w:ascii="Arial" w:hAnsi="Arial"/>
          <w:sz w:val="20"/>
        </w:rPr>
        <w:t xml:space="preserve"> nos termos da </w:t>
      </w:r>
      <w:r>
        <w:rPr>
          <w:rFonts w:ascii="Arial" w:hAnsi="Arial"/>
          <w:b w:val="1"/>
          <w:sz w:val="20"/>
        </w:rPr>
        <w:t>Lei nº 14.133/2021</w:t>
      </w:r>
      <w:r>
        <w:rPr>
          <w:rFonts w:ascii="Arial" w:hAnsi="Arial"/>
          <w:sz w:val="20"/>
        </w:rPr>
        <w:t xml:space="preserve">, das Leis Complementares nºs 123/2006 e 147/2014, pelas demais legislações aplicáveis e das exigências estabelecidas neste edital.  </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sz w:val="20"/>
        </w:rPr>
      </w:pPr>
      <w:r>
        <w:rPr>
          <w:rFonts w:ascii="Arial" w:hAnsi="Arial"/>
          <w:b w:val="1"/>
          <w:sz w:val="20"/>
        </w:rPr>
        <w:t>LICITAÇÃO PARA AMPLA DISPUTA</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Data da sessão: 02/06/2026</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Horário: 09:00 horas</w:t>
      </w:r>
    </w:p>
    <w:p>
      <w:pPr>
        <w:spacing w:lineRule="auto" w:line="240" w:after="0" w:beforeAutospacing="0" w:afterAutospacing="0"/>
        <w:jc w:val="both"/>
        <w:rPr>
          <w:rFonts w:ascii="Arial" w:hAnsi="Arial"/>
          <w:color w:val="000000"/>
          <w:sz w:val="20"/>
          <w:u w:val="single"/>
        </w:rPr>
      </w:pPr>
      <w:r>
        <w:rPr>
          <w:rFonts w:ascii="Arial" w:hAnsi="Arial"/>
          <w:color w:val="000000"/>
          <w:sz w:val="20"/>
          <w:u w:val="none"/>
        </w:rPr>
        <w:t xml:space="preserve">Local: Portal de Compras Públicas - </w:t>
      </w:r>
      <w:r>
        <w:rPr>
          <w:rFonts w:ascii="Arial" w:hAnsi="Arial"/>
          <w:color w:val="000000"/>
          <w:sz w:val="20"/>
          <w:u w:val="single"/>
        </w:rPr>
        <w:t>www.portaldecompraspublicas.com.br</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Modalidade: Pregão</w:t>
      </w:r>
    </w:p>
    <w:p>
      <w:pPr>
        <w:spacing w:lineRule="auto" w:line="240" w:after="0" w:beforeAutospacing="0" w:afterAutospacing="0"/>
        <w:jc w:val="both"/>
        <w:rPr>
          <w:rFonts w:ascii="Arial" w:hAnsi="Arial"/>
          <w:b w:val="1"/>
          <w:color w:val="FF0000"/>
          <w:sz w:val="20"/>
          <w:u w:val="none"/>
        </w:rPr>
      </w:pPr>
      <w:r>
        <w:rPr>
          <w:rFonts w:ascii="Arial" w:hAnsi="Arial"/>
          <w:color w:val="000000"/>
          <w:sz w:val="20"/>
          <w:u w:val="none"/>
        </w:rPr>
        <w:t xml:space="preserve">Critério de Julgamento: </w:t>
      </w:r>
      <w:r>
        <w:rPr>
          <w:rFonts w:ascii="Arial" w:hAnsi="Arial"/>
          <w:b w:val="1"/>
          <w:color w:val="000000"/>
          <w:sz w:val="20"/>
          <w:u w:val="none"/>
        </w:rPr>
        <w:t>MENOR PREÇO global</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Modo de disputa: Aberto</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Processo: 332/2026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ind w:hanging="360" w:left="360"/>
        <w:jc w:val="both"/>
        <w:rPr>
          <w:rFonts w:ascii="Arial" w:hAnsi="Arial"/>
          <w:color w:val="000000"/>
          <w:sz w:val="20"/>
        </w:rPr>
      </w:pPr>
      <w:r>
        <w:rPr>
          <w:rFonts w:ascii="Arial" w:hAnsi="Arial"/>
          <w:b w:val="1"/>
          <w:color w:val="000000"/>
          <w:sz w:val="20"/>
        </w:rPr>
        <w:t xml:space="preserve">1.   DO OBJETO E DISPOSIÇÕES PRELIMILARES</w:t>
      </w:r>
      <w:r>
        <w:rPr>
          <w:rFonts w:ascii="Arial" w:hAnsi="Arial"/>
          <w:color w:val="000000"/>
          <w:sz w:val="20"/>
        </w:rPr>
        <w:t>.</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b w:val="1"/>
          <w:color w:val="000000"/>
          <w:sz w:val="20"/>
        </w:rPr>
        <w:t xml:space="preserve">1.1.  </w:t>
      </w:r>
      <w:r>
        <w:rPr>
          <w:rFonts w:ascii="Arial" w:hAnsi="Arial"/>
          <w:color w:val="000000"/>
          <w:sz w:val="20"/>
        </w:rPr>
        <w:t>O objeto da presente licitação é o REGISTRO DE PREÇOS para Aqusição de apostilas encadernadas - Material Didático Complementar do Programa Educar pra Valer que será utilizado nas turmas dos anos iniciais do Ensino Fundamental no decorrer do ano de 2026</w:t>
      </w:r>
      <w:r>
        <w:rPr>
          <w:rFonts w:ascii="Arial" w:hAnsi="Arial"/>
          <w:b w:val="1"/>
          <w:color w:val="000000"/>
          <w:sz w:val="20"/>
          <w:shd w:val="clear" w:color="auto" w:fill="FFFFFF"/>
        </w:rPr>
        <w:t>,</w:t>
      </w:r>
      <w:r>
        <w:rPr>
          <w:rFonts w:ascii="Arial" w:hAnsi="Arial"/>
          <w:color w:val="000000"/>
          <w:sz w:val="20"/>
        </w:rPr>
        <w:t xml:space="preserve"> conforme condições, quantidades e exigências estabelecidas neste Edital e seus anexos.</w:t>
      </w:r>
    </w:p>
    <w:p>
      <w:pPr>
        <w:spacing w:lineRule="auto" w:line="240" w:after="0" w:beforeAutospacing="0" w:afterAutospacing="0"/>
        <w:jc w:val="both"/>
        <w:rPr>
          <w:rFonts w:ascii="Arial" w:hAnsi="Arial"/>
          <w:color w:val="000000"/>
          <w:sz w:val="20"/>
        </w:rPr>
      </w:pPr>
    </w:p>
    <w:p>
      <w:pPr>
        <w:spacing w:lineRule="auto" w:line="240" w:after="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 xml:space="preserve">1.1.1.  Especificações Técnicas</w:t>
      </w:r>
    </w:p>
    <w:p>
      <w:pPr>
        <w:spacing w:lineRule="auto" w:line="240" w:after="160" w:beforeAutospacing="0" w:afterAutospacing="0"/>
        <w:jc w:val="both"/>
        <w:rPr>
          <w:rFonts w:ascii="Arial" w:hAnsi="Arial"/>
          <w:color w:val="auto"/>
          <w:sz w:val="20"/>
          <w:u w:val="none"/>
          <w:shd w:val="clear" w:color="auto" w:fill="FFFFFF"/>
        </w:rPr>
      </w:pPr>
      <w:r>
        <w:rPr>
          <w:rFonts w:ascii="Arial" w:hAnsi="Arial"/>
          <w:color w:val="auto"/>
          <w:sz w:val="20"/>
          <w:u w:val="none"/>
          <w:shd w:val="clear" w:color="auto" w:fill="FFFFFF"/>
        </w:rPr>
        <w:t>A aquisição pretendida visa atender à demanda da rede pública municipal de ensino de Domingos Martins e requer o estabelecimento de requisitos específicos que garantam a qualidade, a eficiência e a transparência do processo. Abaixo, estão os requisitos apropriados para essa aquisição:</w:t>
      </w:r>
    </w:p>
    <w:p>
      <w:pPr>
        <w:spacing w:lineRule="auto" w:line="240" w:after="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 xml:space="preserve">1.1.2. Qualidade dos Materiais: </w:t>
      </w:r>
    </w:p>
    <w:p>
      <w:pPr>
        <w:spacing w:lineRule="auto" w:line="240" w:after="0" w:beforeAutospacing="0" w:afterAutospacing="0"/>
        <w:jc w:val="both"/>
        <w:rPr>
          <w:rFonts w:ascii="Arial" w:hAnsi="Arial"/>
          <w:color w:val="auto"/>
          <w:sz w:val="20"/>
          <w:u w:val="none"/>
          <w:shd w:val="clear" w:color="auto" w:fill="FFFFFF"/>
        </w:rPr>
      </w:pPr>
      <w:r>
        <w:rPr>
          <w:rFonts w:ascii="Arial" w:hAnsi="Arial"/>
          <w:b w:val="1"/>
          <w:color w:val="auto"/>
          <w:sz w:val="20"/>
          <w:u w:val="none"/>
          <w:shd w:val="clear" w:color="auto" w:fill="FFFFFF"/>
        </w:rPr>
        <w:t xml:space="preserve">1.1.2.1. </w:t>
      </w:r>
      <w:r>
        <w:rPr>
          <w:rFonts w:ascii="Arial" w:hAnsi="Arial"/>
          <w:color w:val="auto"/>
          <w:sz w:val="20"/>
          <w:u w:val="none"/>
          <w:shd w:val="clear" w:color="auto" w:fill="FFFFFF"/>
        </w:rPr>
        <w:t xml:space="preserve">Os cadernos devem ser produzidos com materiais de alta qualidade, incluindo papel resistente e tintas duráveis, garantindo a durabilidade e legibilidade do conteúdo ao longo do tempo. </w:t>
      </w:r>
    </w:p>
    <w:p>
      <w:pPr>
        <w:spacing w:lineRule="auto" w:line="240" w:after="0" w:beforeAutospacing="0" w:afterAutospacing="0"/>
        <w:jc w:val="both"/>
        <w:rPr>
          <w:rFonts w:ascii="Arial" w:hAnsi="Arial"/>
          <w:color w:val="auto"/>
          <w:sz w:val="20"/>
          <w:u w:val="none"/>
          <w:shd w:val="clear" w:color="auto" w:fill="FFFFFF"/>
        </w:rPr>
      </w:pPr>
      <w:r>
        <w:rPr>
          <w:rFonts w:ascii="Arial" w:hAnsi="Arial"/>
          <w:b w:val="1"/>
          <w:color w:val="auto"/>
          <w:sz w:val="20"/>
          <w:u w:val="none"/>
          <w:shd w:val="clear" w:color="auto" w:fill="FFFFFF"/>
        </w:rPr>
        <w:t xml:space="preserve">1.1.2.2. </w:t>
      </w:r>
      <w:r>
        <w:rPr>
          <w:rFonts w:ascii="Arial" w:hAnsi="Arial"/>
          <w:color w:val="auto"/>
          <w:sz w:val="20"/>
          <w:u w:val="none"/>
          <w:shd w:val="clear" w:color="auto" w:fill="FFFFFF"/>
        </w:rPr>
        <w:t xml:space="preserve">A impressão deve ser realizada em ambas as faces das folhas, em cores nítidas e de alta qualidade, com diagramação clara e atrativa. </w:t>
      </w:r>
    </w:p>
    <w:p>
      <w:pPr>
        <w:spacing w:lineRule="auto" w:line="240" w:after="0" w:beforeAutospacing="0" w:afterAutospacing="0"/>
        <w:jc w:val="both"/>
        <w:rPr>
          <w:rFonts w:ascii="Arial" w:hAnsi="Arial"/>
          <w:color w:val="auto"/>
          <w:sz w:val="20"/>
          <w:u w:val="none"/>
          <w:shd w:val="clear" w:color="auto" w:fill="FFFFFF"/>
        </w:rPr>
      </w:pPr>
    </w:p>
    <w:p>
      <w:pPr>
        <w:spacing w:lineRule="auto" w:line="240" w:after="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1.1.3. A impressão será mediante contrato de sigilo, uma vez que, o material é fornecido via link pelo Instituto Bem Comum e SEDU que são detentores exclusivos do material didático que será impresso.</w:t>
      </w:r>
    </w:p>
    <w:p>
      <w:pPr>
        <w:spacing w:lineRule="auto" w:line="240" w:after="0" w:beforeAutospacing="0" w:afterAutospacing="0"/>
        <w:ind w:left="0"/>
        <w:jc w:val="both"/>
        <w:rPr>
          <w:rFonts w:ascii="Arial" w:hAnsi="Arial"/>
          <w:b w:val="1"/>
          <w:color w:val="000000"/>
          <w:sz w:val="20"/>
          <w:u w:val="none"/>
          <w:shd w:val="clear" w:color="auto" w:fill="FFFFFF"/>
        </w:rPr>
      </w:pPr>
    </w:p>
    <w:p>
      <w:pPr>
        <w:spacing w:lineRule="auto" w:line="240" w:after="160" w:beforeAutospacing="0" w:afterAutospacing="0"/>
        <w:ind w:lef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1.1.4. </w:t>
      </w:r>
      <w:r>
        <w:rPr>
          <w:rFonts w:ascii="Arial" w:hAnsi="Arial"/>
          <w:color w:val="000000"/>
          <w:sz w:val="20"/>
          <w:u w:val="none"/>
          <w:shd w:val="clear" w:color="auto" w:fill="FFFFFF"/>
        </w:rPr>
        <w:t>O objeto em questão precisa seguir rigorosamente as especificações técnicas descritas abaixo:</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a) </w:t>
      </w:r>
      <w:r>
        <w:rPr>
          <w:rFonts w:ascii="Arial" w:hAnsi="Arial"/>
          <w:color w:val="000000"/>
          <w:sz w:val="20"/>
          <w:u w:val="none"/>
          <w:shd w:val="clear" w:color="auto" w:fill="FFFFFF"/>
        </w:rPr>
        <w:t>Os cadernos devem ser confeccionados em formato padrão A4, com capa e contracapa em polipropileno resistente (capa – transparente e contracapa preta – fundo PP) com gramatura mínima de 250g, páginas internas em papel offset ou similar, com gramatura mínima de 75g.</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b)</w:t>
      </w:r>
      <w:r>
        <w:rPr>
          <w:rFonts w:ascii="Arial" w:hAnsi="Arial"/>
          <w:color w:val="000000"/>
          <w:sz w:val="20"/>
          <w:u w:val="none"/>
          <w:shd w:val="clear" w:color="auto" w:fill="FFFFFF"/>
        </w:rPr>
        <w:t xml:space="preserve"> Caderno de Atividade Língua Portuguesa - 1 ao 4 - ALUNO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c)</w:t>
      </w:r>
      <w:r>
        <w:rPr>
          <w:rFonts w:ascii="Arial" w:hAnsi="Arial"/>
          <w:color w:val="000000"/>
          <w:sz w:val="20"/>
          <w:u w:val="none"/>
          <w:shd w:val="clear" w:color="auto" w:fill="FFFFFF"/>
        </w:rPr>
        <w:t xml:space="preserve"> Caderno de Atividade Matemática - 1 ao 4 - ALUNO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d) </w:t>
      </w:r>
      <w:r>
        <w:rPr>
          <w:rFonts w:ascii="Arial" w:hAnsi="Arial"/>
          <w:color w:val="000000"/>
          <w:sz w:val="20"/>
          <w:u w:val="none"/>
          <w:shd w:val="clear" w:color="auto" w:fill="FFFFFF"/>
        </w:rPr>
        <w:t>PROFESSOR - 1 ao 4 - Caderno de Atividade Língua Portuguesa e Matemática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e)</w:t>
      </w:r>
      <w:r>
        <w:rPr>
          <w:rFonts w:ascii="Arial" w:hAnsi="Arial"/>
          <w:color w:val="000000"/>
          <w:sz w:val="20"/>
          <w:u w:val="none"/>
          <w:shd w:val="clear" w:color="auto" w:fill="FFFFFF"/>
        </w:rPr>
        <w:t xml:space="preserve"> CADERNO DE FLUÊNCIA - 1 ao 4 -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f)</w:t>
      </w:r>
      <w:r>
        <w:rPr>
          <w:rFonts w:ascii="Arial" w:hAnsi="Arial"/>
          <w:color w:val="000000"/>
          <w:sz w:val="20"/>
          <w:u w:val="none"/>
          <w:shd w:val="clear" w:color="auto" w:fill="FFFFFF"/>
        </w:rPr>
        <w:t xml:space="preserve"> o modelo de partes dos cadernos estão anexados no ETP e também disponíveis para visualização presencial na Secretaria Municipal de Educação – Avenida Koehler, 101, Centro, Domingos Martins – ES, CEP 29260-000.</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xml:space="preserve">1.1.5. Sustentabilidade Ambiental: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1.1.5.1.</w:t>
      </w:r>
      <w:r>
        <w:rPr>
          <w:rFonts w:ascii="Arial" w:hAnsi="Arial"/>
          <w:color w:val="000000"/>
          <w:sz w:val="20"/>
          <w:u w:val="none"/>
          <w:shd w:val="clear" w:color="auto" w:fill="FFFFFF"/>
        </w:rPr>
        <w:t xml:space="preserve"> Deve-se priorizar o uso de papel proveniente de fontes sustentáveis, certificado pelo FSC ou organizações equivalentes, e tintas e materiais de impressão ecologicamente responsáveis.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1.1.5.2. </w:t>
      </w:r>
      <w:r>
        <w:rPr>
          <w:rFonts w:ascii="Arial" w:hAnsi="Arial"/>
          <w:color w:val="000000"/>
          <w:sz w:val="20"/>
          <w:u w:val="none"/>
          <w:shd w:val="clear" w:color="auto" w:fill="FFFFFF"/>
        </w:rPr>
        <w:t xml:space="preserve">A licitante deve adotar práticas de produção sustentáveis, minimizando o consumo de recursos naturais e a geração de resíduos. </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xml:space="preserve">1.1.6. Capacidade de Produção: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1.1.6.1.</w:t>
      </w:r>
      <w:r>
        <w:rPr>
          <w:rFonts w:ascii="Arial" w:hAnsi="Arial"/>
          <w:color w:val="000000"/>
          <w:sz w:val="20"/>
          <w:u w:val="none"/>
          <w:shd w:val="clear" w:color="auto" w:fill="FFFFFF"/>
        </w:rPr>
        <w:t xml:space="preserve"> A licitante deve possuir capacidade técnica e infraestrutura adequada para atender à demanda estimada, considerando as quantidades de cadernos necessárias para cada série e disciplina. </w:t>
      </w:r>
    </w:p>
    <w:p>
      <w:pPr>
        <w:spacing w:lineRule="auto" w:line="240" w:after="0" w:beforeAutospacing="0" w:afterAutospacing="0"/>
        <w:jc w:val="both"/>
        <w:rPr>
          <w:rFonts w:ascii="Arial" w:hAnsi="Arial"/>
          <w:color w:val="000000"/>
          <w:sz w:val="20"/>
        </w:rPr>
      </w:pP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1.2. </w:t>
      </w:r>
      <w:r>
        <w:rPr>
          <w:rFonts w:ascii="Arial" w:hAnsi="Arial"/>
          <w:color w:val="000000"/>
          <w:sz w:val="20"/>
          <w:u w:val="none"/>
        </w:rPr>
        <w:t>A licitação será realizada em único lote.</w:t>
      </w:r>
    </w:p>
    <w:p>
      <w:pPr>
        <w:spacing w:lineRule="auto" w:line="240" w:after="0" w:beforeAutospacing="0" w:afterAutospacing="0"/>
        <w:jc w:val="both"/>
        <w:rPr>
          <w:rFonts w:ascii="Times New Roman" w:hAnsi="Times New Roman"/>
          <w:sz w:val="24"/>
          <w:u w:val="none"/>
        </w:rPr>
      </w:pP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1.3. O critério de julgamento adotado será o MENOR PREÇO global</w:t>
      </w:r>
      <w:r>
        <w:rPr>
          <w:rFonts w:ascii="Arial" w:hAnsi="Arial"/>
          <w:color w:val="000000"/>
          <w:sz w:val="20"/>
          <w:u w:val="none"/>
        </w:rPr>
        <w:t>, considerado o menor dispêndio para a Administração, nos termos do art. 34 da Lei nº 14.133/2021, e observadas as exigências contidas neste Edital e seus Anexos quanto às especificações do objeto.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color w:val="000000"/>
          <w:sz w:val="20"/>
          <w:u w:val="none"/>
        </w:rPr>
        <w:t xml:space="preserve">1.3.1. </w:t>
      </w:r>
      <w:r>
        <w:rPr>
          <w:rFonts w:ascii="Arial" w:hAnsi="Arial"/>
          <w:color w:val="000000"/>
          <w:sz w:val="20"/>
          <w:u w:val="none"/>
        </w:rPr>
        <w:t xml:space="preserve">O </w:t>
      </w:r>
      <w:r>
        <w:rPr>
          <w:rFonts w:ascii="Arial" w:hAnsi="Arial"/>
          <w:b w:val="1"/>
          <w:color w:val="000000"/>
          <w:sz w:val="20"/>
          <w:u w:val="none"/>
        </w:rPr>
        <w:t>modo de disputa</w:t>
      </w:r>
      <w:r>
        <w:rPr>
          <w:rFonts w:ascii="Arial" w:hAnsi="Arial"/>
          <w:color w:val="000000"/>
          <w:sz w:val="20"/>
          <w:u w:val="none"/>
        </w:rPr>
        <w:t xml:space="preserve"> será </w:t>
      </w:r>
      <w:r>
        <w:rPr>
          <w:rFonts w:ascii="Arial" w:hAnsi="Arial"/>
          <w:sz w:val="20"/>
          <w:u w:val="none"/>
        </w:rPr>
        <w:t>o aberto.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 </w:t>
      </w:r>
      <w:r>
        <w:rPr>
          <w:rFonts w:ascii="Arial" w:hAnsi="Arial"/>
          <w:color w:val="000000"/>
          <w:sz w:val="20"/>
          <w:u w:val="none"/>
        </w:rPr>
        <w:t xml:space="preserve">O Edital encontra-se disponível na internet nos sites </w:t>
      </w:r>
      <w:r>
        <w:rPr>
          <w:rFonts w:ascii="Arial" w:hAnsi="Arial"/>
          <w:color w:val="000000"/>
          <w:sz w:val="20"/>
          <w:u w:val="single"/>
        </w:rPr>
        <w:t>www.domingosmartins.es.gov.br, www.portaldecompraspublicas.com.br e https://www.gov.br/pncp/pt-br</w:t>
      </w:r>
      <w:r>
        <w:rPr>
          <w:rFonts w:ascii="Arial" w:hAnsi="Arial"/>
          <w:color w:val="000000"/>
          <w:sz w:val="20"/>
          <w:u w:val="none"/>
        </w:rPr>
        <w:t>, ou ainda poderá ser obtida cópia na Sala da Comissão de Licitação localizada na Rua Bernardino Monteiro, n.º 85, prédio da Secretaria de Obras, Centro, Domingos Martins - ES, em dias úteis, no horário de 08:00 às 12:00 horas e das 13:00 às 17:00.</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1.5. </w:t>
      </w:r>
      <w:r>
        <w:rPr>
          <w:rFonts w:ascii="Arial" w:hAnsi="Arial"/>
          <w:color w:val="000000"/>
          <w:sz w:val="20"/>
          <w:u w:val="none"/>
        </w:rPr>
        <w:t xml:space="preserve">Serão observadas as seguintes datas e horários para os procedimentos: </w:t>
      </w:r>
    </w:p>
    <w:p>
      <w:pPr>
        <w:spacing w:lineRule="auto" w:line="240" w:after="0" w:beforeAutospacing="0" w:afterAutospacing="0"/>
        <w:jc w:val="both"/>
        <w:rPr>
          <w:rFonts w:ascii="Arial" w:hAnsi="Arial"/>
          <w:b w:val="1"/>
          <w:color w:val="000000"/>
          <w:sz w:val="20"/>
          <w:u w:val="none"/>
          <w:shd w:val="clear" w:color="auto" w:fill="FFFF00"/>
        </w:rPr>
      </w:pPr>
      <w:r>
        <w:rPr>
          <w:rFonts w:ascii="Arial" w:hAnsi="Arial"/>
          <w:b w:val="1"/>
          <w:color w:val="000000"/>
          <w:sz w:val="20"/>
          <w:u w:val="none"/>
          <w:shd w:val="clear" w:color="auto" w:fill="FFFF00"/>
        </w:rPr>
        <w:t xml:space="preserve">PEDIDOS DE IMPUGNAÇÕES E ESCLARECIMENTOS: até às 23:59 horas do dia 28/05/2026. </w:t>
      </w:r>
    </w:p>
    <w:p>
      <w:pPr>
        <w:spacing w:lineRule="auto" w:line="240" w:after="0" w:beforeAutospacing="0" w:afterAutospacing="0"/>
        <w:jc w:val="both"/>
        <w:rPr>
          <w:rFonts w:ascii="Arial" w:hAnsi="Arial"/>
          <w:b w:val="1"/>
          <w:color w:val="000000"/>
          <w:sz w:val="20"/>
          <w:u w:val="none"/>
          <w:shd w:val="clear" w:color="auto" w:fill="FFFF00"/>
        </w:rPr>
      </w:pPr>
      <w:r>
        <w:rPr>
          <w:rFonts w:ascii="Arial" w:hAnsi="Arial"/>
          <w:b w:val="1"/>
          <w:color w:val="000000"/>
          <w:sz w:val="20"/>
          <w:u w:val="none"/>
          <w:shd w:val="clear" w:color="auto" w:fill="FFFF00"/>
        </w:rPr>
        <w:t xml:space="preserve">INÍCIO DE ACOLHIMENTO DAS PROPOSTAS: às 13:00 horas do dia </w:t>
      </w:r>
      <w:r>
        <w:rPr>
          <w:rFonts w:ascii="Arial" w:hAnsi="Arial"/>
          <w:b w:val="1"/>
          <w:color w:val="000000"/>
          <w:sz w:val="20"/>
          <w:u w:val="none"/>
          <w:shd w:val="clear" w:color="auto" w:fill="FFFF00"/>
        </w:rPr>
        <w:t>2</w:t>
      </w:r>
      <w:r>
        <w:rPr>
          <w:rFonts w:ascii="Arial" w:hAnsi="Arial"/>
          <w:b w:val="1"/>
          <w:color w:val="000000"/>
          <w:sz w:val="20"/>
          <w:u w:val="none"/>
          <w:shd w:val="clear" w:color="auto" w:fill="FFFF00"/>
        </w:rPr>
        <w:t>1</w:t>
      </w:r>
      <w:r>
        <w:rPr>
          <w:rFonts w:ascii="Arial" w:hAnsi="Arial"/>
          <w:b w:val="1"/>
          <w:color w:val="000000"/>
          <w:sz w:val="20"/>
          <w:u w:val="none"/>
          <w:shd w:val="clear" w:color="auto" w:fill="FFFF00"/>
        </w:rPr>
        <w:t>/05/2026.</w:t>
      </w:r>
    </w:p>
    <w:p>
      <w:pPr>
        <w:spacing w:lineRule="auto" w:line="240" w:after="0" w:beforeAutospacing="0" w:afterAutospacing="0"/>
        <w:jc w:val="both"/>
        <w:rPr>
          <w:rFonts w:ascii="Arial" w:hAnsi="Arial"/>
          <w:b w:val="1"/>
          <w:color w:val="000000"/>
          <w:sz w:val="20"/>
          <w:u w:val="none"/>
          <w:shd w:val="clear" w:color="auto" w:fill="FFFF00"/>
        </w:rPr>
      </w:pPr>
      <w:r>
        <w:rPr>
          <w:rFonts w:ascii="Arial" w:hAnsi="Arial"/>
          <w:b w:val="1"/>
          <w:color w:val="000000"/>
          <w:sz w:val="20"/>
          <w:u w:val="none"/>
          <w:shd w:val="clear" w:color="auto" w:fill="FFFF00"/>
        </w:rPr>
        <w:t>LIMITE PARA ACOLHIMENTO DAS PROPOSTAS: até às 08:00 horas do dia 02/06/2026.</w:t>
      </w:r>
    </w:p>
    <w:p>
      <w:pPr>
        <w:spacing w:lineRule="auto" w:line="240" w:after="0" w:beforeAutospacing="0" w:afterAutospacing="0"/>
        <w:jc w:val="both"/>
        <w:rPr>
          <w:rFonts w:ascii="Arial" w:hAnsi="Arial"/>
          <w:b w:val="1"/>
          <w:color w:val="000000"/>
          <w:sz w:val="20"/>
          <w:u w:val="none"/>
          <w:shd w:val="clear" w:color="auto" w:fill="FFFF00"/>
        </w:rPr>
      </w:pPr>
      <w:r>
        <w:rPr>
          <w:rFonts w:ascii="Arial" w:hAnsi="Arial"/>
          <w:b w:val="1"/>
          <w:color w:val="000000"/>
          <w:sz w:val="20"/>
          <w:u w:val="none"/>
          <w:shd w:val="clear" w:color="auto" w:fill="FFFF00"/>
        </w:rPr>
        <w:t>ABERTURA DA SESSÃO PÚBLICA: às 09:00 horas do dia 02/06/2026.</w:t>
      </w:r>
    </w:p>
    <w:p>
      <w:pPr>
        <w:spacing w:lineRule="auto" w:line="240" w:before="0" w:after="0" w:beforeAutospacing="0" w:afterAutospacing="0"/>
        <w:ind w:left="646"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1.6. </w:t>
      </w:r>
      <w:r>
        <w:rPr>
          <w:rFonts w:ascii="Arial" w:hAnsi="Arial"/>
          <w:color w:val="000000"/>
          <w:sz w:val="20"/>
          <w:u w:val="none"/>
        </w:rPr>
        <w:t>REFERÊNCIA DE TEMPO: Todas as referências de tempo no Edital, no aviso e durante a sessão pública observarão, obrigatoriamente, o horário de Brasília - DF.</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1.7. </w:t>
      </w:r>
      <w:r>
        <w:rPr>
          <w:rFonts w:ascii="Arial" w:hAnsi="Arial"/>
          <w:color w:val="000000"/>
          <w:sz w:val="20"/>
          <w:u w:val="none"/>
        </w:rPr>
        <w:t xml:space="preserve">As propostas serão recebidas exclusivamente por meio eletrônico no endereço: </w:t>
      </w:r>
      <w:r>
        <w:rPr>
          <w:rFonts w:ascii="Arial" w:hAnsi="Arial"/>
          <w:color w:val="000000"/>
          <w:sz w:val="20"/>
          <w:u w:val="single"/>
        </w:rPr>
        <w:t>www.portaldecompraspublicas.com.br</w:t>
      </w:r>
      <w:r>
        <w:rPr>
          <w:rFonts w:ascii="Arial" w:hAnsi="Arial"/>
          <w:color w:val="000000"/>
          <w:sz w:val="20"/>
          <w:u w:val="none"/>
        </w:rPr>
        <w:t>.</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1.8. </w:t>
      </w:r>
      <w:r>
        <w:rPr>
          <w:rFonts w:ascii="Arial" w:hAnsi="Arial"/>
          <w:color w:val="000000"/>
          <w:sz w:val="20"/>
          <w:u w:val="none"/>
        </w:rPr>
        <w:t>Não havendo expediente ou ocorrendo qualquer fato superveniente que impeça a realização do certame na data marcada, a sessão será automaticamente transferida para o primeiro dia útil subsequente, nos mesmos horários e endereço eletrônico anteriormente estabelecido; desde que não haja comunicação da Pregoeira em contrário.</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1.9. </w:t>
      </w:r>
      <w:r>
        <w:rPr>
          <w:rFonts w:ascii="Arial" w:hAnsi="Arial"/>
          <w:color w:val="000000"/>
          <w:sz w:val="20"/>
          <w:u w:val="none"/>
        </w:rPr>
        <w:t xml:space="preserve">Compete a cada licitante fazer um minucioso exame do Edital, e das condições nele estabelecidas, ficando responsáveis pelo acompanhamento, mediante o acesso aos sítos </w:t>
      </w:r>
      <w:r>
        <w:rPr>
          <w:rFonts w:ascii="Arial" w:hAnsi="Arial"/>
          <w:color w:val="000000"/>
          <w:sz w:val="20"/>
          <w:u w:val="single"/>
        </w:rPr>
        <w:t>www.domingosmartins.es.gov.br</w:t>
      </w:r>
      <w:r>
        <w:rPr>
          <w:rFonts w:ascii="Arial" w:hAnsi="Arial"/>
          <w:color w:val="000000"/>
          <w:sz w:val="20"/>
          <w:u w:val="none"/>
        </w:rPr>
        <w:t xml:space="preserve"> ou </w:t>
      </w:r>
      <w:r>
        <w:rPr>
          <w:rFonts w:ascii="Arial" w:hAnsi="Arial"/>
          <w:color w:val="000000"/>
          <w:sz w:val="20"/>
          <w:u w:val="single"/>
        </w:rPr>
        <w:t>www.portaldecompraspublicas.com.br</w:t>
      </w:r>
      <w:r>
        <w:rPr>
          <w:rFonts w:ascii="Arial" w:hAnsi="Arial"/>
          <w:color w:val="000000"/>
          <w:sz w:val="20"/>
          <w:u w:val="none"/>
        </w:rPr>
        <w:t>, bem como às publicações oficiais, questionamentos e impugnações ou quaisquer outras ocorrências que porventura possam ou não implicar em mudanças nos prazos de apresentação da proposta e da abertura da sessão pública.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1.10. </w:t>
      </w:r>
      <w:r>
        <w:rPr>
          <w:rFonts w:ascii="Arial" w:hAnsi="Arial"/>
          <w:color w:val="000000"/>
          <w:sz w:val="20"/>
          <w:u w:val="none"/>
        </w:rPr>
        <w:t>Problemas na operação do sistema deverão ser comunicados pelos licitantes, imediatamente ao Provedor - Portal de Compras Públicas.</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1.11. </w:t>
      </w:r>
      <w:r>
        <w:rPr>
          <w:rFonts w:ascii="Arial" w:hAnsi="Arial"/>
          <w:color w:val="000000"/>
          <w:sz w:val="20"/>
          <w:u w:val="none"/>
        </w:rPr>
        <w:t>O valor estimado ou valor máximo aceitável possuirá caráter sigiloso, conforme Artigo 24 da Lei 14.133/21, de forma a alcançar maior competitividade na disputa e maior economicidade para o município, conforme Recomendação Técnica n° 004/2023 do Controle Interno do Município.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1.12. </w:t>
      </w:r>
      <w:r>
        <w:rPr>
          <w:rFonts w:ascii="Arial" w:hAnsi="Arial"/>
          <w:color w:val="000000"/>
          <w:sz w:val="20"/>
          <w:u w:val="none"/>
        </w:rPr>
        <w:t>Para fins do disposto no subitem anterior, o valor estimado ou valor máximo aceitável será tornado público apenas e imediatamente após o encerramento do envio dos lances, sem prejuízo da divulgação do detalhamento dos quantitativos e das demais informações necessárias à elaboração das propostas.</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hanging="363" w:left="363" w:right="0"/>
        <w:jc w:val="both"/>
        <w:rPr>
          <w:rFonts w:ascii="Arial" w:hAnsi="Arial"/>
          <w:b w:val="1"/>
          <w:color w:val="000000"/>
          <w:sz w:val="20"/>
          <w:u w:val="none"/>
        </w:rPr>
      </w:pPr>
      <w:r>
        <w:rPr>
          <w:rFonts w:ascii="Arial" w:hAnsi="Arial"/>
          <w:b w:val="1"/>
          <w:color w:val="000000"/>
          <w:sz w:val="20"/>
          <w:u w:val="none"/>
        </w:rPr>
        <w:t>2. DO REGISTRO DE PREÇOS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2.1. </w:t>
      </w:r>
      <w:r>
        <w:rPr>
          <w:rFonts w:ascii="Arial" w:hAnsi="Arial"/>
          <w:color w:val="000000"/>
          <w:sz w:val="20"/>
          <w:u w:val="none"/>
        </w:rPr>
        <w:t>As regras referentes aos órgãos gerenciador e participantes, bem como a eventuais adesões são as que constam da minuta de Ata de Registro de Preços - Anexo V do presente edital.</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3. DO CREDENCIAMENTO.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3.1. </w:t>
      </w:r>
      <w:r>
        <w:rPr>
          <w:rFonts w:ascii="Arial" w:hAnsi="Arial"/>
          <w:color w:val="000000"/>
          <w:sz w:val="20"/>
          <w:u w:val="none"/>
        </w:rPr>
        <w:t>O Pregão Eletrônico será realizado em sessão pública e serão utilizados recursos de tecnologia da informação, por meio de comunicação eletrônica via INTERNET, mediante condições de segurança - criptografia e autenticação - em todas as suas fases.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3.2. </w:t>
      </w:r>
      <w:r>
        <w:rPr>
          <w:rFonts w:ascii="Arial" w:hAnsi="Arial"/>
          <w:color w:val="000000"/>
          <w:sz w:val="20"/>
          <w:u w:val="none"/>
        </w:rPr>
        <w:t>Os trabalhos serão conduzidos pela Pregoeira, mediante a inserção e monitoramento de dados gerados ou transferidos pelo sítio "www.portaldecompraspublicas.com.br" constante da página eletrônica do Portal de Compras Públicas (Provedor).</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i w:val="1"/>
          <w:sz w:val="20"/>
          <w:u w:val="none"/>
        </w:rPr>
      </w:pPr>
      <w:r>
        <w:rPr>
          <w:rFonts w:ascii="Arial" w:hAnsi="Arial"/>
          <w:b w:val="1"/>
          <w:color w:val="000000"/>
          <w:sz w:val="20"/>
          <w:u w:val="none"/>
        </w:rPr>
        <w:t xml:space="preserve">3.2.1. </w:t>
      </w:r>
      <w:r>
        <w:rPr>
          <w:rFonts w:ascii="Arial" w:hAnsi="Arial"/>
          <w:sz w:val="20"/>
          <w:u w:val="none"/>
        </w:rPr>
        <w:t xml:space="preserve">O cadastro deverá ser feito no Portal de Compras Públicas, no sítio </w:t>
      </w:r>
      <w:r>
        <w:rPr>
          <w:rFonts w:ascii="Arial" w:hAnsi="Arial"/>
          <w:sz w:val="20"/>
        </w:rPr>
        <w:fldChar w:fldCharType="begin"/>
      </w:r>
      <w:r>
        <w:rPr>
          <w:rFonts w:ascii="Arial" w:hAnsi="Arial"/>
          <w:sz w:val="20"/>
          <w:u w:val="single"/>
        </w:rPr>
        <w:instrText xml:space="preserve"> HYPERLINK "http://www.portaldecompraspublicas.com.br/" </w:instrText>
      </w:r>
      <w:r>
        <w:rPr>
          <w:rFonts w:ascii="Arial" w:hAnsi="Arial"/>
          <w:sz w:val="20"/>
        </w:rPr>
        <w:fldChar w:fldCharType="separate"/>
      </w:r>
      <w:r>
        <w:rPr>
          <w:rStyle w:val="C2"/>
          <w:rFonts w:ascii="Arial" w:hAnsi="Arial"/>
          <w:b w:val="1"/>
          <w:i w:val="1"/>
          <w:color w:val="000080"/>
          <w:sz w:val="20"/>
          <w:u w:val="single"/>
        </w:rPr>
        <w:t>www.portaldecompraspublicas.com.br</w:t>
      </w:r>
      <w:r>
        <w:rPr>
          <w:rFonts w:ascii="Arial" w:hAnsi="Arial"/>
          <w:sz w:val="20"/>
        </w:rPr>
        <w:fldChar w:fldCharType="end"/>
      </w:r>
      <w:r>
        <w:rPr>
          <w:rFonts w:ascii="Arial" w:hAnsi="Arial"/>
          <w:b w:val="1"/>
          <w:i w:val="1"/>
          <w:sz w:val="20"/>
          <w:u w:val="none"/>
        </w:rPr>
        <w:t>.</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3.2.2. </w:t>
      </w:r>
      <w:r>
        <w:rPr>
          <w:rFonts w:ascii="Arial" w:hAnsi="Arial"/>
          <w:color w:val="000000"/>
          <w:sz w:val="20"/>
          <w:u w:val="none"/>
        </w:rPr>
        <w:t>O CADASTRO DEVERÁ ESTAR EM CONFORMIDADE COM O REGISTRO da empresa.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3.3. </w:t>
      </w:r>
      <w:r>
        <w:rPr>
          <w:rFonts w:ascii="Arial" w:hAnsi="Arial"/>
          <w:color w:val="000000"/>
          <w:sz w:val="20"/>
          <w:u w:val="none"/>
        </w:rPr>
        <w:t>O credenciamento junto ao provedor do sistema implica a responsabilidade do licitante ou de seu representante legal e a presunção de sua capacidade técnica para realização das transações inerentes a esta licitação.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3.4. </w:t>
      </w:r>
      <w:r>
        <w:rPr>
          <w:rFonts w:ascii="Arial" w:hAnsi="Arial"/>
          <w:color w:val="000000"/>
          <w:sz w:val="20"/>
          <w:u w:val="none"/>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3.5. </w:t>
      </w:r>
      <w:r>
        <w:rPr>
          <w:rFonts w:ascii="Arial" w:hAnsi="Arial"/>
          <w:color w:val="000000"/>
          <w:sz w:val="20"/>
          <w:u w:val="none"/>
        </w:rPr>
        <w:t xml:space="preserve">É de responsabilidade do cadastrado conferir a exatidão dos seus dados cadastrais no </w:t>
      </w:r>
      <w:r>
        <w:rPr>
          <w:rFonts w:ascii="Arial" w:hAnsi="Arial"/>
          <w:b w:val="1"/>
          <w:color w:val="000000"/>
          <w:sz w:val="20"/>
          <w:u w:val="none"/>
        </w:rPr>
        <w:t>PORTAL DE COMPRAS PÚBLICAS</w:t>
      </w:r>
      <w:r>
        <w:rPr>
          <w:rFonts w:ascii="Arial" w:hAnsi="Arial"/>
          <w:color w:val="000000"/>
          <w:sz w:val="20"/>
          <w:u w:val="none"/>
        </w:rPr>
        <w:t xml:space="preserve"> e mantê-los atualizados junto aos órgãos responsáveis pela informação, devendo proceder, imediatamente, à correção ou à alteração dos registros tão logo identifique incorreção ou aqueles se tornem desatualizados.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3.5.1. </w:t>
      </w:r>
      <w:r>
        <w:rPr>
          <w:rFonts w:ascii="Arial" w:hAnsi="Arial"/>
          <w:color w:val="000000"/>
          <w:sz w:val="20"/>
          <w:u w:val="none"/>
        </w:rPr>
        <w:t>A não observância do disposto no subitem anterior poderá ensejar desclassificação no momento da habilitação.</w:t>
      </w:r>
    </w:p>
    <w:p>
      <w:pPr>
        <w:spacing w:lineRule="auto" w:line="240" w:after="0" w:beforeAutospacing="0" w:afterAutospacing="0"/>
        <w:jc w:val="both"/>
        <w:rPr>
          <w:rFonts w:ascii="Arial" w:hAnsi="Arial"/>
          <w:sz w:val="20"/>
        </w:rPr>
      </w:pPr>
    </w:p>
    <w:p>
      <w:pPr>
        <w:spacing w:lineRule="auto" w:line="240" w:after="0" w:beforeAutospacing="0" w:afterAutospacing="0"/>
        <w:ind w:left="1071"/>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 xml:space="preserve">4.  DA PARTICIPAÇÃO N</w:t>
      </w:r>
      <w:r>
        <w:rPr>
          <w:rFonts w:ascii="Arial" w:hAnsi="Arial"/>
          <w:b w:val="1"/>
          <w:sz w:val="20"/>
        </w:rPr>
        <w:t>O PREGÃO</w:t>
      </w:r>
      <w:r>
        <w:rPr>
          <w:rFonts w:ascii="Arial" w:hAnsi="Arial"/>
          <w:b w:val="1"/>
          <w:color w:val="000000"/>
          <w:sz w:val="20"/>
        </w:rPr>
        <w:t>.</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 xml:space="preserve">4.1. </w:t>
      </w:r>
      <w:r>
        <w:rPr>
          <w:rFonts w:ascii="Arial" w:hAnsi="Arial"/>
          <w:color w:val="000000"/>
          <w:sz w:val="20"/>
          <w:u w:val="none"/>
        </w:rPr>
        <w:t xml:space="preserve">Poderão participar destePregão interessados cujo ramo de atividade seja compatível com o objeto desta licitação, e que estejam com Credenciamento regular no </w:t>
      </w:r>
      <w:r>
        <w:rPr>
          <w:rFonts w:ascii="Arial" w:hAnsi="Arial"/>
          <w:b w:val="1"/>
          <w:color w:val="000000"/>
          <w:sz w:val="20"/>
          <w:u w:val="none"/>
        </w:rPr>
        <w:t>PORTAL DE COMPRAS PÚBLICAS.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4.2. </w:t>
      </w:r>
      <w:r>
        <w:rPr>
          <w:rFonts w:ascii="Arial" w:hAnsi="Arial"/>
          <w:color w:val="000000"/>
          <w:sz w:val="20"/>
          <w:u w:val="none"/>
        </w:rPr>
        <w:t>Será concedido tratamento favorecido para as microempresas, empresas de pequeno porte e para o microempreendedor individual - MEI, nos limites previstos da Lei Complementar nº 123/2006 e no artigo 4º da Lei nº 14.133/2021.</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4.3. </w:t>
      </w:r>
      <w:r>
        <w:rPr>
          <w:rFonts w:ascii="Arial" w:hAnsi="Arial"/>
          <w:color w:val="000000"/>
          <w:sz w:val="20"/>
          <w:u w:val="none"/>
        </w:rPr>
        <w:t>Não poderão participar desta licitação os interessados: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4.3.1. </w:t>
      </w:r>
      <w:r>
        <w:rPr>
          <w:rFonts w:ascii="Arial" w:hAnsi="Arial"/>
          <w:color w:val="000000"/>
          <w:sz w:val="20"/>
          <w:u w:val="none"/>
        </w:rPr>
        <w:t>Proibidos de participar de licitações e celebrar contratos administrativos, na forma da legislação vigente;</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4.3.1.1.</w:t>
      </w:r>
      <w:r>
        <w:rPr>
          <w:rFonts w:ascii="Arial" w:hAnsi="Arial"/>
          <w:color w:val="000000"/>
          <w:sz w:val="20"/>
          <w:u w:val="none"/>
        </w:rPr>
        <w:t xml:space="preserve"> O impedimento decorrente de sanção administrativa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4.3.2. </w:t>
      </w:r>
      <w:r>
        <w:rPr>
          <w:rFonts w:ascii="Arial" w:hAnsi="Arial"/>
          <w:color w:val="000000"/>
          <w:sz w:val="20"/>
          <w:u w:val="none"/>
        </w:rPr>
        <w:t>Que não atendam às condições deste Edital e seu(s) anexo(s);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4.3.3. </w:t>
      </w:r>
      <w:r>
        <w:rPr>
          <w:rFonts w:ascii="Arial" w:hAnsi="Arial"/>
          <w:color w:val="000000"/>
          <w:sz w:val="20"/>
          <w:u w:val="none"/>
        </w:rPr>
        <w:t>Estrangeiros que não tenham representação legal no Brasil com poderes expressos para receber citação e responder administrativa ou judicialmente;</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4.3.4. </w:t>
      </w:r>
      <w:r>
        <w:rPr>
          <w:rFonts w:ascii="Arial" w:hAnsi="Arial"/>
          <w:color w:val="000000"/>
          <w:sz w:val="20"/>
          <w:u w:val="none"/>
        </w:rPr>
        <w:t>Que se enquadrem nas vedações previstas nos artigos 9º e 14 da Lei nº 14.133/2021;</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4.3.5. </w:t>
      </w:r>
      <w:r>
        <w:rPr>
          <w:rFonts w:ascii="Arial" w:hAnsi="Arial"/>
          <w:color w:val="000000"/>
          <w:sz w:val="20"/>
          <w:u w:val="none"/>
        </w:rPr>
        <w:t>Que estejam sob falência, concurso de credores, concordata ou em processo de dissolução ou liquidação;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4.3.6. </w:t>
      </w:r>
      <w:r>
        <w:rPr>
          <w:rFonts w:ascii="Arial" w:hAnsi="Arial"/>
          <w:color w:val="000000"/>
          <w:sz w:val="20"/>
          <w:u w:val="none"/>
        </w:rPr>
        <w:t>Organizações da Sociedade Civil de Interesse Público - OSCIP, atuando nessa condição (Acórdão nº 746/2014-TCU-Plenário).</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4.4. </w:t>
      </w:r>
      <w:r>
        <w:rPr>
          <w:rFonts w:ascii="Arial" w:hAnsi="Arial"/>
          <w:color w:val="000000"/>
          <w:sz w:val="20"/>
          <w:u w:val="none"/>
        </w:rPr>
        <w:t>A pessoa jurídica poderá participar da licitação em consórcio, observadas as regras do art. 15 da Lei nº 14.133/2021.</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4.5. </w:t>
      </w:r>
      <w:r>
        <w:rPr>
          <w:rFonts w:ascii="Arial" w:hAnsi="Arial"/>
          <w:color w:val="000000"/>
          <w:sz w:val="20"/>
          <w:u w:val="none"/>
        </w:rPr>
        <w:t>Como condição para participação no Pregão, a licitante assinalará "sim" ou "não" em campo próprio do sistema eletrônico, relativo às seguintes declarações: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4.5.1. </w:t>
      </w:r>
      <w:r>
        <w:rPr>
          <w:rFonts w:ascii="Arial" w:hAnsi="Arial"/>
          <w:color w:val="000000"/>
          <w:sz w:val="20"/>
          <w:u w:val="none"/>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pPr>
        <w:spacing w:lineRule="auto" w:line="240" w:before="0" w:after="0" w:beforeAutospacing="0" w:afterAutospacing="0"/>
        <w:ind w:left="567" w:right="0"/>
        <w:jc w:val="both"/>
        <w:rPr>
          <w:rFonts w:ascii="Arial" w:hAnsi="Arial"/>
          <w:color w:val="000000"/>
          <w:sz w:val="20"/>
          <w:u w:val="none"/>
        </w:rPr>
      </w:pPr>
      <w:r>
        <w:rPr>
          <w:rFonts w:ascii="Arial" w:hAnsi="Arial"/>
          <w:b w:val="1"/>
          <w:color w:val="000000"/>
          <w:sz w:val="20"/>
          <w:u w:val="none"/>
        </w:rPr>
        <w:t xml:space="preserve">4.5.1.1. </w:t>
      </w:r>
      <w:r>
        <w:rPr>
          <w:rFonts w:ascii="Arial" w:hAnsi="Arial"/>
          <w:color w:val="000000"/>
          <w:sz w:val="20"/>
          <w:u w:val="none"/>
        </w:rPr>
        <w:t>Nos itens exclusivos para participação de microempresas e empresas de pequeno porte, a assinalação do campo "não" impedirá o prosseguimento no certame;</w:t>
      </w:r>
    </w:p>
    <w:p>
      <w:pPr>
        <w:spacing w:lineRule="auto" w:line="240" w:before="0" w:after="0" w:beforeAutospacing="0" w:afterAutospacing="0"/>
        <w:ind w:left="567" w:right="0"/>
        <w:jc w:val="both"/>
        <w:rPr>
          <w:rFonts w:ascii="Arial" w:hAnsi="Arial"/>
          <w:color w:val="000000"/>
          <w:sz w:val="20"/>
          <w:u w:val="none"/>
        </w:rPr>
      </w:pPr>
      <w:r>
        <w:rPr>
          <w:rFonts w:ascii="Arial" w:hAnsi="Arial"/>
          <w:b w:val="1"/>
          <w:color w:val="000000"/>
          <w:sz w:val="20"/>
          <w:u w:val="none"/>
        </w:rPr>
        <w:t xml:space="preserve">4.5.1.2. </w:t>
      </w:r>
      <w:r>
        <w:rPr>
          <w:rFonts w:ascii="Arial" w:hAnsi="Arial"/>
          <w:color w:val="000000"/>
          <w:sz w:val="20"/>
          <w:u w:val="none"/>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pPr>
        <w:spacing w:lineRule="auto" w:line="240" w:before="0" w:after="0" w:beforeAutospacing="0" w:afterAutospacing="0"/>
        <w:ind w:left="567"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4.5.2. </w:t>
      </w:r>
      <w:r>
        <w:rPr>
          <w:rFonts w:ascii="Arial" w:hAnsi="Arial"/>
          <w:color w:val="000000"/>
          <w:sz w:val="20"/>
          <w:u w:val="none"/>
        </w:rPr>
        <w:t>Que está ciente e concorda com as condições contidas no Edital e seus anexos;</w:t>
      </w:r>
    </w:p>
    <w:p>
      <w:pPr>
        <w:spacing w:lineRule="auto" w:line="240" w:before="0" w:after="0" w:beforeAutospacing="0" w:afterAutospacing="0"/>
        <w:ind w:left="284"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4.5.3. </w:t>
      </w:r>
      <w:r>
        <w:rPr>
          <w:rFonts w:ascii="Arial" w:hAnsi="Arial"/>
          <w:color w:val="000000"/>
          <w:sz w:val="20"/>
          <w:u w:val="none"/>
        </w:rPr>
        <w:t>Que cumpre os requisitos para a habilitação definidos no Edital e que a proposta apresentada está em conformidade com as exigências editalícias;</w:t>
      </w:r>
    </w:p>
    <w:p>
      <w:pPr>
        <w:spacing w:lineRule="auto" w:line="240" w:before="0" w:after="0" w:beforeAutospacing="0" w:afterAutospacing="0"/>
        <w:ind w:left="284"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4.5.4. </w:t>
      </w:r>
      <w:r>
        <w:rPr>
          <w:rFonts w:ascii="Arial" w:hAnsi="Arial"/>
          <w:color w:val="000000"/>
          <w:sz w:val="20"/>
          <w:u w:val="none"/>
        </w:rPr>
        <w:t>Que inexistem fatos impeditivos para sua habilitação no certame, ciente da obrigatoriedade de declarar ocorrências posteriores;</w:t>
      </w:r>
    </w:p>
    <w:p>
      <w:pPr>
        <w:spacing w:lineRule="auto" w:line="240" w:before="0" w:after="0" w:beforeAutospacing="0" w:afterAutospacing="0"/>
        <w:ind w:left="284"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4.5.5. </w:t>
      </w:r>
      <w:r>
        <w:rPr>
          <w:rFonts w:ascii="Arial" w:hAnsi="Arial"/>
          <w:color w:val="000000"/>
          <w:sz w:val="20"/>
          <w:u w:val="none"/>
        </w:rPr>
        <w:t>Que não emprega menor de 18 anos em trabalho noturno, perigoso ou insalubre e não emprega menor de 16 anos, salvo menor, a partir de 14 anos, na condição de aprendiz, nos termos do artigo 7°, XXXIII, da Constituição Federal de 1998;</w:t>
      </w:r>
    </w:p>
    <w:p>
      <w:pPr>
        <w:spacing w:lineRule="auto" w:line="240" w:before="0" w:after="0" w:beforeAutospacing="0" w:afterAutospacing="0"/>
        <w:ind w:left="284"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4.5.6. </w:t>
      </w:r>
      <w:r>
        <w:rPr>
          <w:rFonts w:ascii="Arial" w:hAnsi="Arial"/>
          <w:color w:val="000000"/>
          <w:sz w:val="20"/>
          <w:u w:val="none"/>
        </w:rPr>
        <w:t>Que a proposta foi elaborada de forma independente;</w:t>
      </w:r>
    </w:p>
    <w:p>
      <w:pPr>
        <w:spacing w:lineRule="auto" w:line="240" w:before="0" w:after="0" w:beforeAutospacing="0" w:afterAutospacing="0"/>
        <w:ind w:left="720"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4.5.7. </w:t>
      </w:r>
      <w:r>
        <w:rPr>
          <w:rFonts w:ascii="Arial" w:hAnsi="Arial"/>
          <w:color w:val="000000"/>
          <w:sz w:val="20"/>
          <w:u w:val="none"/>
        </w:rPr>
        <w:t>Que não possui, em sua cadeia produtiva, empregados executando trabalho degradante ou forçado, observando o disposto nos incisos III e IV do art. 1º e no inciso III do art. 5º da Constituição Federal;</w:t>
      </w:r>
    </w:p>
    <w:p>
      <w:pPr>
        <w:spacing w:lineRule="auto" w:line="240" w:before="0" w:after="0" w:beforeAutospacing="0" w:afterAutospacing="0"/>
        <w:ind w:left="720"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4.5.8. </w:t>
      </w:r>
      <w:r>
        <w:rPr>
          <w:rFonts w:ascii="Arial" w:hAnsi="Arial"/>
          <w:color w:val="000000"/>
          <w:sz w:val="20"/>
          <w:u w:val="none"/>
        </w:rPr>
        <w:t>Que cumpre com a reserva de cargos prevista em lei para pessoa com deficiência ou para reabilitado da Previdência Social e que atendam às regras de acessibilidade previstas na legislação, conforme disposto no art. 93 da Lei nº 8.213/1991.</w:t>
      </w:r>
    </w:p>
    <w:p>
      <w:pPr>
        <w:spacing w:lineRule="auto" w:line="240" w:before="0" w:after="0" w:beforeAutospacing="0" w:afterAutospacing="0"/>
        <w:ind w:left="284"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4.5.9.</w:t>
      </w:r>
      <w:r>
        <w:rPr>
          <w:rFonts w:ascii="Arial" w:hAnsi="Arial"/>
          <w:color w:val="000000"/>
          <w:sz w:val="20"/>
          <w:u w:val="none"/>
        </w:rPr>
        <w:t xml:space="preserve"> O licitante organizado em cooperativa deverá declarar, ainda, em campo próprio do sistema eletrônico, que cumpre os requisitos estabelecidos no art. 16 da Lei 14.133/2021.</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4.6. </w:t>
      </w:r>
      <w:r>
        <w:rPr>
          <w:rFonts w:ascii="Arial" w:hAnsi="Arial"/>
          <w:color w:val="000000"/>
          <w:sz w:val="20"/>
          <w:u w:val="none"/>
        </w:rPr>
        <w:t>A declaração falsa relativa ao cumprimento de qualquer condição sujeitará o licitante às sanções previstas em lei e neste Edital.</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ind w:hanging="284" w:left="284"/>
        <w:jc w:val="both"/>
        <w:rPr>
          <w:rFonts w:ascii="Arial" w:hAnsi="Arial"/>
          <w:b w:val="1"/>
          <w:color w:val="000000"/>
          <w:sz w:val="20"/>
        </w:rPr>
      </w:pPr>
      <w:r>
        <w:rPr>
          <w:rFonts w:ascii="Arial" w:hAnsi="Arial"/>
          <w:b w:val="1"/>
          <w:color w:val="000000"/>
          <w:sz w:val="20"/>
        </w:rPr>
        <w:t xml:space="preserve">5.  DA APRESENTAÇÃO DA PROPOSTA E DOS DOCUMENTOS DE HABILITAÇÃO.</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u w:val="none"/>
        </w:rPr>
      </w:pPr>
      <w:r>
        <w:rPr>
          <w:rFonts w:ascii="Arial" w:hAnsi="Arial"/>
          <w:b w:val="1"/>
          <w:sz w:val="20"/>
          <w:u w:val="none"/>
        </w:rPr>
        <w:t xml:space="preserve">5.1. </w:t>
      </w:r>
      <w:r>
        <w:rPr>
          <w:rFonts w:ascii="Arial" w:hAnsi="Arial"/>
          <w:color w:val="000000"/>
          <w:sz w:val="20"/>
          <w:u w:val="none"/>
        </w:rPr>
        <w:t xml:space="preserve">Os licitantes encaminharão, exclusivamente por meio do sistema eletrônico a proposta com a descrição do objeto ofertado e o preço, até a data e o horário estabelecidos para abertura da sessão pública, quando, então, após a fase de lances, a Pregoeira convocará a(s) empresa(s) vencedora(s) para anexar os documentos de habilitação exigidos no edital no </w:t>
      </w:r>
      <w:r>
        <w:rPr>
          <w:rFonts w:ascii="Arial" w:hAnsi="Arial"/>
          <w:b w:val="1"/>
          <w:color w:val="000000"/>
          <w:sz w:val="20"/>
          <w:u w:val="none"/>
        </w:rPr>
        <w:t>prazoimprorrogável de 24 (vinte e quatro) horas</w:t>
      </w:r>
      <w:r>
        <w:rPr>
          <w:rFonts w:ascii="Arial" w:hAnsi="Arial"/>
          <w:color w:val="000000"/>
          <w:sz w:val="20"/>
          <w:u w:val="none"/>
        </w:rPr>
        <w:t>, e após este prazo encerrar-se-á automaticamente a etapa de envio dessa documentação.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5.2. </w:t>
      </w:r>
      <w:r>
        <w:rPr>
          <w:rFonts w:ascii="Arial" w:hAnsi="Arial"/>
          <w:sz w:val="20"/>
          <w:u w:val="none"/>
        </w:rPr>
        <w:t>A proposta de preços prevista no Edital deverá ser encaminhada em formulário eletrônico específico, mediante a opção "Acesso identificado", na página inicial do site www.portaldecompraspublicas.com.br, conforme datas e horários limites estabelecidos no item 1.4 deste instrumento convocatório.</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5.3. </w:t>
      </w:r>
      <w:r>
        <w:rPr>
          <w:rFonts w:ascii="Arial" w:hAnsi="Arial"/>
          <w:sz w:val="20"/>
          <w:u w:val="none"/>
        </w:rPr>
        <w:t>Será de inteira responsabilidade do licitante o preenchimento de todas as informações requeridas pelo sistema, devendo o mesmo cuidar para que tais não o identifiquem sob pena de desclassificação.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5.4. </w:t>
      </w:r>
      <w:r>
        <w:rPr>
          <w:rFonts w:ascii="Arial" w:hAnsi="Arial"/>
          <w:sz w:val="20"/>
          <w:u w:val="none"/>
        </w:rPr>
        <w:t>O encaminhamento da proposta pelo licitante pressupõe seu pleno conhecimento e aceitação de todas as regras do certame.</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5.5. </w:t>
      </w:r>
      <w:r>
        <w:rPr>
          <w:rFonts w:ascii="Arial" w:hAnsi="Arial"/>
          <w:sz w:val="20"/>
          <w:u w:val="none"/>
        </w:rPr>
        <w:t>Para a elaboração da proposta comercial o licitante deverá considerar os preços praticados no mercado, sem quaisquer acréscimos em virtude de expectativa inflacionária.</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5.6.</w:t>
      </w:r>
      <w:r>
        <w:rPr>
          <w:rFonts w:ascii="Arial" w:hAnsi="Arial"/>
          <w:color w:val="000000"/>
          <w:sz w:val="20"/>
          <w:u w:val="none"/>
        </w:rPr>
        <w:t xml:space="preserve"> A proposta deverá indicar o preço unitário e total do item, e preferencialmente também o valor total da proposta.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5.6.1. Os lances formulados pelo licitante na Sessão Pública através do sistema eletrônico deverão indicar o VALOR TOTAL DO LOTE, expresso em Real (R$).</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5.7. </w:t>
      </w:r>
      <w:r>
        <w:rPr>
          <w:rFonts w:ascii="Arial" w:hAnsi="Arial"/>
          <w:sz w:val="20"/>
          <w:u w:val="none"/>
        </w:rPr>
        <w:t>Todas as especificações do objeto contidas na proposta vinculam o licitante registrado.</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5.8. </w:t>
      </w:r>
      <w:r>
        <w:rPr>
          <w:rFonts w:ascii="Arial" w:hAnsi="Arial"/>
          <w:sz w:val="20"/>
          <w:u w:val="none"/>
        </w:rPr>
        <w:t>No caso de propostas com valores iguais, não ocorrendo lances, prevalecerá aquela que for recebida e registrada em primeiro lugar.</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5.9. </w:t>
      </w:r>
      <w:r>
        <w:rPr>
          <w:rFonts w:ascii="Arial" w:hAnsi="Arial"/>
          <w:sz w:val="20"/>
          <w:u w:val="none"/>
        </w:rPr>
        <w:t>O preço proposto deverá contemplar todos os custos diretos e indiretos porventura ou de qualquer outra forma relacionados com o objeto da presente licitação tais como, exemplificativamente: impostos, taxas, transportes, seguros, embalagens, encargos, contribuições e obrigações sociais, trabalhistas e previdenciárias, insumos de qualquer natureza, etc.</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5.10. </w:t>
      </w:r>
      <w:r>
        <w:rPr>
          <w:rFonts w:ascii="Arial" w:hAnsi="Arial"/>
          <w:sz w:val="20"/>
          <w:u w:val="none"/>
        </w:rPr>
        <w:t>Quaisquer tributos, custos ou despesas, de qualquer natureza, omitidos da proposta ou incorretamente cotados serão considerados como inclusos nos preços, não sendo aceitos pleitos de acréscimos, a esse ou a qualquer título, devendo o objeto ser entregue ao Município sem ônus adicional.</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sz w:val="20"/>
          <w:u w:val="none"/>
        </w:rPr>
        <w:t xml:space="preserve">5.11. </w:t>
      </w:r>
      <w:r>
        <w:rPr>
          <w:rFonts w:ascii="Arial" w:hAnsi="Arial"/>
          <w:color w:val="000000"/>
          <w:sz w:val="20"/>
          <w:u w:val="none"/>
        </w:rPr>
        <w:t>O envio da proposta e dos documentos de habilitação exigidos neste Edital, ocorrerá por meio de chave de acesso e senha.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5.12. </w:t>
      </w:r>
      <w:r>
        <w:rPr>
          <w:rFonts w:ascii="Arial" w:hAnsi="Arial"/>
          <w:sz w:val="20"/>
          <w:u w:val="none"/>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sz w:val="20"/>
          <w:u w:val="none"/>
        </w:rPr>
        <w:t xml:space="preserve">5.13. </w:t>
      </w:r>
      <w:r>
        <w:rPr>
          <w:rFonts w:ascii="Arial" w:hAnsi="Arial"/>
          <w:sz w:val="20"/>
          <w:u w:val="none"/>
        </w:rPr>
        <w:t xml:space="preserve">Até a abertura da sessão pública, os licitantes poderão retirar ou substituir </w:t>
      </w:r>
      <w:r>
        <w:rPr>
          <w:rFonts w:ascii="Arial" w:hAnsi="Arial"/>
          <w:color w:val="000000"/>
          <w:sz w:val="20"/>
          <w:u w:val="none"/>
        </w:rPr>
        <w:t>a proposta anteriormente inserida no sistema.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5.14. </w:t>
      </w:r>
      <w:r>
        <w:rPr>
          <w:rFonts w:ascii="Arial" w:hAnsi="Arial"/>
          <w:sz w:val="20"/>
          <w:u w:val="none"/>
        </w:rPr>
        <w:t>Não será estabelecida, nesta etapa do certame, ordem de classificação entre as propostas apresentadas, o que somente ocorrerá após a realização dos procedimentos de negociação e julgamento da proposta.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5.15. </w:t>
      </w:r>
      <w:r>
        <w:rPr>
          <w:rFonts w:ascii="Arial" w:hAnsi="Arial"/>
          <w:color w:val="000000"/>
          <w:sz w:val="20"/>
          <w:u w:val="none"/>
        </w:rPr>
        <w:t>Os documentos que compõem a proposta do licitante melhor classificado e posteriormente os seus documentos de habilitação anexados somente serão disponibilizados para avaliação da Pregoeira e para acesso público após o encerramento do envio de lances.</w:t>
      </w:r>
    </w:p>
    <w:p>
      <w:pPr>
        <w:spacing w:lineRule="auto" w:line="240" w:before="0" w:after="0" w:beforeAutospacing="0" w:afterAutospacing="0"/>
        <w:ind w:left="425"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425"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hanging="284" w:left="284" w:right="0"/>
        <w:jc w:val="both"/>
        <w:rPr>
          <w:rFonts w:ascii="Arial" w:hAnsi="Arial"/>
          <w:b w:val="1"/>
          <w:color w:val="000000"/>
          <w:sz w:val="20"/>
          <w:u w:val="none"/>
        </w:rPr>
      </w:pPr>
      <w:r>
        <w:rPr>
          <w:rFonts w:ascii="Arial" w:hAnsi="Arial"/>
          <w:b w:val="1"/>
          <w:color w:val="000000"/>
          <w:sz w:val="20"/>
          <w:u w:val="none"/>
        </w:rPr>
        <w:t>6. DO PREENCHIMENTO DA PROPOSTA.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color w:val="000000"/>
          <w:sz w:val="20"/>
          <w:u w:val="none"/>
        </w:rPr>
        <w:t xml:space="preserve">6.1. </w:t>
      </w:r>
      <w:r>
        <w:rPr>
          <w:rFonts w:ascii="Arial" w:hAnsi="Arial"/>
          <w:sz w:val="20"/>
          <w:u w:val="none"/>
        </w:rPr>
        <w:t>O licitante enviará sua proposta mediante o preenchimento, no sistema eletrônico, dos seguintes campos:</w:t>
      </w:r>
    </w:p>
    <w:p>
      <w:pPr>
        <w:spacing w:lineRule="auto" w:line="240" w:before="0" w:after="0" w:beforeAutospacing="0" w:afterAutospacing="0"/>
        <w:ind w:left="284"/>
        <w:jc w:val="both"/>
        <w:rPr>
          <w:rFonts w:ascii="Arial" w:hAnsi="Arial"/>
          <w:sz w:val="20"/>
          <w:u w:val="none"/>
        </w:rPr>
      </w:pPr>
      <w:r>
        <w:rPr>
          <w:rFonts w:ascii="Arial" w:hAnsi="Arial"/>
          <w:b w:val="1"/>
          <w:color w:val="000000"/>
          <w:sz w:val="20"/>
          <w:u w:val="none"/>
        </w:rPr>
        <w:t xml:space="preserve">6.1.1. </w:t>
      </w:r>
      <w:r>
        <w:rPr>
          <w:rFonts w:ascii="Arial" w:hAnsi="Arial"/>
          <w:sz w:val="20"/>
          <w:u w:val="none"/>
        </w:rPr>
        <w:t>Valor unitário e total para cada item ou lote de itens, em moeda corrente nacional;</w:t>
      </w:r>
    </w:p>
    <w:p>
      <w:pPr>
        <w:spacing w:lineRule="auto" w:line="240" w:before="0" w:after="0" w:beforeAutospacing="0" w:afterAutospacing="0"/>
        <w:ind w:left="284" w:right="0"/>
        <w:jc w:val="both"/>
        <w:rPr>
          <w:rFonts w:ascii="Arial" w:hAnsi="Arial"/>
          <w:sz w:val="20"/>
          <w:u w:val="none"/>
        </w:rPr>
      </w:pPr>
      <w:r>
        <w:rPr>
          <w:rFonts w:ascii="Arial" w:hAnsi="Arial"/>
          <w:b w:val="1"/>
          <w:color w:val="000000"/>
          <w:sz w:val="20"/>
          <w:u w:val="none"/>
        </w:rPr>
        <w:t xml:space="preserve">6.1.2. </w:t>
      </w:r>
      <w:r>
        <w:rPr>
          <w:rFonts w:ascii="Arial" w:hAnsi="Arial"/>
          <w:color w:val="000000"/>
          <w:sz w:val="20"/>
          <w:u w:val="none"/>
        </w:rPr>
        <w:t xml:space="preserve">Marca </w:t>
      </w:r>
      <w:r>
        <w:rPr>
          <w:rFonts w:ascii="Arial" w:hAnsi="Arial"/>
          <w:sz w:val="20"/>
          <w:u w:val="none"/>
        </w:rPr>
        <w:t>de cada item ofertado;</w:t>
      </w:r>
    </w:p>
    <w:p>
      <w:pPr>
        <w:spacing w:lineRule="auto" w:line="240" w:before="0" w:after="0" w:beforeAutospacing="0" w:afterAutospacing="0"/>
        <w:ind w:left="284" w:right="0"/>
        <w:jc w:val="both"/>
        <w:rPr>
          <w:rFonts w:ascii="Arial" w:hAnsi="Arial"/>
          <w:sz w:val="20"/>
          <w:u w:val="none"/>
        </w:rPr>
      </w:pPr>
      <w:r>
        <w:rPr>
          <w:rFonts w:ascii="Arial" w:hAnsi="Arial"/>
          <w:b w:val="1"/>
          <w:color w:val="000000"/>
          <w:sz w:val="20"/>
          <w:u w:val="none"/>
        </w:rPr>
        <w:t xml:space="preserve">6.1.3. </w:t>
      </w:r>
      <w:r>
        <w:rPr>
          <w:rFonts w:ascii="Arial" w:hAnsi="Arial"/>
          <w:sz w:val="20"/>
          <w:u w:val="none"/>
        </w:rPr>
        <w:t>Modelo, prazo de validade ou de garantia, no que for aplicável, de cada item ofertado, quando for o caso.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6.2. </w:t>
      </w:r>
      <w:r>
        <w:rPr>
          <w:rFonts w:ascii="Arial" w:hAnsi="Arial"/>
          <w:color w:val="000000"/>
          <w:sz w:val="20"/>
          <w:u w:val="none"/>
        </w:rPr>
        <w:t>Os preços ofertados, tanto na proposta inicial, quanto na etapa de lances, serão de exclusiva responsabilidade do licitante, não lhe assistindo o direito de pleitear qualquer alteração, sob alegação de erro, omissão ou qualquer outro pretexto.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6.3. </w:t>
      </w:r>
      <w:r>
        <w:rPr>
          <w:rFonts w:ascii="Arial" w:hAnsi="Arial"/>
          <w:color w:val="000000"/>
          <w:sz w:val="20"/>
          <w:u w:val="none"/>
        </w:rPr>
        <w:t xml:space="preserve">O prazo de validade da proposta não será inferior </w:t>
      </w:r>
      <w:r>
        <w:rPr>
          <w:rFonts w:ascii="Arial" w:hAnsi="Arial"/>
          <w:sz w:val="20"/>
          <w:u w:val="none"/>
        </w:rPr>
        <w:t xml:space="preserve">a </w:t>
      </w:r>
      <w:r>
        <w:rPr>
          <w:rFonts w:ascii="Arial" w:hAnsi="Arial"/>
          <w:b w:val="1"/>
          <w:sz w:val="20"/>
          <w:u w:val="none"/>
        </w:rPr>
        <w:t>90 (NOVENTA) DIAS,</w:t>
      </w:r>
      <w:r>
        <w:rPr>
          <w:rFonts w:ascii="Arial" w:hAnsi="Arial"/>
          <w:sz w:val="20"/>
          <w:u w:val="none"/>
        </w:rPr>
        <w:t xml:space="preserve"> a</w:t>
      </w:r>
      <w:r>
        <w:rPr>
          <w:rFonts w:ascii="Arial" w:hAnsi="Arial"/>
          <w:color w:val="000000"/>
          <w:sz w:val="20"/>
          <w:u w:val="none"/>
        </w:rPr>
        <w:t xml:space="preserve"> contar da data de sua apresentação.</w:t>
      </w:r>
    </w:p>
    <w:p>
      <w:pPr>
        <w:spacing w:lineRule="auto" w:line="240" w:after="0" w:beforeAutospacing="0" w:afterAutospacing="0"/>
        <w:jc w:val="both"/>
        <w:rPr>
          <w:rFonts w:ascii="Arial" w:hAnsi="Arial"/>
          <w:color w:val="000000"/>
          <w:sz w:val="20"/>
          <w:u w:val="none"/>
        </w:rPr>
      </w:pPr>
    </w:p>
    <w:p>
      <w:pPr>
        <w:spacing w:lineRule="auto" w:line="240" w:before="0" w:after="119" w:beforeAutospacing="0" w:afterAutospacing="0"/>
        <w:ind w:left="0"/>
        <w:jc w:val="both"/>
        <w:rPr>
          <w:rFonts w:ascii="Arial" w:hAnsi="Arial"/>
          <w:color w:val="000000"/>
          <w:sz w:val="20"/>
          <w:u w:val="none"/>
        </w:rPr>
      </w:pPr>
      <w:r>
        <w:rPr>
          <w:rFonts w:ascii="Arial" w:hAnsi="Arial"/>
          <w:b w:val="1"/>
          <w:color w:val="000000"/>
          <w:sz w:val="20"/>
          <w:u w:val="none"/>
        </w:rPr>
        <w:t xml:space="preserve">6.4. </w:t>
      </w:r>
      <w:r>
        <w:rPr>
          <w:rFonts w:ascii="Arial" w:hAnsi="Arial"/>
          <w:color w:val="000000"/>
          <w:sz w:val="20"/>
          <w:u w:val="none"/>
        </w:rPr>
        <w:t>Todas as especificações do objeto contidas na proposta vinculam a Contratada e, havendo divergência entre as condições da proposta e as cláusulas deste Edital, incluindo seus anexos, prevalecerão as últimas.</w:t>
      </w:r>
    </w:p>
    <w:p>
      <w:pPr>
        <w:spacing w:lineRule="auto" w:line="240" w:before="0" w:after="119" w:beforeAutospacing="0" w:afterAutospacing="0"/>
        <w:ind w:left="0"/>
        <w:jc w:val="both"/>
        <w:rPr>
          <w:rFonts w:ascii="Arial" w:hAnsi="Arial"/>
          <w:color w:val="000000"/>
          <w:sz w:val="20"/>
          <w:u w:val="none"/>
        </w:rPr>
      </w:pPr>
      <w:r>
        <w:rPr>
          <w:rFonts w:ascii="Arial" w:hAnsi="Arial"/>
          <w:b w:val="1"/>
          <w:color w:val="000000"/>
          <w:sz w:val="20"/>
          <w:u w:val="none"/>
        </w:rPr>
        <w:t xml:space="preserve">6.5. </w:t>
      </w:r>
      <w:r>
        <w:rPr>
          <w:rFonts w:ascii="Arial" w:hAnsi="Arial"/>
          <w:color w:val="000000"/>
          <w:sz w:val="20"/>
          <w:u w:val="none"/>
        </w:rPr>
        <w:t>Nos valores propostos estarão inclusos todos os custos operacionais, encargos previdenciários, trabalhistas, tributários, comerciais e quaisquer outros que incidam direta ou indiretamente na contratação.</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rPr>
        <w:t xml:space="preserve">6.6. </w:t>
      </w:r>
      <w:r>
        <w:rPr>
          <w:rFonts w:ascii="Times New Roman" w:hAnsi="Times New Roman"/>
          <w:sz w:val="24"/>
          <w:u w:val="none"/>
        </w:rPr>
        <w:t xml:space="preserve"> </w:t>
      </w:r>
      <w:r>
        <w:rPr>
          <w:rFonts w:ascii="Arial" w:hAnsi="Arial"/>
          <w:b w:val="1"/>
          <w:color w:val="000000"/>
          <w:sz w:val="20"/>
          <w:u w:val="none"/>
          <w:shd w:val="clear" w:color="auto" w:fill="FFFFFF"/>
        </w:rPr>
        <w:t>Sustentabilidade Ambiental</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6.6.1.</w:t>
      </w:r>
      <w:r>
        <w:rPr>
          <w:rFonts w:ascii="Arial" w:hAnsi="Arial"/>
          <w:color w:val="000000"/>
          <w:sz w:val="20"/>
          <w:u w:val="none"/>
          <w:shd w:val="clear" w:color="auto" w:fill="FFFFFF"/>
        </w:rPr>
        <w:t xml:space="preserve"> Deve-se priorizar o uso de papel proveniente de fontes sustentáveis, certificado pelo FSC ou organizações equivalentes, e tintas e materiais de impressão ecologicamente responsáveis.</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6.6.2.</w:t>
      </w:r>
      <w:r>
        <w:rPr>
          <w:rFonts w:ascii="Arial" w:hAnsi="Arial"/>
          <w:color w:val="000000"/>
          <w:sz w:val="20"/>
          <w:u w:val="none"/>
          <w:shd w:val="clear" w:color="auto" w:fill="FFFFFF"/>
        </w:rPr>
        <w:t xml:space="preserve"> A licitante deve adotar práticas de produção sustentáveis, minimizando o consumo de recursos naturais e a geração de resíduos.</w:t>
      </w:r>
    </w:p>
    <w:p>
      <w:pPr>
        <w:spacing w:lineRule="auto" w:line="240" w:befor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6.7. Capacidade de Produção</w:t>
      </w:r>
    </w:p>
    <w:p>
      <w:pPr>
        <w:spacing w:lineRule="auto" w:line="240" w:before="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6.7.1.</w:t>
      </w:r>
      <w:r>
        <w:rPr>
          <w:rFonts w:ascii="Arial" w:hAnsi="Arial"/>
          <w:color w:val="000000"/>
          <w:sz w:val="20"/>
          <w:u w:val="none"/>
          <w:shd w:val="clear" w:color="auto" w:fill="FFFFFF"/>
        </w:rPr>
        <w:t xml:space="preserve"> A licitante deve possuir capacidade técnica e infraestrutura adequada para atender à demanda estimada, considerando as quantidades de cadernos necessárias para cada série e disciplina.</w:t>
      </w:r>
    </w:p>
    <w:p>
      <w:pPr>
        <w:spacing w:lineRule="auto" w:line="240" w:before="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6.8. Prazos de Entrega</w:t>
      </w:r>
    </w:p>
    <w:p>
      <w:pPr>
        <w:spacing w:lineRule="auto" w:line="240" w:before="0" w:after="16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6.8.1.</w:t>
      </w:r>
      <w:r>
        <w:rPr>
          <w:rFonts w:ascii="Arial" w:hAnsi="Arial"/>
          <w:color w:val="auto"/>
          <w:sz w:val="20"/>
          <w:u w:val="none"/>
          <w:shd w:val="clear" w:color="auto" w:fill="FFFFFF"/>
        </w:rPr>
        <w:t xml:space="preserve"> A entrega será de acordo com a necessidade da Secretaria Municipal de Educação, no prazo de até 30 (trinta) dias, contados a partir da emissão da Autorização de Fornecimento.</w:t>
      </w:r>
    </w:p>
    <w:p>
      <w:pPr>
        <w:spacing w:lineRule="auto" w:line="240" w:before="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6.9. Garantia e Suporte</w:t>
      </w:r>
    </w:p>
    <w:p>
      <w:pPr>
        <w:spacing w:lineRule="auto" w:line="240" w:before="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6.9.1.</w:t>
      </w:r>
      <w:r>
        <w:rPr>
          <w:rFonts w:ascii="Arial" w:hAnsi="Arial"/>
          <w:color w:val="000000"/>
          <w:sz w:val="20"/>
          <w:u w:val="none"/>
          <w:shd w:val="clear" w:color="auto" w:fill="FFFFFF"/>
        </w:rPr>
        <w:t xml:space="preserve"> A licitante deve oferecer garantia de qualidade dos produtos entregues e estar disponível para prestar suporte e resolver eventuais problemas ou questões relacionadas aos cadernos produzidos.</w:t>
      </w:r>
    </w:p>
    <w:p>
      <w:pPr>
        <w:spacing w:lineRule="auto" w:line="240" w:before="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6.9.2.</w:t>
      </w:r>
      <w:r>
        <w:rPr>
          <w:rFonts w:ascii="Arial" w:hAnsi="Arial"/>
          <w:color w:val="000000"/>
          <w:sz w:val="20"/>
          <w:u w:val="none"/>
          <w:shd w:val="clear" w:color="auto" w:fill="FFFFFF"/>
        </w:rPr>
        <w:t xml:space="preserve"> O dever previsto no subitem anterior implica na obrigação de, a critério da Administração, substituir, reparar, corrigir, remover, ou reconstruir, às suas expensas, no prazo máximo de 10 (dez) dias, o produto com avarias ou defeitos.</w:t>
      </w:r>
    </w:p>
    <w:p>
      <w:pPr>
        <w:spacing w:lineRule="auto" w:line="240" w:before="0" w:after="0" w:beforeAutospacing="0" w:afterAutospacing="0"/>
        <w:jc w:val="both"/>
        <w:rPr>
          <w:rFonts w:ascii="Arial" w:hAnsi="Arial"/>
          <w:color w:val="000000"/>
          <w:sz w:val="20"/>
          <w:u w:val="none"/>
          <w:shd w:val="clear" w:color="auto" w:fill="FFFFFF"/>
        </w:rPr>
      </w:pPr>
    </w:p>
    <w:p>
      <w:pPr>
        <w:spacing w:lineRule="auto" w:line="240" w:before="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6.10. Subcontratação</w:t>
      </w:r>
    </w:p>
    <w:p>
      <w:pPr>
        <w:spacing w:lineRule="auto" w:line="240" w:before="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6.10.1.</w:t>
      </w:r>
      <w:r>
        <w:rPr>
          <w:rFonts w:ascii="Arial" w:hAnsi="Arial"/>
          <w:color w:val="000000"/>
          <w:sz w:val="20"/>
          <w:u w:val="none"/>
          <w:shd w:val="clear" w:color="auto" w:fill="FFFFFF"/>
        </w:rPr>
        <w:t xml:space="preserve"> Não é admitida a subcontratação do objeto.</w:t>
      </w:r>
    </w:p>
    <w:p>
      <w:pPr>
        <w:spacing w:lineRule="auto" w:line="240" w:before="0" w:after="0" w:beforeAutospacing="0" w:afterAutospacing="0"/>
        <w:jc w:val="both"/>
        <w:rPr>
          <w:rFonts w:ascii="Times New Roman" w:hAnsi="Times New Roman"/>
          <w:sz w:val="24"/>
          <w:u w:val="none"/>
        </w:rPr>
      </w:pP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7. DA ABERTURA DA SESSÃO, CLASSIFICAÇÃO DAS PROPOSTAS E FORMULAÇÃO DE LANCES.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7.1. </w:t>
      </w:r>
      <w:r>
        <w:rPr>
          <w:rFonts w:ascii="Arial" w:hAnsi="Arial"/>
          <w:color w:val="000000"/>
          <w:sz w:val="20"/>
          <w:u w:val="none"/>
        </w:rPr>
        <w:t>A abertura da presente licitação dar-se-á em sessão pública, por meio de sistema eletrônico, na data, horário e local indicados neste Edital.</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7.2. </w:t>
      </w:r>
      <w:r>
        <w:rPr>
          <w:rFonts w:ascii="Arial" w:hAnsi="Arial"/>
          <w:sz w:val="20"/>
          <w:u w:val="none"/>
        </w:rPr>
        <w:t>A Pregoeira</w:t>
      </w:r>
      <w:r>
        <w:rPr>
          <w:rFonts w:ascii="Arial" w:hAnsi="Arial"/>
          <w:color w:val="000000"/>
          <w:sz w:val="20"/>
          <w:u w:val="none"/>
        </w:rPr>
        <w:t xml:space="preserve"> verificará as propostas apresentadas, desclassificando, desde logo, aquelas que não estejam em conformidade com os requisitos estabelecidos neste Edital, contenham vícios insanáveis ou não apresentem as especificações técnicas exigidas no Edital, conforme art. 59 da Lei nº 14.133/2021.</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7.2.1. </w:t>
      </w:r>
      <w:r>
        <w:rPr>
          <w:rFonts w:ascii="Arial" w:hAnsi="Arial"/>
          <w:color w:val="000000"/>
          <w:sz w:val="20"/>
          <w:u w:val="none"/>
        </w:rPr>
        <w:t>Também será desclassificada a proposta que identifique o licitante.</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7.2.2. </w:t>
      </w:r>
      <w:r>
        <w:rPr>
          <w:rFonts w:ascii="Arial" w:hAnsi="Arial"/>
          <w:color w:val="000000"/>
          <w:sz w:val="20"/>
          <w:u w:val="none"/>
        </w:rPr>
        <w:t>A desclassificação será sempre fundamentada e registrada no sistema, com acompanhamento em tempo real por todos os participantes.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7.2.3. </w:t>
      </w:r>
      <w:r>
        <w:rPr>
          <w:rFonts w:ascii="Arial" w:hAnsi="Arial"/>
          <w:color w:val="000000"/>
          <w:sz w:val="20"/>
          <w:u w:val="none"/>
        </w:rPr>
        <w:t>A não desclassificação da proposta não impede o seu julgamento definitivo em sentido contrário, levado a efeito na fase de aceitação.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7.3. </w:t>
      </w:r>
      <w:r>
        <w:rPr>
          <w:rFonts w:ascii="Arial" w:hAnsi="Arial"/>
          <w:color w:val="000000"/>
          <w:sz w:val="20"/>
          <w:u w:val="none"/>
        </w:rPr>
        <w:t>O sistema ordenará automaticamente as propostas classificadas, sendo que somente estas participarão da fase de lances.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7.4. </w:t>
      </w:r>
      <w:r>
        <w:rPr>
          <w:rFonts w:ascii="Arial" w:hAnsi="Arial"/>
          <w:color w:val="000000"/>
          <w:sz w:val="20"/>
          <w:u w:val="none"/>
        </w:rPr>
        <w:t xml:space="preserve">O sistema disponibilizará campo próprio para troca de mensagens entre o </w:t>
      </w:r>
      <w:r>
        <w:rPr>
          <w:rFonts w:ascii="Arial" w:hAnsi="Arial"/>
          <w:sz w:val="20"/>
          <w:u w:val="none"/>
        </w:rPr>
        <w:t>Pregoeiro</w:t>
      </w:r>
      <w:r>
        <w:rPr>
          <w:rFonts w:ascii="Arial" w:hAnsi="Arial"/>
          <w:color w:val="000000"/>
          <w:sz w:val="20"/>
          <w:u w:val="none"/>
        </w:rPr>
        <w:t xml:space="preserve"> e os licitantes.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7.5. </w:t>
      </w:r>
      <w:r>
        <w:rPr>
          <w:rFonts w:ascii="Arial" w:hAnsi="Arial"/>
          <w:color w:val="000000"/>
          <w:sz w:val="20"/>
          <w:u w:val="none"/>
        </w:rPr>
        <w:t>Iniciada a etapa competitiva, os licitantes deverão encaminhar lances exclusivamente por meio do sistema eletrônico, sendo imediatamente informados do seu recebimento e do valor consignado no registro.</w:t>
      </w:r>
    </w:p>
    <w:p>
      <w:pPr>
        <w:spacing w:lineRule="auto" w:line="240" w:before="0" w:after="0" w:beforeAutospacing="0" w:afterAutospacing="0"/>
        <w:ind w:left="284" w:right="0"/>
        <w:jc w:val="both"/>
        <w:rPr>
          <w:rFonts w:ascii="Arial" w:hAnsi="Arial"/>
          <w:sz w:val="20"/>
          <w:u w:val="none"/>
        </w:rPr>
      </w:pPr>
      <w:r>
        <w:rPr>
          <w:rFonts w:ascii="Arial" w:hAnsi="Arial"/>
          <w:b w:val="1"/>
          <w:color w:val="000000"/>
          <w:sz w:val="20"/>
          <w:u w:val="none"/>
        </w:rPr>
        <w:t xml:space="preserve">7.5.1. </w:t>
      </w:r>
      <w:r>
        <w:rPr>
          <w:rFonts w:ascii="Arial" w:hAnsi="Arial"/>
          <w:sz w:val="20"/>
          <w:u w:val="none"/>
        </w:rPr>
        <w:t>O lance deverá ser ofertado de acordo com o tipo de licitação indicada no preâmbulo deste Edital.</w:t>
      </w:r>
    </w:p>
    <w:p>
      <w:pPr>
        <w:spacing w:lineRule="auto" w:line="240" w:before="0" w:after="0" w:beforeAutospacing="0" w:afterAutospacing="0"/>
        <w:ind w:left="425"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7.6. </w:t>
      </w:r>
      <w:r>
        <w:rPr>
          <w:rFonts w:ascii="Arial" w:hAnsi="Arial"/>
          <w:color w:val="000000"/>
          <w:sz w:val="20"/>
          <w:u w:val="none"/>
        </w:rPr>
        <w:t>Os licitantes poderão oferecer lances sucessivos, observando o horário fixado para abertura da sessão e as regras estabelecidas no Edital.</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7.7. </w:t>
      </w:r>
      <w:r>
        <w:rPr>
          <w:rFonts w:ascii="Arial" w:hAnsi="Arial"/>
          <w:color w:val="000000"/>
          <w:sz w:val="20"/>
          <w:u w:val="none"/>
          <w:shd w:val="clear" w:color="auto" w:fill="FFFFFF"/>
        </w:rPr>
        <w:t>O licitante somente poderá oferecer lance inferior ao último por ele ofertado e registrado pelo sistema, ou superior, se adotado maior desconto.</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color w:val="000000"/>
          <w:sz w:val="20"/>
          <w:u w:val="none"/>
          <w:shd w:val="clear" w:color="auto" w:fill="FFFF00"/>
        </w:rPr>
      </w:pPr>
      <w:r>
        <w:rPr>
          <w:rFonts w:ascii="Arial" w:hAnsi="Arial"/>
          <w:b w:val="1"/>
          <w:color w:val="000000"/>
          <w:sz w:val="20"/>
          <w:u w:val="none"/>
          <w:shd w:val="clear" w:color="auto" w:fill="FFFFFF"/>
        </w:rPr>
        <w:t xml:space="preserve">7.8. </w:t>
      </w:r>
      <w:r>
        <w:rPr>
          <w:rFonts w:ascii="Arial" w:hAnsi="Arial"/>
          <w:color w:val="000000"/>
          <w:sz w:val="20"/>
          <w:u w:val="none"/>
          <w:shd w:val="clear" w:color="auto" w:fill="FFFFFF"/>
        </w:rPr>
        <w:t xml:space="preserve">O intervalo mínimo de diferença de valores ou percentuais entre os lances, que incidirá tanto em relação aos lances intermediários quanto em relação à proposta que cobrir a melhor oferta deverá ser de </w:t>
      </w:r>
      <w:r>
        <w:rPr>
          <w:rFonts w:ascii="Arial" w:hAnsi="Arial"/>
          <w:b w:val="1"/>
          <w:color w:val="000000"/>
          <w:sz w:val="20"/>
          <w:u w:val="none"/>
          <w:shd w:val="clear" w:color="auto" w:fill="FFFF00"/>
        </w:rPr>
        <w:t>R$ 100,00 (cem reais).</w:t>
      </w:r>
    </w:p>
    <w:p>
      <w:pPr>
        <w:spacing w:lineRule="auto" w:line="240" w:after="0" w:beforeAutospacing="0" w:afterAutospacing="0"/>
        <w:jc w:val="both"/>
        <w:rPr>
          <w:rFonts w:ascii="Times New Roman" w:hAnsi="Times New Roman"/>
          <w:sz w:val="24"/>
          <w:u w:val="none"/>
          <w:shd w:val="clear" w:color="auto" w:fill="FFFFFF"/>
        </w:rPr>
      </w:pPr>
      <w:r>
        <w:rPr>
          <w:rFonts w:ascii="Times New Roman" w:hAnsi="Times New Roman"/>
          <w:sz w:val="24"/>
          <w:u w:val="none"/>
          <w:shd w:val="clear" w:color="auto" w:fill="FFFFFF"/>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7.9. </w:t>
      </w:r>
      <w:r>
        <w:rPr>
          <w:rFonts w:ascii="Arial" w:hAnsi="Arial"/>
          <w:color w:val="000000"/>
          <w:sz w:val="20"/>
          <w:u w:val="none"/>
        </w:rPr>
        <w:t>O intervalo entre os lances enviados pelo mesmo licitante não poderá ser inferior a 5 (cinco) segundos e o intervalo entre lances não poderá ser inferior a 5 (cinco) segundos, sob pena de serem automaticamente descartados pelo sistema os respectivos lances.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7.10. </w:t>
      </w:r>
      <w:r>
        <w:rPr>
          <w:rFonts w:ascii="Arial" w:hAnsi="Arial"/>
          <w:color w:val="000000"/>
          <w:sz w:val="20"/>
          <w:u w:val="none"/>
        </w:rPr>
        <w:t>Será adotado para o envio de lances na licitação o modo de disputa aberto</w:t>
      </w:r>
      <w:r>
        <w:rPr>
          <w:rFonts w:ascii="Arial" w:hAnsi="Arial"/>
          <w:b w:val="1"/>
          <w:color w:val="000000"/>
          <w:sz w:val="20"/>
          <w:u w:val="none"/>
        </w:rPr>
        <w:t>,</w:t>
      </w:r>
      <w:r>
        <w:rPr>
          <w:rFonts w:ascii="Arial" w:hAnsi="Arial"/>
          <w:color w:val="000000"/>
          <w:sz w:val="20"/>
          <w:u w:val="none"/>
        </w:rPr>
        <w:t xml:space="preserve"> em que os licitantes apresentarão lances públicos e sucessivos, com prorrogações.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color w:val="000000"/>
          <w:sz w:val="20"/>
          <w:u w:val="none"/>
        </w:rPr>
        <w:t xml:space="preserve">7.11. </w:t>
      </w:r>
      <w:r>
        <w:rPr>
          <w:rFonts w:ascii="Arial" w:hAnsi="Arial"/>
          <w:sz w:val="20"/>
          <w:u w:val="none"/>
        </w:rPr>
        <w:t>A etapa de lances da sessão pública terá duração de dez minutos e, após isso, será prorrogada automaticamente pelo sistema quando houver lance ofertado nos últimos dois minutos do período de duração da sessão pública.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color w:val="000000"/>
          <w:sz w:val="20"/>
          <w:u w:val="none"/>
        </w:rPr>
        <w:t xml:space="preserve">7.12. </w:t>
      </w:r>
      <w:r>
        <w:rPr>
          <w:rFonts w:ascii="Arial" w:hAnsi="Arial"/>
          <w:sz w:val="20"/>
          <w:u w:val="none"/>
        </w:rPr>
        <w:t>A prorrogação automática da etapa de lances, de que trata o item anterior, será de dois minutos e ocorrerá sucessivamente sempre que houver lances enviados neste período de prorrogação, inclusive no caso de lances intermediários.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color w:val="000000"/>
          <w:sz w:val="20"/>
          <w:u w:val="none"/>
        </w:rPr>
        <w:t xml:space="preserve">7.13. </w:t>
      </w:r>
      <w:r>
        <w:rPr>
          <w:rFonts w:ascii="Arial" w:hAnsi="Arial"/>
          <w:sz w:val="20"/>
          <w:u w:val="none"/>
        </w:rPr>
        <w:t>Não havendo novos lances na forma estabelecida nos itens anteriores, a sessão pública encerrar-se-á automaticamente.</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7.14. </w:t>
      </w:r>
      <w:r>
        <w:rPr>
          <w:rFonts w:ascii="Arial" w:hAnsi="Arial"/>
          <w:color w:val="000000"/>
          <w:sz w:val="20"/>
          <w:u w:val="none"/>
          <w:shd w:val="clear" w:color="auto" w:fill="FFFFFF"/>
        </w:rPr>
        <w:t xml:space="preserve">Encerrada a fase competitiva sem que haja a prorrogação automática pelo sistema, poderá o </w:t>
      </w:r>
      <w:r>
        <w:rPr>
          <w:rFonts w:ascii="Arial" w:hAnsi="Arial"/>
          <w:sz w:val="20"/>
          <w:u w:val="none"/>
          <w:shd w:val="clear" w:color="auto" w:fill="FFFFFF"/>
        </w:rPr>
        <w:t>Pregoeiro</w:t>
      </w:r>
      <w:r>
        <w:rPr>
          <w:rFonts w:ascii="Arial" w:hAnsi="Arial"/>
          <w:color w:val="000000"/>
          <w:sz w:val="20"/>
          <w:u w:val="none"/>
          <w:shd w:val="clear" w:color="auto" w:fill="FFFFFF"/>
        </w:rPr>
        <w:t>, assessorado pela equipe de apoio, justificadamente, admitir o reinício da sessão pública de lances, em prol da consecução do melhor preço.</w:t>
      </w:r>
    </w:p>
    <w:p>
      <w:pPr>
        <w:spacing w:lineRule="auto" w:line="240" w:after="0" w:beforeAutospacing="0" w:afterAutospacing="0"/>
        <w:jc w:val="both"/>
        <w:rPr>
          <w:rFonts w:ascii="Times New Roman" w:hAnsi="Times New Roman"/>
          <w:sz w:val="24"/>
          <w:u w:val="none"/>
          <w:shd w:val="clear" w:color="auto" w:fill="FFFFFF"/>
        </w:rPr>
      </w:pPr>
      <w:r>
        <w:rPr>
          <w:rFonts w:ascii="Times New Roman" w:hAnsi="Times New Roman"/>
          <w:sz w:val="24"/>
          <w:u w:val="none"/>
          <w:shd w:val="clear" w:color="auto" w:fill="FFFFFF"/>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7.15. </w:t>
      </w:r>
      <w:r>
        <w:rPr>
          <w:rFonts w:ascii="Arial" w:hAnsi="Arial"/>
          <w:color w:val="000000"/>
          <w:sz w:val="20"/>
          <w:u w:val="none"/>
        </w:rPr>
        <w:t xml:space="preserve">Em caso de falha no sistema, os lances em desacordo com os subitens anteriores deverão ser desconsiderados pelo </w:t>
      </w:r>
      <w:r>
        <w:rPr>
          <w:rFonts w:ascii="Arial" w:hAnsi="Arial"/>
          <w:sz w:val="20"/>
          <w:u w:val="none"/>
        </w:rPr>
        <w:t>Pregoeiro</w:t>
      </w:r>
      <w:r>
        <w:rPr>
          <w:rFonts w:ascii="Arial" w:hAnsi="Arial"/>
          <w:color w:val="000000"/>
          <w:sz w:val="20"/>
          <w:u w:val="none"/>
        </w:rPr>
        <w:t>.</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7.16. </w:t>
      </w:r>
      <w:r>
        <w:rPr>
          <w:rFonts w:ascii="Arial" w:hAnsi="Arial"/>
          <w:color w:val="000000"/>
          <w:sz w:val="20"/>
          <w:u w:val="none"/>
        </w:rPr>
        <w:t>Não serão aceitos dois ou mais lances de mesmo valor, prevalecendo aquele que for recebido e registrado primeiro.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7.17. </w:t>
      </w:r>
      <w:r>
        <w:rPr>
          <w:rFonts w:ascii="Arial" w:hAnsi="Arial"/>
          <w:color w:val="000000"/>
          <w:sz w:val="20"/>
          <w:u w:val="none"/>
        </w:rPr>
        <w:t>Durante o transcurso da sessão pública, os licitantes serão informados, em tempo real, do valor do menor lance registrado, vedada a identificação do licitante.</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7.18. </w:t>
      </w:r>
      <w:r>
        <w:rPr>
          <w:rFonts w:ascii="Arial" w:hAnsi="Arial"/>
          <w:color w:val="000000"/>
          <w:sz w:val="20"/>
          <w:u w:val="none"/>
        </w:rPr>
        <w:t xml:space="preserve">No caso de desconexão com a </w:t>
      </w:r>
      <w:r>
        <w:rPr>
          <w:rFonts w:ascii="Arial" w:hAnsi="Arial"/>
          <w:sz w:val="20"/>
          <w:u w:val="none"/>
        </w:rPr>
        <w:t>Pregoeira</w:t>
      </w:r>
      <w:r>
        <w:rPr>
          <w:rFonts w:ascii="Arial" w:hAnsi="Arial"/>
          <w:color w:val="000000"/>
          <w:sz w:val="20"/>
          <w:u w:val="none"/>
        </w:rPr>
        <w:t>, no decorrer da etapa competitiva d</w:t>
      </w:r>
      <w:r>
        <w:rPr>
          <w:rFonts w:ascii="Arial" w:hAnsi="Arial"/>
          <w:sz w:val="20"/>
          <w:u w:val="none"/>
        </w:rPr>
        <w:t>o Pregão</w:t>
      </w:r>
      <w:r>
        <w:rPr>
          <w:rFonts w:ascii="Arial" w:hAnsi="Arial"/>
          <w:color w:val="000000"/>
          <w:sz w:val="20"/>
          <w:u w:val="none"/>
        </w:rPr>
        <w:t>, o sistema eletrônico poderá permanecer acessível aos licitantes para a recepção dos lances.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color w:val="000000"/>
          <w:sz w:val="20"/>
          <w:u w:val="none"/>
        </w:rPr>
        <w:t xml:space="preserve">7.19. </w:t>
      </w:r>
      <w:r>
        <w:rPr>
          <w:rFonts w:ascii="Arial" w:hAnsi="Arial"/>
          <w:sz w:val="20"/>
          <w:u w:val="none"/>
        </w:rPr>
        <w:t xml:space="preserve">Quando a desconexão do sistema eletrônico para a Pregoeira persistir por tempo superior a dez minutos, a sessão pública será suspensa e terá reinício somente após comunicação expressa da Pregoeira aos participantes do certame, publicada no </w:t>
      </w:r>
      <w:r>
        <w:rPr>
          <w:rFonts w:ascii="Arial" w:hAnsi="Arial"/>
          <w:b w:val="1"/>
          <w:sz w:val="20"/>
          <w:u w:val="single"/>
        </w:rPr>
        <w:t>http://www.portaldecompraspublicas.com.br</w:t>
      </w:r>
      <w:r>
        <w:rPr>
          <w:rFonts w:ascii="Arial" w:hAnsi="Arial"/>
          <w:sz w:val="20"/>
          <w:u w:val="none"/>
        </w:rPr>
        <w:t>, quando serão divulgadas data e hora para a sua reabertura. E será reiniciada somente após decorridas 24 (vinte e quatro) horas da comunicação do fato pela Pregoeira aos participantes, no sítio eletrônico utilizado para divulgação.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7.20. </w:t>
      </w:r>
      <w:r>
        <w:rPr>
          <w:rFonts w:ascii="Arial" w:hAnsi="Arial"/>
          <w:color w:val="000000"/>
          <w:sz w:val="20"/>
          <w:u w:val="none"/>
        </w:rPr>
        <w:t>Caso o licitante não apresente lances, concorrerá com o valor de sua proposta.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7.21. </w:t>
      </w:r>
      <w:r>
        <w:rPr>
          <w:rFonts w:ascii="Arial" w:hAnsi="Arial"/>
          <w:color w:val="000000"/>
          <w:sz w:val="20"/>
          <w:u w:val="none"/>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Arial" w:hAnsi="Arial"/>
          <w:sz w:val="20"/>
          <w:u w:val="none"/>
        </w:rPr>
        <w:t>identifica</w:t>
      </w:r>
      <w:r>
        <w:rPr>
          <w:rFonts w:ascii="Arial" w:hAnsi="Arial"/>
          <w:color w:val="000000"/>
          <w:sz w:val="20"/>
          <w:u w:val="none"/>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7.22. </w:t>
      </w:r>
      <w:r>
        <w:rPr>
          <w:rFonts w:ascii="Arial" w:hAnsi="Arial"/>
          <w:color w:val="000000"/>
          <w:sz w:val="20"/>
          <w:u w:val="none"/>
        </w:rPr>
        <w:t>Nessas condições, as propostas de microempresas e empresas de pequeno porte que se encontrarem na faixa de até 5% (cinco por cento) acima da melhor proposta ou melhor lance serão consideradas empatadas com a primeira colocada.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7.23. </w:t>
      </w:r>
      <w:r>
        <w:rPr>
          <w:rFonts w:ascii="Arial" w:hAnsi="Arial"/>
          <w:color w:val="000000"/>
          <w:sz w:val="20"/>
          <w:u w:val="none"/>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7.24. </w:t>
      </w:r>
      <w:r>
        <w:rPr>
          <w:rFonts w:ascii="Arial" w:hAnsi="Arial"/>
          <w:color w:val="000000"/>
          <w:sz w:val="20"/>
          <w:u w: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7.25. </w:t>
      </w:r>
      <w:r>
        <w:rPr>
          <w:rFonts w:ascii="Arial" w:hAnsi="Arial"/>
          <w:color w:val="000000"/>
          <w:sz w:val="20"/>
          <w:u w: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sz w:val="20"/>
          <w:u w:val="none"/>
        </w:rPr>
        <w:t xml:space="preserve">7.26. </w:t>
      </w:r>
      <w:r>
        <w:rPr>
          <w:rFonts w:ascii="Arial" w:hAnsi="Arial"/>
          <w:color w:val="000000"/>
          <w:sz w:val="20"/>
          <w:u w:val="none"/>
        </w:rPr>
        <w:t>Quando houver propostas beneficiadas com as margens de preferência em relação ao produto estrangeiro, o critério de desempate será aplicado exclusivamente entre as propostas que fizerem jus às margens de preferência, conforme regulamento.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7.27. </w:t>
      </w:r>
      <w:r>
        <w:rPr>
          <w:rFonts w:ascii="Arial" w:hAnsi="Arial"/>
          <w:color w:val="000000"/>
          <w:sz w:val="20"/>
          <w:u w:val="none"/>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7.28. </w:t>
      </w:r>
      <w:r>
        <w:rPr>
          <w:rFonts w:ascii="Arial" w:hAnsi="Arial"/>
          <w:color w:val="000000"/>
          <w:sz w:val="20"/>
          <w:u w:val="none"/>
        </w:rPr>
        <w:t>Em caso de empate entre duas ou mais propostas, serão utilizados os seguintes critérios de desempate, nesta ordem:</w:t>
      </w:r>
    </w:p>
    <w:p>
      <w:pPr>
        <w:spacing w:lineRule="auto" w:line="240" w:before="0" w:after="0" w:beforeAutospacing="0" w:afterAutospacing="0"/>
        <w:ind w:hanging="505" w:left="646" w:right="0"/>
        <w:jc w:val="both"/>
        <w:rPr>
          <w:rFonts w:ascii="Arial" w:hAnsi="Arial"/>
          <w:color w:val="000000"/>
          <w:sz w:val="20"/>
          <w:u w:val="none"/>
        </w:rPr>
      </w:pPr>
      <w:r>
        <w:rPr>
          <w:rFonts w:ascii="Arial" w:hAnsi="Arial"/>
          <w:b w:val="1"/>
          <w:color w:val="000000"/>
          <w:sz w:val="20"/>
          <w:u w:val="none"/>
        </w:rPr>
        <w:t xml:space="preserve">7.28.1. </w:t>
      </w:r>
      <w:r>
        <w:rPr>
          <w:rFonts w:ascii="Arial" w:hAnsi="Arial"/>
          <w:color w:val="000000"/>
          <w:sz w:val="20"/>
          <w:u w:val="none"/>
        </w:rPr>
        <w:t>Disputa final, hipótese em que os licitantes empatados poderão apresentar nova proposta em ato contínuo à classificação;</w:t>
      </w:r>
    </w:p>
    <w:p>
      <w:pPr>
        <w:spacing w:lineRule="auto" w:line="240" w:before="0" w:after="0" w:beforeAutospacing="0" w:afterAutospacing="0"/>
        <w:ind w:hanging="505" w:left="646" w:right="0"/>
        <w:jc w:val="both"/>
        <w:rPr>
          <w:rFonts w:ascii="Arial" w:hAnsi="Arial"/>
          <w:color w:val="000000"/>
          <w:sz w:val="20"/>
          <w:u w:val="none"/>
        </w:rPr>
      </w:pPr>
      <w:r>
        <w:rPr>
          <w:rFonts w:ascii="Arial" w:hAnsi="Arial"/>
          <w:b w:val="1"/>
          <w:color w:val="000000"/>
          <w:sz w:val="20"/>
          <w:u w:val="none"/>
        </w:rPr>
        <w:t>7.28.2.</w:t>
      </w:r>
      <w:r>
        <w:rPr>
          <w:rFonts w:ascii="Arial" w:hAnsi="Arial"/>
          <w:color w:val="000000"/>
          <w:sz w:val="20"/>
          <w:u w:val="none"/>
        </w:rPr>
        <w:t xml:space="preserve"> Avaliação do desempenho contratual prévio dos licitantes;</w:t>
      </w:r>
    </w:p>
    <w:p>
      <w:pPr>
        <w:spacing w:lineRule="auto" w:line="240" w:before="0" w:after="0" w:beforeAutospacing="0" w:afterAutospacing="0"/>
        <w:ind w:hanging="505" w:left="646" w:right="0"/>
        <w:jc w:val="both"/>
        <w:rPr>
          <w:rFonts w:ascii="Arial" w:hAnsi="Arial"/>
          <w:color w:val="000000"/>
          <w:sz w:val="20"/>
          <w:u w:val="none"/>
        </w:rPr>
      </w:pPr>
      <w:r>
        <w:rPr>
          <w:rFonts w:ascii="Arial" w:hAnsi="Arial"/>
          <w:b w:val="1"/>
          <w:color w:val="000000"/>
          <w:sz w:val="20"/>
          <w:u w:val="none"/>
        </w:rPr>
        <w:t xml:space="preserve">7.28.3. </w:t>
      </w:r>
      <w:r>
        <w:rPr>
          <w:rFonts w:ascii="Arial" w:hAnsi="Arial"/>
          <w:color w:val="000000"/>
          <w:sz w:val="20"/>
          <w:u w:val="none"/>
        </w:rPr>
        <w:t>Desenvolvimento pelo licitante de ações de equidade entre homens e mulheres no ambiente de trabalho, conforme regulamento;</w:t>
      </w:r>
    </w:p>
    <w:p>
      <w:pPr>
        <w:spacing w:lineRule="auto" w:line="240" w:before="0" w:after="0" w:beforeAutospacing="0" w:afterAutospacing="0"/>
        <w:ind w:hanging="505" w:left="646" w:right="0"/>
        <w:jc w:val="both"/>
        <w:rPr>
          <w:rFonts w:ascii="Arial" w:hAnsi="Arial"/>
          <w:color w:val="000000"/>
          <w:sz w:val="20"/>
          <w:u w:val="none"/>
        </w:rPr>
      </w:pPr>
      <w:r>
        <w:rPr>
          <w:rFonts w:ascii="Arial" w:hAnsi="Arial"/>
          <w:b w:val="1"/>
          <w:color w:val="000000"/>
          <w:sz w:val="20"/>
          <w:u w:val="none"/>
        </w:rPr>
        <w:t xml:space="preserve">7.28.4. </w:t>
      </w:r>
      <w:r>
        <w:rPr>
          <w:rFonts w:ascii="Arial" w:hAnsi="Arial"/>
          <w:color w:val="000000"/>
          <w:sz w:val="20"/>
          <w:u w:val="none"/>
        </w:rPr>
        <w:t>Desenvolvimento pelo licitante de programa de integridade, conforme orientações dos órgãos de controle;</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7.29. </w:t>
      </w:r>
      <w:r>
        <w:rPr>
          <w:rFonts w:ascii="Arial" w:hAnsi="Arial"/>
          <w:color w:val="000000"/>
          <w:sz w:val="20"/>
          <w:u w:val="none"/>
        </w:rPr>
        <w:t>Persistindo o empate, será assegurada preferência, sucessivamente, aos bens e serviços produzidos ou prestados por:</w:t>
      </w:r>
    </w:p>
    <w:p>
      <w:pPr>
        <w:spacing w:lineRule="auto" w:line="240" w:before="0" w:after="0" w:beforeAutospacing="0" w:afterAutospacing="0"/>
        <w:ind w:hanging="505" w:left="646" w:right="0"/>
        <w:jc w:val="both"/>
        <w:rPr>
          <w:rFonts w:ascii="Arial" w:hAnsi="Arial"/>
          <w:color w:val="000000"/>
          <w:sz w:val="20"/>
          <w:u w:val="none"/>
        </w:rPr>
      </w:pPr>
      <w:r>
        <w:rPr>
          <w:rFonts w:ascii="Arial" w:hAnsi="Arial"/>
          <w:b w:val="1"/>
          <w:color w:val="000000"/>
          <w:sz w:val="20"/>
          <w:u w:val="none"/>
        </w:rPr>
        <w:t xml:space="preserve">7.29.1. </w:t>
      </w:r>
      <w:r>
        <w:rPr>
          <w:rFonts w:ascii="Arial" w:hAnsi="Arial"/>
          <w:color w:val="000000"/>
          <w:sz w:val="20"/>
          <w:u w:val="none"/>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spacing w:lineRule="auto" w:line="240" w:before="0" w:after="0" w:beforeAutospacing="0" w:afterAutospacing="0"/>
        <w:ind w:hanging="505" w:left="646" w:right="0"/>
        <w:jc w:val="both"/>
        <w:rPr>
          <w:rFonts w:ascii="Arial" w:hAnsi="Arial"/>
          <w:color w:val="000000"/>
          <w:sz w:val="20"/>
          <w:u w:val="none"/>
        </w:rPr>
      </w:pPr>
      <w:r>
        <w:rPr>
          <w:rFonts w:ascii="Arial" w:hAnsi="Arial"/>
          <w:b w:val="1"/>
          <w:color w:val="000000"/>
          <w:sz w:val="20"/>
          <w:u w:val="none"/>
        </w:rPr>
        <w:t xml:space="preserve">7.29.2. </w:t>
      </w:r>
      <w:r>
        <w:rPr>
          <w:rFonts w:ascii="Arial" w:hAnsi="Arial"/>
          <w:color w:val="000000"/>
          <w:sz w:val="20"/>
          <w:u w:val="none"/>
        </w:rPr>
        <w:t>Empresas brasileiras;</w:t>
      </w:r>
    </w:p>
    <w:p>
      <w:pPr>
        <w:spacing w:lineRule="auto" w:line="240" w:before="0" w:after="0" w:beforeAutospacing="0" w:afterAutospacing="0"/>
        <w:ind w:hanging="505" w:left="646" w:right="0"/>
        <w:jc w:val="both"/>
        <w:rPr>
          <w:rFonts w:ascii="Arial" w:hAnsi="Arial"/>
          <w:color w:val="000000"/>
          <w:sz w:val="20"/>
          <w:u w:val="none"/>
        </w:rPr>
      </w:pPr>
      <w:r>
        <w:rPr>
          <w:rFonts w:ascii="Arial" w:hAnsi="Arial"/>
          <w:b w:val="1"/>
          <w:color w:val="000000"/>
          <w:sz w:val="20"/>
          <w:u w:val="none"/>
        </w:rPr>
        <w:t xml:space="preserve">7.29.3. </w:t>
      </w:r>
      <w:r>
        <w:rPr>
          <w:rFonts w:ascii="Arial" w:hAnsi="Arial"/>
          <w:color w:val="000000"/>
          <w:sz w:val="20"/>
          <w:u w:val="none"/>
        </w:rPr>
        <w:t>Empresas que invistam em pesquisa e no desenvolvimento de tecnologia no País;</w:t>
      </w:r>
    </w:p>
    <w:p>
      <w:pPr>
        <w:spacing w:lineRule="auto" w:line="240" w:before="0" w:after="0" w:beforeAutospacing="0" w:afterAutospacing="0"/>
        <w:ind w:hanging="505" w:left="646" w:right="0"/>
        <w:jc w:val="both"/>
        <w:rPr>
          <w:rFonts w:ascii="Arial" w:hAnsi="Arial"/>
          <w:color w:val="000000"/>
          <w:sz w:val="20"/>
          <w:u w:val="none"/>
        </w:rPr>
      </w:pPr>
      <w:r>
        <w:rPr>
          <w:rFonts w:ascii="Arial" w:hAnsi="Arial"/>
          <w:b w:val="1"/>
          <w:color w:val="000000"/>
          <w:sz w:val="20"/>
          <w:u w:val="none"/>
        </w:rPr>
        <w:t xml:space="preserve">7.29.4. </w:t>
      </w:r>
      <w:r>
        <w:rPr>
          <w:rFonts w:ascii="Arial" w:hAnsi="Arial"/>
          <w:color w:val="000000"/>
          <w:sz w:val="20"/>
          <w:u w:val="none"/>
        </w:rPr>
        <w:t>Empresas que comprovem a prática de mitigação, nos termos da Lei nº 12.187/2009.</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7.30. </w:t>
      </w:r>
      <w:r>
        <w:rPr>
          <w:rFonts w:ascii="Arial" w:hAnsi="Arial"/>
          <w:color w:val="000000"/>
          <w:sz w:val="20"/>
          <w:u w:val="none"/>
        </w:rPr>
        <w:t xml:space="preserve">Encerrada a etapa de envio de lances da sessão pública, a </w:t>
      </w:r>
      <w:r>
        <w:rPr>
          <w:rFonts w:ascii="Arial" w:hAnsi="Arial"/>
          <w:sz w:val="20"/>
          <w:u w:val="none"/>
        </w:rPr>
        <w:t>Pregoeira</w:t>
      </w:r>
      <w:r>
        <w:rPr>
          <w:rFonts w:ascii="Arial" w:hAnsi="Arial"/>
          <w:color w:val="000000"/>
          <w:sz w:val="20"/>
          <w:u w:val="none"/>
        </w:rPr>
        <w:t xml:space="preserve"> deverá encaminhar, pelo sistema eletrônico, contraproposta ao licitante que tenha apresentado o melhor preço, para que seja obtida melhor proposta, vedada a negociação em condições diferentes das previstas neste Edital.</w:t>
      </w:r>
    </w:p>
    <w:p>
      <w:pPr>
        <w:spacing w:lineRule="auto" w:line="240" w:before="0" w:after="0" w:beforeAutospacing="0" w:afterAutospacing="0"/>
        <w:ind w:hanging="505" w:left="646" w:right="0"/>
        <w:jc w:val="both"/>
        <w:rPr>
          <w:rFonts w:ascii="Arial" w:hAnsi="Arial"/>
          <w:color w:val="000000"/>
          <w:sz w:val="20"/>
          <w:u w:val="none"/>
        </w:rPr>
      </w:pPr>
      <w:r>
        <w:rPr>
          <w:rFonts w:ascii="Arial" w:hAnsi="Arial"/>
          <w:b w:val="1"/>
          <w:color w:val="000000"/>
          <w:sz w:val="20"/>
          <w:u w:val="none"/>
        </w:rPr>
        <w:t xml:space="preserve">7.30.1. </w:t>
      </w:r>
      <w:r>
        <w:rPr>
          <w:rFonts w:ascii="Arial" w:hAnsi="Arial"/>
          <w:color w:val="000000"/>
          <w:sz w:val="20"/>
          <w:u w:val="none"/>
        </w:rPr>
        <w:t>A negociação será realizada por meio do sistema, podendo ser acompanhada pelos demais licitantes.</w:t>
      </w:r>
    </w:p>
    <w:p>
      <w:pPr>
        <w:spacing w:lineRule="auto" w:line="240" w:before="0" w:after="0" w:beforeAutospacing="0" w:afterAutospacing="0"/>
        <w:ind w:hanging="505" w:left="646" w:right="0"/>
        <w:jc w:val="both"/>
        <w:rPr>
          <w:rFonts w:ascii="Arial" w:hAnsi="Arial"/>
          <w:color w:val="000000"/>
          <w:sz w:val="20"/>
          <w:u w:val="none"/>
        </w:rPr>
      </w:pPr>
      <w:r>
        <w:rPr>
          <w:rFonts w:ascii="Arial" w:hAnsi="Arial"/>
          <w:b w:val="1"/>
          <w:color w:val="000000"/>
          <w:sz w:val="20"/>
          <w:u w:val="none"/>
        </w:rPr>
        <w:t xml:space="preserve">7.30.2. </w:t>
      </w:r>
      <w:r>
        <w:rPr>
          <w:rFonts w:ascii="Arial" w:hAnsi="Arial"/>
          <w:color w:val="000000"/>
          <w:sz w:val="20"/>
          <w:u w:val="none"/>
        </w:rPr>
        <w:t xml:space="preserve">A </w:t>
      </w:r>
      <w:r>
        <w:rPr>
          <w:rFonts w:ascii="Arial" w:hAnsi="Arial"/>
          <w:sz w:val="20"/>
          <w:u w:val="none"/>
        </w:rPr>
        <w:t>Pregoeira</w:t>
      </w:r>
      <w:r>
        <w:rPr>
          <w:rFonts w:ascii="Arial" w:hAnsi="Arial"/>
          <w:color w:val="000000"/>
          <w:sz w:val="20"/>
          <w:u w:val="none"/>
        </w:rPr>
        <w:t xml:space="preserve"> solicitará ao licitante melhor classificado que, no </w:t>
      </w:r>
      <w:r>
        <w:rPr>
          <w:rFonts w:ascii="Arial" w:hAnsi="Arial"/>
          <w:b w:val="1"/>
          <w:sz w:val="20"/>
          <w:u w:val="none"/>
        </w:rPr>
        <w:t>prazoIMPRORROGÁVEL de24 (vinte e quatro) horas,</w:t>
      </w:r>
      <w:r>
        <w:rPr>
          <w:rFonts w:ascii="Arial" w:hAnsi="Arial"/>
          <w:sz w:val="20"/>
          <w:u w:val="none"/>
        </w:rPr>
        <w:t xml:space="preserve"> considerando dia útil, envie a </w:t>
      </w:r>
      <w:r>
        <w:rPr>
          <w:rFonts w:ascii="Arial" w:hAnsi="Arial"/>
          <w:b w:val="1"/>
          <w:sz w:val="20"/>
          <w:u w:val="none"/>
        </w:rPr>
        <w:t xml:space="preserve">proposta adequada </w:t>
      </w:r>
      <w:r>
        <w:rPr>
          <w:rFonts w:ascii="Arial" w:hAnsi="Arial"/>
          <w:sz w:val="20"/>
          <w:u w:val="none"/>
        </w:rPr>
        <w:t>ao último lance ofertado após a negociação realizada, acompanhada dos</w:t>
      </w:r>
      <w:r>
        <w:rPr>
          <w:rFonts w:ascii="Arial" w:hAnsi="Arial"/>
          <w:b w:val="1"/>
          <w:sz w:val="20"/>
          <w:u w:val="none"/>
        </w:rPr>
        <w:t xml:space="preserve"> documentos de habilitação</w:t>
      </w:r>
      <w:r>
        <w:rPr>
          <w:rFonts w:ascii="Arial" w:hAnsi="Arial"/>
          <w:sz w:val="20"/>
          <w:u w:val="none"/>
        </w:rPr>
        <w:t xml:space="preserve">, conforme item 9 deste edital, e se for o caso, dos </w:t>
      </w:r>
      <w:r>
        <w:rPr>
          <w:rFonts w:ascii="Arial" w:hAnsi="Arial"/>
          <w:b w:val="1"/>
          <w:sz w:val="20"/>
          <w:u w:val="none"/>
        </w:rPr>
        <w:t>documentos complementares</w:t>
      </w:r>
      <w:r>
        <w:rPr>
          <w:rFonts w:ascii="Arial" w:hAnsi="Arial"/>
          <w:sz w:val="20"/>
          <w:u w:val="none"/>
        </w:rPr>
        <w:t xml:space="preserve"> (prospectos/ficha técnica/catálogo), quando necessários</w:t>
      </w:r>
      <w:r>
        <w:rPr>
          <w:rFonts w:ascii="Arial" w:hAnsi="Arial"/>
          <w:color w:val="000000"/>
          <w:sz w:val="20"/>
          <w:u w:val="none"/>
        </w:rPr>
        <w:t>.</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7.31. </w:t>
      </w:r>
      <w:r>
        <w:rPr>
          <w:rFonts w:ascii="Arial" w:hAnsi="Arial"/>
          <w:color w:val="000000"/>
          <w:sz w:val="20"/>
          <w:u w:val="none"/>
        </w:rPr>
        <w:t>Após a negociação do preço, a Pregoeira iniciará a fase de aceitação e julgamento da proposta.</w:t>
      </w:r>
    </w:p>
    <w:p>
      <w:pPr>
        <w:spacing w:lineRule="auto" w:line="240" w:after="0" w:beforeAutospacing="0" w:afterAutospacing="0"/>
        <w:jc w:val="both"/>
        <w:rPr>
          <w:rFonts w:ascii="Arial" w:hAnsi="Arial"/>
          <w:sz w:val="20"/>
        </w:rPr>
      </w:pPr>
    </w:p>
    <w:p>
      <w:pPr>
        <w:spacing w:lineRule="auto" w:line="240" w:after="0" w:beforeAutospacing="0" w:afterAutospacing="0"/>
        <w:ind w:left="425"/>
        <w:jc w:val="both"/>
        <w:rPr>
          <w:rFonts w:ascii="Arial" w:hAnsi="Arial"/>
          <w:sz w:val="20"/>
        </w:rPr>
      </w:pPr>
    </w:p>
    <w:p>
      <w:pPr>
        <w:spacing w:lineRule="auto" w:line="240" w:after="0" w:beforeAutospacing="0" w:afterAutospacing="0"/>
        <w:jc w:val="both"/>
        <w:rPr>
          <w:rFonts w:ascii="Arial" w:hAnsi="Arial"/>
          <w:b w:val="1"/>
          <w:sz w:val="20"/>
          <w:u w:val="none"/>
        </w:rPr>
      </w:pPr>
      <w:r>
        <w:rPr>
          <w:rFonts w:ascii="Arial" w:hAnsi="Arial"/>
          <w:b w:val="1"/>
          <w:sz w:val="20"/>
          <w:u w:val="none"/>
        </w:rPr>
        <w:t>8. DA ACEITABILIDADE DA PROPOSTA VENCEDORA.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8.1. </w:t>
      </w:r>
      <w:r>
        <w:rPr>
          <w:rFonts w:ascii="Arial" w:hAnsi="Arial"/>
          <w:sz w:val="20"/>
          <w:u w:val="none"/>
        </w:rPr>
        <w:t>Encerrada a etapa de negociação, a Pregoeira examinará a proposta classificada em primeiro lugar quanto à adequação ao objeto e à compatibilidade do preço em relação ao valor estimado.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8.2. </w:t>
      </w:r>
      <w:r>
        <w:rPr>
          <w:rFonts w:ascii="Arial" w:hAnsi="Arial"/>
          <w:sz w:val="20"/>
          <w:u w:val="none"/>
        </w:rPr>
        <w:t>Será desclassificada a proposta que contiver vício insanável; que não obedecer às especificações técnicas pormenorizadas no edital ou apresentarem desconformidade com exigências do ato convocatório.</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8.3. </w:t>
      </w:r>
      <w:r>
        <w:rPr>
          <w:rFonts w:ascii="Arial" w:hAnsi="Arial"/>
          <w:sz w:val="20"/>
          <w:u w:val="none"/>
        </w:rPr>
        <w:t>Após a finalização da fase de lances e negociação, não serão aceitas propostas com valores superiores aos estabelecidos no orçamento estimado do município.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8.4.</w:t>
      </w:r>
      <w:r>
        <w:rPr>
          <w:rFonts w:ascii="Arial" w:hAnsi="Arial"/>
          <w:sz w:val="20"/>
          <w:u w:val="none"/>
        </w:rPr>
        <w:t xml:space="preserve"> As propostas com valores unitários superiores aos estabelecidos pela administração ao final da fase de lances e negociação, serão automaticamente desclassificadas no lote.</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8.5. </w:t>
      </w:r>
      <w:r>
        <w:rPr>
          <w:rFonts w:ascii="Arial" w:hAnsi="Arial"/>
          <w:sz w:val="20"/>
          <w:u w:val="none"/>
        </w:rPr>
        <w:t>Será desclassificada também a proposta ou o lance vencedor, que apresentar preço manifestamente inexequível.</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8.5.1. </w:t>
      </w:r>
      <w:r>
        <w:rPr>
          <w:rFonts w:ascii="Arial" w:hAnsi="Arial"/>
          <w:sz w:val="20"/>
          <w:u w:val="none"/>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pPr>
        <w:spacing w:lineRule="auto" w:line="240" w:before="0" w:after="0" w:beforeAutospacing="0" w:afterAutospacing="0"/>
        <w:ind w:left="425"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8.6. </w:t>
      </w:r>
      <w:r>
        <w:rPr>
          <w:rFonts w:ascii="Arial" w:hAnsi="Arial"/>
          <w:sz w:val="20"/>
          <w:u w:val="none"/>
        </w:rPr>
        <w:t>Qualquer interessado poderá requerer que se realizem diligências para aferir a exequibilidade e a legalidade das propostas, devendo apresentar as provas ou os indícios que fundamentam a suspeita;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8.7.</w:t>
      </w:r>
      <w:r>
        <w:rPr>
          <w:rFonts w:ascii="Arial" w:hAnsi="Arial"/>
          <w:sz w:val="20"/>
          <w:u w:val="none"/>
        </w:rPr>
        <w:t xml:space="preserve"> Se houver indícios de inexequibilidade da proposta de preço, ou em caso da necessidade de esclarecimentos complementares, poderão ser efetuadas diligências para que a licitante comprove a exequibilidade da proposta.</w:t>
      </w:r>
    </w:p>
    <w:p>
      <w:pPr>
        <w:spacing w:lineRule="auto" w:line="240" w:before="0" w:after="0" w:beforeAutospacing="0" w:afterAutospacing="0"/>
        <w:ind w:lef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8.8. </w:t>
      </w:r>
      <w:r>
        <w:rPr>
          <w:rFonts w:ascii="Arial" w:hAnsi="Arial"/>
          <w:sz w:val="20"/>
          <w:u w:val="none"/>
        </w:rPr>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Arial" w:hAnsi="Arial"/>
          <w:b w:val="1"/>
          <w:sz w:val="20"/>
          <w:u w:val="none"/>
        </w:rPr>
        <w:t>24 (vinte e quatro) horas de antecedência</w:t>
      </w:r>
      <w:r>
        <w:rPr>
          <w:rFonts w:ascii="Arial" w:hAnsi="Arial"/>
          <w:sz w:val="20"/>
          <w:u w:val="none"/>
        </w:rPr>
        <w:t>, e a ocorrência será registrada em ata.</w:t>
      </w:r>
    </w:p>
    <w:p>
      <w:pPr>
        <w:spacing w:lineRule="auto" w:line="240" w:before="0" w:after="0" w:beforeAutospacing="0" w:afterAutospacing="0"/>
        <w:ind w:lef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hanging="363" w:left="363"/>
        <w:jc w:val="both"/>
        <w:rPr>
          <w:rFonts w:ascii="Arial" w:hAnsi="Arial"/>
          <w:sz w:val="20"/>
          <w:u w:val="none"/>
        </w:rPr>
      </w:pPr>
      <w:r>
        <w:rPr>
          <w:rFonts w:ascii="Arial" w:hAnsi="Arial"/>
          <w:b w:val="1"/>
          <w:sz w:val="20"/>
          <w:u w:val="none"/>
        </w:rPr>
        <w:t>8.9. A Pregoeira convocará o licitante classificado em primeiro lugar para apresentação da proposta readequada e das AMOSTRAS dos produtos ofertados nos itens 01, 03, 09 e 13 do lote</w:t>
      </w:r>
      <w:r>
        <w:rPr>
          <w:rFonts w:ascii="Arial" w:hAnsi="Arial"/>
          <w:sz w:val="20"/>
          <w:u w:val="none"/>
        </w:rPr>
        <w:t xml:space="preserve">, por meio de funcionalidade disponível no sistema, sendo concedido o prazo limite </w:t>
      </w:r>
      <w:r>
        <w:rPr>
          <w:rFonts w:ascii="Arial" w:hAnsi="Arial"/>
          <w:b w:val="1"/>
          <w:sz w:val="20"/>
          <w:u w:val="none"/>
        </w:rPr>
        <w:t>05 (cinco) dias úteis</w:t>
      </w:r>
      <w:r>
        <w:rPr>
          <w:rFonts w:ascii="Arial" w:hAnsi="Arial"/>
          <w:sz w:val="20"/>
          <w:u w:val="none"/>
        </w:rPr>
        <w:t>, contados da convocação.</w:t>
      </w:r>
    </w:p>
    <w:p>
      <w:pPr>
        <w:spacing w:lineRule="auto" w:line="240" w:before="0" w:after="0" w:beforeAutospacing="0" w:afterAutospacing="0"/>
        <w:ind w:hanging="363" w:left="708"/>
        <w:jc w:val="both"/>
        <w:rPr>
          <w:rFonts w:ascii="Arial" w:hAnsi="Arial"/>
          <w:sz w:val="20"/>
          <w:u w:val="none"/>
        </w:rPr>
      </w:pPr>
    </w:p>
    <w:p>
      <w:pPr>
        <w:spacing w:lineRule="auto" w:line="240" w:before="0" w:after="0" w:beforeAutospacing="0" w:afterAutospacing="0"/>
        <w:ind w:hanging="363" w:left="708"/>
        <w:jc w:val="both"/>
        <w:rPr>
          <w:rFonts w:ascii="Arial" w:hAnsi="Arial"/>
          <w:sz w:val="20"/>
          <w:u w:val="none"/>
        </w:rPr>
      </w:pPr>
      <w:r>
        <w:rPr>
          <w:rFonts w:ascii="Arial" w:hAnsi="Arial"/>
          <w:sz w:val="20"/>
          <w:u w:val="none"/>
        </w:rPr>
        <w:t xml:space="preserve">Item 03 – Apostila encadernada língua portuguesa aluno, Grupo 1, caderno 1; </w:t>
      </w:r>
    </w:p>
    <w:p>
      <w:pPr>
        <w:spacing w:lineRule="auto" w:line="240" w:before="0" w:after="0" w:beforeAutospacing="0" w:afterAutospacing="0"/>
        <w:ind w:hanging="363" w:left="708"/>
        <w:jc w:val="both"/>
        <w:rPr>
          <w:rFonts w:ascii="Arial" w:hAnsi="Arial"/>
          <w:sz w:val="20"/>
          <w:u w:val="none"/>
        </w:rPr>
      </w:pPr>
      <w:r>
        <w:rPr>
          <w:rFonts w:ascii="Arial" w:hAnsi="Arial"/>
          <w:sz w:val="20"/>
          <w:u w:val="none"/>
        </w:rPr>
        <w:t xml:space="preserve">Item 09 – Apostila encadernada matemática aluno, Grupo 1, caderno 1; </w:t>
      </w:r>
    </w:p>
    <w:p>
      <w:pPr>
        <w:spacing w:lineRule="auto" w:line="240" w:before="0" w:after="0" w:beforeAutospacing="0" w:afterAutospacing="0"/>
        <w:ind w:hanging="363" w:left="708"/>
        <w:jc w:val="both"/>
        <w:rPr>
          <w:rFonts w:ascii="Arial" w:hAnsi="Arial"/>
          <w:sz w:val="20"/>
          <w:u w:val="none"/>
        </w:rPr>
      </w:pPr>
      <w:r>
        <w:rPr>
          <w:rFonts w:ascii="Arial" w:hAnsi="Arial"/>
          <w:sz w:val="20"/>
          <w:u w:val="none"/>
        </w:rPr>
        <w:t>Item 13 – Apostila encadernada matemática professor, Grupo 1, caderno 3; e</w:t>
      </w:r>
    </w:p>
    <w:p>
      <w:pPr>
        <w:spacing w:lineRule="auto" w:line="240" w:before="0" w:after="0" w:beforeAutospacing="0" w:afterAutospacing="0"/>
        <w:ind w:hanging="363" w:left="708"/>
        <w:jc w:val="both"/>
        <w:rPr>
          <w:rFonts w:ascii="Arial" w:hAnsi="Arial"/>
          <w:sz w:val="20"/>
          <w:u w:val="none"/>
        </w:rPr>
      </w:pPr>
      <w:r>
        <w:rPr>
          <w:rFonts w:ascii="Arial" w:hAnsi="Arial"/>
          <w:sz w:val="20"/>
          <w:u w:val="none"/>
        </w:rPr>
        <w:t>Item 01 – Apostila encadernada fluência, língua portuguesa professor, caderno 3.</w:t>
      </w:r>
    </w:p>
    <w:p>
      <w:pPr>
        <w:spacing w:lineRule="auto" w:line="240" w:before="0" w:after="0" w:beforeAutospacing="0" w:afterAutospacing="0"/>
        <w:ind w:hanging="363" w:left="363"/>
        <w:jc w:val="both"/>
        <w:rPr>
          <w:rFonts w:ascii="Arial" w:hAnsi="Arial"/>
          <w:sz w:val="20"/>
          <w:u w:val="none"/>
        </w:rPr>
      </w:pPr>
    </w:p>
    <w:p>
      <w:pPr>
        <w:spacing w:lineRule="auto" w:line="240" w:before="0" w:after="0" w:beforeAutospacing="0" w:afterAutospacing="0"/>
        <w:ind w:left="363" w:right="0"/>
        <w:jc w:val="both"/>
        <w:rPr>
          <w:rFonts w:ascii="Arial" w:hAnsi="Arial"/>
          <w:b w:val="1"/>
          <w:sz w:val="20"/>
          <w:u w:val="none"/>
        </w:rPr>
      </w:pPr>
      <w:r>
        <w:rPr>
          <w:rFonts w:ascii="Arial" w:hAnsi="Arial"/>
          <w:b w:val="1"/>
          <w:sz w:val="20"/>
          <w:u w:val="none"/>
        </w:rPr>
        <w:t xml:space="preserve">8.9.1. As amostras deverão ser entregues na Secretaria Municipal de Educação, sito à Avenida Koehler, nº 116, Centro de Domingos Martins - ES, CEP 29.260-000, no horário de 08 às 17h, sendo que a contratada assume total responsabilidade pelo envio. </w:t>
      </w:r>
    </w:p>
    <w:p>
      <w:pPr>
        <w:spacing w:lineRule="auto" w:line="240" w:before="0" w:after="0" w:beforeAutospacing="0" w:afterAutospacing="0"/>
        <w:ind w:left="708" w:right="0"/>
        <w:jc w:val="both"/>
        <w:rPr>
          <w:rFonts w:ascii="Arial" w:hAnsi="Arial"/>
          <w:sz w:val="20"/>
          <w:u w:val="none"/>
        </w:rPr>
      </w:pPr>
      <w:r>
        <w:rPr>
          <w:rFonts w:ascii="Arial" w:hAnsi="Arial"/>
          <w:b w:val="1"/>
          <w:sz w:val="20"/>
          <w:u w:val="none"/>
        </w:rPr>
        <w:t xml:space="preserve">8.9.1.1. </w:t>
      </w:r>
      <w:r>
        <w:rPr>
          <w:rFonts w:ascii="Arial" w:hAnsi="Arial"/>
          <w:sz w:val="20"/>
          <w:u w:val="none"/>
        </w:rPr>
        <w:t>A postagem tempestiva da amostra somente será aceita se o objeto for entregue em até 5 (cinco) dias úteis da data da postagem. Se a entrega não ocorrer a tempo, o licitante será desclassificado e convocado o próximo licitante melhor colocado.</w:t>
      </w:r>
    </w:p>
    <w:p>
      <w:pPr>
        <w:spacing w:lineRule="auto" w:line="240" w:before="0" w:after="0" w:beforeAutospacing="0" w:afterAutospacing="0"/>
        <w:ind w:left="708" w:right="0"/>
        <w:jc w:val="both"/>
        <w:rPr>
          <w:rFonts w:ascii="Arial" w:hAnsi="Arial"/>
          <w:sz w:val="20"/>
          <w:u w:val="none"/>
        </w:rPr>
      </w:pPr>
      <w:r>
        <w:rPr>
          <w:rFonts w:ascii="Arial" w:hAnsi="Arial"/>
          <w:b w:val="1"/>
          <w:sz w:val="20"/>
          <w:u w:val="none"/>
        </w:rPr>
        <w:t xml:space="preserve">8.9.1.1.1. </w:t>
      </w:r>
      <w:r>
        <w:rPr>
          <w:rFonts w:ascii="Arial" w:hAnsi="Arial"/>
          <w:sz w:val="20"/>
          <w:u w:val="none"/>
        </w:rPr>
        <w:t xml:space="preserve">No caso de postagem, faz-se necessário o envio do código de rastreio para o e-mail: </w:t>
      </w:r>
      <w:r>
        <w:rPr>
          <w:rFonts w:ascii="Arial" w:hAnsi="Arial"/>
          <w:sz w:val="20"/>
        </w:rPr>
        <w:fldChar w:fldCharType="begin"/>
      </w:r>
      <w:r>
        <w:rPr>
          <w:rFonts w:ascii="Arial" w:hAnsi="Arial"/>
          <w:sz w:val="20"/>
          <w:u w:val="single"/>
        </w:rPr>
        <w:instrText xml:space="preserve"> HYPERLINK "mailto:licita%C3%A7%C3%A3o@domingosmartins.es.gov.br" </w:instrText>
      </w:r>
      <w:r>
        <w:rPr>
          <w:rFonts w:ascii="Arial" w:hAnsi="Arial"/>
          <w:sz w:val="20"/>
        </w:rPr>
        <w:fldChar w:fldCharType="separate"/>
      </w:r>
      <w:r>
        <w:rPr>
          <w:rStyle w:val="C2"/>
          <w:rFonts w:ascii="Arial" w:hAnsi="Arial"/>
          <w:color w:val="000000"/>
          <w:sz w:val="20"/>
          <w:u w:val="single"/>
        </w:rPr>
        <w:t>licitação@domingosmartins.es.gov.br</w:t>
      </w:r>
      <w:r>
        <w:rPr>
          <w:rFonts w:ascii="Arial" w:hAnsi="Arial"/>
          <w:sz w:val="20"/>
        </w:rPr>
        <w:fldChar w:fldCharType="end"/>
      </w:r>
      <w:r>
        <w:rPr>
          <w:rFonts w:ascii="Arial" w:hAnsi="Arial"/>
          <w:sz w:val="20"/>
          <w:u w:val="none"/>
        </w:rPr>
        <w:t>, para acompanhamento.</w:t>
      </w:r>
    </w:p>
    <w:p>
      <w:pPr>
        <w:spacing w:lineRule="auto" w:line="240" w:before="0" w:after="0" w:beforeAutospacing="0" w:afterAutospacing="0"/>
        <w:ind w:left="363" w:right="0"/>
        <w:jc w:val="both"/>
        <w:rPr>
          <w:rFonts w:ascii="Arial" w:hAnsi="Arial"/>
          <w:sz w:val="20"/>
          <w:u w:val="none"/>
        </w:rPr>
      </w:pPr>
      <w:r>
        <w:rPr>
          <w:rFonts w:ascii="Arial" w:hAnsi="Arial"/>
          <w:b w:val="1"/>
          <w:sz w:val="20"/>
          <w:u w:val="none"/>
        </w:rPr>
        <w:t xml:space="preserve">8.9.1.2. </w:t>
      </w:r>
      <w:r>
        <w:rPr>
          <w:rFonts w:ascii="Arial" w:hAnsi="Arial"/>
          <w:sz w:val="20"/>
          <w:u w:val="none"/>
        </w:rPr>
        <w:t xml:space="preserve">As amostras serão analisadas em até 05 (cinco) dias úteis, por uma comissão formada pelos fiscais da contratação, que farão a análise em conjunto e emitirão a ata de análise de amostra. </w:t>
      </w:r>
    </w:p>
    <w:p>
      <w:pPr>
        <w:spacing w:lineRule="auto" w:line="240" w:before="0" w:after="0" w:beforeAutospacing="0" w:afterAutospacing="0"/>
        <w:ind w:left="363" w:right="0"/>
        <w:jc w:val="both"/>
        <w:rPr>
          <w:rFonts w:ascii="Arial" w:hAnsi="Arial"/>
          <w:sz w:val="20"/>
          <w:u w:val="none"/>
          <w:shd w:val="clear" w:color="auto" w:fill="FFFFFF"/>
        </w:rPr>
      </w:pPr>
      <w:r>
        <w:rPr>
          <w:rFonts w:ascii="Arial" w:hAnsi="Arial"/>
          <w:b w:val="1"/>
          <w:sz w:val="20"/>
          <w:u w:val="none"/>
          <w:shd w:val="clear" w:color="auto" w:fill="FFFFFF"/>
        </w:rPr>
        <w:t xml:space="preserve">8.9.2. </w:t>
      </w:r>
      <w:r>
        <w:rPr>
          <w:rFonts w:ascii="Arial" w:hAnsi="Arial"/>
          <w:sz w:val="20"/>
          <w:u w:val="none"/>
          <w:shd w:val="clear" w:color="auto" w:fill="FFFFFF"/>
        </w:rPr>
        <w:t>Se a(s) amostra(s) apresentada(s) pelo primeiro classificado não for(em) aceita(s), será analisada a aceitabilidade da proposta do segundo colocado. Seguir-se-á com a verificação da(s) amostra(s) e, assim, sucessivamente, até a verificação de uma que atenda às especificações.</w:t>
      </w:r>
    </w:p>
    <w:p>
      <w:pPr>
        <w:spacing w:lineRule="auto" w:line="240" w:before="0" w:after="0" w:beforeAutospacing="0" w:afterAutospacing="0"/>
        <w:ind w:left="363" w:right="0"/>
        <w:jc w:val="both"/>
        <w:rPr>
          <w:rFonts w:ascii="Arial" w:hAnsi="Arial"/>
          <w:sz w:val="20"/>
          <w:u w:val="none"/>
          <w:shd w:val="clear" w:color="auto" w:fill="FFFFFF"/>
        </w:rPr>
      </w:pPr>
      <w:r>
        <w:rPr>
          <w:rFonts w:ascii="Arial" w:hAnsi="Arial"/>
          <w:b w:val="1"/>
          <w:sz w:val="20"/>
          <w:u w:val="none"/>
          <w:shd w:val="clear" w:color="auto" w:fill="FFFFFF"/>
        </w:rPr>
        <w:t xml:space="preserve">8.9.3. </w:t>
      </w:r>
      <w:r>
        <w:rPr>
          <w:rFonts w:ascii="Arial" w:hAnsi="Arial"/>
          <w:sz w:val="20"/>
          <w:u w:val="none"/>
          <w:shd w:val="clear" w:color="auto" w:fill="FFFFFF"/>
        </w:rPr>
        <w:t>Os resultados das avaliações serão divulgados por meio de anexação de Ata de Análise no sistema.</w:t>
      </w:r>
    </w:p>
    <w:p>
      <w:pPr>
        <w:spacing w:lineRule="auto" w:line="240" w:before="0" w:after="0" w:beforeAutospacing="0" w:afterAutospacing="0"/>
        <w:ind w:left="363" w:right="0"/>
        <w:jc w:val="both"/>
        <w:rPr>
          <w:rFonts w:ascii="Arial" w:hAnsi="Arial"/>
          <w:sz w:val="20"/>
          <w:u w:val="none"/>
          <w:shd w:val="clear" w:color="auto" w:fill="FFFFFF"/>
        </w:rPr>
      </w:pPr>
      <w:r>
        <w:rPr>
          <w:rFonts w:ascii="Arial" w:hAnsi="Arial"/>
          <w:b w:val="1"/>
          <w:sz w:val="20"/>
          <w:u w:val="none"/>
          <w:shd w:val="clear" w:color="auto" w:fill="FFFFFF"/>
        </w:rPr>
        <w:t xml:space="preserve">8.9.4. </w:t>
      </w:r>
      <w:r>
        <w:rPr>
          <w:rFonts w:ascii="Arial" w:hAnsi="Arial"/>
          <w:sz w:val="20"/>
          <w:u w:val="none"/>
          <w:shd w:val="clear" w:color="auto" w:fill="FFFFFF"/>
        </w:rPr>
        <w:t>Demais condições de apresentação e análise das amostras correrão conforme ite</w:t>
      </w:r>
      <w:r>
        <w:rPr>
          <w:rFonts w:ascii="Arial" w:hAnsi="Arial"/>
          <w:color w:val="000000"/>
          <w:sz w:val="20"/>
          <w:u w:val="none"/>
          <w:shd w:val="clear" w:color="auto" w:fill="FFFFFF"/>
        </w:rPr>
        <w:t xml:space="preserve">m 5.11 </w:t>
      </w:r>
      <w:r>
        <w:rPr>
          <w:rFonts w:ascii="Arial" w:hAnsi="Arial"/>
          <w:sz w:val="20"/>
          <w:u w:val="none"/>
          <w:shd w:val="clear" w:color="auto" w:fill="FFFFFF"/>
        </w:rPr>
        <w:t>do Termo de Referência, parte integrante deste edital.</w:t>
      </w:r>
    </w:p>
    <w:p>
      <w:pPr>
        <w:spacing w:lineRule="auto" w:line="240" w:before="0" w:after="0" w:beforeAutospacing="0" w:afterAutospacing="0"/>
        <w:ind w:left="363" w:right="0"/>
        <w:jc w:val="both"/>
        <w:rPr>
          <w:rFonts w:ascii="Times New Roman" w:hAnsi="Times New Roman"/>
          <w:sz w:val="24"/>
          <w:u w:val="none"/>
          <w:shd w:val="clear" w:color="auto" w:fill="FFFFFF"/>
        </w:rPr>
      </w:pPr>
      <w:r>
        <w:rPr>
          <w:rFonts w:ascii="Times New Roman" w:hAnsi="Times New Roman"/>
          <w:sz w:val="24"/>
          <w:u w:val="none"/>
          <w:shd w:val="clear" w:color="auto" w:fill="FFFFFF"/>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8.10. </w:t>
      </w:r>
      <w:r>
        <w:rPr>
          <w:rFonts w:ascii="Arial" w:hAnsi="Arial"/>
          <w:sz w:val="20"/>
          <w:u w:val="none"/>
        </w:rPr>
        <w:t>Se a proposta ou lance vencedor for desclassificado, a Pregoeira examinará a proposta ou lance subsequente, e, assim sucessivamente, na ordem de classificação.</w:t>
      </w:r>
    </w:p>
    <w:p>
      <w:pPr>
        <w:spacing w:lineRule="auto" w:line="240" w:after="0" w:beforeAutospacing="0" w:afterAutospacing="0"/>
        <w:jc w:val="both"/>
        <w:rPr>
          <w:rFonts w:ascii="Times New Roman" w:hAnsi="Times New Roman"/>
          <w:sz w:val="24"/>
          <w:u w:val="none"/>
          <w:shd w:val="clear" w:color="auto" w:fill="FFFFFF"/>
        </w:rPr>
      </w:pPr>
      <w:r>
        <w:rPr>
          <w:rFonts w:ascii="Times New Roman" w:hAnsi="Times New Roman"/>
          <w:sz w:val="24"/>
          <w:u w:val="none"/>
          <w:shd w:val="clear" w:color="auto" w:fill="FFFFFF"/>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8.11. </w:t>
      </w:r>
      <w:r>
        <w:rPr>
          <w:rFonts w:ascii="Arial" w:hAnsi="Arial"/>
          <w:sz w:val="20"/>
          <w:u w:val="none"/>
        </w:rPr>
        <w:t>Havendo necessidade, a Pregoeira suspenderá a sessão, informando no "chat" a nova data e horário para a sua continuidade.</w:t>
      </w:r>
    </w:p>
    <w:p>
      <w:pPr>
        <w:spacing w:lineRule="auto" w:line="240" w:after="0" w:beforeAutospacing="0" w:afterAutospacing="0"/>
        <w:jc w:val="both"/>
        <w:rPr>
          <w:rFonts w:ascii="Times New Roman" w:hAnsi="Times New Roman"/>
          <w:sz w:val="24"/>
          <w:u w:val="none"/>
          <w:shd w:val="clear" w:color="auto" w:fill="FFFFFF"/>
        </w:rPr>
      </w:pPr>
      <w:r>
        <w:rPr>
          <w:rFonts w:ascii="Times New Roman" w:hAnsi="Times New Roman"/>
          <w:sz w:val="24"/>
          <w:u w:val="none"/>
          <w:shd w:val="clear" w:color="auto" w:fill="FFFFFF"/>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8.12. </w:t>
      </w:r>
      <w:r>
        <w:rPr>
          <w:rFonts w:ascii="Arial" w:hAnsi="Arial"/>
          <w:sz w:val="20"/>
          <w:u w:val="none"/>
        </w:rPr>
        <w:t>A Pregoeira poderá encaminhar, por meio do sistema eletrônico, contraproposta ao licitante que apresentou o lance mais vantajoso, com o fim de negociar a obtenção de melhor preço, vedada a negociação em condições diversas das previstas neste Edital.</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8.12.1. </w:t>
      </w:r>
      <w:r>
        <w:rPr>
          <w:rFonts w:ascii="Arial" w:hAnsi="Arial"/>
          <w:sz w:val="20"/>
          <w:u w:val="none"/>
        </w:rPr>
        <w:t>Também nas hipóteses em que a Pregoeira não aceitar a proposta e passar à subsequente, poderá negociar com o licitante para que seja obtido preço melhor.</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8.12.2. </w:t>
      </w:r>
      <w:r>
        <w:rPr>
          <w:rFonts w:ascii="Arial" w:hAnsi="Arial"/>
          <w:sz w:val="20"/>
          <w:u w:val="none"/>
        </w:rPr>
        <w:t>A negociação será realizada por meio do sistema, podendo ser acompanhada pelos demais licitantes.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8.13. </w:t>
      </w:r>
      <w:r>
        <w:rPr>
          <w:rFonts w:ascii="Arial" w:hAnsi="Arial"/>
          <w:sz w:val="20"/>
          <w:u w:val="none"/>
        </w:rPr>
        <w:t>Nos itens não exclusivos para a participação de microempresas e empresas de pequeno porte, sempre que a proposta não for aceita, e antes da Pregoeira passar à subsequente, haverá nova verificação, pelo sistema, da eventual ocorrência do empate ficto, previsto nos artigos 44 e 45 da LC nº 123/ 2006, seguindo-se a disciplina antes estabelecida, se for o caso.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8.14. </w:t>
      </w:r>
      <w:r>
        <w:rPr>
          <w:rFonts w:ascii="Arial" w:hAnsi="Arial"/>
          <w:sz w:val="20"/>
          <w:u w:val="none"/>
        </w:rPr>
        <w:t>Encerrada a análise quanto à aceitação da proposta, a Pregoeira verificará a habilitação do licitante, observado o disposto neste Edital.</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Times New Roman" w:hAnsi="Times New Roman"/>
          <w:sz w:val="24"/>
          <w:u w:val="none"/>
        </w:rPr>
      </w:pPr>
    </w:p>
    <w:p>
      <w:pPr>
        <w:spacing w:lineRule="auto" w:line="240" w:after="0" w:beforeAutospacing="0" w:afterAutospacing="0"/>
        <w:jc w:val="both"/>
        <w:rPr>
          <w:rFonts w:ascii="Arial" w:hAnsi="Arial"/>
          <w:b w:val="1"/>
          <w:sz w:val="20"/>
          <w:u w:val="none"/>
        </w:rPr>
      </w:pPr>
      <w:r>
        <w:rPr>
          <w:rFonts w:ascii="Arial" w:hAnsi="Arial"/>
          <w:b w:val="1"/>
          <w:sz w:val="20"/>
          <w:u w:val="none"/>
        </w:rPr>
        <w:t>9. DA HABILITAÇÃO.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9.1. </w:t>
      </w:r>
      <w:r>
        <w:rPr>
          <w:rFonts w:ascii="Arial" w:hAnsi="Arial"/>
          <w:sz w:val="20"/>
          <w:u w:val="none"/>
        </w:rPr>
        <w:t>Como condição prévia ao exame da documentação de habilitação do licitante detentor da proposta classificada em primeiro lugar, a Pregoeira verificará o eventual descumprimento das condições de participação, especialmente quanto à existência de sanção que impeça a participação no certame ou a futura contratação, mediante a consulta aos documentos inseridos no Portal de Compras Públicas, e ainda no seguinte cadastro: Consulta Consolidada de Pessoa Jurídica do Tribunal de Contas da União (</w:t>
      </w:r>
      <w:r>
        <w:rPr>
          <w:rFonts w:ascii="Arial" w:hAnsi="Arial"/>
          <w:sz w:val="20"/>
        </w:rPr>
        <w:fldChar w:fldCharType="begin"/>
      </w:r>
      <w:r>
        <w:rPr>
          <w:rFonts w:ascii="Arial" w:hAnsi="Arial"/>
          <w:sz w:val="20"/>
          <w:u w:val="single"/>
        </w:rPr>
        <w:instrText xml:space="preserve"> HYPERLINK "https://certidoes-apf.apps.tcu.gov.br/" </w:instrText>
      </w:r>
      <w:r>
        <w:rPr>
          <w:rFonts w:ascii="Arial" w:hAnsi="Arial"/>
          <w:sz w:val="20"/>
        </w:rPr>
        <w:fldChar w:fldCharType="separate"/>
      </w:r>
      <w:r>
        <w:rPr>
          <w:rStyle w:val="C2"/>
          <w:rFonts w:ascii="Arial" w:hAnsi="Arial"/>
          <w:color w:val="000080"/>
          <w:sz w:val="20"/>
          <w:u w:val="none"/>
        </w:rPr>
        <w:t>https://certidoes-apf.apps.tcu.gov.br/</w:t>
      </w:r>
      <w:r>
        <w:rPr>
          <w:rFonts w:ascii="Arial" w:hAnsi="Arial"/>
          <w:sz w:val="20"/>
        </w:rPr>
        <w:fldChar w:fldCharType="end"/>
      </w:r>
      <w:r>
        <w:rPr>
          <w:rFonts w:ascii="Arial" w:hAnsi="Arial"/>
          <w:sz w:val="20"/>
          <w:u w:val="none"/>
        </w:rPr>
        <w:t>).</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9.1.1.</w:t>
      </w:r>
      <w:r>
        <w:rPr>
          <w:rFonts w:ascii="Arial" w:hAnsi="Arial"/>
          <w:sz w:val="20"/>
          <w:u w:val="none"/>
        </w:rPr>
        <w:t xml:space="preserve"> A consulta aos cadastros será realizada em nome da empresa licitante e também em nome de seus sócios majoritários, por força do art. 12 da Lei 8.429/1992, que prevê dentre as sanções impostas ao responsável pela prática de ato de improbidade administrativa, a proibição de contratar com o Poder Público, inclusive por intermédio de pessoa jurídica da qual seja sócio majoritário.</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9.1.2. </w:t>
      </w:r>
      <w:r>
        <w:rPr>
          <w:rFonts w:ascii="Arial" w:hAnsi="Arial"/>
          <w:sz w:val="20"/>
          <w:u w:val="none"/>
        </w:rPr>
        <w:t>Constatada a existência de sanção, a Pregoeira reputará o licitante inabilitado, por falta de condição de participação.</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9.1.3. </w:t>
      </w:r>
      <w:r>
        <w:rPr>
          <w:rFonts w:ascii="Arial" w:hAnsi="Arial"/>
          <w:sz w:val="20"/>
          <w:u w:val="none"/>
        </w:rPr>
        <w:t>No caso de inabilitação, haverá nova verificação, pelo sistema, da eventual ocorrência do empate ficto, previsto nos arts. 44 e 45 da Lei Complementar nº 123/2006, seguindo-se a disciplina antes estabelecida para aceitação da proposta subsequente.</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9.2. </w:t>
      </w:r>
      <w:r>
        <w:rPr>
          <w:rFonts w:ascii="Arial" w:hAnsi="Arial"/>
          <w:sz w:val="20"/>
          <w:u w:val="none"/>
        </w:rPr>
        <w:t xml:space="preserve">Caso atendidas as condições de participação, </w:t>
      </w:r>
      <w:r>
        <w:rPr>
          <w:rFonts w:ascii="Arial" w:hAnsi="Arial"/>
          <w:b w:val="1"/>
          <w:sz w:val="20"/>
          <w:u w:val="none"/>
        </w:rPr>
        <w:t xml:space="preserve">a Pregoeira solicitará da(s) vencedora(s) a anexação dos documentos de habilitação exigidos neste edital, através de mensagem via chat no portal, concedendo o prazo IMPRORROGÁVEL de 24 (vinte e quatro) horas, </w:t>
      </w:r>
      <w:r>
        <w:rPr>
          <w:rFonts w:ascii="Arial" w:hAnsi="Arial"/>
          <w:sz w:val="20"/>
          <w:u w:val="none"/>
        </w:rPr>
        <w:t xml:space="preserve">considerando dia útil, para realização da anexação,sob pena de desclassificação, e posteriormente, verificará por meio do </w:t>
      </w:r>
      <w:r>
        <w:rPr>
          <w:rFonts w:ascii="Arial" w:hAnsi="Arial"/>
          <w:b w:val="1"/>
          <w:sz w:val="20"/>
          <w:u w:val="none"/>
        </w:rPr>
        <w:t>PORTAL DE COMPRAS PÚBLICAS,</w:t>
      </w:r>
      <w:r>
        <w:rPr>
          <w:rFonts w:ascii="Arial" w:hAnsi="Arial"/>
          <w:sz w:val="20"/>
          <w:u w:val="none"/>
        </w:rPr>
        <w:t xml:space="preserve"> em relação à habilitação jurídica, à regularidade fiscal e trabalhista, à qualificação econômica financeira e à habilitação técnica.</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9.2.1. </w:t>
      </w:r>
      <w:r>
        <w:rPr>
          <w:rFonts w:ascii="Arial" w:hAnsi="Arial"/>
          <w:sz w:val="20"/>
          <w:u w:val="none"/>
        </w:rPr>
        <w:t xml:space="preserve">É dever do licitante atualizar previamente as comprovações constantes do </w:t>
      </w:r>
      <w:r>
        <w:rPr>
          <w:rFonts w:ascii="Arial" w:hAnsi="Arial"/>
          <w:b w:val="1"/>
          <w:sz w:val="20"/>
          <w:u w:val="none"/>
        </w:rPr>
        <w:t xml:space="preserve">PORTAL DE COMPRAS PÚBLICAS, </w:t>
      </w:r>
      <w:r>
        <w:rPr>
          <w:rFonts w:ascii="Arial" w:hAnsi="Arial"/>
          <w:sz w:val="20"/>
          <w:u w:val="none"/>
        </w:rPr>
        <w:t>para que estejam vigentes na data da abertura da sessão pública, ou encaminhar após solicitação a respectiva documentação atualizada.</w:t>
      </w:r>
    </w:p>
    <w:p>
      <w:pPr>
        <w:spacing w:lineRule="auto" w:line="240" w:before="0" w:after="0" w:beforeAutospacing="0" w:afterAutospacing="0"/>
        <w:ind w:left="1134"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shd w:val="clear" w:color="auto" w:fill="FFFFFF"/>
        </w:rPr>
      </w:pPr>
      <w:r>
        <w:rPr>
          <w:rFonts w:ascii="Arial" w:hAnsi="Arial"/>
          <w:b w:val="1"/>
          <w:sz w:val="20"/>
          <w:u w:val="none"/>
          <w:shd w:val="clear" w:color="auto" w:fill="FFFFFF"/>
        </w:rPr>
        <w:t xml:space="preserve">9.3. </w:t>
      </w:r>
      <w:r>
        <w:rPr>
          <w:rFonts w:ascii="Arial" w:hAnsi="Arial"/>
          <w:sz w:val="20"/>
          <w:u w:val="none"/>
          <w:shd w:val="clear" w:color="auto" w:fill="FFFFFF"/>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pPr>
        <w:spacing w:lineRule="auto" w:line="240" w:after="0" w:beforeAutospacing="0" w:afterAutospacing="0"/>
        <w:jc w:val="both"/>
        <w:rPr>
          <w:rFonts w:ascii="Times New Roman" w:hAnsi="Times New Roman"/>
          <w:sz w:val="24"/>
          <w:u w:val="none"/>
          <w:shd w:val="clear" w:color="auto" w:fill="FFFFFF"/>
        </w:rPr>
      </w:pPr>
      <w:r>
        <w:rPr>
          <w:rFonts w:ascii="Times New Roman" w:hAnsi="Times New Roman"/>
          <w:sz w:val="24"/>
          <w:u w:val="none"/>
          <w:shd w:val="clear" w:color="auto" w:fill="FFFFFF"/>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9.4. </w:t>
      </w:r>
      <w:r>
        <w:rPr>
          <w:rFonts w:ascii="Arial" w:hAnsi="Arial"/>
          <w:sz w:val="20"/>
          <w:u w:val="none"/>
        </w:rPr>
        <w:t>Somente haverá a necessidade de comprovação do preenchimento de requisitos mediante apresentação dos documentos originais não-digitais quando houver dúvida em relação à integridade do documento digital.</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9.5. </w:t>
      </w:r>
      <w:r>
        <w:rPr>
          <w:rFonts w:ascii="Arial" w:hAnsi="Arial"/>
          <w:sz w:val="20"/>
          <w:u w:val="none"/>
        </w:rPr>
        <w:t>Não serão aceitos documentos de habilitação com indicação de CNPJ diferentes, salvo aqueles legalmente permitidos.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9.6. </w:t>
      </w:r>
      <w:r>
        <w:rPr>
          <w:rFonts w:ascii="Arial" w:hAnsi="Arial"/>
          <w:sz w:val="20"/>
          <w:u w:val="none"/>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9.6.1. </w:t>
      </w:r>
      <w:r>
        <w:rPr>
          <w:rFonts w:ascii="Arial" w:hAnsi="Arial"/>
          <w:sz w:val="20"/>
          <w:u w:val="none"/>
        </w:rPr>
        <w:t>Serão aceitos registros de CNPJ de licitante matriz e filial com diferenças de números de documentos pertinentes ao CND e ao CRF/FGTS, quando for comprovada a centralização do recolhimento dessas contribuições.</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sz w:val="20"/>
          <w:u w:val="none"/>
        </w:rPr>
      </w:pPr>
      <w:r>
        <w:rPr>
          <w:rFonts w:ascii="Arial" w:hAnsi="Arial"/>
          <w:b w:val="1"/>
          <w:sz w:val="20"/>
          <w:u w:val="none"/>
        </w:rPr>
        <w:t>9.7. Para fins de HABILITAÇÃO, os licitantes deverão encaminhar a documentação relacionada nos itens a seguir:</w:t>
      </w:r>
    </w:p>
    <w:p>
      <w:pPr>
        <w:spacing w:lineRule="auto" w:line="240" w:after="0" w:beforeAutospacing="0" w:afterAutospacing="0"/>
        <w:ind w:hanging="6"/>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ind w:hanging="6"/>
        <w:jc w:val="both"/>
        <w:rPr>
          <w:rFonts w:ascii="Arial" w:hAnsi="Arial"/>
          <w:b w:val="1"/>
          <w:sz w:val="20"/>
          <w:u w:val="none"/>
        </w:rPr>
      </w:pPr>
      <w:r>
        <w:rPr>
          <w:rFonts w:ascii="Arial" w:hAnsi="Arial"/>
          <w:b w:val="1"/>
          <w:sz w:val="20"/>
          <w:u w:val="none"/>
        </w:rPr>
        <w:t>9.8. HABILITAÇÃO JURÍDICA: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9.8.1. </w:t>
      </w:r>
      <w:r>
        <w:rPr>
          <w:rFonts w:ascii="Arial" w:hAnsi="Arial"/>
          <w:sz w:val="20"/>
          <w:u w:val="none"/>
        </w:rPr>
        <w:t>Documento de identidade do representante legal.</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9.8.2. </w:t>
      </w:r>
      <w:r>
        <w:rPr>
          <w:rFonts w:ascii="Arial" w:hAnsi="Arial"/>
          <w:sz w:val="20"/>
          <w:u w:val="none"/>
        </w:rPr>
        <w:t>Registro comercial - no caso de empresa individual; ou ato constitutivo, estatuto ou contrato social em vigor, devidamente registrado - no caso de sociedades comerciais; e no caso de sociedade por ações, acompanhado de documentos de eleição de seus administradores;</w:t>
      </w:r>
    </w:p>
    <w:p>
      <w:pPr>
        <w:spacing w:lineRule="auto" w:line="240" w:before="0" w:after="0" w:beforeAutospacing="0" w:afterAutospacing="0"/>
        <w:ind w:left="709" w:right="0"/>
        <w:jc w:val="both"/>
        <w:rPr>
          <w:rFonts w:ascii="Arial" w:hAnsi="Arial"/>
          <w:sz w:val="20"/>
          <w:u w:val="none"/>
        </w:rPr>
      </w:pPr>
      <w:r>
        <w:rPr>
          <w:rFonts w:ascii="Arial" w:hAnsi="Arial"/>
          <w:b w:val="1"/>
          <w:sz w:val="20"/>
          <w:u w:val="none"/>
        </w:rPr>
        <w:t xml:space="preserve">9.8.2.1. </w:t>
      </w:r>
      <w:r>
        <w:rPr>
          <w:rFonts w:ascii="Arial" w:hAnsi="Arial"/>
          <w:sz w:val="20"/>
          <w:u w:val="none"/>
        </w:rPr>
        <w:t xml:space="preserve">No caso em que houver consolidação do contrato social ou transformação do registro da empresa na última alteração, fica dispensada a apresentação das alterações anteriores. </w:t>
      </w:r>
    </w:p>
    <w:p>
      <w:pPr>
        <w:spacing w:lineRule="auto" w:line="240" w:before="0" w:after="0" w:beforeAutospacing="0" w:afterAutospacing="0"/>
        <w:ind w:left="0" w:right="17"/>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9.8.3. </w:t>
      </w:r>
      <w:r>
        <w:rPr>
          <w:rFonts w:ascii="Arial" w:hAnsi="Arial"/>
          <w:sz w:val="20"/>
          <w:u w:val="none"/>
        </w:rPr>
        <w:t>Em se tratando de microempreendedor individual - MEI: Certificado da Condição de Microempreendedor Individual - CCMEI.</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9.8.4. </w:t>
      </w:r>
      <w:r>
        <w:rPr>
          <w:rFonts w:ascii="Arial" w:hAnsi="Arial"/>
          <w:sz w:val="20"/>
          <w:u w:val="none"/>
        </w:rPr>
        <w:t>No caso de Cooperativa: ata de eleição da diretoria e estatuto social em vigor, com a ata da assembleia que o aprovou, devidamente registrados na Junta Comercial da respectiva sede.</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9.8.5. </w:t>
      </w:r>
      <w:r>
        <w:rPr>
          <w:rFonts w:ascii="Arial" w:hAnsi="Arial"/>
          <w:sz w:val="20"/>
          <w:u w:val="none"/>
        </w:rPr>
        <w:t>No caso de empresa ou sociedade estrangeira em funcionamento no País: Decreto de autorização, e ato de registro ou autorização para funcionamento expedido pelo órgão competente, quando a atividade assim o exigir.</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color w:val="0000FF"/>
          <w:sz w:val="20"/>
          <w:u w:val="none"/>
        </w:rPr>
      </w:pPr>
      <w:r>
        <w:rPr>
          <w:rFonts w:ascii="Arial" w:hAnsi="Arial"/>
          <w:b w:val="1"/>
          <w:sz w:val="20"/>
          <w:u w:val="none"/>
        </w:rPr>
        <w:t>9.9. HABILITAÇÃO FISCAL, SOCIAL E TRABALHISTA</w:t>
      </w:r>
      <w:r>
        <w:rPr>
          <w:rFonts w:ascii="Arial" w:hAnsi="Arial"/>
          <w:b w:val="1"/>
          <w:color w:val="0000FF"/>
          <w:sz w:val="20"/>
          <w:u w:val="none"/>
        </w:rPr>
        <w:t>:</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9.9.1. </w:t>
      </w:r>
      <w:r>
        <w:rPr>
          <w:rFonts w:ascii="Arial" w:hAnsi="Arial"/>
          <w:sz w:val="20"/>
          <w:u w:val="none"/>
        </w:rPr>
        <w:t xml:space="preserve">Prova de inscrição no Cadastro Nacional de Pessoas Jurídicas (CNPJ) </w:t>
      </w:r>
      <w:r>
        <w:rPr>
          <w:rFonts w:ascii="Arial" w:hAnsi="Arial"/>
          <w:b w:val="1"/>
          <w:sz w:val="20"/>
          <w:u w:val="none"/>
        </w:rPr>
        <w:t xml:space="preserve">emitido em até 60 (sessenta) dias </w:t>
      </w:r>
      <w:r>
        <w:rPr>
          <w:rFonts w:ascii="Arial" w:hAnsi="Arial"/>
          <w:sz w:val="20"/>
          <w:u w:val="none"/>
        </w:rPr>
        <w:t>contados da data de abertura do certame;</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b w:val="1"/>
          <w:sz w:val="20"/>
          <w:u w:val="none"/>
        </w:rPr>
      </w:pPr>
      <w:r>
        <w:rPr>
          <w:rFonts w:ascii="Arial" w:hAnsi="Arial"/>
          <w:b w:val="1"/>
          <w:sz w:val="20"/>
          <w:u w:val="none"/>
        </w:rPr>
        <w:t xml:space="preserve">9.9.2. </w:t>
      </w:r>
      <w:r>
        <w:rPr>
          <w:rFonts w:ascii="Arial" w:hAnsi="Arial"/>
          <w:sz w:val="20"/>
          <w:u w:val="none"/>
        </w:rPr>
        <w:t xml:space="preserve">Prova de inscrição no cadastro de contribuintes estadual e/ou municipal, se houver relativo ao domicílio ou sede do licitante, </w:t>
      </w:r>
      <w:r>
        <w:rPr>
          <w:rFonts w:ascii="Arial" w:hAnsi="Arial"/>
          <w:b w:val="1"/>
          <w:sz w:val="20"/>
          <w:u w:val="none"/>
        </w:rPr>
        <w:t>pertinenteao seu ramo de atividade e compatível com o objeto contratual;</w:t>
      </w:r>
    </w:p>
    <w:p>
      <w:pPr>
        <w:spacing w:lineRule="auto" w:line="240" w:after="0" w:beforeAutospacing="0" w:afterAutospacing="0"/>
        <w:ind w:firstLine="284"/>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9.9.3. </w:t>
      </w:r>
      <w:r>
        <w:rPr>
          <w:rFonts w:ascii="Arial" w:hAnsi="Arial"/>
          <w:sz w:val="20"/>
          <w:u w:val="none"/>
        </w:rPr>
        <w:t>Prova de regularidade para com a Fazenda Nacional, referente à divida Ativa da União, Tributos Federais e à Seguridade Social (</w:t>
      </w:r>
      <w:r>
        <w:rPr>
          <w:rFonts w:ascii="Arial" w:hAnsi="Arial"/>
          <w:b w:val="1"/>
          <w:sz w:val="20"/>
          <w:u w:val="none"/>
        </w:rPr>
        <w:t>Certidão Conjunta</w:t>
      </w:r>
      <w:r>
        <w:rPr>
          <w:rFonts w:ascii="Arial" w:hAnsi="Arial"/>
          <w:sz w:val="20"/>
          <w:u w:val="none"/>
        </w:rPr>
        <w:t>);</w:t>
      </w:r>
    </w:p>
    <w:p>
      <w:pPr>
        <w:spacing w:lineRule="auto" w:line="240" w:after="0" w:beforeAutospacing="0" w:afterAutospacing="0"/>
        <w:ind w:firstLine="284"/>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9.9.4. </w:t>
      </w:r>
      <w:r>
        <w:rPr>
          <w:rFonts w:ascii="Arial" w:hAnsi="Arial"/>
          <w:sz w:val="20"/>
          <w:u w:val="none"/>
        </w:rPr>
        <w:t xml:space="preserve">Prova de regularidade junto à Fazenda Estadual do </w:t>
      </w:r>
      <w:r>
        <w:rPr>
          <w:rFonts w:ascii="Arial" w:hAnsi="Arial"/>
          <w:b w:val="1"/>
          <w:sz w:val="20"/>
          <w:u w:val="none"/>
        </w:rPr>
        <w:t>Estado do Espírito Santo</w:t>
      </w:r>
      <w:r>
        <w:rPr>
          <w:rFonts w:ascii="Arial" w:hAnsi="Arial"/>
          <w:sz w:val="20"/>
          <w:u w:val="none"/>
        </w:rPr>
        <w:t xml:space="preserve"> e do estado onde a </w:t>
      </w:r>
      <w:r>
        <w:rPr>
          <w:rFonts w:ascii="Arial" w:hAnsi="Arial"/>
          <w:b w:val="1"/>
          <w:sz w:val="20"/>
          <w:u w:val="none"/>
        </w:rPr>
        <w:t>empresa for sediada</w:t>
      </w:r>
      <w:r>
        <w:rPr>
          <w:rFonts w:ascii="Arial" w:hAnsi="Arial"/>
          <w:sz w:val="20"/>
          <w:u w:val="none"/>
        </w:rPr>
        <w:t>;</w:t>
      </w:r>
    </w:p>
    <w:p>
      <w:pPr>
        <w:spacing w:lineRule="auto" w:line="240" w:after="0" w:beforeAutospacing="0" w:afterAutospacing="0"/>
        <w:ind w:firstLine="284"/>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9.9.5. </w:t>
      </w:r>
      <w:r>
        <w:rPr>
          <w:rFonts w:ascii="Arial" w:hAnsi="Arial"/>
          <w:sz w:val="20"/>
          <w:u w:val="none"/>
        </w:rPr>
        <w:t xml:space="preserve">Prova de regularidade junto à Fazenda Municipal do </w:t>
      </w:r>
      <w:r>
        <w:rPr>
          <w:rFonts w:ascii="Arial" w:hAnsi="Arial"/>
          <w:b w:val="1"/>
          <w:sz w:val="20"/>
          <w:u w:val="none"/>
        </w:rPr>
        <w:t>município de Domingos Martins</w:t>
      </w:r>
      <w:r>
        <w:rPr>
          <w:rFonts w:ascii="Arial" w:hAnsi="Arial"/>
          <w:sz w:val="20"/>
          <w:u w:val="none"/>
        </w:rPr>
        <w:t xml:space="preserve"> e do município onde a </w:t>
      </w:r>
      <w:r>
        <w:rPr>
          <w:rFonts w:ascii="Arial" w:hAnsi="Arial"/>
          <w:b w:val="1"/>
          <w:sz w:val="20"/>
          <w:u w:val="none"/>
        </w:rPr>
        <w:t>empresa for sediada</w:t>
      </w:r>
      <w:r>
        <w:rPr>
          <w:rFonts w:ascii="Arial" w:hAnsi="Arial"/>
          <w:sz w:val="20"/>
          <w:u w:val="none"/>
        </w:rPr>
        <w:t>;</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9.9.6. </w:t>
      </w:r>
      <w:r>
        <w:rPr>
          <w:rFonts w:ascii="Arial" w:hAnsi="Arial"/>
          <w:sz w:val="20"/>
          <w:u w:val="none"/>
        </w:rPr>
        <w:t>Prova de regularidade com o Fundo de Garantia do Tempo de Serviço (</w:t>
      </w:r>
      <w:r>
        <w:rPr>
          <w:rFonts w:ascii="Arial" w:hAnsi="Arial"/>
          <w:b w:val="1"/>
          <w:sz w:val="20"/>
          <w:u w:val="none"/>
        </w:rPr>
        <w:t>FGTS</w:t>
      </w:r>
      <w:r>
        <w:rPr>
          <w:rFonts w:ascii="Arial" w:hAnsi="Arial"/>
          <w:sz w:val="20"/>
          <w:u w:val="none"/>
        </w:rPr>
        <w:t>);</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9.9.7. </w:t>
      </w:r>
      <w:r>
        <w:rPr>
          <w:rFonts w:ascii="Arial" w:hAnsi="Arial"/>
          <w:sz w:val="20"/>
          <w:u w:val="none"/>
        </w:rPr>
        <w:t xml:space="preserve">Prova de inexistência de débitos inadimplidos perante </w:t>
      </w:r>
      <w:r>
        <w:rPr>
          <w:rFonts w:ascii="Arial" w:hAnsi="Arial"/>
          <w:b w:val="1"/>
          <w:sz w:val="20"/>
          <w:u w:val="none"/>
        </w:rPr>
        <w:t>a justiça do trabalho</w:t>
      </w:r>
      <w:r>
        <w:rPr>
          <w:rFonts w:ascii="Arial" w:hAnsi="Arial"/>
          <w:sz w:val="20"/>
          <w:u w:val="none"/>
        </w:rPr>
        <w:t>, mediante a apresentação de certidão emitida no site http://www.tst.jus.br &lt;http://www.tst.jus.br&gt;.</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9.9.8. </w:t>
      </w:r>
      <w:r>
        <w:rPr>
          <w:rFonts w:ascii="Arial" w:hAnsi="Arial"/>
          <w:sz w:val="20"/>
          <w:u w:val="none"/>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9.9.9 </w:t>
      </w:r>
      <w:r>
        <w:rPr>
          <w:rFonts w:ascii="Arial" w:hAnsi="Arial"/>
          <w:sz w:val="20"/>
          <w:u w:val="none"/>
        </w:rPr>
        <w:t>Caso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w:t>
      </w:r>
    </w:p>
    <w:p>
      <w:pPr>
        <w:spacing w:lineRule="auto" w:line="240" w:after="0" w:beforeAutospacing="0" w:afterAutospacing="0"/>
        <w:ind w:firstLine="284"/>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9.10. HABILITAÇÃO ECONÔMICO-FINANCEIRA</w:t>
      </w:r>
      <w:r>
        <w:rPr>
          <w:rFonts w:ascii="Arial" w:hAnsi="Arial"/>
          <w:sz w:val="20"/>
          <w:u w:val="none"/>
        </w:rPr>
        <w:t>.</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9.10.1. </w:t>
      </w:r>
      <w:r>
        <w:rPr>
          <w:rFonts w:ascii="Arial" w:hAnsi="Arial"/>
          <w:sz w:val="20"/>
          <w:u w:val="none"/>
        </w:rPr>
        <w:t>Certidão Negativa de falência, de concordata, de recuperação judicial ou extrajudicial (Lei nº 11.101/2005), expedida pelo distribuidor da sede da empresa, datado dos últimos 60 (sessenta) dias, ou que esteja dentro do prazo de validade expresso na própria Certidão.</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9.10.2. </w:t>
      </w:r>
      <w:r>
        <w:rPr>
          <w:rFonts w:ascii="Arial" w:hAnsi="Arial"/>
          <w:sz w:val="20"/>
          <w:u w: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pPr>
        <w:spacing w:lineRule="auto" w:line="240" w:before="0" w:after="0" w:beforeAutospacing="0" w:afterAutospacing="0"/>
        <w:ind w:left="284"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sz w:val="20"/>
          <w:u w:val="none"/>
        </w:rPr>
      </w:pPr>
      <w:r>
        <w:rPr>
          <w:rFonts w:ascii="Arial" w:hAnsi="Arial"/>
          <w:b w:val="1"/>
          <w:sz w:val="20"/>
          <w:u w:val="none"/>
        </w:rPr>
        <w:t>9.11. QUALIFICAÇÃO TÉCNICA.</w:t>
      </w:r>
    </w:p>
    <w:p>
      <w:pPr>
        <w:spacing w:lineRule="auto" w:line="240" w:before="0" w:after="0" w:beforeAutospacing="0" w:afterAutospacing="0"/>
        <w:ind w:left="709" w:right="0"/>
        <w:jc w:val="both"/>
        <w:rPr>
          <w:rFonts w:ascii="Arial" w:hAnsi="Arial"/>
          <w:b w:val="1"/>
          <w:sz w:val="20"/>
          <w:u w:val="none"/>
        </w:rPr>
      </w:pPr>
    </w:p>
    <w:p>
      <w:pPr>
        <w:spacing w:lineRule="auto" w:line="240" w:before="0" w:after="0" w:beforeAutospacing="0" w:afterAutospacing="0"/>
        <w:ind w:left="709" w:right="0"/>
        <w:jc w:val="both"/>
        <w:rPr>
          <w:rFonts w:ascii="Arial" w:hAnsi="Arial"/>
          <w:sz w:val="20"/>
          <w:u w:val="none"/>
        </w:rPr>
      </w:pPr>
      <w:r>
        <w:rPr>
          <w:rFonts w:ascii="Arial" w:hAnsi="Arial"/>
          <w:b w:val="1"/>
          <w:sz w:val="20"/>
          <w:u w:val="none"/>
        </w:rPr>
        <w:t xml:space="preserve">9.11.1. </w:t>
      </w:r>
      <w:r>
        <w:rPr>
          <w:rFonts w:ascii="Arial" w:hAnsi="Arial"/>
          <w:sz w:val="20"/>
          <w:u w:val="none"/>
        </w:rPr>
        <w:t>Comprovação de aptidão no desempenho de atividade pertinente e compatível com o objeto desta licitação, mediante apresentação de atestado(s) de capacidade técnica, expedido por pessoa jurídica de direito público ou privado, para os quais já tenha o licitante fornecido materiais relativos ao objeto desta licitação, que atestem o desempenho da proponente quanto à qualidade dos mesmos, devidamente assinado pelo representante com papel timbrado ou carimbo do CNPJ do emissor.</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sz w:val="20"/>
          <w:u w:val="none"/>
        </w:rPr>
      </w:pPr>
      <w:r>
        <w:rPr>
          <w:rFonts w:ascii="Arial" w:hAnsi="Arial"/>
          <w:b w:val="1"/>
          <w:sz w:val="20"/>
          <w:u w:val="none"/>
        </w:rPr>
        <w:t>9.12. DECLARAÇÕES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425" w:right="0"/>
        <w:jc w:val="both"/>
        <w:rPr>
          <w:rFonts w:ascii="Arial" w:hAnsi="Arial"/>
          <w:sz w:val="20"/>
          <w:u w:val="none"/>
        </w:rPr>
      </w:pPr>
      <w:r>
        <w:rPr>
          <w:rFonts w:ascii="Arial" w:hAnsi="Arial"/>
          <w:b w:val="1"/>
          <w:sz w:val="20"/>
          <w:u w:val="none"/>
        </w:rPr>
        <w:t xml:space="preserve">9.12.1. </w:t>
      </w:r>
      <w:r>
        <w:rPr>
          <w:rFonts w:ascii="Arial" w:hAnsi="Arial"/>
          <w:sz w:val="20"/>
          <w:u w:val="none"/>
        </w:rPr>
        <w:t xml:space="preserve">Declaração, conforme </w:t>
      </w:r>
      <w:r>
        <w:rPr>
          <w:rFonts w:ascii="Arial" w:hAnsi="Arial"/>
          <w:b w:val="1"/>
          <w:sz w:val="20"/>
          <w:u w:val="none"/>
        </w:rPr>
        <w:t>Anexo II,</w:t>
      </w:r>
      <w:r>
        <w:rPr>
          <w:rFonts w:ascii="Arial" w:hAnsi="Arial"/>
          <w:sz w:val="20"/>
          <w:u w:val="none"/>
        </w:rPr>
        <w:t xml:space="preserve"> de:</w:t>
      </w:r>
    </w:p>
    <w:p>
      <w:pPr>
        <w:spacing w:lineRule="auto" w:line="240" w:after="0" w:beforeAutospacing="0" w:afterAutospacing="0"/>
        <w:jc w:val="both"/>
        <w:rPr>
          <w:rFonts w:ascii="Arial" w:hAnsi="Arial"/>
          <w:sz w:val="20"/>
          <w:u w:val="none"/>
        </w:rPr>
      </w:pPr>
      <w:r>
        <w:rPr>
          <w:rFonts w:ascii="Arial" w:hAnsi="Arial"/>
          <w:b w:val="1"/>
          <w:sz w:val="20"/>
          <w:u w:val="none"/>
        </w:rPr>
        <w:t>a)</w:t>
      </w:r>
      <w:r>
        <w:rPr>
          <w:rFonts w:ascii="Arial" w:hAnsi="Arial"/>
          <w:sz w:val="20"/>
          <w:u w:val="none"/>
        </w:rPr>
        <w:t xml:space="preserve"> sujeição às condições estabelecidas no edital;</w:t>
      </w:r>
    </w:p>
    <w:p>
      <w:pPr>
        <w:spacing w:lineRule="auto" w:line="240" w:after="0" w:beforeAutospacing="0" w:afterAutospacing="0"/>
        <w:jc w:val="both"/>
        <w:rPr>
          <w:rFonts w:ascii="Arial" w:hAnsi="Arial"/>
          <w:sz w:val="20"/>
          <w:u w:val="none"/>
        </w:rPr>
      </w:pPr>
      <w:r>
        <w:rPr>
          <w:rFonts w:ascii="Arial" w:hAnsi="Arial"/>
          <w:b w:val="1"/>
          <w:sz w:val="20"/>
          <w:u w:val="none"/>
        </w:rPr>
        <w:t>b)</w:t>
      </w:r>
      <w:r>
        <w:rPr>
          <w:rFonts w:ascii="Arial" w:hAnsi="Arial"/>
          <w:sz w:val="20"/>
          <w:u w:val="none"/>
        </w:rPr>
        <w:t xml:space="preserve"> inexistência de fato superveniente impeditivos à habilitação.</w:t>
      </w:r>
    </w:p>
    <w:p>
      <w:pPr>
        <w:spacing w:lineRule="auto" w:line="240" w:after="0" w:beforeAutospacing="0" w:afterAutospacing="0"/>
        <w:jc w:val="both"/>
        <w:rPr>
          <w:rFonts w:ascii="Arial" w:hAnsi="Arial"/>
          <w:sz w:val="20"/>
          <w:u w:val="none"/>
        </w:rPr>
      </w:pPr>
      <w:r>
        <w:rPr>
          <w:rFonts w:ascii="Arial" w:hAnsi="Arial"/>
          <w:b w:val="1"/>
          <w:sz w:val="20"/>
          <w:u w:val="none"/>
        </w:rPr>
        <w:t xml:space="preserve">c) </w:t>
      </w:r>
      <w:r>
        <w:rPr>
          <w:rFonts w:ascii="Arial" w:hAnsi="Arial"/>
          <w:sz w:val="20"/>
          <w:u w:val="none"/>
        </w:rPr>
        <w:t>idoneidade.</w:t>
      </w:r>
    </w:p>
    <w:p>
      <w:pPr>
        <w:spacing w:lineRule="auto" w:line="240" w:after="0" w:beforeAutospacing="0" w:afterAutospacing="0"/>
        <w:jc w:val="both"/>
        <w:rPr>
          <w:rFonts w:ascii="Arial" w:hAnsi="Arial"/>
          <w:sz w:val="20"/>
          <w:u w:val="none"/>
        </w:rPr>
      </w:pPr>
      <w:r>
        <w:rPr>
          <w:rFonts w:ascii="Arial" w:hAnsi="Arial"/>
          <w:b w:val="1"/>
          <w:sz w:val="20"/>
          <w:u w:val="none"/>
        </w:rPr>
        <w:t xml:space="preserve">d) </w:t>
      </w:r>
      <w:r>
        <w:rPr>
          <w:rFonts w:ascii="Arial" w:hAnsi="Arial"/>
          <w:sz w:val="20"/>
          <w:u w:val="none"/>
        </w:rPr>
        <w:t>cumprimento aos requisitos de habilitação.</w:t>
      </w:r>
    </w:p>
    <w:p>
      <w:pPr>
        <w:spacing w:lineRule="auto" w:line="240" w:after="0" w:beforeAutospacing="0" w:afterAutospacing="0"/>
        <w:jc w:val="both"/>
        <w:rPr>
          <w:rFonts w:ascii="Arial" w:hAnsi="Arial"/>
          <w:sz w:val="20"/>
          <w:u w:val="none"/>
        </w:rPr>
      </w:pPr>
      <w:r>
        <w:rPr>
          <w:rFonts w:ascii="Arial" w:hAnsi="Arial"/>
          <w:b w:val="1"/>
          <w:sz w:val="20"/>
          <w:u w:val="none"/>
        </w:rPr>
        <w:t xml:space="preserve">e) </w:t>
      </w:r>
      <w:r>
        <w:rPr>
          <w:rFonts w:ascii="Arial" w:hAnsi="Arial"/>
          <w:sz w:val="20"/>
          <w:u w:val="none"/>
        </w:rPr>
        <w:t>cumprimento ao disposto ao Art. 7º, XXXIII da Constituição Federal, com firma reconhecida ou assinatura digital.</w:t>
      </w:r>
    </w:p>
    <w:p>
      <w:pPr>
        <w:spacing w:lineRule="auto" w:line="240" w:after="0" w:beforeAutospacing="0" w:afterAutospacing="0"/>
        <w:jc w:val="both"/>
        <w:rPr>
          <w:rFonts w:ascii="Arial" w:hAnsi="Arial"/>
          <w:sz w:val="20"/>
          <w:u w:val="none"/>
        </w:rPr>
      </w:pPr>
      <w:r>
        <w:rPr>
          <w:rFonts w:ascii="Arial" w:hAnsi="Arial"/>
          <w:b w:val="1"/>
          <w:sz w:val="20"/>
          <w:u w:val="none"/>
        </w:rPr>
        <w:t>f)</w:t>
      </w:r>
      <w:r>
        <w:rPr>
          <w:rFonts w:ascii="Arial" w:hAnsi="Arial"/>
          <w:sz w:val="20"/>
          <w:u w:val="none"/>
        </w:rPr>
        <w:t xml:space="preserve"> cumprimento às exigências de reserva de cargos para pessoa com deficiência e para reabilitado da Previdência Social, previstas em lei e em outras normas específicas.</w:t>
      </w:r>
    </w:p>
    <w:p>
      <w:pPr>
        <w:spacing w:lineRule="auto" w:line="240" w:after="0" w:beforeAutospacing="0" w:afterAutospacing="0"/>
        <w:jc w:val="both"/>
        <w:rPr>
          <w:rFonts w:ascii="Arial" w:hAnsi="Arial"/>
          <w:sz w:val="20"/>
          <w:u w:val="none"/>
        </w:rPr>
      </w:pPr>
      <w:r>
        <w:rPr>
          <w:rFonts w:ascii="Arial" w:hAnsi="Arial"/>
          <w:b w:val="1"/>
          <w:sz w:val="20"/>
          <w:u w:val="none"/>
        </w:rPr>
        <w:t>g)</w:t>
      </w:r>
      <w:r>
        <w:rPr>
          <w:rFonts w:ascii="Arial" w:hAnsi="Arial"/>
          <w:sz w:val="20"/>
          <w:u w:val="none"/>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spacing w:lineRule="auto" w:line="240" w:after="0" w:beforeAutospacing="0" w:afterAutospacing="0"/>
        <w:jc w:val="both"/>
        <w:rPr>
          <w:rFonts w:ascii="Arial" w:hAnsi="Arial"/>
          <w:sz w:val="20"/>
          <w:u w:val="none"/>
        </w:rPr>
      </w:pPr>
      <w:r>
        <w:rPr>
          <w:rFonts w:ascii="Arial" w:hAnsi="Arial"/>
          <w:b w:val="1"/>
          <w:sz w:val="20"/>
          <w:u w:val="none"/>
        </w:rPr>
        <w:t xml:space="preserve">h) </w:t>
      </w:r>
      <w:r>
        <w:rPr>
          <w:rFonts w:ascii="Arial" w:hAnsi="Arial"/>
          <w:sz w:val="20"/>
          <w:u w:val="none"/>
        </w:rPr>
        <w:t>que não possui em seu quadro societário servidor público da ativa ou empregado de empresa pública ou de sociedade de economia Mista, do órgão celebrante.</w:t>
      </w:r>
    </w:p>
    <w:p>
      <w:pPr>
        <w:spacing w:lineRule="auto" w:line="240" w:after="0" w:beforeAutospacing="0" w:afterAutospacing="0"/>
        <w:jc w:val="both"/>
        <w:rPr>
          <w:rFonts w:ascii="Arial" w:hAnsi="Arial"/>
          <w:sz w:val="20"/>
          <w:u w:val="none"/>
        </w:rPr>
      </w:pPr>
      <w:r>
        <w:rPr>
          <w:rFonts w:ascii="Arial" w:hAnsi="Arial"/>
          <w:b w:val="1"/>
          <w:sz w:val="20"/>
          <w:u w:val="none"/>
        </w:rPr>
        <w:t xml:space="preserve">i) </w:t>
      </w:r>
      <w:r>
        <w:rPr>
          <w:rFonts w:ascii="Arial" w:hAnsi="Arial"/>
          <w:sz w:val="20"/>
          <w:u w:val="none"/>
        </w:rPr>
        <w:t>que por ocasião da assinatura do contrato, ou de instrumento equivalente, cumpre a cota de reserva de vagas de aprendiz nos termos do Art 429 e seguintes da Consolidação das Leis Trabalhistas (CLT).</w:t>
      </w:r>
    </w:p>
    <w:p>
      <w:pPr>
        <w:spacing w:lineRule="auto" w:line="240" w:after="0" w:beforeAutospacing="0" w:afterAutospacing="0"/>
        <w:ind w:firstLine="425"/>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ind w:firstLine="425"/>
        <w:jc w:val="both"/>
        <w:rPr>
          <w:rFonts w:ascii="Arial" w:hAnsi="Arial"/>
          <w:sz w:val="20"/>
          <w:u w:val="none"/>
        </w:rPr>
      </w:pPr>
      <w:r>
        <w:rPr>
          <w:rFonts w:ascii="Arial" w:hAnsi="Arial"/>
          <w:b w:val="1"/>
          <w:sz w:val="20"/>
          <w:u w:val="none"/>
        </w:rPr>
        <w:t xml:space="preserve">9.12.2. </w:t>
      </w:r>
      <w:r>
        <w:rPr>
          <w:rFonts w:ascii="Arial" w:hAnsi="Arial"/>
          <w:sz w:val="20"/>
          <w:u w:val="none"/>
        </w:rPr>
        <w:t xml:space="preserve">Declaração de proposta elaborada de forma independente, conforme modelo - </w:t>
      </w:r>
      <w:r>
        <w:rPr>
          <w:rFonts w:ascii="Arial" w:hAnsi="Arial"/>
          <w:b w:val="1"/>
          <w:sz w:val="20"/>
          <w:u w:val="none"/>
        </w:rPr>
        <w:t>Anexo III</w:t>
      </w:r>
      <w:r>
        <w:rPr>
          <w:rFonts w:ascii="Arial" w:hAnsi="Arial"/>
          <w:sz w:val="20"/>
          <w:u w:val="none"/>
        </w:rPr>
        <w:t>;</w:t>
      </w:r>
    </w:p>
    <w:p>
      <w:pPr>
        <w:spacing w:lineRule="auto" w:line="240" w:after="0" w:beforeAutospacing="0" w:afterAutospacing="0"/>
        <w:ind w:firstLine="425"/>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ind w:firstLine="425"/>
        <w:jc w:val="both"/>
        <w:rPr>
          <w:rFonts w:ascii="Arial" w:hAnsi="Arial"/>
          <w:sz w:val="20"/>
          <w:u w:val="none"/>
        </w:rPr>
      </w:pPr>
      <w:r>
        <w:rPr>
          <w:rFonts w:ascii="Arial" w:hAnsi="Arial"/>
          <w:b w:val="1"/>
          <w:sz w:val="20"/>
          <w:u w:val="none"/>
        </w:rPr>
        <w:t xml:space="preserve">9.12.3. </w:t>
      </w:r>
      <w:r>
        <w:rPr>
          <w:rFonts w:ascii="Arial" w:hAnsi="Arial"/>
          <w:sz w:val="20"/>
          <w:u w:val="none"/>
        </w:rPr>
        <w:t>Devem ser apresentadas as declarações, com as INFORMAÇÕES e ASSINATURAS, conforme discriminadas nos modelos.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color w:val="000000"/>
          <w:sz w:val="20"/>
          <w:u w:val="none"/>
        </w:rPr>
      </w:pPr>
      <w:r>
        <w:rPr>
          <w:rFonts w:ascii="Times New Roman" w:hAnsi="Times New Roman"/>
          <w:sz w:val="24"/>
          <w:u w:val="none"/>
        </w:rPr>
        <w:t xml:space="preserve"> </w:t>
      </w:r>
      <w:r>
        <w:rPr>
          <w:rFonts w:ascii="Arial" w:hAnsi="Arial"/>
          <w:b w:val="1"/>
          <w:color w:val="000000"/>
          <w:sz w:val="20"/>
          <w:u w:val="none"/>
        </w:rPr>
        <w:t>9.13. COMPROVAÇÃO DA CONDIÇÃO DE ME/EPP</w:t>
      </w:r>
    </w:p>
    <w:p>
      <w:pPr>
        <w:spacing w:lineRule="auto" w:line="240" w:after="0" w:beforeAutospacing="0" w:afterAutospacing="0"/>
        <w:ind w:firstLine="284"/>
        <w:jc w:val="both"/>
        <w:rPr>
          <w:rFonts w:ascii="Arial" w:hAnsi="Arial"/>
          <w:b w:val="1"/>
          <w:color w:val="000000"/>
          <w:sz w:val="20"/>
          <w:u w:val="none"/>
        </w:rPr>
      </w:pPr>
      <w:r>
        <w:rPr>
          <w:rFonts w:ascii="Arial" w:hAnsi="Arial"/>
          <w:b w:val="1"/>
          <w:color w:val="000000"/>
          <w:sz w:val="20"/>
          <w:u w:val="none"/>
        </w:rPr>
        <w:t xml:space="preserve"> </w:t>
      </w:r>
    </w:p>
    <w:p>
      <w:pPr>
        <w:spacing w:lineRule="auto" w:line="240" w:after="0" w:beforeAutospacing="0" w:afterAutospacing="0"/>
        <w:ind w:firstLine="284"/>
        <w:jc w:val="both"/>
        <w:rPr>
          <w:rFonts w:ascii="Arial" w:hAnsi="Arial"/>
          <w:color w:val="000000"/>
          <w:sz w:val="20"/>
          <w:u w:val="none"/>
        </w:rPr>
      </w:pPr>
      <w:r>
        <w:rPr>
          <w:rFonts w:ascii="Arial" w:hAnsi="Arial"/>
          <w:b w:val="1"/>
          <w:color w:val="000000"/>
          <w:sz w:val="20"/>
          <w:u w:val="none"/>
        </w:rPr>
        <w:t xml:space="preserve">9.13.1. </w:t>
      </w:r>
      <w:r>
        <w:rPr>
          <w:rFonts w:ascii="Arial" w:hAnsi="Arial"/>
          <w:color w:val="000000"/>
          <w:sz w:val="20"/>
          <w:u w:val="none"/>
        </w:rPr>
        <w:t xml:space="preserve">Para comprovar sua condição de ME/EPP a empresa deverá </w:t>
      </w:r>
      <w:r>
        <w:rPr>
          <w:rFonts w:ascii="Arial" w:hAnsi="Arial"/>
          <w:b w:val="1"/>
          <w:color w:val="000000"/>
          <w:sz w:val="20"/>
          <w:u w:val="none"/>
        </w:rPr>
        <w:t>OBRIGATORIAMENTE</w:t>
      </w:r>
      <w:r>
        <w:rPr>
          <w:rFonts w:ascii="Arial" w:hAnsi="Arial"/>
          <w:color w:val="000000"/>
          <w:sz w:val="20"/>
          <w:u w:val="none"/>
        </w:rPr>
        <w:t xml:space="preserve"> apresentar:</w:t>
      </w:r>
    </w:p>
    <w:p>
      <w:pPr>
        <w:spacing w:lineRule="auto" w:line="240" w:before="0" w:after="0" w:beforeAutospacing="0" w:afterAutospacing="0"/>
        <w:ind w:left="709" w:right="0"/>
        <w:jc w:val="both"/>
        <w:rPr>
          <w:rFonts w:ascii="Arial" w:hAnsi="Arial"/>
          <w:color w:val="000000"/>
          <w:sz w:val="20"/>
          <w:u w:val="none"/>
        </w:rPr>
      </w:pPr>
      <w:r>
        <w:rPr>
          <w:rFonts w:ascii="Arial" w:hAnsi="Arial"/>
          <w:b w:val="1"/>
          <w:color w:val="000000"/>
          <w:sz w:val="20"/>
          <w:u w:val="none"/>
        </w:rPr>
        <w:t xml:space="preserve">9.13.1.1. </w:t>
      </w:r>
      <w:r>
        <w:rPr>
          <w:rFonts w:ascii="Arial" w:hAnsi="Arial"/>
          <w:color w:val="000000"/>
          <w:sz w:val="20"/>
          <w:u w:val="none"/>
        </w:rPr>
        <w:t xml:space="preserve">Declaração referente à Condição de ME/EPP, nos termos do </w:t>
      </w:r>
      <w:r>
        <w:rPr>
          <w:rFonts w:ascii="Arial" w:hAnsi="Arial"/>
          <w:b w:val="1"/>
          <w:color w:val="000000"/>
          <w:sz w:val="20"/>
          <w:u w:val="none"/>
        </w:rPr>
        <w:t xml:space="preserve">Anexo IV </w:t>
      </w:r>
      <w:r>
        <w:rPr>
          <w:rFonts w:ascii="Arial" w:hAnsi="Arial"/>
          <w:color w:val="000000"/>
          <w:sz w:val="20"/>
          <w:u w:val="none"/>
        </w:rPr>
        <w:t>deste Edital.</w:t>
      </w:r>
    </w:p>
    <w:p>
      <w:pPr>
        <w:spacing w:lineRule="auto" w:line="240" w:before="0" w:after="0" w:beforeAutospacing="0" w:afterAutospacing="0"/>
        <w:ind w:left="709" w:right="0"/>
        <w:jc w:val="both"/>
        <w:rPr>
          <w:rFonts w:ascii="Arial" w:hAnsi="Arial"/>
          <w:sz w:val="20"/>
          <w:u w:val="none"/>
        </w:rPr>
      </w:pPr>
      <w:r>
        <w:rPr>
          <w:rFonts w:ascii="Arial" w:hAnsi="Arial"/>
          <w:b w:val="1"/>
          <w:sz w:val="20"/>
          <w:u w:val="none"/>
        </w:rPr>
        <w:t xml:space="preserve">9.13.1.2. </w:t>
      </w:r>
      <w:r>
        <w:rPr>
          <w:rFonts w:ascii="Arial" w:hAnsi="Arial"/>
          <w:sz w:val="20"/>
          <w:u w:val="none"/>
        </w:rPr>
        <w:t xml:space="preserve">Certidão Simplificada da Junta Comercial da qual conste o enquadramento como ME ou EPP, com data de emissão não superior a </w:t>
      </w:r>
      <w:r>
        <w:rPr>
          <w:rFonts w:ascii="Arial" w:hAnsi="Arial"/>
          <w:b w:val="1"/>
          <w:sz w:val="20"/>
          <w:u w:val="none"/>
        </w:rPr>
        <w:t>180 (cento e oitenta) dias</w:t>
      </w:r>
      <w:r>
        <w:rPr>
          <w:rFonts w:ascii="Arial" w:hAnsi="Arial"/>
          <w:sz w:val="20"/>
          <w:u w:val="none"/>
        </w:rPr>
        <w:t>,anteriores à data fixada para a sessão de abertura da licitação.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ind w:left="0"/>
        <w:jc w:val="both"/>
        <w:rPr>
          <w:rFonts w:ascii="Arial" w:hAnsi="Arial"/>
          <w:sz w:val="20"/>
          <w:u w:val="none"/>
        </w:rPr>
      </w:pPr>
      <w:r>
        <w:rPr>
          <w:rFonts w:ascii="Arial" w:hAnsi="Arial"/>
          <w:b w:val="1"/>
          <w:sz w:val="20"/>
          <w:u w:val="none"/>
        </w:rPr>
        <w:t xml:space="preserve">     9.13.2. </w:t>
      </w:r>
      <w:r>
        <w:rPr>
          <w:rFonts w:ascii="Arial" w:hAnsi="Arial"/>
          <w:sz w:val="20"/>
          <w:u w:val="none"/>
        </w:rPr>
        <w:t>Os documentos solicitados no item 9.10.3 e 9.13 NÃO são aplicáveis ao MEI (Microempreendedor Individual).</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9.14. </w:t>
      </w:r>
      <w:r>
        <w:rPr>
          <w:rFonts w:ascii="Arial" w:hAnsi="Arial"/>
          <w:sz w:val="20"/>
          <w:u w:val="none"/>
        </w:rPr>
        <w:t>A existência de restrição relativamente à regularidade fiscal e trabalhista não impede que a licitante qualificada como microempresa ou empresa de pequeno porte seja declarada vencedora, uma vez que atenda a todas as demais exigências do edital.</w:t>
      </w:r>
    </w:p>
    <w:p>
      <w:pPr>
        <w:spacing w:lineRule="auto" w:line="240" w:before="0" w:after="0" w:beforeAutospacing="0" w:afterAutospacing="0"/>
        <w:ind w:hanging="505" w:left="788" w:right="0"/>
        <w:jc w:val="both"/>
        <w:rPr>
          <w:rFonts w:ascii="Arial" w:hAnsi="Arial"/>
          <w:sz w:val="20"/>
          <w:u w:val="none"/>
        </w:rPr>
      </w:pPr>
      <w:r>
        <w:rPr>
          <w:rFonts w:ascii="Arial" w:hAnsi="Arial"/>
          <w:b w:val="1"/>
          <w:sz w:val="20"/>
          <w:u w:val="none"/>
        </w:rPr>
        <w:t xml:space="preserve">9.14.1. </w:t>
      </w:r>
      <w:r>
        <w:rPr>
          <w:rFonts w:ascii="Arial" w:hAnsi="Arial"/>
          <w:sz w:val="20"/>
          <w:u w:val="none"/>
        </w:rPr>
        <w:t>A declaração do vencedor acontecerá no momento imediatamente posterior à fase de habilitação.</w:t>
      </w:r>
    </w:p>
    <w:p>
      <w:pPr>
        <w:spacing w:lineRule="auto" w:line="240" w:before="0" w:after="0" w:beforeAutospacing="0" w:afterAutospacing="0"/>
        <w:ind w:left="1134"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9.15. </w:t>
      </w:r>
      <w:r>
        <w:rPr>
          <w:rFonts w:ascii="Arial" w:hAnsi="Arial"/>
          <w:sz w:val="20"/>
          <w:u w:val="none"/>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9.16. </w:t>
      </w:r>
      <w:r>
        <w:rPr>
          <w:rFonts w:ascii="Arial" w:hAnsi="Arial"/>
          <w:sz w:val="20"/>
          <w:u w:val="none"/>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ou empresa de pequeno porte com alguma restrição na documentação fiscal e trabalhista, será concedido o mesmo prazo para regularização.</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9.17. </w:t>
      </w:r>
      <w:r>
        <w:rPr>
          <w:rFonts w:ascii="Arial" w:hAnsi="Arial"/>
          <w:sz w:val="20"/>
          <w:u w:val="none"/>
        </w:rPr>
        <w:t xml:space="preserve">Após o encaminhamento dos documentos de habilitação pelo provedor Portal de Compras Pública, </w:t>
      </w:r>
      <w:r>
        <w:rPr>
          <w:rFonts w:ascii="Arial" w:hAnsi="Arial"/>
          <w:b w:val="1"/>
          <w:sz w:val="20"/>
          <w:u w:val="none"/>
        </w:rPr>
        <w:t>não será permitida a substituição ou a apresentação de novos documentos</w:t>
      </w:r>
      <w:r>
        <w:rPr>
          <w:rFonts w:ascii="Arial" w:hAnsi="Arial"/>
          <w:sz w:val="20"/>
          <w:u w:val="none"/>
        </w:rPr>
        <w:t>, salvo em sede de diligência, para:</w:t>
      </w:r>
    </w:p>
    <w:p>
      <w:pPr>
        <w:spacing w:lineRule="auto" w:line="240" w:before="0" w:after="0" w:beforeAutospacing="0" w:afterAutospacing="0"/>
        <w:ind w:left="425" w:right="0"/>
        <w:jc w:val="both"/>
        <w:rPr>
          <w:rFonts w:ascii="Arial" w:hAnsi="Arial"/>
          <w:sz w:val="20"/>
          <w:u w:val="none"/>
        </w:rPr>
      </w:pPr>
      <w:r>
        <w:rPr>
          <w:rFonts w:ascii="Arial" w:hAnsi="Arial"/>
          <w:b w:val="1"/>
          <w:sz w:val="20"/>
          <w:u w:val="none"/>
        </w:rPr>
        <w:t>9.17.1.</w:t>
      </w:r>
      <w:r>
        <w:rPr>
          <w:rFonts w:ascii="Arial" w:hAnsi="Arial"/>
          <w:sz w:val="20"/>
          <w:u w:val="none"/>
        </w:rPr>
        <w:t xml:space="preserve"> Complementação/confirmação de informações acerca dos documentos já apresentados pelos licitantes e desde que necessária para apurar fatos existentes à época da abertura do certame;</w:t>
      </w:r>
    </w:p>
    <w:p>
      <w:pPr>
        <w:spacing w:lineRule="auto" w:line="240" w:before="0" w:after="0" w:beforeAutospacing="0" w:afterAutospacing="0"/>
        <w:ind w:left="425" w:right="0"/>
        <w:jc w:val="both"/>
        <w:rPr>
          <w:rFonts w:ascii="Arial" w:hAnsi="Arial"/>
          <w:sz w:val="20"/>
          <w:u w:val="none"/>
        </w:rPr>
      </w:pPr>
      <w:r>
        <w:rPr>
          <w:rFonts w:ascii="Arial" w:hAnsi="Arial"/>
          <w:b w:val="1"/>
          <w:sz w:val="20"/>
          <w:u w:val="none"/>
        </w:rPr>
        <w:t>9.17.2.</w:t>
      </w:r>
      <w:r>
        <w:rPr>
          <w:rFonts w:ascii="Arial" w:hAnsi="Arial"/>
          <w:sz w:val="20"/>
          <w:u w:val="none"/>
        </w:rPr>
        <w:t xml:space="preserve"> Atualização de documentos apresentados cuja validade tenha expirado, desde que, em consulta aos sítios eletrônicos oficiais emissores das certidões lograr êxito em encontrar a(s) certidão(ões) válida(s) no momento da diligência pela Pregoeira.</w:t>
      </w:r>
    </w:p>
    <w:p>
      <w:pPr>
        <w:spacing w:lineRule="auto" w:line="240" w:before="0" w:after="0" w:beforeAutospacing="0" w:afterAutospacing="0"/>
        <w:ind w:left="425" w:right="0"/>
        <w:jc w:val="both"/>
        <w:rPr>
          <w:rFonts w:ascii="Arial" w:hAnsi="Arial"/>
          <w:sz w:val="20"/>
          <w:u w:val="none"/>
        </w:rPr>
      </w:pPr>
      <w:r>
        <w:rPr>
          <w:rFonts w:ascii="Arial" w:hAnsi="Arial"/>
          <w:b w:val="1"/>
          <w:sz w:val="20"/>
          <w:u w:val="none"/>
        </w:rPr>
        <w:t xml:space="preserve">9.17.2.1. </w:t>
      </w:r>
      <w:r>
        <w:rPr>
          <w:rFonts w:ascii="Arial" w:hAnsi="Arial"/>
          <w:sz w:val="20"/>
          <w:u w:val="none"/>
        </w:rPr>
        <w:t>Em se tratando de ME/EPP poderá ser aplicado o previsto no item 9.15.</w:t>
      </w:r>
    </w:p>
    <w:p>
      <w:pPr>
        <w:spacing w:lineRule="auto" w:line="240" w:before="0" w:after="0" w:beforeAutospacing="0" w:afterAutospacing="0"/>
        <w:ind w:left="425" w:right="0"/>
        <w:jc w:val="both"/>
        <w:rPr>
          <w:rFonts w:ascii="Arial" w:hAnsi="Arial"/>
          <w:sz w:val="20"/>
          <w:u w:val="none"/>
        </w:rPr>
      </w:pPr>
      <w:r>
        <w:rPr>
          <w:rFonts w:ascii="Arial" w:hAnsi="Arial"/>
          <w:b w:val="1"/>
          <w:sz w:val="20"/>
          <w:u w:val="none"/>
        </w:rPr>
        <w:t>9.17.3.</w:t>
      </w:r>
      <w:r>
        <w:rPr>
          <w:rFonts w:ascii="Arial" w:hAnsi="Arial"/>
          <w:sz w:val="20"/>
          <w:u w:val="none"/>
        </w:rPr>
        <w:t xml:space="preserve"> Sanar erros ou falhas que não alterem a substância dos documentos e sua validade jurídica, mediante despacho fundamentado registrado e acessível a todos, atribuindo-lhes eficácia para fins de habilitação e classificação.</w:t>
      </w:r>
    </w:p>
    <w:p>
      <w:pPr>
        <w:spacing w:lineRule="auto" w:line="240" w:before="0" w:after="0" w:beforeAutospacing="0" w:afterAutospacing="0"/>
        <w:ind w:left="709"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9.18. </w:t>
      </w:r>
      <w:r>
        <w:rPr>
          <w:rFonts w:ascii="Arial" w:hAnsi="Arial"/>
          <w:sz w:val="20"/>
          <w:u w:val="none"/>
        </w:rPr>
        <w:t>Havendo a necessidade de envio de documentos de habilitação complementares conforme descrito nos subitens 9.17.1 e 9.17.2, o licitante será convocado via sistema a encaminhá-los, em formato digital no portal, no prazo a ser concedido pela Pregoeira, podendo ser de até 24 (vinte e quatro) horas, sob pena de inabilitação.</w:t>
      </w:r>
    </w:p>
    <w:p>
      <w:pPr>
        <w:spacing w:lineRule="auto" w:line="240" w:before="0" w:after="0" w:beforeAutospacing="0" w:afterAutospacing="0"/>
        <w:ind w:left="646"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9.19. </w:t>
      </w:r>
      <w:r>
        <w:rPr>
          <w:rFonts w:ascii="Arial" w:hAnsi="Arial"/>
          <w:sz w:val="20"/>
          <w:u w:val="none"/>
        </w:rPr>
        <w:t>Será inabilitado o licitante que não comprovar sua habilitação, seja por não apresentar quaisquer dos documentos exigidos, ou apresentá-los em desacordo com o estabelecido neste Edital.</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9.20. </w:t>
      </w:r>
      <w:r>
        <w:rPr>
          <w:rFonts w:ascii="Arial" w:hAnsi="Arial"/>
          <w:sz w:val="20"/>
          <w:u w:val="none"/>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9.21.</w:t>
      </w:r>
      <w:r>
        <w:rPr>
          <w:rFonts w:ascii="Arial" w:hAnsi="Arial"/>
          <w:sz w:val="20"/>
          <w:u w:val="none"/>
        </w:rPr>
        <w:t xml:space="preserve"> Constatado o atendimento às exigências de habilitação fixadas no Edital, o licitante será declarado vencedor.</w:t>
      </w:r>
    </w:p>
    <w:p>
      <w:pPr>
        <w:spacing w:lineRule="auto" w:line="240" w:before="0" w:after="0" w:beforeAutospacing="0" w:afterAutospacing="0"/>
        <w:ind w:left="425"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425"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sz w:val="20"/>
          <w:u w:val="none"/>
        </w:rPr>
      </w:pPr>
      <w:r>
        <w:rPr>
          <w:rFonts w:ascii="Arial" w:hAnsi="Arial"/>
          <w:b w:val="1"/>
          <w:sz w:val="20"/>
          <w:u w:val="none"/>
        </w:rPr>
        <w:t>10. DO ENCAMINHAMENTO DA PROPOSTA VENCEDORA.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10.1. </w:t>
      </w:r>
      <w:r>
        <w:rPr>
          <w:rFonts w:ascii="Arial" w:hAnsi="Arial"/>
          <w:sz w:val="20"/>
          <w:u w:val="none"/>
        </w:rPr>
        <w:t xml:space="preserve">A proposta final do licitante vencedor deverá ser encaminhada no </w:t>
      </w:r>
      <w:r>
        <w:rPr>
          <w:rFonts w:ascii="Arial" w:hAnsi="Arial"/>
          <w:b w:val="1"/>
          <w:sz w:val="20"/>
          <w:u w:val="none"/>
        </w:rPr>
        <w:t>prazoimprorrogável de 24 (vinte e quatro) horas</w:t>
      </w:r>
      <w:r>
        <w:rPr>
          <w:rFonts w:ascii="Arial" w:hAnsi="Arial"/>
          <w:sz w:val="20"/>
          <w:u w:val="none"/>
        </w:rPr>
        <w:t xml:space="preserve"> a contar da solicitação da Pregoeira no sistema eletrônico, podendo ser solicitada concomitantemente aos documentos de habilitação para fins de agilidade processual, e deverá:</w:t>
      </w:r>
    </w:p>
    <w:p>
      <w:pPr>
        <w:spacing w:lineRule="auto" w:line="240" w:before="0" w:after="0" w:beforeAutospacing="0" w:afterAutospacing="0"/>
        <w:ind w:left="425" w:right="0"/>
        <w:jc w:val="both"/>
        <w:rPr>
          <w:rFonts w:ascii="Arial" w:hAnsi="Arial"/>
          <w:sz w:val="20"/>
          <w:u w:val="none"/>
        </w:rPr>
      </w:pPr>
      <w:r>
        <w:rPr>
          <w:rFonts w:ascii="Arial" w:hAnsi="Arial"/>
          <w:b w:val="1"/>
          <w:sz w:val="20"/>
          <w:u w:val="none"/>
        </w:rPr>
        <w:t xml:space="preserve">10.1.1. </w:t>
      </w:r>
      <w:r>
        <w:rPr>
          <w:rFonts w:ascii="Arial" w:hAnsi="Arial"/>
          <w:sz w:val="20"/>
          <w:u w:val="none"/>
        </w:rPr>
        <w:t>Ser redigida em língua portuguesa, digitada, em uma via, sem emendas, rasuras, entrelinhas ou ressalvas, devendo a última folha ser assinada e as demais rubricadas pelo licitante ou seu representante legal.</w:t>
      </w:r>
    </w:p>
    <w:p>
      <w:pPr>
        <w:spacing w:lineRule="auto" w:line="240" w:before="0" w:after="0" w:beforeAutospacing="0" w:afterAutospacing="0"/>
        <w:ind w:left="425" w:right="0"/>
        <w:jc w:val="both"/>
        <w:rPr>
          <w:rFonts w:ascii="Arial" w:hAnsi="Arial"/>
          <w:sz w:val="20"/>
          <w:u w:val="none"/>
        </w:rPr>
      </w:pPr>
      <w:r>
        <w:rPr>
          <w:rFonts w:ascii="Arial" w:hAnsi="Arial"/>
          <w:b w:val="1"/>
          <w:sz w:val="20"/>
          <w:u w:val="none"/>
        </w:rPr>
        <w:t xml:space="preserve">10.1.2. </w:t>
      </w:r>
      <w:r>
        <w:rPr>
          <w:rFonts w:ascii="Arial" w:hAnsi="Arial"/>
          <w:sz w:val="20"/>
          <w:u w:val="none"/>
        </w:rPr>
        <w:t>Conter preferencialmente a indicação do banco, número da conta e agência do licitante vencedor, para fins de pagamento.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10.2. </w:t>
      </w:r>
      <w:r>
        <w:rPr>
          <w:rFonts w:ascii="Arial" w:hAnsi="Arial"/>
          <w:sz w:val="20"/>
          <w:u w:val="none"/>
        </w:rPr>
        <w:t>A proposta final deverá ser documentada nos autos e será levada em consideração no decorrer da execução do contrato e aplicação de eventual sanção à Contratada, se for o caso.</w:t>
      </w:r>
    </w:p>
    <w:p>
      <w:pPr>
        <w:spacing w:lineRule="auto" w:line="240" w:before="0" w:after="0" w:beforeAutospacing="0" w:afterAutospacing="0"/>
        <w:ind w:left="425" w:right="0"/>
        <w:jc w:val="both"/>
        <w:rPr>
          <w:rFonts w:ascii="Arial" w:hAnsi="Arial"/>
          <w:sz w:val="20"/>
          <w:u w:val="none"/>
        </w:rPr>
      </w:pPr>
      <w:r>
        <w:rPr>
          <w:rFonts w:ascii="Arial" w:hAnsi="Arial"/>
          <w:b w:val="1"/>
          <w:sz w:val="20"/>
          <w:u w:val="none"/>
        </w:rPr>
        <w:t xml:space="preserve">10.2.1. </w:t>
      </w:r>
      <w:r>
        <w:rPr>
          <w:rFonts w:ascii="Arial" w:hAnsi="Arial"/>
          <w:sz w:val="20"/>
          <w:u w:val="none"/>
        </w:rPr>
        <w:t>Todas as especificações do objeto contidas na proposta, tais como marca, modelo, tipo, fabricante, vinculam a Contratada.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10.3. </w:t>
      </w:r>
      <w:r>
        <w:rPr>
          <w:rFonts w:ascii="Arial" w:hAnsi="Arial"/>
          <w:sz w:val="20"/>
          <w:u w:val="none"/>
        </w:rPr>
        <w:t>Os preços devem ser expressos em moeda corrente nacional, o valor unitário em algarismos e o valor global da proposta em algarismos e por extenso.</w:t>
      </w:r>
    </w:p>
    <w:p>
      <w:pPr>
        <w:spacing w:lineRule="auto" w:line="240" w:before="0" w:after="0" w:beforeAutospacing="0" w:afterAutospacing="0"/>
        <w:ind w:left="425" w:right="0"/>
        <w:jc w:val="both"/>
        <w:rPr>
          <w:rFonts w:ascii="Arial" w:hAnsi="Arial"/>
          <w:sz w:val="20"/>
          <w:u w:val="none"/>
        </w:rPr>
      </w:pPr>
      <w:r>
        <w:rPr>
          <w:rFonts w:ascii="Arial" w:hAnsi="Arial"/>
          <w:b w:val="1"/>
          <w:sz w:val="20"/>
          <w:u w:val="none"/>
        </w:rPr>
        <w:t xml:space="preserve">10.3.1. </w:t>
      </w:r>
      <w:r>
        <w:rPr>
          <w:rFonts w:ascii="Arial" w:hAnsi="Arial"/>
          <w:sz w:val="20"/>
          <w:u w:val="none"/>
        </w:rPr>
        <w:t>Ocorrendo divergência entre os preços unitários e o preço global, prevalecerão os primeiros; no caso de divergência entre os valores numéricos e os valores expressos por extenso, prevalecerão também os primeiros.</w:t>
      </w:r>
    </w:p>
    <w:p>
      <w:pPr>
        <w:spacing w:lineRule="auto" w:line="240" w:before="0" w:after="0" w:beforeAutospacing="0" w:afterAutospacing="0"/>
        <w:ind w:left="567"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10.4. </w:t>
      </w:r>
      <w:r>
        <w:rPr>
          <w:rFonts w:ascii="Arial" w:hAnsi="Arial"/>
          <w:sz w:val="20"/>
          <w:u w:val="none"/>
        </w:rPr>
        <w:t>A oferta deverá ser firme e precisa, limitada, rigorosamente, ao objeto deste Edital, sem conter alternativas de preço ou de qualquer outra condição que induza o julgamento a mais de um resultado, sob pena de desclassificação.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10.5. </w:t>
      </w:r>
      <w:r>
        <w:rPr>
          <w:rFonts w:ascii="Arial" w:hAnsi="Arial"/>
          <w:sz w:val="20"/>
          <w:u w:val="none"/>
        </w:rPr>
        <w:t>A proposta deverá obedecer aos termos deste Edital e seus Anexos, não sendo considerada aquela que não corresponda às especificações ali contidas ou que estabeleça vínculo à proposta de outro licitante.</w:t>
      </w:r>
    </w:p>
    <w:p>
      <w:pPr>
        <w:spacing w:lineRule="auto" w:line="240" w:after="0" w:beforeAutospacing="0" w:afterAutospacing="0"/>
        <w:jc w:val="both"/>
        <w:rPr>
          <w:rFonts w:ascii="Arial" w:hAnsi="Arial"/>
          <w:sz w:val="20"/>
        </w:rPr>
      </w:pPr>
    </w:p>
    <w:p>
      <w:pPr>
        <w:spacing w:lineRule="auto" w:line="240" w:after="0" w:beforeAutospacing="0" w:afterAutospacing="0"/>
        <w:ind w:left="72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 xml:space="preserve">11.   DOS RECURSOS.</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11.1. </w:t>
      </w:r>
      <w:r>
        <w:rPr>
          <w:rFonts w:ascii="Arial" w:hAnsi="Arial"/>
          <w:color w:val="000000"/>
          <w:sz w:val="20"/>
          <w:u w:val="none"/>
        </w:rPr>
        <w:t>Após o julgamento das propostas e após a habilitação/inabilitação das participantes, o licitante interessado deverá manifestar imediatamente a sua intenção de recorrer, em campo próprio do sistema, sob pena de preclusão.</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11.1.1. </w:t>
      </w:r>
      <w:r>
        <w:rPr>
          <w:rFonts w:ascii="Arial" w:hAnsi="Arial"/>
          <w:color w:val="000000"/>
          <w:sz w:val="20"/>
          <w:u w:val="none"/>
        </w:rPr>
        <w:t xml:space="preserve">Será considerada como manifestação imediata aquela efetuada por meio do sistema em até </w:t>
      </w:r>
      <w:r>
        <w:rPr>
          <w:rFonts w:ascii="Arial" w:hAnsi="Arial"/>
          <w:b w:val="1"/>
          <w:color w:val="000000"/>
          <w:sz w:val="20"/>
          <w:u w:val="none"/>
        </w:rPr>
        <w:t>30 (trinta) minutos</w:t>
      </w:r>
      <w:r>
        <w:rPr>
          <w:rFonts w:ascii="Arial" w:hAnsi="Arial"/>
          <w:color w:val="000000"/>
          <w:sz w:val="20"/>
          <w:u w:val="none"/>
        </w:rPr>
        <w:t xml:space="preserve"> após a intimação ou lavratura da ata de habilitação/inabilitação.</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11.1.2. </w:t>
      </w:r>
      <w:r>
        <w:rPr>
          <w:rFonts w:ascii="Arial" w:hAnsi="Arial"/>
          <w:color w:val="000000"/>
          <w:sz w:val="20"/>
          <w:u w:val="none"/>
        </w:rPr>
        <w:t>A apreciação dar-se à em fase única.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11.2. </w:t>
      </w:r>
      <w:r>
        <w:rPr>
          <w:rFonts w:ascii="Arial" w:hAnsi="Arial"/>
          <w:color w:val="000000"/>
          <w:sz w:val="20"/>
          <w:u w:val="none"/>
        </w:rPr>
        <w:t>Declarado o vencedor, e feita a manifestação motivada da intenção de recurso nos termos do item anterior, será concedido o prazo de 03 (três) dias úteis para apresentação das razões do recurso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11.2.1. </w:t>
      </w:r>
      <w:r>
        <w:rPr>
          <w:rFonts w:ascii="Arial" w:hAnsi="Arial"/>
          <w:color w:val="000000"/>
          <w:sz w:val="20"/>
          <w:u w:val="none"/>
        </w:rPr>
        <w:t>O recurso/contrarrazão não será conhecido caso seja enviado fora do prazo registrado no sistema.</w:t>
      </w:r>
    </w:p>
    <w:p>
      <w:pPr>
        <w:spacing w:lineRule="auto" w:line="240" w:before="0" w:after="0" w:beforeAutospacing="0" w:afterAutospacing="0"/>
        <w:ind w:left="425" w:right="0"/>
        <w:jc w:val="both"/>
        <w:rPr>
          <w:rFonts w:ascii="Arial" w:hAnsi="Arial"/>
          <w:color w:val="000000"/>
          <w:sz w:val="20"/>
          <w:u w:val="none"/>
        </w:rPr>
      </w:pPr>
      <w:r>
        <w:rPr>
          <w:rFonts w:ascii="Arial" w:hAnsi="Arial"/>
          <w:color w:val="000000"/>
          <w:sz w:val="20"/>
          <w:u w:val="none"/>
        </w:rPr>
        <w:t>11.</w:t>
      </w:r>
      <w:r>
        <w:rPr>
          <w:rFonts w:ascii="Arial" w:hAnsi="Arial"/>
          <w:sz w:val="20"/>
          <w:u w:val="none"/>
        </w:rPr>
        <w:t xml:space="preserve">2.2. </w:t>
      </w:r>
      <w:r>
        <w:rPr>
          <w:rFonts w:ascii="Arial" w:hAnsi="Arial"/>
          <w:color w:val="000000"/>
          <w:sz w:val="20"/>
          <w:u w:val="none"/>
        </w:rPr>
        <w:t>O recurso/contrarrazão não será conhecido caso trate de situação referente a item/lote não indicado na intenção de recurso.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11.3. </w:t>
      </w:r>
      <w:r>
        <w:rPr>
          <w:rFonts w:ascii="Arial" w:hAnsi="Arial"/>
          <w:color w:val="000000"/>
          <w:sz w:val="20"/>
          <w:u w:val="none"/>
        </w:rPr>
        <w:t>O acolhimento do recurso invalida tão somente os atos insuscetíveis de aproveitamento.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11.4. </w:t>
      </w:r>
      <w:r>
        <w:rPr>
          <w:rFonts w:ascii="Arial" w:hAnsi="Arial"/>
          <w:color w:val="000000"/>
          <w:sz w:val="20"/>
          <w:u w:val="none"/>
        </w:rPr>
        <w:t>Os autos do processo permanecerão com vista franqueada aos interessados, no endereço constante 1.4 deste Edital.</w:t>
      </w:r>
    </w:p>
    <w:p>
      <w:pPr>
        <w:spacing w:lineRule="auto" w:line="240" w:before="0" w:after="0" w:beforeAutospacing="0" w:afterAutospacing="0"/>
        <w:ind w:left="425"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425"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12. DA REABERTURA DA SESSÃO PÚBLICA.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12.1. </w:t>
      </w:r>
      <w:r>
        <w:rPr>
          <w:rFonts w:ascii="Arial" w:hAnsi="Arial"/>
          <w:color w:val="000000"/>
          <w:sz w:val="20"/>
          <w:u w:val="none"/>
        </w:rPr>
        <w:t>A sessão pública poderá ser reaberta:</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12.1.1. </w:t>
      </w:r>
      <w:r>
        <w:rPr>
          <w:rFonts w:ascii="Arial" w:hAnsi="Arial"/>
          <w:color w:val="000000"/>
          <w:sz w:val="20"/>
          <w:u w:val="none"/>
        </w:rPr>
        <w:t>Nas hipóteses de provimento de recurso que leve à anulação de atos anteriores à realização da sessão pública precedente ou em que seja anulada a própria sessão pública, situação em que serão repetidos os atos anulados e os que dele dependam.</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12.1.2. </w:t>
      </w:r>
      <w:r>
        <w:rPr>
          <w:rFonts w:ascii="Arial" w:hAnsi="Arial"/>
          <w:color w:val="000000"/>
          <w:sz w:val="20"/>
          <w:u w:val="none"/>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13. DA ADJUDICAÇÃO, HOMOLOGAÇÃO E FORMAÇÃO DO CADASTRO DE RESERVA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13.1. </w:t>
      </w:r>
      <w:r>
        <w:rPr>
          <w:rFonts w:ascii="Arial" w:hAnsi="Arial"/>
          <w:color w:val="000000"/>
          <w:sz w:val="20"/>
          <w:u w:val="none"/>
        </w:rPr>
        <w:t xml:space="preserve">Julgados os recursos ou não havendo interposição de recurso, o processo licitatório será encaminhado à Autoridade Competente para adjudicação e homologação, e concomitantemente, a </w:t>
      </w:r>
      <w:r>
        <w:rPr>
          <w:rFonts w:ascii="Arial" w:hAnsi="Arial"/>
          <w:b w:val="1"/>
          <w:color w:val="000000"/>
          <w:sz w:val="20"/>
          <w:u w:val="none"/>
        </w:rPr>
        <w:t>Pregoeira encaminhará e-mail para as licitantes</w:t>
      </w:r>
      <w:r>
        <w:rPr>
          <w:rFonts w:ascii="Arial" w:hAnsi="Arial"/>
          <w:color w:val="000000"/>
          <w:sz w:val="20"/>
          <w:u w:val="none"/>
        </w:rPr>
        <w:t xml:space="preserve">, estipulando um prazo de 24 (vinte e quatro) horas e solicitando </w:t>
      </w:r>
      <w:r>
        <w:rPr>
          <w:rFonts w:ascii="Arial" w:hAnsi="Arial"/>
          <w:b w:val="1"/>
          <w:color w:val="000000"/>
          <w:sz w:val="20"/>
          <w:u w:val="none"/>
        </w:rPr>
        <w:t>manifestação</w:t>
      </w:r>
      <w:r>
        <w:rPr>
          <w:rFonts w:ascii="Arial" w:hAnsi="Arial"/>
          <w:color w:val="000000"/>
          <w:sz w:val="20"/>
          <w:u w:val="none"/>
        </w:rPr>
        <w:t xml:space="preserve"> quanto ao aceite em cotar os bens/serviços com </w:t>
      </w:r>
      <w:r>
        <w:rPr>
          <w:rFonts w:ascii="Arial" w:hAnsi="Arial"/>
          <w:b w:val="1"/>
          <w:color w:val="000000"/>
          <w:sz w:val="20"/>
          <w:u w:val="none"/>
        </w:rPr>
        <w:t>preços iguais</w:t>
      </w:r>
      <w:r>
        <w:rPr>
          <w:rFonts w:ascii="Arial" w:hAnsi="Arial"/>
          <w:color w:val="000000"/>
          <w:sz w:val="20"/>
          <w:u w:val="none"/>
        </w:rPr>
        <w:t xml:space="preserve"> aos do adjudicatário, observada a classificação na licitação, para fins de </w:t>
      </w:r>
      <w:r>
        <w:rPr>
          <w:rFonts w:ascii="Arial" w:hAnsi="Arial"/>
          <w:b w:val="1"/>
          <w:color w:val="000000"/>
          <w:sz w:val="20"/>
          <w:u w:val="none"/>
        </w:rPr>
        <w:t>formação de cadastro de reserva</w:t>
      </w:r>
      <w:r>
        <w:rPr>
          <w:rFonts w:ascii="Arial" w:hAnsi="Arial"/>
          <w:color w:val="000000"/>
          <w:sz w:val="20"/>
          <w:u w:val="none"/>
        </w:rPr>
        <w:t>, para o caso de impossibilidade de atendimento pelo signatário da ata, conforme especificado nos itens 14.8, 14.9, 14.10 e 14.11 deste edital.</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 xml:space="preserve">14.   DA ATA DE REGISTRO DE PREÇOS, DO CONTRATO OU INSTRUMENTO EQUIVALENTE</w:t>
      </w:r>
    </w:p>
    <w:p>
      <w:pPr>
        <w:spacing w:lineRule="auto" w:line="240" w:after="0" w:beforeAutospacing="0" w:afterAutospacing="0"/>
        <w:jc w:val="both"/>
        <w:rPr>
          <w:rFonts w:ascii="Arial" w:hAnsi="Arial"/>
          <w:b w:val="1"/>
          <w:sz w:val="20"/>
        </w:rPr>
      </w:pP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14.1. </w:t>
      </w:r>
      <w:r>
        <w:rPr>
          <w:rFonts w:ascii="Arial" w:hAnsi="Arial"/>
          <w:color w:val="000000"/>
          <w:sz w:val="20"/>
          <w:u w:val="none"/>
        </w:rPr>
        <w:t>Após a homologação da licitação, será firmada Ata de Registro de Preços conforme Minuta Anexo V deste edital, e de acordo com a necessidade da contratação, será firmado Contrato ou emitido instrumento equivalente.</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14.1.1. </w:t>
      </w:r>
      <w:r>
        <w:rPr>
          <w:rFonts w:ascii="Arial" w:hAnsi="Arial"/>
          <w:color w:val="000000"/>
          <w:sz w:val="20"/>
          <w:u w:val="none"/>
        </w:rPr>
        <w:t>O licitante mais bem classificado será convocado para assinar a ata de registro de preços no prazo e nas condições estabelecidas neste edital, sob pena de decadência do direito, sem prejuízo da aplicação das sanções previstas na Lei nº 14.133/2021.</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14.2. </w:t>
      </w:r>
      <w:r>
        <w:rPr>
          <w:rFonts w:ascii="Arial" w:hAnsi="Arial"/>
          <w:color w:val="000000"/>
          <w:sz w:val="20"/>
          <w:u w:val="none"/>
        </w:rPr>
        <w:t xml:space="preserve">O adjudicatário terá o prazo de </w:t>
      </w:r>
      <w:r>
        <w:rPr>
          <w:rFonts w:ascii="Arial" w:hAnsi="Arial"/>
          <w:b w:val="1"/>
          <w:color w:val="000000"/>
          <w:sz w:val="20"/>
          <w:u w:val="none"/>
        </w:rPr>
        <w:t>03 (três) diasúteis</w:t>
      </w:r>
      <w:r>
        <w:rPr>
          <w:rFonts w:ascii="Arial" w:hAnsi="Arial"/>
          <w:color w:val="000000"/>
          <w:sz w:val="20"/>
          <w:u w:val="none"/>
        </w:rPr>
        <w:t>, contados a partir da data de sua convocação, para assinar a Ata de Registro de Preços oriunda desta licitação, e posteriormente, mesmo prazo para assinar e/ou Contrato ou aceitar ou retirar o instrumento equivalente, se for o caso, sob pena de decair do direito à contratação, sem prejuízo das sanções previstas neste Edital.</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14.2.1. </w:t>
      </w:r>
      <w:r>
        <w:rPr>
          <w:rFonts w:ascii="Arial" w:hAnsi="Arial"/>
          <w:color w:val="000000"/>
          <w:sz w:val="20"/>
          <w:u w:val="none"/>
        </w:rPr>
        <w:t>Alternativamente à convocação para comparecer perante o órgão ou entidade para a assinatura da Ata de Registro de preços, do Contrato ou aceite do instrumento equivalente, a Administração poderá encaminhá-lo para assinatura ou aceite da Adjudicatária por meio eletrônico, para que seja assinado com assinatura digital do representante legal ou aceito no prazo de 03 (três) dias, a contar da data do envio do e-mail.</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14.2.2.</w:t>
      </w:r>
      <w:r>
        <w:rPr>
          <w:rFonts w:ascii="Arial" w:hAnsi="Arial"/>
          <w:color w:val="000000"/>
          <w:sz w:val="20"/>
          <w:u w:val="none"/>
        </w:rPr>
        <w:t xml:space="preserve"> O prazo previsto no subitem 14.2 poderá ser prorrogado uma vez, por igual período, mediante solicitação do Adjucatário, desde que:</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I -</w:t>
      </w:r>
      <w:r>
        <w:rPr>
          <w:rFonts w:ascii="Arial" w:hAnsi="Arial"/>
          <w:color w:val="000000"/>
          <w:sz w:val="20"/>
          <w:u w:val="none"/>
        </w:rPr>
        <w:t xml:space="preserve"> a solicitação seja devidamente justificada e apresentada dentro do prazo; e</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II - </w:t>
      </w:r>
      <w:r>
        <w:rPr>
          <w:rFonts w:ascii="Arial" w:hAnsi="Arial"/>
          <w:color w:val="000000"/>
          <w:sz w:val="20"/>
          <w:u w:val="none"/>
        </w:rPr>
        <w:t>a justificativa apresentada seja aceita pela Administração.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14.3. </w:t>
      </w:r>
      <w:r>
        <w:rPr>
          <w:rFonts w:ascii="Arial" w:hAnsi="Arial"/>
          <w:color w:val="000000"/>
          <w:sz w:val="20"/>
          <w:u w:val="none"/>
        </w:rPr>
        <w:t>O Aceite da Nota de Empenho/Autorização de Fornecimento ou do instrumento equivalente, emitida à empresa adjudicada, implica no reconhecimento de que:</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14.3.1</w:t>
      </w:r>
      <w:r>
        <w:rPr>
          <w:rFonts w:ascii="Arial" w:hAnsi="Arial"/>
          <w:color w:val="000000"/>
          <w:sz w:val="20"/>
          <w:u w:val="none"/>
        </w:rPr>
        <w:t>. A referida Autorização/Nota está substituindo o contrato, aplicando-se à relação de negócios ali estabelecida as disposições da Lei nº 14.133/2021;</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14.3.2</w:t>
      </w:r>
      <w:r>
        <w:rPr>
          <w:rFonts w:ascii="Arial" w:hAnsi="Arial"/>
          <w:color w:val="000000"/>
          <w:sz w:val="20"/>
          <w:u w:val="none"/>
        </w:rPr>
        <w:t>. A contratada se vincula à sua proposta e às previsões contidas no edital e seus anexos;</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14.3.3.</w:t>
      </w:r>
      <w:r>
        <w:rPr>
          <w:rFonts w:ascii="Arial" w:hAnsi="Arial"/>
          <w:color w:val="000000"/>
          <w:sz w:val="20"/>
          <w:u w:val="none"/>
        </w:rPr>
        <w:t xml:space="preserve"> A contratada reconhece que as hipóteses de rescisão são aquelas previstas no artigo 137 da Lei nº 14.133/2021 e reconhece os direitos da Administração previstos nos artigos 138 e 139 da mesma Lei.</w:t>
      </w:r>
    </w:p>
    <w:p>
      <w:pPr>
        <w:spacing w:lineRule="auto" w:line="240" w:before="0" w:after="0" w:beforeAutospacing="0" w:afterAutospacing="0"/>
        <w:ind w:left="709"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hanging="437" w:left="437" w:right="0"/>
        <w:jc w:val="both"/>
        <w:rPr>
          <w:rFonts w:ascii="Arial" w:hAnsi="Arial"/>
          <w:color w:val="000000"/>
          <w:sz w:val="20"/>
          <w:u w:val="none"/>
        </w:rPr>
      </w:pPr>
      <w:r>
        <w:rPr>
          <w:rFonts w:ascii="Arial" w:hAnsi="Arial"/>
          <w:b w:val="1"/>
          <w:color w:val="000000"/>
          <w:sz w:val="20"/>
          <w:u w:val="none"/>
        </w:rPr>
        <w:t xml:space="preserve">14.4. </w:t>
      </w:r>
      <w:r>
        <w:rPr>
          <w:rFonts w:ascii="Arial" w:hAnsi="Arial"/>
          <w:color w:val="000000"/>
          <w:sz w:val="20"/>
          <w:u w:val="none"/>
        </w:rPr>
        <w:t xml:space="preserve">O prazo de vigência da contratação é o estabelecido no Termo de Referência, anexo ao edital. </w:t>
      </w:r>
    </w:p>
    <w:p>
      <w:pPr>
        <w:spacing w:lineRule="auto" w:line="240" w:after="0" w:beforeAutospacing="0" w:afterAutospacing="0"/>
        <w:ind w:hanging="435" w:left="435"/>
        <w:jc w:val="both"/>
        <w:rPr>
          <w:rFonts w:ascii="Arial" w:hAnsi="Arial"/>
          <w:sz w:val="20"/>
        </w:rPr>
      </w:pPr>
      <w:r>
        <w:rPr>
          <w:rFonts w:ascii="Arial" w:hAnsi="Arial"/>
          <w:sz w:val="20"/>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14.5. </w:t>
      </w:r>
      <w:r>
        <w:rPr>
          <w:rFonts w:ascii="Arial" w:hAnsi="Arial"/>
          <w:color w:val="000000"/>
          <w:sz w:val="20"/>
          <w:u w:val="none"/>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14.6. </w:t>
      </w:r>
      <w:r>
        <w:rPr>
          <w:rFonts w:ascii="Arial" w:hAnsi="Arial"/>
          <w:color w:val="000000"/>
          <w:sz w:val="20"/>
          <w:u w:val="none"/>
        </w:rPr>
        <w:t>Na assinatura do contrato, será exigida a comprovação das condições de habilitação consignadas neste Edital, as quais deverão ser mantidas pelo licitante durante a vigência do contrato.</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14.6.1.</w:t>
      </w:r>
      <w:r>
        <w:rPr>
          <w:rFonts w:ascii="Arial" w:hAnsi="Arial"/>
          <w:color w:val="000000"/>
          <w:sz w:val="20"/>
          <w:u w:val="none"/>
        </w:rPr>
        <w:t xml:space="preserve"> Na hipótese de irregularidade, o contratado deverá regularizar a sua situação perante o cadastro no prazo de até 05 (cinco) dias úteis, sob pena de aplicação das penalidades previstas no edital e anexos.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14.7</w:t>
      </w:r>
      <w:r>
        <w:rPr>
          <w:rFonts w:ascii="Arial" w:hAnsi="Arial"/>
          <w:color w:val="000000"/>
          <w:sz w:val="20"/>
          <w:u w:val="none"/>
        </w:rPr>
        <w:t>.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14.8. </w:t>
      </w:r>
      <w:r>
        <w:rPr>
          <w:rFonts w:ascii="Arial" w:hAnsi="Arial"/>
          <w:color w:val="000000"/>
          <w:sz w:val="20"/>
          <w:u w:val="none"/>
        </w:rPr>
        <w:t>Após a homologação da licitação, também deverão ser observadas as seguintes condições para a formalização da ata de registro de preços:</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14.8.1. </w:t>
      </w:r>
      <w:r>
        <w:rPr>
          <w:rFonts w:ascii="Arial" w:hAnsi="Arial"/>
          <w:color w:val="000000"/>
          <w:sz w:val="20"/>
          <w:u w:val="none"/>
        </w:rPr>
        <w:t>Serão registrados na ata os preços e os quantitativos do adjudicatário.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14.8.2.</w:t>
      </w:r>
      <w:r>
        <w:rPr>
          <w:rFonts w:ascii="Arial" w:hAnsi="Arial"/>
          <w:color w:val="000000"/>
          <w:sz w:val="20"/>
          <w:u w:val="none"/>
        </w:rPr>
        <w:t xml:space="preserve"> Será incluído na ata, na forma de anexo, o registro:</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a)</w:t>
      </w:r>
      <w:r>
        <w:rPr>
          <w:rFonts w:ascii="Arial" w:hAnsi="Arial"/>
          <w:color w:val="000000"/>
          <w:sz w:val="20"/>
          <w:u w:val="none"/>
        </w:rPr>
        <w:t xml:space="preserve"> Dos licitantes ou dos fornecedores que aceitarem cotar os bens/serviços com preços iguais aos do adjudicatário, observada a classificação na licitação; e</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b) </w:t>
      </w:r>
      <w:r>
        <w:rPr>
          <w:rFonts w:ascii="Arial" w:hAnsi="Arial"/>
          <w:color w:val="000000"/>
          <w:sz w:val="20"/>
          <w:u w:val="none"/>
        </w:rPr>
        <w:t>Dos licitantes ou dos fornecedores que mantiverem sua proposta original.</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14.8.3. </w:t>
      </w:r>
      <w:r>
        <w:rPr>
          <w:rFonts w:ascii="Arial" w:hAnsi="Arial"/>
          <w:color w:val="000000"/>
          <w:sz w:val="20"/>
          <w:u w:val="none"/>
        </w:rPr>
        <w:t>Será respeitada, nas contratações, a ordem de classificação dos licitantes ou fornecedores registrados na ata.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14.9. </w:t>
      </w:r>
      <w:r>
        <w:rPr>
          <w:rFonts w:ascii="Arial" w:hAnsi="Arial"/>
          <w:color w:val="000000"/>
          <w:sz w:val="20"/>
          <w:u w:val="none"/>
        </w:rPr>
        <w:t>O registro a que se refere os itens anteriores tem por objetivo a formação de cadastro de reserva, para o caso de impossibilidade de atendimento pelo signatário da ata.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14.10. </w:t>
      </w:r>
      <w:r>
        <w:rPr>
          <w:rFonts w:ascii="Arial" w:hAnsi="Arial"/>
          <w:color w:val="000000"/>
          <w:sz w:val="20"/>
          <w:u w:val="none"/>
        </w:rPr>
        <w:t>Para fins da ordem de classificação, os licitantes ou fornecedores de que trata a alínea "a" do subitem 14.8.2 antecederão aqueles de que trata a alínea "b" do referido item.</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14.11. </w:t>
      </w:r>
      <w:r>
        <w:rPr>
          <w:rFonts w:ascii="Arial" w:hAnsi="Arial"/>
          <w:color w:val="000000"/>
          <w:sz w:val="20"/>
          <w:u w:val="none"/>
        </w:rPr>
        <w:t>A habilitação dos licitantes que comporão o cadastro de reserva a que se referem os subitens 14.8 e 14.9 somente será efetuada quando houver necessidade de contratação dos licitantes remanescentes, nas seguintes hipóteses:</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a) </w:t>
      </w:r>
      <w:r>
        <w:rPr>
          <w:rFonts w:ascii="Arial" w:hAnsi="Arial"/>
          <w:color w:val="000000"/>
          <w:sz w:val="20"/>
          <w:u w:val="none"/>
        </w:rPr>
        <w:t>quando o licitante vencedor não assinar a ata de registro de preços no prazo e nas condições estabelecidos no edital; ou</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b) </w:t>
      </w:r>
      <w:r>
        <w:rPr>
          <w:rFonts w:ascii="Arial" w:hAnsi="Arial"/>
          <w:color w:val="000000"/>
          <w:sz w:val="20"/>
          <w:u w:val="none"/>
        </w:rPr>
        <w:t>quando houver o cancelamento do registro do fornecedor ou do registro de preços.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14.12. </w:t>
      </w:r>
      <w:r>
        <w:rPr>
          <w:rFonts w:ascii="Arial" w:hAnsi="Arial"/>
          <w:color w:val="000000"/>
          <w:sz w:val="20"/>
          <w:u w:val="none"/>
        </w:rPr>
        <w:t>O preço registrado, com a indicação dos fornecedores, será divulgado no Diário Oficial dos Municípios (DOM), no site oficial da Prefeitura de Domingos Martins e no PNCP e disponibilizado durante a vigência da ata de registro de preços.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14.13. </w:t>
      </w:r>
      <w:r>
        <w:rPr>
          <w:rFonts w:ascii="Arial" w:hAnsi="Arial"/>
          <w:color w:val="000000"/>
          <w:sz w:val="20"/>
          <w:u w:val="none"/>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14.13.1. </w:t>
      </w:r>
      <w:r>
        <w:rPr>
          <w:rFonts w:ascii="Arial" w:hAnsi="Arial"/>
          <w:color w:val="000000"/>
          <w:sz w:val="20"/>
          <w:u w:val="none"/>
        </w:rPr>
        <w:t>Na hipótese de nenhum dos licitantes de que trata a alínea "a" do subitem 14.8.2 (cadastro de reserva dos fornecedores que aceitaram contratar nas mesmas condições do vencedor) aceitar a contratação nos termos do disposto no subitem 14.13, a Administração, observados o valor estimado e a sua eventual atualização na forma prevista no edital, poderá:</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a)</w:t>
      </w:r>
      <w:r>
        <w:rPr>
          <w:rFonts w:ascii="Arial" w:hAnsi="Arial"/>
          <w:color w:val="000000"/>
          <w:sz w:val="20"/>
          <w:u w:val="none"/>
        </w:rPr>
        <w:t xml:space="preserve"> convocar os licitantes de que trata a alínea "b" do inciso II do </w:t>
      </w:r>
      <w:r>
        <w:rPr>
          <w:rFonts w:ascii="Arial" w:hAnsi="Arial"/>
          <w:b w:val="1"/>
          <w:color w:val="000000"/>
          <w:sz w:val="20"/>
          <w:u w:val="none"/>
        </w:rPr>
        <w:t xml:space="preserve">caput </w:t>
      </w:r>
      <w:r>
        <w:rPr>
          <w:rFonts w:ascii="Arial" w:hAnsi="Arial"/>
          <w:color w:val="000000"/>
          <w:sz w:val="20"/>
          <w:u w:val="none"/>
        </w:rPr>
        <w:t>do art. 16 para negociação, na ordem de classificação, com vistas à obtenção de preço melhor, mesmo que acima do preço do adjudicatário; ou</w:t>
      </w:r>
    </w:p>
    <w:p>
      <w:pPr>
        <w:spacing w:lineRule="auto" w:line="240" w:before="0" w:after="0" w:beforeAutospacing="0" w:afterAutospacing="0"/>
        <w:ind w:left="425" w:right="0"/>
        <w:jc w:val="both"/>
        <w:rPr>
          <w:rFonts w:ascii="Arial" w:hAnsi="Arial"/>
          <w:color w:val="000000"/>
          <w:sz w:val="20"/>
          <w:u w:val="none"/>
        </w:rPr>
      </w:pPr>
      <w:r>
        <w:rPr>
          <w:rFonts w:ascii="Arial" w:hAnsi="Arial"/>
          <w:b w:val="1"/>
          <w:color w:val="000000"/>
          <w:sz w:val="20"/>
          <w:u w:val="none"/>
        </w:rPr>
        <w:t xml:space="preserve">b) </w:t>
      </w:r>
      <w:r>
        <w:rPr>
          <w:rFonts w:ascii="Arial" w:hAnsi="Arial"/>
          <w:color w:val="000000"/>
          <w:sz w:val="20"/>
          <w:u w:val="none"/>
        </w:rPr>
        <w:t>adjudicar e firmar o contrato nas condições ofertadas pelos licitantes remanescentes, observada a ordem de classificação, quando frustrada a negociação de melhor condição.</w:t>
      </w:r>
    </w:p>
    <w:p>
      <w:pPr>
        <w:spacing w:lineRule="auto" w:line="240" w:after="0" w:beforeAutospacing="0" w:afterAutospacing="0"/>
        <w:jc w:val="both"/>
        <w:rPr>
          <w:rFonts w:ascii="Arial" w:hAnsi="Arial"/>
          <w:b w:val="1"/>
          <w:sz w:val="20"/>
        </w:rPr>
      </w:pP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14.14. </w:t>
      </w:r>
      <w:r>
        <w:rPr>
          <w:rFonts w:ascii="Arial" w:hAnsi="Arial"/>
          <w:color w:val="000000"/>
          <w:sz w:val="20"/>
          <w:u w:val="none"/>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14.15. </w:t>
      </w:r>
      <w:r>
        <w:rPr>
          <w:rFonts w:ascii="Arial" w:hAnsi="Arial"/>
          <w:color w:val="000000"/>
          <w:sz w:val="20"/>
          <w:u w:val="none"/>
        </w:rPr>
        <w:t>Demais regras acerca do registro dos preços, conforme Minuta Anexo V.</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15. DA EXECUÇÃO, CONDIÇÕES DE RECEBIMENTO E REQUISITOS DA AQUISIÇÃO/CONTRATAÇÃO.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15.1. </w:t>
      </w:r>
      <w:r>
        <w:rPr>
          <w:rFonts w:ascii="Arial" w:hAnsi="Arial"/>
          <w:color w:val="000000"/>
          <w:sz w:val="20"/>
          <w:u w:val="none"/>
        </w:rPr>
        <w:t>As regras acerca da execução, incluindo condições de recebimento e requisitos da aquisição/contratação são as estabelecidas no Termo de Referência, parte integrante deste Edital.</w:t>
      </w:r>
    </w:p>
    <w:p>
      <w:pPr>
        <w:spacing w:lineRule="auto" w:line="240" w:before="0" w:after="0" w:beforeAutospacing="0" w:afterAutospacing="0"/>
        <w:ind w:left="431"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431"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i w:val="1"/>
          <w:color w:val="FF0000"/>
          <w:sz w:val="20"/>
          <w:u w:val="none"/>
        </w:rPr>
      </w:pPr>
      <w:r>
        <w:rPr>
          <w:rFonts w:ascii="Arial" w:hAnsi="Arial"/>
          <w:b w:val="1"/>
          <w:color w:val="000000"/>
          <w:sz w:val="20"/>
          <w:u w:val="none"/>
        </w:rPr>
        <w:t>16. DO REAJUSTAMENTO EM SENTIDO GERAL</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198" w:beforeAutospacing="0" w:afterAutospacing="0"/>
        <w:jc w:val="both"/>
        <w:rPr>
          <w:rFonts w:ascii="Times New Roman" w:hAnsi="Times New Roman"/>
          <w:sz w:val="24"/>
          <w:u w:val="none"/>
        </w:rPr>
      </w:pPr>
      <w:r>
        <w:rPr>
          <w:rFonts w:ascii="Arial" w:hAnsi="Arial"/>
          <w:b w:val="1"/>
          <w:color w:val="000000"/>
          <w:sz w:val="20"/>
          <w:u w:val="none"/>
        </w:rPr>
        <w:t xml:space="preserve">16.1. </w:t>
      </w:r>
      <w:r>
        <w:rPr>
          <w:rFonts w:ascii="Arial" w:hAnsi="Arial"/>
          <w:sz w:val="20"/>
          <w:u w:val="none"/>
        </w:rPr>
        <w:t xml:space="preserve">Os preços poderão sofrer reajuste após o prazo de 12 (doze) meses, com data-base vinculada à data do orçamento estimado, que é 27/01/26, conforme Relatório de Preços Médios anexado pela Gerência de Compras às págs. 97 a 107 do presente processo, aplicando-se o índice do IPCA, conforme condições estabelecidas no Termo de Referência - parte integrante deste Edital. </w:t>
      </w:r>
    </w:p>
    <w:p>
      <w:pPr>
        <w:spacing w:lineRule="auto" w:line="240" w:after="0" w:beforeAutospacing="0" w:afterAutospacing="0"/>
        <w:jc w:val="both"/>
        <w:rPr>
          <w:rFonts w:ascii="Arial" w:hAnsi="Arial"/>
          <w:b w:val="1"/>
          <w:color w:val="000000"/>
          <w:sz w:val="20"/>
          <w:u w:val="none"/>
        </w:rPr>
      </w:pP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17. DA GESTÃO, FISCALIZAÇÃO E ACOMPANHAMENTO.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17.1. </w:t>
      </w:r>
      <w:r>
        <w:rPr>
          <w:rFonts w:ascii="Arial" w:hAnsi="Arial"/>
          <w:color w:val="000000"/>
          <w:sz w:val="20"/>
          <w:u w:val="none"/>
        </w:rPr>
        <w:t>Os critérios de gestão, fiscalização e acompanhamento do objeto desta licitação estão previstos no Termo de Referência parte integrante deste Edital.</w:t>
      </w:r>
    </w:p>
    <w:p>
      <w:pPr>
        <w:spacing w:lineRule="auto" w:line="240" w:before="0" w:after="0" w:beforeAutospacing="0" w:afterAutospacing="0"/>
        <w:ind w:left="431"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431"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18. DAS OBRIGAÇÕES DA CONTRATANTE E DA CONTRATADA.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18.1. </w:t>
      </w:r>
      <w:r>
        <w:rPr>
          <w:rFonts w:ascii="Arial" w:hAnsi="Arial"/>
          <w:color w:val="000000"/>
          <w:sz w:val="20"/>
          <w:u w:val="none"/>
        </w:rPr>
        <w:t>As obrigações da Contratante e da Contratada são as estabelecidas no Termo de Referência parte integrante deste Edital.</w:t>
      </w:r>
    </w:p>
    <w:p>
      <w:pPr>
        <w:spacing w:lineRule="auto" w:line="240" w:after="0" w:beforeAutospacing="0" w:afterAutospacing="0"/>
        <w:jc w:val="both"/>
        <w:rPr>
          <w:rFonts w:ascii="Arial" w:hAnsi="Arial"/>
          <w:b w:val="1"/>
          <w:sz w:val="20"/>
        </w:rPr>
      </w:pPr>
    </w:p>
    <w:p>
      <w:pPr>
        <w:spacing w:lineRule="auto" w:line="240" w:after="0" w:beforeAutospacing="0" w:afterAutospacing="0"/>
        <w:jc w:val="both"/>
        <w:rPr>
          <w:rFonts w:ascii="Arial" w:hAnsi="Arial"/>
          <w:b w:val="1"/>
          <w:sz w:val="20"/>
        </w:rPr>
      </w:pP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19. DOS CRITÉRIOS DE PAGAMENTO.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19.1. </w:t>
      </w:r>
      <w:r>
        <w:rPr>
          <w:rFonts w:ascii="Arial" w:hAnsi="Arial"/>
          <w:color w:val="000000"/>
          <w:sz w:val="20"/>
          <w:u w:val="none"/>
        </w:rPr>
        <w:t>As regras acerca de medição e pagamento são as estabelecidas no Termo de Referência parte integrante deste Edital.</w:t>
      </w:r>
    </w:p>
    <w:p>
      <w:pPr>
        <w:spacing w:lineRule="auto" w:line="240" w:before="0" w:after="0" w:beforeAutospacing="0" w:afterAutospacing="0"/>
        <w:ind w:left="431" w:right="0"/>
        <w:jc w:val="both"/>
        <w:rPr>
          <w:rFonts w:ascii="Times New Roman" w:hAnsi="Times New Roman"/>
          <w:sz w:val="24"/>
          <w:u w:val="none"/>
        </w:rPr>
      </w:pPr>
      <w:r>
        <w:rPr>
          <w:rFonts w:ascii="Times New Roman" w:hAnsi="Times New Roman"/>
          <w:sz w:val="24"/>
          <w:u w:val="none"/>
        </w:rPr>
        <w:t xml:space="preserve"> </w:t>
      </w:r>
    </w:p>
    <w:p>
      <w:pPr>
        <w:spacing w:lineRule="auto" w:line="240" w:before="0" w:after="0" w:beforeAutospacing="0" w:afterAutospacing="0"/>
        <w:ind w:left="431"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20. DAS SANÇÕES ADMINISTRATIVAS.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20.1. </w:t>
      </w:r>
      <w:r>
        <w:rPr>
          <w:rFonts w:ascii="Arial" w:hAnsi="Arial"/>
          <w:color w:val="000000"/>
          <w:sz w:val="20"/>
          <w:u w:val="none"/>
          <w:shd w:val="clear" w:color="auto" w:fill="FFFFFF"/>
        </w:rPr>
        <w:t>Comete infração administrativa, nos termos da Lei nº 14.133/2021, o licitante/adjudicatário que:</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20.1.1. </w:t>
      </w:r>
      <w:r>
        <w:rPr>
          <w:rFonts w:ascii="Arial" w:hAnsi="Arial"/>
          <w:color w:val="000000"/>
          <w:sz w:val="20"/>
          <w:u w:val="none"/>
          <w:shd w:val="clear" w:color="auto" w:fill="FFFFFF"/>
        </w:rPr>
        <w:t>Der causa à inexecução parcial ou total do contrato;</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20.1.2. </w:t>
      </w:r>
      <w:r>
        <w:rPr>
          <w:rFonts w:ascii="Arial" w:hAnsi="Arial"/>
          <w:color w:val="000000"/>
          <w:sz w:val="20"/>
          <w:u w:val="none"/>
          <w:shd w:val="clear" w:color="auto" w:fill="FFFFFF"/>
        </w:rPr>
        <w:t>Deixar de entregar os documentos exigidos no certame;</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20.1.3. </w:t>
      </w:r>
      <w:r>
        <w:rPr>
          <w:rFonts w:ascii="Arial" w:hAnsi="Arial"/>
          <w:color w:val="000000"/>
          <w:sz w:val="20"/>
          <w:u w:val="none"/>
          <w:shd w:val="clear" w:color="auto" w:fill="FFFFFF"/>
        </w:rPr>
        <w:t>Não mantiver a proposta, salvo em decorrência de fato superveniente devidamente justificado;</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20.1.4. </w:t>
      </w:r>
      <w:r>
        <w:rPr>
          <w:rFonts w:ascii="Arial" w:hAnsi="Arial"/>
          <w:color w:val="000000"/>
          <w:sz w:val="20"/>
          <w:u w:val="none"/>
          <w:shd w:val="clear" w:color="auto" w:fill="FFFFFF"/>
        </w:rPr>
        <w:t>Não assinar o contrato ou aceitar/retirar o instrumento equivalente, quando convocado dentro do prazo de validade da proposta;</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shd w:val="clear" w:color="auto" w:fill="FFFFFF"/>
        </w:rPr>
        <w:t xml:space="preserve">20.1.5. </w:t>
      </w:r>
      <w:r>
        <w:rPr>
          <w:rFonts w:ascii="Arial" w:hAnsi="Arial"/>
          <w:color w:val="000000"/>
          <w:sz w:val="20"/>
          <w:u w:val="none"/>
          <w:shd w:val="clear" w:color="auto" w:fill="FFFFFF"/>
        </w:rPr>
        <w:t xml:space="preserve">Ensejar o </w:t>
      </w:r>
      <w:r>
        <w:rPr>
          <w:rFonts w:ascii="Arial" w:hAnsi="Arial"/>
          <w:color w:val="000000"/>
          <w:sz w:val="20"/>
          <w:u w:val="none"/>
        </w:rPr>
        <w:t>retardamento da execução ou entrega do objeto da licitação sem motivo justificado;</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20.1.6. </w:t>
      </w:r>
      <w:r>
        <w:rPr>
          <w:rFonts w:ascii="Arial" w:hAnsi="Arial"/>
          <w:color w:val="000000"/>
          <w:sz w:val="20"/>
          <w:u w:val="none"/>
          <w:shd w:val="clear" w:color="auto" w:fill="FFFFFF"/>
        </w:rPr>
        <w:t>Apresentar declaração ou documentação falsa;</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20.1.7. </w:t>
      </w:r>
      <w:r>
        <w:rPr>
          <w:rFonts w:ascii="Arial" w:hAnsi="Arial"/>
          <w:color w:val="000000"/>
          <w:sz w:val="20"/>
          <w:u w:val="none"/>
          <w:shd w:val="clear" w:color="auto" w:fill="FFFFFF"/>
        </w:rPr>
        <w:t>Fraudar a licitação ou praticar ato fraudulento na execução do contrato;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20.1.8. </w:t>
      </w:r>
      <w:r>
        <w:rPr>
          <w:rFonts w:ascii="Arial" w:hAnsi="Arial"/>
          <w:color w:val="000000"/>
          <w:sz w:val="20"/>
          <w:u w:val="none"/>
        </w:rPr>
        <w:t>Comportar-se de modo inidôneo ou cometer fraude de qualquer natureza;</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20.1.9. </w:t>
      </w:r>
      <w:r>
        <w:rPr>
          <w:rFonts w:ascii="Arial" w:hAnsi="Arial"/>
          <w:color w:val="000000"/>
          <w:sz w:val="20"/>
          <w:u w:val="none"/>
          <w:shd w:val="clear" w:color="auto" w:fill="FFFFFF"/>
        </w:rPr>
        <w:t>Praticar atos ilícitos com vistas a frustrar os objetivos da licitação;</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20.1.10. </w:t>
      </w:r>
      <w:r>
        <w:rPr>
          <w:rFonts w:ascii="Arial" w:hAnsi="Arial"/>
          <w:color w:val="000000"/>
          <w:sz w:val="20"/>
          <w:u w:val="none"/>
          <w:shd w:val="clear" w:color="auto" w:fill="FFFFFF"/>
        </w:rPr>
        <w:t>Praticar ato lesivo previsto no art. 5º da Lei nº 12.846/2013.</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shd w:val="clear" w:color="auto" w:fill="FFFFFF"/>
        </w:rPr>
        <w:t>20.2.</w:t>
      </w:r>
      <w:r>
        <w:rPr>
          <w:rFonts w:ascii="Arial" w:hAnsi="Arial"/>
          <w:color w:val="000000"/>
          <w:sz w:val="20"/>
          <w:u w:val="none"/>
        </w:rPr>
        <w:t xml:space="preserve"> O licitante/adjudicatário que cometer qualquer das infrações discriminadas nos subitens anteriores ficará sujeito, sem prejuízo da responsabilidade civil e criminal, às seguintes sanções: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a) </w:t>
      </w:r>
      <w:r>
        <w:rPr>
          <w:rFonts w:ascii="Arial" w:hAnsi="Arial"/>
          <w:color w:val="000000"/>
          <w:sz w:val="20"/>
          <w:u w:val="none"/>
        </w:rPr>
        <w:t>Advertência por escrito;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b) </w:t>
      </w:r>
      <w:r>
        <w:rPr>
          <w:rFonts w:ascii="Arial" w:hAnsi="Arial"/>
          <w:color w:val="000000"/>
          <w:sz w:val="20"/>
          <w:u w:val="none"/>
        </w:rPr>
        <w:t>Multa;</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c) </w:t>
      </w:r>
      <w:r>
        <w:rPr>
          <w:rFonts w:ascii="Arial" w:hAnsi="Arial"/>
          <w:color w:val="000000"/>
          <w:sz w:val="20"/>
          <w:u w:val="none"/>
        </w:rPr>
        <w:t>Impedimento de licitar e contratar;</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d) </w:t>
      </w:r>
      <w:r>
        <w:rPr>
          <w:rFonts w:ascii="Arial" w:hAnsi="Arial"/>
          <w:color w:val="000000"/>
          <w:sz w:val="20"/>
          <w:u w:val="none"/>
        </w:rPr>
        <w:t>Declaração de inidoneidade para licitar ou contratar.</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20.3 </w:t>
      </w:r>
      <w:r>
        <w:rPr>
          <w:rFonts w:ascii="Arial" w:hAnsi="Arial"/>
          <w:color w:val="000000"/>
          <w:sz w:val="20"/>
          <w:u w:val="none"/>
        </w:rPr>
        <w:t>A aplicação das sanções administrativas obedecerá as disposições do Decreto Normativo n° INSTRUÇÃO NORMATIVA SCI - SISTEMA DE CONTROLE INTERNO - Nº 010/2023 - VERSÃO 01.</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20.4 </w:t>
      </w:r>
      <w:r>
        <w:rPr>
          <w:rFonts w:ascii="Arial" w:hAnsi="Arial"/>
          <w:color w:val="000000"/>
          <w:sz w:val="20"/>
          <w:u w:val="none"/>
        </w:rPr>
        <w:t>A penalidade de multa poderá ser aplicada cumulativamente com as demais sanções:</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20.5 </w:t>
      </w:r>
      <w:r>
        <w:rPr>
          <w:rFonts w:ascii="Arial" w:hAnsi="Arial"/>
          <w:color w:val="000000"/>
          <w:sz w:val="20"/>
          <w:u w:val="none"/>
        </w:rPr>
        <w:t>Em caso de aplicação da penalidade de multa, serão obedecidos os seguintes critérios:</w:t>
      </w:r>
    </w:p>
    <w:p>
      <w:pPr>
        <w:spacing w:lineRule="auto" w:line="240" w:after="28" w:beforeAutospacing="0" w:afterAutospacing="0"/>
        <w:jc w:val="both"/>
        <w:rPr>
          <w:rFonts w:ascii="Arial" w:hAnsi="Arial"/>
          <w:color w:val="000000"/>
          <w:sz w:val="20"/>
          <w:u w:val="none"/>
        </w:rPr>
      </w:pPr>
      <w:r>
        <w:rPr>
          <w:rFonts w:ascii="Arial" w:hAnsi="Arial"/>
          <w:b w:val="1"/>
          <w:color w:val="000000"/>
          <w:sz w:val="20"/>
          <w:u w:val="none"/>
        </w:rPr>
        <w:t xml:space="preserve">20.5.1 </w:t>
      </w:r>
      <w:r>
        <w:rPr>
          <w:rFonts w:ascii="Arial" w:hAnsi="Arial"/>
          <w:b w:val="1"/>
          <w:color w:val="000000"/>
          <w:sz w:val="20"/>
          <w:u w:val="single"/>
        </w:rPr>
        <w:t>multa de mora</w:t>
      </w:r>
      <w:r>
        <w:rPr>
          <w:rFonts w:ascii="Arial" w:hAnsi="Arial"/>
          <w:b w:val="1"/>
          <w:color w:val="000000"/>
          <w:sz w:val="20"/>
          <w:u w:val="none"/>
        </w:rPr>
        <w:t xml:space="preserve"> - punição de caráter pecuniário e será aplicada no caso de atraso injustificado na execução total ou parcial do contrato</w:t>
      </w:r>
      <w:r>
        <w:rPr>
          <w:rFonts w:ascii="Arial" w:hAnsi="Arial"/>
          <w:color w:val="000000"/>
          <w:sz w:val="20"/>
          <w:u w:val="none"/>
        </w:rPr>
        <w:t xml:space="preserve"> (entrega de bens ou prestação de serviço), correspondendo ao percentual de 0,5% (cinco décimos por cento) ao dia sobre o valor previsto no subitem 20.5.1.1, limitado a 30 (trinta) dias.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20.5.1.1 </w:t>
      </w:r>
      <w:r>
        <w:rPr>
          <w:rFonts w:ascii="Arial" w:hAnsi="Arial"/>
          <w:color w:val="000000"/>
          <w:sz w:val="20"/>
          <w:u w:val="none"/>
        </w:rPr>
        <w:t>A base de cálculo será o valor total contratado, em se tratando de entrega única, e o valor da parcela em mora, no caso de entrega parcelada.</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20.5.2 </w:t>
      </w:r>
      <w:r>
        <w:rPr>
          <w:rFonts w:ascii="Arial" w:hAnsi="Arial"/>
          <w:color w:val="000000"/>
          <w:sz w:val="20"/>
          <w:u w:val="none"/>
        </w:rPr>
        <w:t xml:space="preserve">As sanções de </w:t>
      </w:r>
      <w:r>
        <w:rPr>
          <w:rFonts w:ascii="Arial" w:hAnsi="Arial"/>
          <w:b w:val="1"/>
          <w:color w:val="000000"/>
          <w:sz w:val="20"/>
          <w:u w:val="none"/>
        </w:rPr>
        <w:t>multa de mora ou de multa compensatória</w:t>
      </w:r>
      <w:r>
        <w:rPr>
          <w:rFonts w:ascii="Arial" w:hAnsi="Arial"/>
          <w:color w:val="000000"/>
          <w:sz w:val="20"/>
          <w:u w:val="none"/>
        </w:rPr>
        <w:t>, aplicadas individual ou acumuladamente, não poderão ser inferiores a</w:t>
      </w:r>
      <w:r>
        <w:rPr>
          <w:rFonts w:ascii="Arial" w:hAnsi="Arial"/>
          <w:b w:val="1"/>
          <w:color w:val="000000"/>
          <w:sz w:val="20"/>
          <w:u w:val="none"/>
        </w:rPr>
        <w:t xml:space="preserve"> 0,5% (cinco décimos por cento) nem superior a 30% (trinta por cento) do valor do contrato licitado ou celebrado em contratação direta</w:t>
      </w:r>
      <w:r>
        <w:rPr>
          <w:rFonts w:ascii="Arial" w:hAnsi="Arial"/>
          <w:color w:val="000000"/>
          <w:sz w:val="20"/>
          <w:u w:val="none"/>
        </w:rPr>
        <w:t xml:space="preserve"> e será aplicada ao responsável por qualquer das infrações administrativas previstas no item </w:t>
      </w:r>
      <w:r>
        <w:rPr>
          <w:rFonts w:ascii="Arial" w:hAnsi="Arial"/>
          <w:b w:val="1"/>
          <w:color w:val="000000"/>
          <w:sz w:val="20"/>
          <w:u w:val="none"/>
        </w:rPr>
        <w:t>20.1</w:t>
      </w:r>
      <w:r>
        <w:rPr>
          <w:rFonts w:ascii="Arial" w:hAnsi="Arial"/>
          <w:color w:val="000000"/>
          <w:sz w:val="20"/>
          <w:u w:val="none"/>
        </w:rPr>
        <w:t xml:space="preserve"> deste edital.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20.5.3 </w:t>
      </w:r>
      <w:r>
        <w:rPr>
          <w:rFonts w:ascii="Arial" w:hAnsi="Arial"/>
          <w:color w:val="000000"/>
          <w:sz w:val="20"/>
          <w:u w:val="none"/>
        </w:rPr>
        <w:t>Se a multa aplicada e as indenizações cabíveis forem superiores ao valor de pagamento eventualmente devido pela Administração ao contratado, além da perda desse valor, a diferença será descontada da garantia prestada ou será cobrada por meio da emissão de Documento de Arrecadação Municipal (DAM) ou ainda judicialmente.</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20.5.4 </w:t>
      </w:r>
      <w:r>
        <w:rPr>
          <w:rFonts w:ascii="Arial" w:hAnsi="Arial"/>
          <w:color w:val="000000"/>
          <w:sz w:val="20"/>
          <w:u w:val="none"/>
        </w:rPr>
        <w:t>No cálculo de apuração do valor referente à penalidade de multa, deverão ser incluídos os dias de início, primeiro dia útil após o vencimento da obrigação, e o de efetivo adimplemento contratual.</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20.5.5 </w:t>
      </w:r>
      <w:r>
        <w:rPr>
          <w:rFonts w:ascii="Arial" w:hAnsi="Arial"/>
          <w:sz w:val="20"/>
          <w:u w:val="none"/>
        </w:rPr>
        <w:t xml:space="preserve">A </w:t>
      </w:r>
      <w:r>
        <w:rPr>
          <w:rFonts w:ascii="Arial" w:hAnsi="Arial"/>
          <w:b w:val="1"/>
          <w:sz w:val="20"/>
          <w:u w:val="none"/>
        </w:rPr>
        <w:t xml:space="preserve">multa compensatória </w:t>
      </w:r>
      <w:r>
        <w:rPr>
          <w:rFonts w:ascii="Arial" w:hAnsi="Arial"/>
          <w:sz w:val="20"/>
          <w:u w:val="none"/>
        </w:rPr>
        <w:t>será aplicada por descumprimento total ou parcial das obrigações contratuais. Possui caráter indenizatório, cujo objetivo é compensar a Administração pelos prejuízos causados e obedecerá às seguintes disposições:</w:t>
      </w:r>
    </w:p>
    <w:p>
      <w:pPr>
        <w:spacing w:lineRule="auto" w:line="240" w:before="0" w:after="0" w:beforeAutospacing="0" w:afterAutospacing="0"/>
        <w:ind w:left="709" w:right="0"/>
        <w:jc w:val="both"/>
        <w:rPr>
          <w:rFonts w:ascii="Arial" w:hAnsi="Arial"/>
          <w:sz w:val="20"/>
          <w:u w:val="none"/>
        </w:rPr>
      </w:pPr>
      <w:r>
        <w:rPr>
          <w:rFonts w:ascii="Arial" w:hAnsi="Arial"/>
          <w:b w:val="1"/>
          <w:sz w:val="20"/>
          <w:u w:val="none"/>
        </w:rPr>
        <w:t>I -</w:t>
      </w:r>
      <w:r>
        <w:rPr>
          <w:rFonts w:ascii="Arial" w:hAnsi="Arial"/>
          <w:sz w:val="20"/>
          <w:u w:val="none"/>
        </w:rPr>
        <w:t xml:space="preserve"> o </w:t>
      </w:r>
      <w:r>
        <w:rPr>
          <w:rFonts w:ascii="Arial" w:hAnsi="Arial"/>
          <w:b w:val="1"/>
          <w:sz w:val="20"/>
          <w:u w:val="none"/>
        </w:rPr>
        <w:t>atraso injustificado e superior ao previsto no caput do artigo 8º (30 dias)</w:t>
      </w:r>
      <w:r>
        <w:rPr>
          <w:rFonts w:ascii="Arial" w:hAnsi="Arial"/>
          <w:sz w:val="20"/>
          <w:u w:val="none"/>
        </w:rPr>
        <w:t xml:space="preserve"> será considerado inexecução contratual total ou parcial, sujeitando o infrator à cobrança, além de multa moratória, de multa compensatória de 1 a 5% (um a cinco por cento) </w:t>
      </w:r>
      <w:r>
        <w:rPr>
          <w:rFonts w:ascii="Arial" w:hAnsi="Arial"/>
          <w:sz w:val="20"/>
          <w:u w:val="single"/>
        </w:rPr>
        <w:t>sobre o valor total do contrato</w:t>
      </w:r>
      <w:r>
        <w:rPr>
          <w:rFonts w:ascii="Arial" w:hAnsi="Arial"/>
          <w:sz w:val="20"/>
          <w:u w:val="none"/>
        </w:rPr>
        <w:t>, conforme critérios estabelecidos no artigo 7º da IN IN SCI - Nº 010/2023 - VERSÃO 01, podendo ensejar sua extinção;</w:t>
      </w:r>
    </w:p>
    <w:p>
      <w:pPr>
        <w:spacing w:lineRule="auto" w:line="240" w:before="0" w:after="0" w:beforeAutospacing="0" w:afterAutospacing="0"/>
        <w:ind w:left="709" w:right="0"/>
        <w:jc w:val="both"/>
        <w:rPr>
          <w:rFonts w:ascii="Arial" w:hAnsi="Arial"/>
          <w:sz w:val="20"/>
          <w:u w:val="none"/>
        </w:rPr>
      </w:pPr>
      <w:r>
        <w:rPr>
          <w:rFonts w:ascii="Arial" w:hAnsi="Arial"/>
          <w:b w:val="1"/>
          <w:sz w:val="20"/>
          <w:u w:val="none"/>
        </w:rPr>
        <w:t>II -a inexecução, no todo ou em parte, de qualquer cláusula pactuada</w:t>
      </w:r>
      <w:r>
        <w:rPr>
          <w:rFonts w:ascii="Arial" w:hAnsi="Arial"/>
          <w:sz w:val="20"/>
          <w:u w:val="none"/>
        </w:rPr>
        <w:t xml:space="preserve">, sujeitando o infrator à multa compensatória de 6 a 10% (seis a dez por cento) </w:t>
      </w:r>
      <w:r>
        <w:rPr>
          <w:rFonts w:ascii="Arial" w:hAnsi="Arial"/>
          <w:sz w:val="20"/>
          <w:u w:val="single"/>
        </w:rPr>
        <w:t>sobre o valor total do contrato</w:t>
      </w:r>
      <w:r>
        <w:rPr>
          <w:rFonts w:ascii="Arial" w:hAnsi="Arial"/>
          <w:sz w:val="20"/>
          <w:u w:val="none"/>
        </w:rPr>
        <w:t>, podendo ensejar sua extinção.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20.5.6 </w:t>
      </w:r>
      <w:r>
        <w:rPr>
          <w:rFonts w:ascii="Arial" w:hAnsi="Arial"/>
          <w:color w:val="000000"/>
          <w:sz w:val="20"/>
          <w:u w:val="none"/>
        </w:rPr>
        <w:t>O percentual estabelecido no inciso II do item 20.5.5 poderá ser dobrado, nos casos de reincidência.</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20.6.</w:t>
      </w:r>
      <w:r>
        <w:rPr>
          <w:rFonts w:ascii="Arial" w:hAnsi="Arial"/>
          <w:color w:val="000000"/>
          <w:sz w:val="20"/>
          <w:u w:val="none"/>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pPr>
        <w:spacing w:lineRule="auto" w:line="240" w:after="0" w:beforeAutospacing="0" w:afterAutospacing="0"/>
        <w:jc w:val="both"/>
        <w:rPr>
          <w:rFonts w:ascii="Arial" w:hAnsi="Arial"/>
          <w:b w:val="1"/>
          <w:sz w:val="20"/>
        </w:rPr>
      </w:pPr>
    </w:p>
    <w:p>
      <w:pPr>
        <w:spacing w:lineRule="auto" w:line="240" w:after="0" w:beforeAutospacing="0" w:afterAutospacing="0"/>
        <w:jc w:val="both"/>
        <w:rPr>
          <w:rFonts w:ascii="Arial" w:hAnsi="Arial"/>
          <w:b w:val="1"/>
          <w:sz w:val="20"/>
        </w:rPr>
      </w:pP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 xml:space="preserve">21. DA FRAUDE E DA CORRUPÇÃO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21.1.</w:t>
      </w:r>
      <w:r>
        <w:rPr>
          <w:rFonts w:ascii="Arial" w:hAnsi="Arial"/>
          <w:color w:val="000000"/>
          <w:sz w:val="20"/>
          <w:u w:val="none"/>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pPr>
        <w:spacing w:lineRule="auto" w:line="240" w:before="0" w:after="0" w:beforeAutospacing="0" w:afterAutospacing="0"/>
        <w:ind w:left="284" w:right="0"/>
        <w:jc w:val="both"/>
        <w:rPr>
          <w:rFonts w:ascii="Arial" w:hAnsi="Arial"/>
          <w:b w:val="1"/>
          <w:color w:val="000000"/>
          <w:sz w:val="20"/>
          <w:u w:val="none"/>
        </w:rPr>
      </w:pPr>
      <w:r>
        <w:rPr>
          <w:rFonts w:ascii="Arial" w:hAnsi="Arial"/>
          <w:b w:val="1"/>
          <w:color w:val="000000"/>
          <w:sz w:val="20"/>
          <w:u w:val="none"/>
        </w:rPr>
        <w:t>21.1.1. PARA OS PROPÓSITOS DESTA CLÁUSULA, DEFINEM-SE AS SEGUINTES PRÁTICAS: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a) PRÁTICA CORRUPTA:</w:t>
      </w:r>
      <w:r>
        <w:rPr>
          <w:rFonts w:ascii="Arial" w:hAnsi="Arial"/>
          <w:color w:val="000000"/>
          <w:sz w:val="20"/>
          <w:u w:val="none"/>
        </w:rPr>
        <w:t xml:space="preserve"> Oferecer, dar, receber ou solicitar, direta ou indiretamente, qualquer vantagem com o objetivo de influenciar a ação de servidor público no processo de licitação ou na execução do contrato;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b) PRÁTICA FRAUDULENTA:</w:t>
      </w:r>
      <w:r>
        <w:rPr>
          <w:rFonts w:ascii="Arial" w:hAnsi="Arial"/>
          <w:color w:val="000000"/>
          <w:sz w:val="20"/>
          <w:u w:val="none"/>
        </w:rPr>
        <w:t xml:space="preserve"> A falsificação ou omissão dos fatos, com o objetivo de influenciar o processo de licitação ou de execução do contrato;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c) PRÁTICA CONCERTADA:</w:t>
      </w:r>
      <w:r>
        <w:rPr>
          <w:rFonts w:ascii="Arial" w:hAnsi="Arial"/>
          <w:color w:val="000000"/>
          <w:sz w:val="20"/>
          <w:u w:val="none"/>
        </w:rPr>
        <w:t xml:space="preserve"> Esquematizar ou estabelecer um acordo entre dois ou mais licitantes, com ou sem o conhecimento de representantes ou prepostos do órgão licitador, visando estabelecer preços em níveis artificiais e não-competitivos;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d) PRÁTICA COERCITIVA:</w:t>
      </w:r>
      <w:r>
        <w:rPr>
          <w:rFonts w:ascii="Arial" w:hAnsi="Arial"/>
          <w:color w:val="000000"/>
          <w:sz w:val="20"/>
          <w:u w:val="none"/>
        </w:rPr>
        <w:t xml:space="preserve"> Causar danos ou ameaçar causar dano, direta ou indiretamente, às pessoas ou sua propriedade, visando influenciar sua participação em um processo licitatório ou afetar a execução do contrato.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e) PRÁTICA OBSTRUTIVA:</w:t>
      </w:r>
      <w:r>
        <w:rPr>
          <w:rFonts w:ascii="Arial" w:hAnsi="Arial"/>
          <w:color w:val="000000"/>
          <w:sz w:val="20"/>
          <w:u w:val="none"/>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pPr>
        <w:spacing w:lineRule="auto" w:line="240" w:after="0" w:beforeAutospacing="0" w:afterAutospacing="0"/>
        <w:jc w:val="both"/>
        <w:rPr>
          <w:rFonts w:ascii="Arial" w:hAnsi="Arial"/>
          <w:b w:val="1"/>
          <w:sz w:val="20"/>
        </w:rPr>
      </w:pPr>
    </w:p>
    <w:p>
      <w:pPr>
        <w:spacing w:lineRule="auto" w:line="240" w:after="0" w:beforeAutospacing="0" w:afterAutospacing="0"/>
        <w:jc w:val="both"/>
        <w:rPr>
          <w:rFonts w:ascii="Arial" w:hAnsi="Arial"/>
          <w:b w:val="1"/>
          <w:sz w:val="20"/>
        </w:rPr>
      </w:pP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22. DA IMPUGNAÇÃO AO EDITAL E DO PEDIDO DE ESCLARECIMENTO.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22.1. </w:t>
      </w:r>
      <w:r>
        <w:rPr>
          <w:rFonts w:ascii="Arial" w:hAnsi="Arial"/>
          <w:color w:val="000000"/>
          <w:sz w:val="20"/>
          <w:u w:val="none"/>
        </w:rPr>
        <w:t>Até 03 (três) dias úteis antes da data designada para a abertura da sessão pública, qualquer pessoa poderá impugnar este Edital e/ou apresentar pedido de esclarecimento.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22.2. </w:t>
      </w:r>
      <w:r>
        <w:rPr>
          <w:rFonts w:ascii="Arial" w:hAnsi="Arial"/>
          <w:color w:val="000000"/>
          <w:sz w:val="20"/>
          <w:u w:val="none"/>
        </w:rPr>
        <w:t>Os pedidos de esclarecimentos deverão ser enviados a Pregoeira, EXCLUSIVAMENTE por meio eletrônico, através do Sistema Portal de Compras (</w:t>
      </w:r>
      <w:r>
        <w:rPr>
          <w:rFonts w:ascii="Arial" w:hAnsi="Arial"/>
          <w:color w:val="000000"/>
          <w:sz w:val="20"/>
          <w:u w:val="single"/>
        </w:rPr>
        <w:t>www.portaldecompraspublicas.com.br</w:t>
      </w:r>
      <w:r>
        <w:rPr>
          <w:rFonts w:ascii="Arial" w:hAnsi="Arial"/>
          <w:color w:val="000000"/>
          <w:sz w:val="20"/>
          <w:u w:val="none"/>
        </w:rPr>
        <w:t>).</w:t>
      </w:r>
    </w:p>
    <w:p>
      <w:pPr>
        <w:spacing w:lineRule="auto" w:line="240" w:before="0" w:after="0" w:beforeAutospacing="0" w:afterAutospacing="0"/>
        <w:ind w:hanging="720" w:left="1287" w:right="0"/>
        <w:jc w:val="both"/>
        <w:rPr>
          <w:rFonts w:ascii="Arial" w:hAnsi="Arial"/>
          <w:color w:val="000000"/>
          <w:sz w:val="20"/>
          <w:u w:val="none"/>
        </w:rPr>
      </w:pPr>
      <w:r>
        <w:rPr>
          <w:rFonts w:ascii="Arial" w:hAnsi="Arial"/>
          <w:b w:val="1"/>
          <w:color w:val="000000"/>
          <w:sz w:val="20"/>
          <w:u w:val="none"/>
        </w:rPr>
        <w:t xml:space="preserve">22.2.1. </w:t>
      </w:r>
      <w:r>
        <w:rPr>
          <w:rFonts w:ascii="Arial" w:hAnsi="Arial"/>
          <w:color w:val="000000"/>
          <w:sz w:val="20"/>
          <w:u w:val="none"/>
        </w:rPr>
        <w:t>Os esclarecimentos serão divulgados no referido portal.</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22.3. As impugnações deverão ser realizadas EXCLUSIVAMENTE por forma eletrônica, em local próprio no Sistema Portal de Compras (www.portaldecompraspublicas.com.br</w:t>
      </w:r>
      <w:r>
        <w:rPr>
          <w:rFonts w:ascii="Arial" w:hAnsi="Arial"/>
          <w:color w:val="000000"/>
          <w:sz w:val="20"/>
          <w:u w:val="none"/>
        </w:rPr>
        <w:t>), no prazo assinalado, observados os demais requisitos de admissibilidade, não tendo efeito suspensivo.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22.4. </w:t>
      </w:r>
      <w:r>
        <w:rPr>
          <w:rFonts w:ascii="Arial" w:hAnsi="Arial"/>
          <w:color w:val="000000"/>
          <w:sz w:val="20"/>
          <w:u w:val="none"/>
        </w:rPr>
        <w:t>A resposta à impugnação ou ao pedido de esclarecimento será divulgada no Portal de Compras Públicas no prazo de até 3 (três) dias úteis, limitado ao último dia útil anterior à data da abertura do certame.</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22.5. </w:t>
      </w:r>
      <w:r>
        <w:rPr>
          <w:rFonts w:ascii="Arial" w:hAnsi="Arial"/>
          <w:color w:val="000000"/>
          <w:sz w:val="20"/>
          <w:u w:val="none"/>
        </w:rPr>
        <w:t>Acolhida a impugnação, será definida e publicada nova data para a realização do certame.</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22.6. </w:t>
      </w:r>
      <w:r>
        <w:rPr>
          <w:rFonts w:ascii="Arial" w:hAnsi="Arial"/>
          <w:color w:val="000000"/>
          <w:sz w:val="20"/>
          <w:u w:val="none"/>
        </w:rPr>
        <w:t>As impugnações e pedidos de esclarecimentos não suspendem os prazos previstos no certame, salvo quando se amolda ao art. 55, parágrafo 1º, da Lei nº 14.133/2021.</w:t>
      </w:r>
    </w:p>
    <w:p>
      <w:pPr>
        <w:spacing w:lineRule="auto" w:line="240" w:before="0" w:after="0" w:beforeAutospacing="0" w:afterAutospacing="0"/>
        <w:ind w:left="567"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22.7. </w:t>
      </w:r>
      <w:r>
        <w:rPr>
          <w:rFonts w:ascii="Arial" w:hAnsi="Arial"/>
          <w:color w:val="000000"/>
          <w:sz w:val="20"/>
          <w:u w:val="none"/>
        </w:rPr>
        <w:t>As respostas aos pedidos de esclarecimentos serão divulgadas pelo sistema e vincularão os participantes e a administração.</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22.8. </w:t>
      </w:r>
      <w:r>
        <w:rPr>
          <w:rFonts w:ascii="Arial" w:hAnsi="Arial"/>
          <w:color w:val="000000"/>
          <w:sz w:val="20"/>
          <w:u w:val="none"/>
        </w:rPr>
        <w:t xml:space="preserve">As respostas às impugnações e aos esclarecimentos solicitados, bem como outros avisos de ordem geral, serão cadastradas no sítio eletrônico </w:t>
      </w:r>
      <w:r>
        <w:rPr>
          <w:rFonts w:ascii="Arial" w:hAnsi="Arial"/>
          <w:b w:val="1"/>
          <w:color w:val="000000"/>
          <w:sz w:val="20"/>
          <w:u w:val="single"/>
        </w:rPr>
        <w:t>www.portaldecompraspublicas.com.br</w:t>
      </w:r>
      <w:r>
        <w:rPr>
          <w:rFonts w:ascii="Arial" w:hAnsi="Arial"/>
          <w:color w:val="000000"/>
          <w:sz w:val="20"/>
          <w:u w:val="none"/>
        </w:rPr>
        <w:t>, sendo de responsabilidade dos licitantes, seu acompanhamento.</w:t>
      </w:r>
    </w:p>
    <w:p>
      <w:pPr>
        <w:spacing w:lineRule="auto" w:line="240" w:before="0" w:after="0" w:beforeAutospacing="0" w:afterAutospacing="0"/>
        <w:ind w:left="720"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22.9. </w:t>
      </w:r>
      <w:r>
        <w:rPr>
          <w:rFonts w:ascii="Arial" w:hAnsi="Arial"/>
          <w:color w:val="000000"/>
          <w:sz w:val="20"/>
          <w:u w:val="none"/>
        </w:rPr>
        <w:t>Qualquer modificação no edital será divulgada pelo mesmo instrumento de publicação em que se deu o texto original, reabrindo-se o prazo inicialmente estabelecido, exceto quando, inquestionavelmente, a alteração não afetar a formulação das propostas.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22.10. </w:t>
      </w:r>
      <w:r>
        <w:rPr>
          <w:rFonts w:ascii="Arial" w:hAnsi="Arial"/>
          <w:color w:val="000000"/>
          <w:sz w:val="20"/>
          <w:u w:val="none"/>
        </w:rPr>
        <w:t>A participação no certame, sem que tenha sido tempestivamente impugnado o presente Edital, implica na aceitação por parte dos interessados das condições nele estabelecidas.</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Times New Roman" w:hAnsi="Times New Roman"/>
          <w:sz w:val="24"/>
          <w:u w:val="none"/>
        </w:rPr>
      </w:pPr>
      <w:r>
        <w:rPr>
          <w:rFonts w:ascii="Times New Roman" w:hAnsi="Times New Roman"/>
          <w:sz w:val="24"/>
          <w:u w:val="none"/>
        </w:rPr>
        <w:t xml:space="preserve"> </w:t>
      </w:r>
    </w:p>
    <w:p>
      <w:pPr>
        <w:spacing w:lineRule="auto" w:line="240" w:after="198" w:beforeAutospacing="0" w:afterAutospacing="0"/>
        <w:jc w:val="both"/>
        <w:rPr>
          <w:rFonts w:ascii="Arial" w:hAnsi="Arial"/>
          <w:b w:val="1"/>
          <w:color w:val="000000"/>
          <w:sz w:val="20"/>
          <w:u w:val="none"/>
        </w:rPr>
      </w:pPr>
      <w:r>
        <w:rPr>
          <w:rFonts w:ascii="Arial" w:hAnsi="Arial"/>
          <w:b w:val="1"/>
          <w:color w:val="000000"/>
          <w:sz w:val="20"/>
          <w:u w:val="none"/>
        </w:rPr>
        <w:t>23. DAS DISPOSIÇÕES GERAIS.</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23.1. </w:t>
      </w:r>
      <w:r>
        <w:rPr>
          <w:rFonts w:ascii="Arial" w:hAnsi="Arial"/>
          <w:color w:val="000000"/>
          <w:sz w:val="20"/>
          <w:u w:val="none"/>
        </w:rPr>
        <w:t>Da sessão pública do Pregão divulgar-se-á Ata no sistema eletrônico.</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23.2. </w:t>
      </w:r>
      <w:r>
        <w:rPr>
          <w:rFonts w:ascii="Arial" w:hAnsi="Arial"/>
          <w:color w:val="000000"/>
          <w:sz w:val="20"/>
          <w:u w:val="none"/>
        </w:rPr>
        <w:t>O desatendimento de exigências meramente formais que não comprometam a aferição da qualificação do licitante ou a compreensão do conteúdo de sua proposta não importará seu afastamento da licitação ou a invalidação do processo.</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23.3. </w:t>
      </w:r>
      <w:r>
        <w:rPr>
          <w:rFonts w:ascii="Arial" w:hAnsi="Arial"/>
          <w:color w:val="000000"/>
          <w:sz w:val="20"/>
          <w:u w:val="none"/>
        </w:rPr>
        <w:t>A homologação do resultado desta licitação não implicará direito à contratação.</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23.4. </w:t>
      </w:r>
      <w:r>
        <w:rPr>
          <w:rFonts w:ascii="Arial" w:hAnsi="Arial"/>
          <w:color w:val="000000"/>
          <w:sz w:val="20"/>
          <w:u w:val="none"/>
        </w:rPr>
        <w:t>As normas disciplinadoras da licitação serão sempre interpretadas em favor da ampliação da disputa entre os interessados, desde que não comprometam o interesse da Administração, o princípio da isonomia, a finalidade e a segurança da contratação.</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23.5. </w:t>
      </w:r>
      <w:r>
        <w:rPr>
          <w:rFonts w:ascii="Arial" w:hAnsi="Arial"/>
          <w:color w:val="000000"/>
          <w:sz w:val="20"/>
          <w:u w:val="none"/>
        </w:rPr>
        <w:t>Os licitantes assumem todos os custos de preparação e apresentação de suas propostas e a Administração não será, em nenhum caso, responsável por esses custos, independentemente da condução ou do resultado do processo licitatório.</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23.6. </w:t>
      </w:r>
      <w:r>
        <w:rPr>
          <w:rFonts w:ascii="Arial" w:hAnsi="Arial"/>
          <w:color w:val="000000"/>
          <w:sz w:val="20"/>
          <w:u w:val="none"/>
        </w:rPr>
        <w:t>Na contagem dos prazos estabelecidos neste Edital e seus Anexos só se iniciam e vencem os prazos em dias de expediente na Administração.</w:t>
      </w:r>
    </w:p>
    <w:p>
      <w:pPr>
        <w:spacing w:lineRule="auto" w:line="240" w:after="0" w:beforeAutospacing="0" w:afterAutospacing="0"/>
        <w:jc w:val="both"/>
        <w:rPr>
          <w:rFonts w:ascii="Arial" w:hAnsi="Arial"/>
          <w:sz w:val="20"/>
          <w:u w:val="none"/>
        </w:rPr>
      </w:pPr>
      <w:r>
        <w:rPr>
          <w:rFonts w:ascii="Arial" w:hAnsi="Arial"/>
          <w:b w:val="1"/>
          <w:sz w:val="20"/>
          <w:u w:val="none"/>
        </w:rPr>
        <w:t xml:space="preserve">23.7. </w:t>
      </w:r>
      <w:r>
        <w:rPr>
          <w:rFonts w:ascii="Arial" w:hAnsi="Arial"/>
          <w:sz w:val="20"/>
          <w:u w:val="none"/>
        </w:rPr>
        <w:t>O licitante é o responsável pela fidelidade e legitimidade das informações prestadas e dos documentos apresentados em qualquer fase da licitação.</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23.7.1. </w:t>
      </w:r>
      <w:r>
        <w:rPr>
          <w:rFonts w:ascii="Arial" w:hAnsi="Arial"/>
          <w:sz w:val="20"/>
          <w:u w:val="none"/>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pPr>
        <w:spacing w:lineRule="auto" w:line="240" w:before="0" w:after="0" w:beforeAutospacing="0" w:afterAutospacing="0"/>
        <w:ind w:left="567"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sz w:val="20"/>
          <w:u w:val="none"/>
        </w:rPr>
      </w:pPr>
      <w:r>
        <w:rPr>
          <w:rFonts w:ascii="Arial" w:hAnsi="Arial"/>
          <w:b w:val="1"/>
          <w:sz w:val="20"/>
          <w:u w:val="none"/>
        </w:rPr>
        <w:t xml:space="preserve">23.8. </w:t>
      </w:r>
      <w:r>
        <w:rPr>
          <w:rFonts w:ascii="Arial" w:hAnsi="Arial"/>
          <w:sz w:val="20"/>
          <w:u w:val="none"/>
        </w:rPr>
        <w:t>A Prefeitura Municipal de Domingos Martins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 xml:space="preserve">23.8.1. </w:t>
      </w:r>
      <w:r>
        <w:rPr>
          <w:rFonts w:ascii="Arial" w:hAnsi="Arial"/>
          <w:sz w:val="20"/>
          <w:u w:val="none"/>
        </w:rPr>
        <w:t>A anulação do Pregão induz à extinção do contrato.</w:t>
      </w:r>
    </w:p>
    <w:p>
      <w:pPr>
        <w:spacing w:lineRule="auto" w:line="240" w:before="0" w:after="0" w:beforeAutospacing="0" w:afterAutospacing="0"/>
        <w:ind w:left="284" w:right="0"/>
        <w:jc w:val="both"/>
        <w:rPr>
          <w:rFonts w:ascii="Arial" w:hAnsi="Arial"/>
          <w:sz w:val="20"/>
          <w:u w:val="none"/>
        </w:rPr>
      </w:pPr>
      <w:r>
        <w:rPr>
          <w:rFonts w:ascii="Arial" w:hAnsi="Arial"/>
          <w:b w:val="1"/>
          <w:sz w:val="20"/>
          <w:u w:val="none"/>
        </w:rPr>
        <w:t>23.8.2</w:t>
      </w:r>
      <w:r>
        <w:rPr>
          <w:rFonts w:ascii="Arial" w:hAnsi="Arial"/>
          <w:sz w:val="20"/>
          <w:u w:val="none"/>
        </w:rPr>
        <w:t>. A anulação da licitação por motivo de ilegalidade não gera obrigação de indenizar.</w:t>
      </w:r>
    </w:p>
    <w:p>
      <w:pPr>
        <w:spacing w:lineRule="auto" w:line="240" w:before="0" w:after="0" w:beforeAutospacing="0" w:afterAutospacing="0"/>
        <w:ind w:left="567" w:right="0"/>
        <w:jc w:val="both"/>
        <w:rPr>
          <w:rFonts w:ascii="Times New Roman" w:hAnsi="Times New Roman"/>
          <w:sz w:val="24"/>
          <w:u w:val="none"/>
        </w:rPr>
      </w:pPr>
      <w:r>
        <w:rPr>
          <w:rFonts w:ascii="Times New Roman" w:hAnsi="Times New Roman"/>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23.9. </w:t>
      </w:r>
      <w:r>
        <w:rPr>
          <w:rFonts w:ascii="Arial" w:hAnsi="Arial"/>
          <w:color w:val="000000"/>
          <w:sz w:val="20"/>
          <w:u w:val="none"/>
        </w:rPr>
        <w:t>É facultado à Administração Pública, em qualquer fase deste Pregão, promover diligência destinada a esclarecer ou completar a instrução do processo, vedada a inclusão posterior de informação ou de documentos que deveriam ter sido apresentados para fins de classificação e habilitação.</w:t>
      </w:r>
    </w:p>
    <w:p>
      <w:pPr>
        <w:spacing w:lineRule="auto" w:line="240" w:after="57" w:beforeAutospacing="0" w:afterAutospacing="0"/>
        <w:jc w:val="both"/>
        <w:rPr>
          <w:rFonts w:ascii="Arial" w:hAnsi="Arial"/>
          <w:b w:val="1"/>
          <w:color w:val="000000"/>
          <w:sz w:val="20"/>
          <w:u w:val="none"/>
        </w:rPr>
      </w:pPr>
    </w:p>
    <w:p>
      <w:pPr>
        <w:spacing w:lineRule="auto" w:line="240" w:after="57" w:beforeAutospacing="0" w:afterAutospacing="0"/>
        <w:jc w:val="both"/>
        <w:rPr>
          <w:rFonts w:ascii="Arial" w:hAnsi="Arial"/>
          <w:color w:val="000000"/>
          <w:sz w:val="20"/>
          <w:u w:val="none"/>
        </w:rPr>
      </w:pPr>
      <w:r>
        <w:rPr>
          <w:rFonts w:ascii="Arial" w:hAnsi="Arial"/>
          <w:b w:val="1"/>
          <w:color w:val="000000"/>
          <w:sz w:val="20"/>
          <w:u w:val="none"/>
        </w:rPr>
        <w:t xml:space="preserve">23.10. </w:t>
      </w:r>
      <w:r>
        <w:rPr>
          <w:rFonts w:ascii="Arial" w:hAnsi="Arial"/>
          <w:color w:val="000000"/>
          <w:sz w:val="20"/>
          <w:u w:val="none"/>
        </w:rPr>
        <w:t>Integram este Edital, para todos os fins e efeitos, os seguintes anexos:</w:t>
      </w:r>
    </w:p>
    <w:p>
      <w:pPr>
        <w:spacing w:lineRule="auto" w:line="240" w:after="198" w:beforeAutospacing="0" w:afterAutospacing="0"/>
        <w:jc w:val="both"/>
        <w:rPr>
          <w:rFonts w:ascii="Arial" w:hAnsi="Arial"/>
          <w:b w:val="1"/>
          <w:color w:val="000000"/>
          <w:sz w:val="20"/>
          <w:u w:val="none"/>
        </w:rPr>
      </w:pP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ANEXO I - </w:t>
      </w:r>
      <w:r>
        <w:rPr>
          <w:rFonts w:ascii="Arial" w:hAnsi="Arial"/>
          <w:color w:val="000000"/>
          <w:sz w:val="20"/>
          <w:u w:val="none"/>
        </w:rPr>
        <w:t>ESPECIFICAÇÃO DO OBJETO E TERMO DE REFERÊNCIA;</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ANEXO II - </w:t>
      </w:r>
      <w:r>
        <w:rPr>
          <w:rFonts w:ascii="Arial" w:hAnsi="Arial"/>
          <w:color w:val="000000"/>
          <w:sz w:val="20"/>
          <w:u w:val="none"/>
        </w:rPr>
        <w:t>DECLARAÇÃO CONJUNTA;</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ANEXO III - </w:t>
      </w:r>
      <w:r>
        <w:rPr>
          <w:rFonts w:ascii="Arial" w:hAnsi="Arial"/>
          <w:color w:val="000000"/>
          <w:sz w:val="20"/>
          <w:u w:val="none"/>
        </w:rPr>
        <w:t>DECLARAÇÃO DE ELABORAÇÃO DE PROPOSTA INDEPENDENTE;</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ANEXO IV - </w:t>
      </w:r>
      <w:r>
        <w:rPr>
          <w:rFonts w:ascii="Arial" w:hAnsi="Arial"/>
          <w:color w:val="000000"/>
          <w:sz w:val="20"/>
          <w:u w:val="none"/>
        </w:rPr>
        <w:t>DECLARAÇÃO DE CONDIÇÃO DE ME/EPP;</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ANEXO V - </w:t>
      </w:r>
      <w:r>
        <w:rPr>
          <w:rFonts w:ascii="Arial" w:hAnsi="Arial"/>
          <w:color w:val="000000"/>
          <w:sz w:val="20"/>
          <w:u w:val="none"/>
        </w:rPr>
        <w:t>MINUTA DA ATA DE REGISTRO DE PREÇOS;</w:t>
      </w:r>
    </w:p>
    <w:p>
      <w:pPr>
        <w:spacing w:lineRule="auto" w:line="240" w:after="198" w:beforeAutospacing="0" w:afterAutospacing="0"/>
        <w:jc w:val="both"/>
        <w:rPr>
          <w:rFonts w:ascii="Arial" w:hAnsi="Arial"/>
          <w:b w:val="1"/>
          <w:sz w:val="20"/>
        </w:rPr>
      </w:pPr>
      <w:r>
        <w:rPr>
          <w:rFonts w:ascii="Arial" w:hAnsi="Arial"/>
          <w:b w:val="1"/>
          <w:color w:val="000000"/>
          <w:sz w:val="20"/>
          <w:u w:val="none"/>
        </w:rPr>
        <w:t xml:space="preserve">ANEXO VI - </w:t>
      </w:r>
      <w:r>
        <w:rPr>
          <w:rFonts w:ascii="Arial" w:hAnsi="Arial"/>
          <w:color w:val="000000"/>
          <w:sz w:val="20"/>
          <w:u w:val="none"/>
        </w:rPr>
        <w:t>MODELO DO MATERIAL QUE SERÁ IMPRESSO.</w:t>
      </w:r>
    </w:p>
    <w:p>
      <w:pPr>
        <w:spacing w:lineRule="auto" w:line="240" w:after="198" w:beforeAutospacing="0" w:afterAutospacing="0"/>
        <w:jc w:val="both"/>
        <w:rPr>
          <w:rFonts w:ascii="Arial" w:hAnsi="Arial"/>
          <w:sz w:val="20"/>
          <w:shd w:val="clear" w:color="auto" w:fill="FFFFFF"/>
        </w:rPr>
      </w:pPr>
    </w:p>
    <w:p>
      <w:pPr>
        <w:spacing w:lineRule="auto" w:line="240" w:after="198" w:beforeAutospacing="0" w:afterAutospacing="0"/>
        <w:jc w:val="both"/>
        <w:rPr>
          <w:rFonts w:ascii="Arial" w:hAnsi="Arial"/>
          <w:sz w:val="20"/>
          <w:shd w:val="clear" w:color="auto" w:fill="FFFFFF"/>
        </w:rPr>
      </w:pPr>
      <w:r>
        <w:rPr>
          <w:rFonts w:ascii="Arial" w:hAnsi="Arial"/>
          <w:sz w:val="20"/>
          <w:shd w:val="clear" w:color="auto" w:fill="FFFFFF"/>
        </w:rPr>
        <w:t xml:space="preserve">Domingos Martins - ES, </w:t>
      </w:r>
      <w:r>
        <w:rPr>
          <w:rFonts w:ascii="Arial" w:hAnsi="Arial"/>
          <w:sz w:val="20"/>
          <w:shd w:val="clear" w:color="auto" w:fill="FFFFFF"/>
        </w:rPr>
        <w:t>20</w:t>
      </w:r>
      <w:r>
        <w:rPr>
          <w:rFonts w:ascii="Arial" w:hAnsi="Arial"/>
          <w:sz w:val="20"/>
          <w:shd w:val="clear" w:color="auto" w:fill="FFFFFF"/>
        </w:rPr>
        <w:t xml:space="preserve"> de maio de 2026.</w:t>
      </w:r>
    </w:p>
    <w:p>
      <w:pPr>
        <w:spacing w:lineRule="auto" w:line="240" w:after="200" w:beforeAutospacing="0" w:afterAutospacing="0"/>
        <w:jc w:val="both"/>
        <w:rPr>
          <w:rFonts w:ascii="Arial" w:hAnsi="Arial"/>
          <w:b w:val="1"/>
          <w:sz w:val="20"/>
        </w:rPr>
      </w:pPr>
    </w:p>
    <w:p>
      <w:pPr>
        <w:spacing w:lineRule="auto" w:line="240" w:after="200" w:beforeAutospacing="0" w:afterAutospacing="0"/>
        <w:jc w:val="both"/>
        <w:rPr>
          <w:rFonts w:ascii="Arial" w:hAnsi="Arial"/>
          <w:b w:val="1"/>
          <w:sz w:val="20"/>
        </w:rPr>
      </w:pPr>
    </w:p>
    <w:p>
      <w:pPr>
        <w:spacing w:lineRule="auto" w:line="240" w:after="200" w:beforeAutospacing="0" w:afterAutospacing="0"/>
        <w:jc w:val="both"/>
        <w:rPr>
          <w:rFonts w:ascii="Arial" w:hAnsi="Arial"/>
          <w:b w:val="1"/>
          <w:sz w:val="20"/>
        </w:rPr>
      </w:pPr>
    </w:p>
    <w:p>
      <w:pPr>
        <w:spacing w:lineRule="auto" w:line="240" w:after="0" w:beforeAutospacing="0" w:afterAutospacing="0"/>
        <w:jc w:val="both"/>
        <w:rPr>
          <w:rFonts w:ascii="Arial" w:hAnsi="Arial"/>
          <w:b w:val="1"/>
          <w:i w:val="0"/>
          <w:sz w:val="20"/>
          <w:u w:val="none"/>
        </w:rPr>
      </w:pPr>
      <w:r>
        <w:rPr>
          <w:rFonts w:ascii="Arial" w:hAnsi="Arial"/>
          <w:b w:val="1"/>
          <w:i w:val="0"/>
          <w:sz w:val="20"/>
          <w:u w:val="none"/>
        </w:rPr>
        <w:t xml:space="preserve">Thamiris Mayer Lampier Sant' Anna </w:t>
      </w:r>
    </w:p>
    <w:p>
      <w:pPr>
        <w:spacing w:lineRule="auto" w:line="240" w:after="0" w:beforeAutospacing="0" w:afterAutospacing="0"/>
        <w:jc w:val="both"/>
        <w:rPr>
          <w:rFonts w:ascii="Arial" w:hAnsi="Arial"/>
          <w:b w:val="1"/>
          <w:i w:val="0"/>
          <w:sz w:val="20"/>
        </w:rPr>
      </w:pPr>
      <w:r>
        <w:rPr>
          <w:rFonts w:ascii="Arial" w:hAnsi="Arial"/>
          <w:b w:val="1"/>
          <w:i w:val="0"/>
          <w:sz w:val="20"/>
          <w:u w:val="none"/>
        </w:rPr>
        <w:t xml:space="preserve">Gerente de Licitação </w:t>
      </w:r>
    </w:p>
    <w:p>
      <w:pPr>
        <w:spacing w:lineRule="auto" w:line="240" w:after="0" w:beforeAutospacing="0" w:afterAutospacing="0"/>
        <w:jc w:val="both"/>
        <w:rPr>
          <w:rFonts w:ascii="Arial" w:hAnsi="Arial"/>
          <w:sz w:val="20"/>
        </w:rPr>
      </w:pPr>
    </w:p>
    <w:p>
      <w:pPr>
        <w:spacing w:lineRule="auto" w:line="240" w:beforeAutospacing="0" w:afterAutospacing="0"/>
        <w:jc w:val="both"/>
        <w:rPr>
          <w:rFonts w:ascii="Arial" w:hAnsi="Arial"/>
          <w:b w:val="1"/>
          <w:sz w:val="20"/>
        </w:rPr>
      </w:pPr>
    </w:p>
    <w:p>
      <w:pPr>
        <w:spacing w:lineRule="auto" w:line="240" w:beforeAutospacing="0" w:afterAutospacing="0"/>
        <w:jc w:val="both"/>
        <w:rPr>
          <w:rFonts w:ascii="Arial" w:hAnsi="Arial"/>
          <w:b w:val="1"/>
          <w:sz w:val="20"/>
        </w:rPr>
      </w:pPr>
      <w:r>
        <w:rPr>
          <w:rFonts w:ascii="Arial" w:hAnsi="Arial"/>
          <w:b w:val="1"/>
          <w:sz w:val="20"/>
        </w:rPr>
        <w:br w:type="page"/>
      </w:r>
    </w:p>
    <w:p>
      <w:pPr>
        <w:spacing w:lineRule="auto" w:line="240" w:beforeAutospacing="0" w:afterAutospacing="0"/>
        <w:jc w:val="both"/>
        <w:rPr>
          <w:rFonts w:ascii="Arial" w:hAnsi="Arial"/>
          <w:b w:val="1"/>
          <w:sz w:val="20"/>
        </w:rPr>
      </w:pPr>
      <w:r>
        <w:rPr>
          <w:rFonts w:ascii="Arial" w:hAnsi="Arial"/>
          <w:b w:val="1"/>
          <w:sz w:val="20"/>
        </w:rPr>
        <w:t>ANEXO I</w:t>
      </w:r>
    </w:p>
    <w:p>
      <w:pPr>
        <w:spacing w:lineRule="auto" w:line="240" w:beforeAutospacing="0" w:afterAutospacing="0"/>
        <w:jc w:val="both"/>
        <w:rPr>
          <w:rFonts w:ascii="Arial" w:hAnsi="Arial"/>
          <w:sz w:val="20"/>
        </w:rPr>
      </w:pPr>
    </w:p>
    <w:p>
      <w:pPr>
        <w:spacing w:lineRule="auto" w:line="240" w:beforeAutospacing="0" w:afterAutospacing="0"/>
        <w:jc w:val="both"/>
        <w:rPr>
          <w:rFonts w:ascii="Arial" w:hAnsi="Arial"/>
          <w:b w:val="1"/>
          <w:sz w:val="20"/>
        </w:rPr>
      </w:pPr>
      <w:r>
        <w:rPr>
          <w:rFonts w:ascii="Arial" w:hAnsi="Arial"/>
          <w:b w:val="1"/>
          <w:sz w:val="20"/>
        </w:rPr>
        <w:t>1. ESPECIFICAÇÃO DO OBJETO</w:t>
      </w:r>
    </w:p>
    <w:p>
      <w:pPr>
        <w:spacing w:lineRule="auto" w:line="240" w:beforeAutospacing="0" w:afterAutospacing="0"/>
        <w:jc w:val="both"/>
        <w:rPr>
          <w:rFonts w:ascii="Arial" w:hAnsi="Arial"/>
          <w:sz w:val="20"/>
        </w:rPr>
      </w:pPr>
    </w:p>
    <w:tbl>
      <w:tblPr>
        <w:tblW w:w="11340" w:type="dxa"/>
        <w:tblInd w:w="-601" w:type="dxa"/>
        <w:tblLayout w:type="fixed"/>
        <w:tblLook w:val="04A0"/>
      </w:tblPr>
      <w:tblGrid/>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spacing w:after="0" w:beforeAutospacing="0" w:afterAutospacing="0"/>
              <w:jc w:val="center"/>
              <w:rPr>
                <w:rFonts w:ascii="Arial" w:hAnsi="Arial"/>
                <w:b w:val="1"/>
                <w:i w:val="1"/>
                <w:sz w:val="20"/>
              </w:rPr>
            </w:pPr>
            <w:r>
              <w:rPr>
                <w:rFonts w:ascii="Arial" w:hAnsi="Arial"/>
                <w:b w:val="1"/>
                <w:i w:val="1"/>
                <w:sz w:val="20"/>
              </w:rPr>
              <w:t>Lote</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spacing w:after="0" w:beforeAutospacing="0" w:afterAutospacing="0"/>
              <w:jc w:val="center"/>
              <w:rPr>
                <w:rFonts w:ascii="Arial" w:hAnsi="Arial"/>
                <w:b w:val="1"/>
                <w:i w:val="1"/>
                <w:sz w:val="20"/>
              </w:rPr>
            </w:pPr>
            <w:r>
              <w:rPr>
                <w:rFonts w:ascii="Arial" w:hAnsi="Arial"/>
                <w:b w:val="1"/>
                <w:i w:val="1"/>
                <w:sz w:val="20"/>
              </w:rPr>
              <w:t>Item</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spacing w:after="0" w:beforeAutospacing="0" w:afterAutospacing="0"/>
              <w:jc w:val="center"/>
              <w:rPr>
                <w:rFonts w:ascii="Arial" w:hAnsi="Arial"/>
                <w:b w:val="1"/>
                <w:i w:val="1"/>
                <w:sz w:val="20"/>
              </w:rPr>
            </w:pPr>
            <w:r>
              <w:rPr>
                <w:rFonts w:ascii="Arial" w:hAnsi="Arial"/>
                <w:b w:val="1"/>
                <w:i w:val="1"/>
                <w:sz w:val="20"/>
              </w:rPr>
              <w:t>Código</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spacing w:after="0" w:beforeAutospacing="0" w:afterAutospacing="0"/>
              <w:rPr>
                <w:rFonts w:ascii="Arial" w:hAnsi="Arial"/>
                <w:b w:val="1"/>
                <w:i w:val="1"/>
                <w:sz w:val="20"/>
              </w:rPr>
            </w:pPr>
            <w:r>
              <w:rPr>
                <w:rFonts w:ascii="Arial" w:hAnsi="Arial"/>
                <w:b w:val="1"/>
                <w:i w:val="1"/>
                <w:sz w:val="20"/>
              </w:rPr>
              <w:t>Especificação</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spacing w:after="0" w:beforeAutospacing="0" w:afterAutospacing="0"/>
              <w:jc w:val="center"/>
              <w:rPr>
                <w:rFonts w:ascii="Arial" w:hAnsi="Arial"/>
                <w:b w:val="1"/>
                <w:i w:val="1"/>
                <w:sz w:val="20"/>
              </w:rPr>
            </w:pPr>
            <w:r>
              <w:rPr>
                <w:rFonts w:ascii="Arial" w:hAnsi="Arial"/>
                <w:b w:val="1"/>
                <w:i w:val="1"/>
                <w:sz w:val="20"/>
              </w:rPr>
              <w:t>Unidade</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spacing w:after="0" w:beforeAutospacing="0" w:afterAutospacing="0"/>
              <w:jc w:val="right"/>
              <w:rPr>
                <w:rFonts w:ascii="Arial" w:hAnsi="Arial"/>
                <w:b w:val="1"/>
                <w:i w:val="1"/>
                <w:sz w:val="20"/>
              </w:rPr>
            </w:pPr>
            <w:r>
              <w:rPr>
                <w:rFonts w:ascii="Arial" w:hAnsi="Arial"/>
                <w:b w:val="1"/>
                <w:i w:val="1"/>
                <w:sz w:val="20"/>
              </w:rPr>
              <w:t>Quantidade</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spacing w:after="0" w:beforeAutospacing="0" w:afterAutospacing="0"/>
              <w:jc w:val="right"/>
              <w:rPr>
                <w:rFonts w:ascii="Arial" w:hAnsi="Arial"/>
                <w:b w:val="1"/>
                <w:i w:val="1"/>
                <w:sz w:val="20"/>
              </w:rPr>
            </w:pPr>
            <w:r>
              <w:rPr>
                <w:rFonts w:ascii="Arial" w:hAnsi="Arial"/>
                <w:b w:val="1"/>
                <w:i w:val="1"/>
                <w:sz w:val="20"/>
              </w:rPr>
              <w:t>Unitário</w:t>
            </w: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spacing w:after="0" w:beforeAutospacing="0" w:afterAutospacing="0"/>
              <w:jc w:val="right"/>
              <w:rPr>
                <w:rFonts w:ascii="Arial" w:hAnsi="Arial"/>
                <w:b w:val="1"/>
                <w:i w:val="1"/>
                <w:sz w:val="20"/>
              </w:rPr>
            </w:pPr>
            <w:r>
              <w:rPr>
                <w:rFonts w:ascii="Arial" w:hAnsi="Arial"/>
                <w:b w:val="1"/>
                <w:i w:val="1"/>
                <w:sz w:val="20"/>
              </w:rPr>
              <w:t>Total</w:t>
            </w: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spacing w:after="0" w:beforeAutospacing="0" w:afterAutospacing="0"/>
              <w:jc w:val="right"/>
              <w:rPr>
                <w:rFonts w:ascii="Arial" w:hAnsi="Arial"/>
                <w:b w:val="1"/>
                <w:i w:val="1"/>
                <w:sz w:val="20"/>
              </w:rPr>
            </w:pPr>
            <w:r>
              <w:rPr>
                <w:rFonts w:ascii="Arial" w:hAnsi="Arial"/>
                <w:b w:val="1"/>
                <w:i w:val="1"/>
                <w:sz w:val="20"/>
              </w:rPr>
              <w:t>Marca/Modelo</w:t>
            </w: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fluência, língua portuguesa professor, Caderno 3  Quantidade de Apostilas 40, com 68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2.720,000000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002</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3, Caderno 1  Quantidade de Apostilas 50,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2.800,000000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003</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aluno, Grupo 1, Caderno 1  Quantidade de Apostilas 80,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10.240,000000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004</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aluno, Grupo 1, Caderno 2  Quantidade de Apostilas 100,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12.800,000000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aluno, Grupo 1, Caderno 3  Quantidade de Apostilas 150,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19.200,000000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006</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aluno, Grupo 1, Caderno 4  Quantidade de Apostilas 150,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19.200,000000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007</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professor, Grupo 1, Caderno 3  Quantidade de Apostilas 40, com 136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5.440,000000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008</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professor, Grupo 1, Caderno 4  Quantidade de Apostilas 40, com 136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5.440,000000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009</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1, Caderno 1  Quantidade de Apostilas 80,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4.480,000000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010</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1, Caderno 2  Quantidade de Apostilas 100,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5.600,000000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011</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1, Caderno 3  Quantidade de Apostilas 150,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8.400,000000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012</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1, Caderno 4  Quantidade de Apostilas 150,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8.400,000000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013</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professor, Grupo 1, Caderno 3  Quantidade de Apostilas 40, com 32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1.280,000000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014</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professor, Grupo 1, Caderno 4  Quantidade de Apostilas 40, com 32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1.280,000000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015</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aluno, Grupo 2, Caderno 1  Quantidade de Apostilas 80,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10.240,000000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016</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aluno, Grupo 2, Caderno 2  Quantidade de Apostilas 60,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7.680,000000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017</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aluno, Grupo 2, Caderno 3  Quantidade de Apostilas 150,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19.200,000000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018</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aluno, Grupo 2, Caderno 4  Quantidade de Apostilas 150,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19.200,000000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019</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professor, Grupo 2, Caderno 3  Quantidade de Apostilas 40, com 224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8.960,000000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020</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lingua portuguesa professor, Grupo 2, Caderno 4  Quantidade de Apostilas 40, com 220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8.800,000000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021</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matamática aluno, Grupo 2, Caderno 1  Quantidade de Apostilas 80,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4.480,000000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022</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2, Caderno 2  Quantidade de Apostilas 60,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3.360,000000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023</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2, Caderno 3  Quantidade de Apostilas 150,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8.400,000000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024</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2, Caderno 4  Quantidade de Apostilas 150,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8.400,000000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025</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professor, Grupo 2, Caderno 3  Quantidade de Apostilas 40, com 64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2.560,000000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026</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professor, Grupo 2, Caderno 4  Quantidade de Apostilas 40, com 68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2.720,000000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027</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aluno, Grupo 3, Caderno 1  Quantidade de Apostilas 50,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6.400,000000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028</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aluno, Grupo 3, Caderno 3  Quantidade de Apostilas 100,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12.800,000000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029</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aluno, Grupo 3, Caderno 4  Quantidade de Apostilas 100, com 128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12.800,000000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030</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professor, Grupo 3, Caderno 3  Quantidade de Apostilas 150, com 116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17.400,000000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031</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professor, Grupo 3, Caderno 4  Quantidade de Apostilas 150, com 116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17.400,000000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032</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3, Caderno 3  Quantidade de Apostilas 100,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5.600,000000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033</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3, Caderno 4  Quantidade de Apostilas 100, com 56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5.600,000000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034</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professor, Grupo 3, Caderno 3  Quantidade de Apostilas 150, com 40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6.000,000000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035</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professor, Grupo 3, Caderno 4  Quantidade de Apostilas 150, com 44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6.600,000000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036</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aluno, Grupo 4, Caderno 1  Quantidade de Apostilas 50, com 112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5.600,000000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037</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aluno, Grupo 4, Caderno 3  Quantidade de Apostilas 100, com 112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11.200,000000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038</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aluno, Grupo 4, Caderno 4  Quantidade de Apostilas 100, com 112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11.200,000000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039</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professor, Grupo 4, Caderno 3  Quantidade de Apostilas 40, com 92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3.680,000000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040</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professor, Grupo 4, Caderno 4  Quantidade de Apostilas 40, com 100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4.000,000000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041</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4, Caderno 1  Quantidade de Apostilas 50, com 84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4.200,000000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042</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4, Caderno 3  Quantidade de Apostilas 100, com 84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8.400,000000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043</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4, Caderno 4  Quantidade de Apostilas 100, com 84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8.400,000000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044</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professor, Grupo 4, Caderno 3  Quantidade de Apostilas 40, com 52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2.080,000000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045</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professor, Grupo 4, Caderno 4  Quantidade de Apostilas 40, com 60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2.400,000000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046</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aluno, Grupo 5, Caderno 1  Quantidade de Apostilas 50, com 80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4.000,000000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047</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aluno, Grupo 5, Caderno 2  Quantidade de Apostilas 40, com 80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unidade</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3.200,000000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048</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aluno, Grupo 5, Caderno 3  Quantidade de Apostilas 100, com 80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8.000,000000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049</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aluno, Grupo 5, Caderno 4  Quantidade de Apostilas 100, com 80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8.000,000000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050</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professor, Grupo 5, Caderno 3  Quantidade de Apostilas 40, com 88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3.520,000000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051</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língua portuguesa professor, Grupo 5, Caderno 4  Quantidade de Apostilas 40, com 96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3.840,000000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052</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5, Caderno 1  Quantidade de Apostilas 50, com 76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3.800,000000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053</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5, Caderno 2  Quantidade de Apostilas 40, com 76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3.040,000000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054</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5, Caderno 3  Quantidade de Apostilas 100, com 76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unidade</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7.600,000000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055</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aluno, Grupo 5, Caderno 4  Quantidade de Apostilas 100, com 76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7.600,000000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056</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professor, Grupo 5, Caderno 3  Quantidade de Apostilas 40, com 100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4.000,000000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057</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matemática professor, Grupo 5, Caderno 4  Quantidade de Apostilas 40, com 92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3.680,000000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058</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fluência, língua portuguesa professor, Caderno 1  Quantidade de Apostilas 40, com 32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1.280,000000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059</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fluência, língua portuguesa professor, Caderno 2  Quantidade de Apostilas 40, com 64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2.560,000000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r>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001</w:t>
            </w:r>
          </w:p>
        </w:tc>
        <w:tc>
          <w:tcPr>
            <w:tcW w:w="70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060</w:t>
            </w:r>
          </w:p>
        </w:tc>
        <w:tc>
          <w:tcPr>
            <w:tcW w:w="9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center"/>
              <w:rPr>
                <w:rFonts w:ascii="Arial" w:hAnsi="Arial"/>
                <w:sz w:val="18"/>
              </w:rPr>
            </w:pPr>
            <w:r>
              <w:rPr>
                <w:rFonts w:ascii="Arial" w:hAnsi="Arial"/>
                <w:sz w:val="18"/>
              </w:rPr>
              <w:t>00513207</w:t>
            </w:r>
          </w:p>
        </w:tc>
        <w:tc>
          <w:tcPr>
            <w:tcW w:w="25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both"/>
              <w:rPr>
                <w:rFonts w:ascii="Arial" w:hAnsi="Arial"/>
                <w:sz w:val="18"/>
              </w:rPr>
            </w:pPr>
            <w:r>
              <w:rPr>
                <w:rFonts w:ascii="Arial" w:hAnsi="Arial"/>
                <w:sz w:val="18"/>
              </w:rPr>
              <w:t>APOSTILA ENCADERNADA</w:t>
              <w:br w:type="textWrapping"/>
              <w:t xml:space="preserve">fluência, língua portuguesa professor, Caderno 4  Quantidade de Apostilas 40, com 64 páginas cada</w:t>
            </w:r>
          </w:p>
        </w:tc>
        <w:tc>
          <w:tcPr>
            <w:tcW w:w="102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rPr>
                <w:rFonts w:ascii="Arial" w:hAnsi="Arial"/>
                <w:sz w:val="18"/>
              </w:rPr>
            </w:pPr>
            <w:r>
              <w:rPr>
                <w:rFonts w:ascii="Arial" w:hAnsi="Arial"/>
                <w:sz w:val="18"/>
              </w:rPr>
              <w:t>página</w:t>
            </w:r>
          </w:p>
        </w:tc>
        <w:tc>
          <w:tcPr>
            <w:tcW w:w="142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18"/>
              </w:rPr>
            </w:pPr>
            <w:r>
              <w:rPr>
                <w:rFonts w:ascii="Arial" w:hAnsi="Arial"/>
                <w:sz w:val="18"/>
              </w:rPr>
              <w:t>2.560,000000</w:t>
            </w:r>
          </w:p>
        </w:tc>
        <w:tc>
          <w:tcPr>
            <w:tcW w:w="115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275"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c>
          <w:tcPr>
            <w:tcW w:w="1560" w:type="dxa"/>
            <w:tcBorders>
              <w:top w:val="single" w:sz="2" w:space="0" w:shadow="0" w:frame="0" w:color="000000"/>
              <w:left w:val="single" w:sz="2" w:space="0" w:shadow="0" w:frame="0" w:color="000000"/>
              <w:bottom w:val="single" w:sz="2" w:space="0" w:shadow="0" w:frame="0" w:color="000000"/>
              <w:right w:val="single" w:sz="2" w:space="0" w:shadow="0" w:frame="0" w:color="000000"/>
            </w:tcBorders>
          </w:tcPr>
          <w:p>
            <w:pPr>
              <w:jc w:val="right"/>
              <w:rPr>
                <w:rFonts w:ascii="Arial" w:hAnsi="Arial"/>
                <w:sz w:val="20"/>
              </w:rPr>
            </w:pPr>
          </w:p>
        </w:tc>
      </w:tr>
    </w:tbl>
    <w:p>
      <w:pPr>
        <w:spacing w:lineRule="auto" w:line="240" w:beforeAutospacing="0" w:afterAutospacing="0"/>
        <w:jc w:val="both"/>
        <w:rPr>
          <w:rFonts w:ascii="Arial" w:hAnsi="Arial"/>
          <w:sz w:val="20"/>
        </w:rPr>
      </w:pPr>
    </w:p>
    <w:p>
      <w:pPr>
        <w:spacing w:lineRule="auto" w:line="240" w:beforeAutospacing="0" w:afterAutospacing="0"/>
        <w:jc w:val="both"/>
        <w:rPr>
          <w:rFonts w:ascii="Arial" w:hAnsi="Arial"/>
          <w:b w:val="1"/>
          <w:sz w:val="20"/>
        </w:rPr>
      </w:pPr>
      <w:r>
        <w:rPr>
          <w:rFonts w:ascii="Arial" w:hAnsi="Arial"/>
          <w:b w:val="1"/>
          <w:sz w:val="20"/>
        </w:rPr>
        <w:t>TERMO DE REFERÊNCIA</w:t>
        <w:tab/>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AQUISIÇÃO DE MATERIAL POR LICITAÇÃO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SECRETARIA REQUISITANTE: SECRETARIA MUNICIPAL DE EDUCAÇÃO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Solicitação Nº: 038/2026</w:t>
      </w:r>
    </w:p>
    <w:p>
      <w:pPr>
        <w:spacing w:lineRule="auto" w:line="240" w:after="16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1. DEFINIÇÃO DO OBJETO</w:t>
      </w:r>
    </w:p>
    <w:p>
      <w:pPr>
        <w:spacing w:lineRule="auto" w:line="240" w:after="160" w:beforeAutospacing="0" w:afterAutospacing="0"/>
        <w:jc w:val="both"/>
        <w:rPr>
          <w:rFonts w:ascii="Arial" w:hAnsi="Arial"/>
          <w:color w:val="auto"/>
          <w:sz w:val="20"/>
          <w:u w:val="none"/>
          <w:shd w:val="clear" w:color="auto" w:fill="FFFFFF"/>
        </w:rPr>
      </w:pPr>
      <w:r>
        <w:rPr>
          <w:rFonts w:ascii="Arial" w:hAnsi="Arial"/>
          <w:b w:val="1"/>
          <w:color w:val="000000"/>
          <w:sz w:val="20"/>
          <w:u w:val="none"/>
          <w:shd w:val="clear" w:color="auto" w:fill="FFFFFF"/>
        </w:rPr>
        <w:t xml:space="preserve">1.1 </w:t>
      </w:r>
      <w:r>
        <w:rPr>
          <w:rFonts w:ascii="Arial" w:hAnsi="Arial"/>
          <w:color w:val="000000"/>
          <w:sz w:val="20"/>
          <w:u w:val="none"/>
          <w:shd w:val="clear" w:color="auto" w:fill="FFFFFF"/>
        </w:rPr>
        <w:t xml:space="preserve">Aquisição de apostilas encadernadas - Material Didático Complementar do Programa Educar pra Valer que será utilizado em turmas dos anos iniciais do Ensino Fundamental no decorrer do ano de 2026, conforme </w:t>
      </w:r>
      <w:r>
        <w:rPr>
          <w:rFonts w:ascii="Arial" w:hAnsi="Arial"/>
          <w:color w:val="auto"/>
          <w:sz w:val="20"/>
          <w:u w:val="none"/>
          <w:shd w:val="clear" w:color="auto" w:fill="FFFFFF"/>
        </w:rPr>
        <w:t>condições e exigências estabelecidas neste instrumento.</w:t>
      </w:r>
    </w:p>
    <w:p>
      <w:pPr>
        <w:spacing w:lineRule="auto" w:line="240" w:after="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1.2 Especificações Técnicas</w:t>
      </w:r>
    </w:p>
    <w:p>
      <w:pPr>
        <w:spacing w:lineRule="auto" w:line="240" w:after="160" w:beforeAutospacing="0" w:afterAutospacing="0"/>
        <w:jc w:val="both"/>
        <w:rPr>
          <w:rFonts w:ascii="Arial" w:hAnsi="Arial"/>
          <w:color w:val="auto"/>
          <w:sz w:val="20"/>
          <w:u w:val="none"/>
          <w:shd w:val="clear" w:color="auto" w:fill="FFFFFF"/>
        </w:rPr>
      </w:pPr>
      <w:r>
        <w:rPr>
          <w:rFonts w:ascii="Arial" w:hAnsi="Arial"/>
          <w:color w:val="auto"/>
          <w:sz w:val="20"/>
          <w:u w:val="none"/>
          <w:shd w:val="clear" w:color="auto" w:fill="FFFFFF"/>
        </w:rPr>
        <w:t>A aquisição pretendida visa atender à demanda da rede pública municipal de ensino de Domingos Martins e requer o estabelecimento de requisitos específicos que garantam a qualidade, a eficiência e a transparência do processo. Abaixo, estão os requisitos apropriados para essa aquisição:</w:t>
      </w:r>
    </w:p>
    <w:p>
      <w:pPr>
        <w:spacing w:lineRule="auto" w:line="240" w:after="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 xml:space="preserve">1.2.1 Qualidade dos Materiais: </w:t>
      </w:r>
    </w:p>
    <w:p>
      <w:pPr>
        <w:spacing w:lineRule="auto" w:line="240" w:after="0" w:beforeAutospacing="0" w:afterAutospacing="0"/>
        <w:jc w:val="both"/>
        <w:rPr>
          <w:rFonts w:ascii="Arial" w:hAnsi="Arial"/>
          <w:color w:val="auto"/>
          <w:sz w:val="20"/>
          <w:u w:val="none"/>
          <w:shd w:val="clear" w:color="auto" w:fill="FFFFFF"/>
        </w:rPr>
      </w:pPr>
      <w:r>
        <w:rPr>
          <w:rFonts w:ascii="Arial" w:hAnsi="Arial"/>
          <w:b w:val="1"/>
          <w:color w:val="auto"/>
          <w:sz w:val="20"/>
          <w:u w:val="none"/>
          <w:shd w:val="clear" w:color="auto" w:fill="FFFFFF"/>
        </w:rPr>
        <w:t xml:space="preserve">1.2.1.1 </w:t>
      </w:r>
      <w:r>
        <w:rPr>
          <w:rFonts w:ascii="Arial" w:hAnsi="Arial"/>
          <w:color w:val="auto"/>
          <w:sz w:val="20"/>
          <w:u w:val="none"/>
          <w:shd w:val="clear" w:color="auto" w:fill="FFFFFF"/>
        </w:rPr>
        <w:t xml:space="preserve">Os cadernos devem ser produzidos com materiais de alta qualidade, incluindo papel resistente e tintas duráveis, garantindo a durabilidade e legibilidade do conteúdo ao longo do tempo. </w:t>
      </w:r>
    </w:p>
    <w:p>
      <w:pPr>
        <w:spacing w:lineRule="auto" w:line="240" w:after="0" w:beforeAutospacing="0" w:afterAutospacing="0"/>
        <w:jc w:val="both"/>
        <w:rPr>
          <w:rFonts w:ascii="Arial" w:hAnsi="Arial"/>
          <w:color w:val="auto"/>
          <w:sz w:val="20"/>
          <w:u w:val="none"/>
          <w:shd w:val="clear" w:color="auto" w:fill="FFFFFF"/>
        </w:rPr>
      </w:pPr>
    </w:p>
    <w:p>
      <w:pPr>
        <w:spacing w:lineRule="auto" w:line="240" w:after="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 xml:space="preserve">1.2.2 Especificações Técnicas: </w:t>
      </w:r>
    </w:p>
    <w:p>
      <w:pPr>
        <w:spacing w:lineRule="auto" w:line="240" w:after="0" w:beforeAutospacing="0" w:afterAutospacing="0"/>
        <w:jc w:val="both"/>
        <w:rPr>
          <w:rFonts w:ascii="Arial" w:hAnsi="Arial"/>
          <w:color w:val="auto"/>
          <w:sz w:val="20"/>
          <w:u w:val="none"/>
          <w:shd w:val="clear" w:color="auto" w:fill="FFFFFF"/>
        </w:rPr>
      </w:pPr>
      <w:r>
        <w:rPr>
          <w:rFonts w:ascii="Arial" w:hAnsi="Arial"/>
          <w:b w:val="1"/>
          <w:color w:val="auto"/>
          <w:sz w:val="20"/>
          <w:u w:val="none"/>
          <w:shd w:val="clear" w:color="auto" w:fill="FFFFFF"/>
        </w:rPr>
        <w:t>1.2.2.1</w:t>
      </w:r>
      <w:r>
        <w:rPr>
          <w:rFonts w:ascii="Arial" w:hAnsi="Arial"/>
          <w:color w:val="auto"/>
          <w:sz w:val="20"/>
          <w:u w:val="none"/>
          <w:shd w:val="clear" w:color="auto" w:fill="FFFFFF"/>
        </w:rPr>
        <w:t xml:space="preserve"> A impressão deve ser realizada em ambas as faces das folhas, em cores nítidas e de alta qualidade, com diagramação clara e atrativa. </w:t>
      </w:r>
    </w:p>
    <w:p>
      <w:pPr>
        <w:spacing w:lineRule="auto" w:line="240" w:after="0" w:beforeAutospacing="0" w:afterAutospacing="0"/>
        <w:jc w:val="both"/>
        <w:rPr>
          <w:rFonts w:ascii="Arial" w:hAnsi="Arial"/>
          <w:color w:val="auto"/>
          <w:sz w:val="20"/>
          <w:u w:val="none"/>
          <w:shd w:val="clear" w:color="auto" w:fill="FFFFFF"/>
        </w:rPr>
      </w:pPr>
      <w:r>
        <w:rPr>
          <w:rFonts w:ascii="Arial" w:hAnsi="Arial"/>
          <w:b w:val="1"/>
          <w:color w:val="auto"/>
          <w:sz w:val="20"/>
          <w:u w:val="none"/>
          <w:shd w:val="clear" w:color="auto" w:fill="FFFFFF"/>
        </w:rPr>
        <w:t>1.2.2.2</w:t>
      </w:r>
      <w:r>
        <w:rPr>
          <w:rFonts w:ascii="Arial" w:hAnsi="Arial"/>
          <w:color w:val="auto"/>
          <w:sz w:val="20"/>
          <w:u w:val="none"/>
          <w:shd w:val="clear" w:color="auto" w:fill="FFFFFF"/>
        </w:rPr>
        <w:t xml:space="preserve"> A impressão será mediante contrato de sigilo, uma vez que, o material é fornecido via link pelo Instituto Bem Comum e SEDU que são detentores exclusivos do material didático que será impresso.</w:t>
      </w:r>
    </w:p>
    <w:p>
      <w:pPr>
        <w:spacing w:lineRule="auto" w:line="240" w:after="0" w:beforeAutospacing="0" w:afterAutospacing="0"/>
        <w:jc w:val="both"/>
        <w:rPr>
          <w:rFonts w:ascii="Arial" w:hAnsi="Arial"/>
          <w:color w:val="000000"/>
          <w:sz w:val="20"/>
          <w:u w:val="none"/>
          <w:shd w:val="clear" w:color="auto" w:fill="FFFFFF"/>
        </w:rPr>
      </w:pP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1.2.2.3 </w:t>
      </w:r>
      <w:r>
        <w:rPr>
          <w:rFonts w:ascii="Arial" w:hAnsi="Arial"/>
          <w:color w:val="000000"/>
          <w:sz w:val="20"/>
          <w:u w:val="none"/>
          <w:shd w:val="clear" w:color="auto" w:fill="FFFFFF"/>
        </w:rPr>
        <w:t xml:space="preserve">O objeto em questão precisa seguir rigorosamente as especificações técnicas descritas abaixo: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a) Os cadernos devem ser confeccionados em formato padrão A4, com capa e contracapa em polipropileno resistente (capa – transparente e contracapa preta – fundo PP) com gramatura mínima de 250g, páginas internas em papel offset ou similar, com gramatura mínima de 75g.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b) Caderno de Atividade Língua Portuguesa - 1 ao 4 - ALUNO - Formato padrão A4, capa e contracapa em polipropileno resistente (capa – transparente e contracapa preta – fundo PP) com gramatura mínima de 250g com acabamento em espiral preto, MIOLO 4x4 em Papel A4 offset ou similar com gramatura mínima de 75g.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 Caderno de Atividade Matemática - 1 ao 4 - ALUNO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d) PROFESSOR - 1 ao 4 - Caderno de Atividade Língua Portuguesa e Matemática - Formato padrão A4, capa e contracapa em polipropileno resistente (capa – transparente e contracapa preta – fundo PP) com gramatura mínima de 250g com acabamento em espiral preto, MIOLO 4x4 em Papel A4 offset ou similar com gramatura mínima de 75g.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e) CADERNO DE FLUÊNCIA - 1 ao 4 - Formato padrão A4, capa e contracapa em polipropileno resistente (capa – transparente e contracapa preta – fundo PP) com gramatura mínima de 250g com acabamento em espiral preto, MIOLO 4x4 em Papel A4 offset ou similar com gramatura mínima de 75g.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f) o modelo de partes dos cadernos estão anexados no ETP </w:t>
      </w:r>
      <w:r>
        <w:rPr>
          <w:rFonts w:ascii="Arial" w:hAnsi="Arial"/>
          <w:b w:val="1"/>
          <w:color w:val="000000"/>
          <w:sz w:val="20"/>
          <w:u w:val="none"/>
          <w:shd w:val="clear" w:color="auto" w:fill="FFFFFF"/>
        </w:rPr>
        <w:t>(e no Anexo VI do edital desta licitação</w:t>
      </w:r>
      <w:r>
        <w:rPr>
          <w:rFonts w:ascii="Arial" w:hAnsi="Arial"/>
          <w:color w:val="000000"/>
          <w:sz w:val="20"/>
          <w:u w:val="none"/>
          <w:shd w:val="clear" w:color="auto" w:fill="FFFFFF"/>
        </w:rPr>
        <w:t xml:space="preserve">) e também disponíveis </w:t>
      </w:r>
      <w:r>
        <w:rPr>
          <w:rFonts w:ascii="Arial" w:hAnsi="Arial"/>
          <w:b w:val="1"/>
          <w:color w:val="000000"/>
          <w:sz w:val="20"/>
          <w:u w:val="none"/>
          <w:shd w:val="clear" w:color="auto" w:fill="FFFFFF"/>
        </w:rPr>
        <w:t xml:space="preserve">para visualização presencial </w:t>
      </w:r>
      <w:r>
        <w:rPr>
          <w:rFonts w:ascii="Arial" w:hAnsi="Arial"/>
          <w:color w:val="000000"/>
          <w:sz w:val="20"/>
          <w:u w:val="none"/>
          <w:shd w:val="clear" w:color="auto" w:fill="FFFFFF"/>
        </w:rPr>
        <w:t>na Secretaria Municipal de Educação – Avenida Koehler, 101, Centro, Domingos Martins – ES, CEP 29260-000.</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1.2.3</w:t>
      </w:r>
      <w:r>
        <w:rPr>
          <w:rFonts w:ascii="Arial" w:hAnsi="Arial"/>
          <w:color w:val="000000"/>
          <w:sz w:val="20"/>
          <w:u w:val="none"/>
          <w:shd w:val="clear" w:color="auto" w:fill="FFFFFF"/>
        </w:rPr>
        <w:t xml:space="preserve"> Sustentabilidade Ambiental: </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1.2.3.1 Deve-se priorizar o uso de papel proveniente de fontes sustentáveis, certificado pelo FSC ou organizações equivalentes, e tintas e materiais de impressão ecologicamente responsáveis. </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1.2.3.2 A licitante deve adotar práticas de produção sustentáveis, minimizando o consumo de recursos naturais e a geração de resíduos. </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1.2.4 </w:t>
      </w:r>
      <w:r>
        <w:rPr>
          <w:rFonts w:ascii="Arial" w:hAnsi="Arial"/>
          <w:color w:val="000000"/>
          <w:sz w:val="20"/>
          <w:u w:val="none"/>
          <w:shd w:val="clear" w:color="auto" w:fill="FFFFFF"/>
        </w:rPr>
        <w:t xml:space="preserve">Capacidade de Produção: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1.2.4.1 A licitante deve possuir capacidade técnica e infraestrutura adequada para atender à demanda estimada, considerando as quantidades de cadernos necessárias para cada série e disciplina. </w:t>
      </w:r>
    </w:p>
    <w:p>
      <w:pPr>
        <w:spacing w:lineRule="auto" w:line="240" w:after="0" w:beforeAutospacing="0" w:afterAutospacing="0"/>
        <w:jc w:val="both"/>
        <w:rPr>
          <w:rFonts w:ascii="Arial" w:hAnsi="Arial"/>
          <w:color w:val="auto"/>
          <w:sz w:val="20"/>
          <w:u w:val="none"/>
          <w:shd w:val="clear" w:color="auto" w:fill="FFFFFF"/>
        </w:rPr>
      </w:pPr>
      <w:r>
        <w:rPr>
          <w:rFonts w:ascii="Arial" w:hAnsi="Arial"/>
          <w:b w:val="1"/>
          <w:color w:val="auto"/>
          <w:sz w:val="20"/>
          <w:u w:val="none"/>
          <w:shd w:val="clear" w:color="auto" w:fill="FFFFFF"/>
        </w:rPr>
        <w:t>1.2.5</w:t>
      </w:r>
      <w:r>
        <w:rPr>
          <w:rFonts w:ascii="Arial" w:hAnsi="Arial"/>
          <w:color w:val="auto"/>
          <w:sz w:val="20"/>
          <w:u w:val="none"/>
          <w:shd w:val="clear" w:color="auto" w:fill="FFFFFF"/>
        </w:rPr>
        <w:t xml:space="preserve"> Prazos de Entrega: </w:t>
      </w:r>
    </w:p>
    <w:p>
      <w:pPr>
        <w:spacing w:lineRule="auto" w:line="240" w:after="160" w:beforeAutospacing="0" w:afterAutospacing="0"/>
        <w:jc w:val="both"/>
        <w:rPr>
          <w:rFonts w:ascii="Arial" w:hAnsi="Arial"/>
          <w:color w:val="auto"/>
          <w:sz w:val="20"/>
          <w:u w:val="none"/>
          <w:shd w:val="clear" w:color="auto" w:fill="FFFFFF"/>
        </w:rPr>
      </w:pPr>
      <w:r>
        <w:rPr>
          <w:rFonts w:ascii="Arial" w:hAnsi="Arial"/>
          <w:color w:val="auto"/>
          <w:sz w:val="20"/>
          <w:u w:val="none"/>
          <w:shd w:val="clear" w:color="auto" w:fill="FFFFFF"/>
        </w:rPr>
        <w:t>1.2.5.1 A entrega será de acordo com a necessidade da Secretaria Municipal de Educação, no prazo de até 30 (trinta) dias, contados a partir da emissão da Autorização de Fornecimento.</w:t>
      </w:r>
    </w:p>
    <w:p>
      <w:pPr>
        <w:spacing w:lineRule="auto" w:line="240" w:after="0" w:beforeAutospacing="0" w:afterAutospacing="0"/>
        <w:jc w:val="both"/>
        <w:rPr>
          <w:rFonts w:ascii="Arial" w:hAnsi="Arial"/>
          <w:color w:val="auto"/>
          <w:sz w:val="20"/>
          <w:u w:val="none"/>
          <w:shd w:val="clear" w:color="auto" w:fill="FFFFFF"/>
        </w:rPr>
      </w:pPr>
      <w:r>
        <w:rPr>
          <w:rFonts w:ascii="Arial" w:hAnsi="Arial"/>
          <w:b w:val="1"/>
          <w:color w:val="auto"/>
          <w:sz w:val="20"/>
          <w:u w:val="none"/>
          <w:shd w:val="clear" w:color="auto" w:fill="FFFFFF"/>
        </w:rPr>
        <w:t xml:space="preserve">1.2.6 </w:t>
      </w:r>
      <w:r>
        <w:rPr>
          <w:rFonts w:ascii="Arial" w:hAnsi="Arial"/>
          <w:color w:val="auto"/>
          <w:sz w:val="20"/>
          <w:u w:val="none"/>
          <w:shd w:val="clear" w:color="auto" w:fill="FFFFFF"/>
        </w:rPr>
        <w:t xml:space="preserve">Transparência e Legalidade: </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1.2.6.1 O processo de contratação deve ser conduzido de acordo com os princípios de transparência, igualdade e legalidade, observando as normas estabelecidas pela legislação vigente, em especial a Lei 14.133/2021, que institui as normas gerais para licitações e contratações públicas.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1.2.6.2 Manter-se, durante toda a execução da aquisição, em compatibilidade com as obrigações assumidas, todas as condições de habilitação e qualificação exigidas na Lei 14.133/2021.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1.2.7</w:t>
      </w:r>
      <w:r>
        <w:rPr>
          <w:rFonts w:ascii="Arial" w:hAnsi="Arial"/>
          <w:color w:val="000000"/>
          <w:sz w:val="20"/>
          <w:u w:val="none"/>
          <w:shd w:val="clear" w:color="auto" w:fill="FFFFFF"/>
        </w:rPr>
        <w:t xml:space="preserve"> Garantia e Suporte: </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1.2.7.1 A licitante deve oferecer garantia de qualidade dos produtos entregues e estar disponível para prestar suporte e resolver eventuais problemas ou questões relacionadas aos cadernos produzidos.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1.2.7.2 O dever previsto no subitem anterior implica na obrigação de, a critério da Administração, substituir, reparar, corrigir, remover, ou reconstruir, às suas expensas, no prazo máximo de 10 (dez) dias, o produto com avarias ou defeitos.</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1.2.8 </w:t>
      </w:r>
      <w:r>
        <w:rPr>
          <w:rFonts w:ascii="Arial" w:hAnsi="Arial"/>
          <w:color w:val="000000"/>
          <w:sz w:val="20"/>
          <w:u w:val="none"/>
          <w:shd w:val="clear" w:color="auto" w:fill="FFFFFF"/>
        </w:rPr>
        <w:t xml:space="preserve">Subcontratação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1.2.8.1 Não é admitida a subcontratação do objeto. </w:t>
      </w: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1.2.9</w:t>
      </w:r>
      <w:r>
        <w:rPr>
          <w:rFonts w:ascii="Arial" w:hAnsi="Arial"/>
          <w:color w:val="000000"/>
          <w:sz w:val="20"/>
          <w:u w:val="none"/>
          <w:shd w:val="clear" w:color="auto" w:fill="FFFFFF"/>
        </w:rPr>
        <w:t xml:space="preserve"> Estimativa das quantidades:</w:t>
      </w:r>
    </w:p>
    <w:tbl>
      <w:tblPr>
        <w:tblW w:w="0" w:type="auto"/>
        <w:tblInd w:w="0" w:type="dxa"/>
        <w:shd w:val="clear" w:fill="FFFFFF"/>
        <w:tblLayout w:type="autofit"/>
      </w:tblPr>
      <w:tblGrid/>
      <w:tr>
        <w:trPr>
          <w:wBefore w:w="0" w:type="dxa"/>
          <w:wAfter w:w="0" w:type="dxa"/>
        </w:trPr>
        <w:tc>
          <w:tcPr>
            <w:tcW w:w="82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GRUPOS / ANO</w:t>
            </w:r>
          </w:p>
        </w:tc>
        <w:tc>
          <w:tcPr>
            <w:tcW w:w="112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CADERNOS ALUNOS</w:t>
            </w:r>
          </w:p>
        </w:tc>
        <w:tc>
          <w:tcPr>
            <w:tcW w:w="124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LÍNGUA PORTUGUESA</w:t>
            </w:r>
          </w:p>
        </w:tc>
        <w:tc>
          <w:tcPr>
            <w:tcW w:w="118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MATEMÁTICA</w:t>
            </w:r>
          </w:p>
        </w:tc>
        <w:tc>
          <w:tcPr>
            <w:tcW w:w="1200"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 PROFESSOR LÍNGUA PORTUGUESA</w:t>
            </w:r>
          </w:p>
        </w:tc>
        <w:tc>
          <w:tcPr>
            <w:tcW w:w="133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 PROFESSOR MATEMÁTICA</w:t>
            </w:r>
          </w:p>
        </w:tc>
        <w:tc>
          <w:tcPr>
            <w:tcW w:w="91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TOTAL CADERNOS</w:t>
            </w:r>
          </w:p>
        </w:tc>
        <w:tc>
          <w:tcPr>
            <w:tcW w:w="750" w:type="dxa"/>
            <w:tcBorders>
              <w:top w:val="single" w:sz="6" w:space="0" w:shadow="0" w:frame="0"/>
              <w:left w:val="single" w:sz="6" w:space="0" w:shadow="0" w:frame="0"/>
              <w:bottom w:val="single" w:sz="6" w:space="0" w:shadow="0" w:frame="0"/>
              <w:right w:val="single" w:sz="6" w:space="0" w:shadow="0" w:frame="0"/>
            </w:tcBorders>
            <w:tcMar>
              <w:top w:w="6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TOTAL CÓPIAS</w:t>
            </w:r>
          </w:p>
        </w:tc>
      </w:tr>
      <w:tr>
        <w:trPr>
          <w:wBefore w:w="0" w:type="dxa"/>
          <w:wAfter w:w="0" w:type="dxa"/>
        </w:trPr>
        <w:tc>
          <w:tcPr>
            <w:tcW w:w="825" w:type="dxa"/>
            <w:vMerge w:val="restart"/>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1</w:t>
            </w: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1</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80 cadernos (10.240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80 cadernos (4.480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160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14.720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2</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(12.800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(5.600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200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18.400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3</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(19.200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(8.400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(5.440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(1.280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380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34.320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4</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(19.200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(8.400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(5.440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(1.280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380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34.320</w:t>
            </w:r>
          </w:p>
        </w:tc>
      </w:tr>
      <w:tr>
        <w:trPr>
          <w:wBefore w:w="0" w:type="dxa"/>
          <w:wAfter w:w="0" w:type="dxa"/>
        </w:trPr>
        <w:tc>
          <w:tcPr>
            <w:tcW w:w="825" w:type="dxa"/>
            <w:vMerge w:val="restart"/>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GRUPO 2</w:t>
            </w: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 1</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80 cadernos (10.240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80 cadernos (4.480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160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14.720</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 2</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60 cadernos (7.680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60 cadernos (3.360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120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11.040</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 3</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150 cadernos (19.200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150 cadernos (8.400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(8.960 cópias)</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(2.560 cópias)</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380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39.120</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 4</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150 cadernos (19.200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150 cadernos (8.400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(8.800 cópias)</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(2.720 cópias)</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380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39.120</w:t>
            </w:r>
          </w:p>
        </w:tc>
      </w:tr>
      <w:tr>
        <w:trPr>
          <w:wBefore w:w="0" w:type="dxa"/>
          <w:wAfter w:w="0" w:type="dxa"/>
        </w:trPr>
        <w:tc>
          <w:tcPr>
            <w:tcW w:w="825" w:type="dxa"/>
            <w:vMerge w:val="restart"/>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3</w:t>
            </w: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1</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 cadernos (6.400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 cadernos (2.800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9.200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2</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3</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(12.800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(5.600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(17.400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(6.000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41.800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4</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(12.800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(5.600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(17.400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(6.600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42.400</w:t>
            </w:r>
          </w:p>
        </w:tc>
      </w:tr>
      <w:tr>
        <w:trPr>
          <w:wBefore w:w="0" w:type="dxa"/>
          <w:wAfter w:w="0" w:type="dxa"/>
        </w:trPr>
        <w:tc>
          <w:tcPr>
            <w:tcW w:w="825" w:type="dxa"/>
            <w:vMerge w:val="restart"/>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GRUPO 4</w:t>
            </w: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 1</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50 cadernos (5.600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50 cadernos (4.200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100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9.800</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 2</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 3</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100 cadernos (11.200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100 cadernos (8.400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(3.680 cópias)</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(2.080 cópias)</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280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25.360</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CADERNO 4</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100 cadernos (11.200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100 cadernos (8.400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(4.000 cópias)</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(2.400 cópias)</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280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26.000</w:t>
            </w:r>
          </w:p>
        </w:tc>
      </w:tr>
      <w:tr>
        <w:trPr>
          <w:wBefore w:w="0" w:type="dxa"/>
          <w:wAfter w:w="0" w:type="dxa"/>
        </w:trPr>
        <w:tc>
          <w:tcPr>
            <w:tcW w:w="825" w:type="dxa"/>
            <w:vMerge w:val="restart"/>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5</w:t>
            </w: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1</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 cadernos (4.000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 cadernos (3.800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7.800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2</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(3.200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(3.040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80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6.240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3</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(8.000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(7.600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(3.520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(4.000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280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23.120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4</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(8.000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(7.600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(3.840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(3.680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280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23.120</w:t>
            </w:r>
          </w:p>
        </w:tc>
      </w:tr>
      <w:tr>
        <w:trPr>
          <w:wBefore w:w="0" w:type="dxa"/>
          <w:wAfter w:w="0" w:type="dxa"/>
        </w:trPr>
        <w:tc>
          <w:tcPr>
            <w:tcW w:w="825" w:type="dxa"/>
            <w:vMerge w:val="restart"/>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98"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198" w:beforeAutospacing="0" w:afterAutospacing="0"/>
              <w:jc w:val="both"/>
              <w:rPr>
                <w:rFonts w:ascii="Arial" w:hAnsi="Arial"/>
                <w:color w:val="000000"/>
                <w:sz w:val="20"/>
                <w:u w:val="none"/>
              </w:rPr>
            </w:pPr>
            <w:r>
              <w:rPr>
                <w:rFonts w:ascii="Arial" w:hAnsi="Arial"/>
                <w:color w:val="000000"/>
                <w:sz w:val="20"/>
                <w:u w:val="none"/>
              </w:rPr>
              <w:t>FLUÊNCIA</w:t>
            </w:r>
          </w:p>
        </w:tc>
        <w:tc>
          <w:tcPr>
            <w:tcW w:w="112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GRUPO 1</w:t>
            </w:r>
          </w:p>
        </w:tc>
        <w:tc>
          <w:tcPr>
            <w:tcW w:w="2535" w:type="dxa"/>
            <w:gridSpan w:val="2"/>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(1.280 cópias)</w:t>
            </w:r>
          </w:p>
        </w:tc>
        <w:tc>
          <w:tcPr>
            <w:tcW w:w="1200"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133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91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w:t>
            </w:r>
          </w:p>
        </w:tc>
        <w:tc>
          <w:tcPr>
            <w:tcW w:w="750" w:type="dxa"/>
            <w:tcBorders>
              <w:left w:val="single" w:sz="6" w:space="0" w:shadow="0" w:frame="0"/>
              <w:bottom w:val="single" w:sz="6" w:space="0" w:shadow="0" w:frame="0"/>
              <w:right w:val="single" w:sz="6" w:space="0" w:shadow="0" w:frame="0"/>
            </w:tcBorders>
            <w:shd w:val="clear" w:color="auto" w:fill="FFFFFF"/>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1.280</w:t>
            </w:r>
          </w:p>
        </w:tc>
      </w:tr>
      <w:tr>
        <w:trPr>
          <w:wBefore w:w="0" w:type="dxa"/>
          <w:wAfter w:w="0" w:type="dxa"/>
        </w:trPr>
        <w:tc>
          <w:tcPr>
            <w:tcW w:w="825" w:type="dxa"/>
            <w:vMerge w:val="continue"/>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GRUPO 2</w:t>
            </w:r>
          </w:p>
        </w:tc>
        <w:tc>
          <w:tcPr>
            <w:tcW w:w="2535" w:type="dxa"/>
            <w:gridSpan w:val="2"/>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(2.560 cópias)</w:t>
            </w:r>
          </w:p>
        </w:tc>
        <w:tc>
          <w:tcPr>
            <w:tcW w:w="1200"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133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91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w:t>
            </w:r>
          </w:p>
        </w:tc>
        <w:tc>
          <w:tcPr>
            <w:tcW w:w="750" w:type="dxa"/>
            <w:tcBorders>
              <w:left w:val="single" w:sz="6" w:space="0" w:shadow="0" w:frame="0"/>
              <w:bottom w:val="single" w:sz="6" w:space="0" w:shadow="0" w:frame="0"/>
              <w:right w:val="single" w:sz="6" w:space="0" w:shadow="0" w:frame="0"/>
            </w:tcBorders>
            <w:shd w:val="clear" w:color="auto" w:fill="FFFFFF"/>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2.560</w:t>
            </w:r>
          </w:p>
        </w:tc>
      </w:tr>
      <w:tr>
        <w:trPr>
          <w:wBefore w:w="0" w:type="dxa"/>
          <w:wAfter w:w="0" w:type="dxa"/>
        </w:trPr>
        <w:tc>
          <w:tcPr>
            <w:tcW w:w="825" w:type="dxa"/>
            <w:vMerge w:val="continue"/>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GRUPO 3</w:t>
            </w:r>
          </w:p>
        </w:tc>
        <w:tc>
          <w:tcPr>
            <w:tcW w:w="2535" w:type="dxa"/>
            <w:gridSpan w:val="2"/>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(2.720 cópias)</w:t>
            </w:r>
          </w:p>
        </w:tc>
        <w:tc>
          <w:tcPr>
            <w:tcW w:w="1200"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133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91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w:t>
            </w:r>
          </w:p>
        </w:tc>
        <w:tc>
          <w:tcPr>
            <w:tcW w:w="750" w:type="dxa"/>
            <w:tcBorders>
              <w:left w:val="single" w:sz="6" w:space="0" w:shadow="0" w:frame="0"/>
              <w:bottom w:val="single" w:sz="6" w:space="0" w:shadow="0" w:frame="0"/>
              <w:right w:val="single" w:sz="6" w:space="0" w:shadow="0" w:frame="0"/>
            </w:tcBorders>
            <w:shd w:val="clear" w:color="auto" w:fill="FFFFFF"/>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2.720</w:t>
            </w:r>
          </w:p>
        </w:tc>
      </w:tr>
      <w:tr>
        <w:trPr>
          <w:wBefore w:w="0" w:type="dxa"/>
          <w:wAfter w:w="0" w:type="dxa"/>
        </w:trPr>
        <w:tc>
          <w:tcPr>
            <w:tcW w:w="825" w:type="dxa"/>
            <w:vMerge w:val="continue"/>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rPr>
                <w:rFonts w:ascii="Arial" w:hAnsi="Arial"/>
                <w:color w:val="000000"/>
                <w:sz w:val="20"/>
              </w:rPr>
            </w:pPr>
          </w:p>
        </w:tc>
        <w:tc>
          <w:tcPr>
            <w:tcW w:w="112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GRUPO 4</w:t>
            </w:r>
          </w:p>
        </w:tc>
        <w:tc>
          <w:tcPr>
            <w:tcW w:w="2535" w:type="dxa"/>
            <w:gridSpan w:val="2"/>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 cadernos (2.560 cópias)</w:t>
            </w:r>
          </w:p>
        </w:tc>
        <w:tc>
          <w:tcPr>
            <w:tcW w:w="1200"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133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w:t>
            </w:r>
          </w:p>
        </w:tc>
        <w:tc>
          <w:tcPr>
            <w:tcW w:w="91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40</w:t>
            </w:r>
          </w:p>
        </w:tc>
        <w:tc>
          <w:tcPr>
            <w:tcW w:w="750" w:type="dxa"/>
            <w:tcBorders>
              <w:left w:val="single" w:sz="6" w:space="0" w:shadow="0" w:frame="0"/>
              <w:bottom w:val="single" w:sz="6" w:space="0" w:shadow="0" w:frame="0"/>
              <w:right w:val="single" w:sz="6" w:space="0" w:shadow="0" w:frame="0"/>
            </w:tcBorders>
            <w:shd w:val="clear" w:color="auto" w:fill="FFFFFF"/>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2.560</w:t>
            </w:r>
          </w:p>
        </w:tc>
      </w:tr>
      <w:tr>
        <w:trPr>
          <w:wBefore w:w="0" w:type="dxa"/>
          <w:wAfter w:w="0" w:type="dxa"/>
        </w:trPr>
        <w:tc>
          <w:tcPr>
            <w:tcW w:w="7500" w:type="dxa"/>
            <w:gridSpan w:val="6"/>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TOTAL</w:t>
            </w:r>
          </w:p>
        </w:tc>
        <w:tc>
          <w:tcPr>
            <w:tcW w:w="91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4.820</w:t>
            </w:r>
          </w:p>
        </w:tc>
        <w:tc>
          <w:tcPr>
            <w:tcW w:w="750" w:type="dxa"/>
            <w:tcBorders>
              <w:left w:val="single" w:sz="6" w:space="0" w:shadow="0" w:frame="0"/>
              <w:bottom w:val="single" w:sz="6" w:space="0" w:shadow="0" w:frame="0"/>
              <w:right w:val="single" w:sz="6" w:space="0" w:shadow="0" w:frame="0"/>
            </w:tcBorders>
            <w:shd w:val="clear" w:color="auto" w:fill="FFFFFF"/>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rPr>
            </w:pPr>
            <w:r>
              <w:rPr>
                <w:rFonts w:ascii="Arial" w:hAnsi="Arial"/>
                <w:color w:val="000000"/>
                <w:sz w:val="20"/>
                <w:u w:val="none"/>
              </w:rPr>
              <w:t>429.720</w:t>
            </w:r>
          </w:p>
        </w:tc>
      </w:tr>
    </w:tbl>
    <w:p>
      <w:pPr>
        <w:spacing w:lineRule="auto" w:line="240" w:after="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1.3 Da natureza do objeto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Os bens objeto desta solicitação são caracterizados como comuns, com características e especificações usuais de mercado (ou de baixa complexidade) e não se enquadram como sendo de luxo.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2. DESCRIÇÃO DA SOLUÇÃO COM UM TODO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2.1 A solução proposta para atender às necessidades da Secretaria de Educação do Município de Domingos Martins - ES consiste na contratação de uma empresa especializada para a produção e reprodução de material didático-pedagógico para alunos dos 1º ao 5º anos nas disciplinas de Língua Portuguesa e Matemática.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Este material, que inclui impressão gráfica colorida, visa fornecer recursos educacionais de alta qualidade, essenciais para o aprimoramento das habilidades acadêmicas dos alunos.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O projeto abrange não apenas a produção e entrega dos materiais educativos, mas também a elaboração de orientações específicas para professores.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A solução cumpre os princípios fundamentais da Lei nº 14.133/2021, garantindo eficiência, economicidade e o interesse público.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A escolha pela modalidade de Pregão Eletrônico reforça a competitividade e a obtenção da melhor proposta, alinhando-se com os resultados pretendidos de melhoria na qualidade do ensino e na sustentabilidade dos métodos avaliativos.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Nesse contexto, a SECEDU, enquanto órgão responsável pela gestão da política educacional municipal, detém o conhecimento técnico-pedagógico necessário para acompanhar a distribuição dos materiais didáticos personalizados, compatíveis com a realidade local e com as diretrizes curriculares vigentes. Tal personalização é indispensável para garantir a efetividade do processo de alfabetização, considerando as especificidades do público atendido e os objetivos de aprendizagem estabelecidos.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Além disso, a produção das apostilas pela própria Secretaria assegura maior controle sobre a qualidade do conteúdo, a adequação metodológica e a coerência com o planejamento pedagógico da rede de ensino. Isso também favorece a integração entre o material didático e as práticas docentes, servindo como instrumento de apoio direto aos professores na preparação de aulas e na condução dos processos avaliativos.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Portanto, a limitação da contratação à SECEDU mostra-se justificada pela singularidade do objeto, pela necessidade de customização do material e pela garantia de alinhamento às políticas públicas educacionais locais, não sendo viável a sua execução por terceiros sem o comprometimento da qualidade e da adequação pedagógica pretendidas. </w:t>
      </w:r>
    </w:p>
    <w:p>
      <w:pPr>
        <w:spacing w:lineRule="auto" w:line="240" w:after="160" w:beforeAutospacing="0" w:afterAutospacing="0"/>
        <w:jc w:val="both"/>
        <w:rPr>
          <w:rFonts w:ascii="Arial" w:hAnsi="Arial"/>
          <w:color w:val="000000"/>
          <w:sz w:val="20"/>
        </w:rPr>
      </w:pP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xml:space="preserve">3. VIGÊNCIA </w:t>
      </w:r>
    </w:p>
    <w:p>
      <w:pPr>
        <w:spacing w:lineRule="auto" w:line="240" w:after="0" w:beforeAutospacing="0" w:afterAutospacing="0"/>
        <w:jc w:val="both"/>
        <w:rPr>
          <w:rFonts w:ascii="Arial" w:hAnsi="Arial"/>
          <w:color w:val="auto"/>
          <w:sz w:val="20"/>
          <w:u w:val="none"/>
          <w:shd w:val="clear" w:color="auto" w:fill="FFFFFF"/>
        </w:rPr>
      </w:pPr>
      <w:r>
        <w:rPr>
          <w:rFonts w:ascii="Arial" w:hAnsi="Arial"/>
          <w:color w:val="auto"/>
          <w:sz w:val="20"/>
          <w:u w:val="none"/>
          <w:shd w:val="clear" w:color="auto" w:fill="FFFFFF"/>
        </w:rPr>
        <w:t>3.1 O prazo de vigência da Ata de registro de preços será de 1 (um) ano e poderá ser prorrogado por igual período, desde que comprovado o preço vantajoso, nos termos do art. 84, caput, da Lei Federal n° 14.133/2021.</w:t>
      </w:r>
    </w:p>
    <w:p>
      <w:pPr>
        <w:spacing w:lineRule="auto" w:line="240" w:after="0" w:beforeAutospacing="0" w:afterAutospacing="0"/>
        <w:jc w:val="both"/>
        <w:rPr>
          <w:rFonts w:ascii="Arial" w:hAnsi="Arial"/>
          <w:b w:val="0"/>
          <w:color w:val="auto"/>
          <w:sz w:val="20"/>
          <w:u w:val="none"/>
          <w:shd w:val="clear" w:color="auto" w:fill="FFFFFF"/>
        </w:rPr>
      </w:pPr>
      <w:r>
        <w:rPr>
          <w:rFonts w:ascii="Arial" w:hAnsi="Arial"/>
          <w:b w:val="0"/>
          <w:color w:val="auto"/>
          <w:sz w:val="20"/>
          <w:u w:val="none"/>
          <w:shd w:val="clear" w:color="auto" w:fill="FFFFFF"/>
        </w:rPr>
        <w:t>3.1.1 Em caso de prorrogação da vigência da ata de registro de preços, poderão ser restabelecidos os quantitativos inicialmente fixados na licitação.</w:t>
      </w:r>
    </w:p>
    <w:p>
      <w:pPr>
        <w:spacing w:lineRule="auto" w:line="240" w:after="0" w:beforeAutospacing="0" w:afterAutospacing="0"/>
        <w:jc w:val="both"/>
        <w:rPr>
          <w:rFonts w:ascii="Arial" w:hAnsi="Arial"/>
          <w:b w:val="0"/>
          <w:color w:val="auto"/>
          <w:sz w:val="20"/>
          <w:u w:val="none"/>
          <w:shd w:val="clear" w:color="auto" w:fill="FFFFFF"/>
        </w:rPr>
      </w:pPr>
      <w:r>
        <w:rPr>
          <w:rFonts w:ascii="Arial" w:hAnsi="Arial"/>
          <w:b w:val="0"/>
          <w:color w:val="auto"/>
          <w:sz w:val="20"/>
          <w:u w:val="none"/>
          <w:shd w:val="clear" w:color="auto" w:fill="FFFFFF"/>
        </w:rPr>
        <w:t xml:space="preserve">3.1.2 Nos termos do art. 84, parágrafo único, da Lei Federal n° 14.133/2021, o prazo de vigência dos contratos decorrentes do Sistema de Registro de Preços não se confunde com aquele da Ata de registro de preços, mas deverá ser assinado durante a vigência da Ata e terá sua vigência estabelecida em conformidade com as disposições nela contidas. </w:t>
      </w:r>
    </w:p>
    <w:p>
      <w:pPr>
        <w:spacing w:lineRule="auto" w:line="240" w:after="0" w:beforeAutospacing="0" w:afterAutospacing="0"/>
        <w:jc w:val="both"/>
        <w:rPr>
          <w:rFonts w:ascii="Arial" w:hAnsi="Arial"/>
          <w:b w:val="0"/>
          <w:color w:val="FF0000"/>
          <w:sz w:val="20"/>
          <w:u w:val="none"/>
          <w:shd w:val="clear" w:color="auto" w:fill="FFFFFF"/>
        </w:rPr>
      </w:pP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3.2 Os preços serão fixos e irreajustáveis no prazo de 12 (doze) meses, contados da data do orçamento estimado para a contratação definido pela Prefeitura.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3.3 Os preços contratados poderão sofrer reajuste após o prazo de 12 (doze) meses, contados da data do orçamento estimado para a contratação definido pela Prefeitura, aplicando-se o índice IPCA (IBGE).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3.4 Caso o índice estabelecido para o reajustamento venha a ser extinto ou de qualquer forma não possa mais ser utilizado, será adotado, em substituição, o que vier a ser determinado pela legislação em vigor.</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3.5 Na ausência de previsão legal quanto ao índice substituto, as partes elegerão novo índice oficial para o reajustamento do preço do valor remanescente, por meio de termo aditivo.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3.6 Em caso de eventual reajuste subsequente ao primeiro, o interregno mínimo de 12 (doze) meses, será contado a partir dos efeitos financeiros do último reajuste.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3.7 Os reajustes deverão ser precedidos de solicitação da contratada, logo após a conclusão do período aquisitivo.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3.8 Caso a contratada não solicite tempestivamente o reajuste e prorrogue a contratação sem pleiteá-lo, ocorrerá a preclusão lógica do direito ao mesmo.</w:t>
      </w:r>
    </w:p>
    <w:p>
      <w:pPr>
        <w:spacing w:lineRule="auto" w:line="240" w:after="16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4. FUNDAMENTAÇÃO E DESCRIÇÃO DA NECESSIDADE DA CONTRATAÇÃO (art. 6º, inciso XXIII, alínea “b” da Lei nº14.133/2021)</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De acordo com os Resultados do Programa de avaliação da Educação Básica do Espírito Santo - PAEBES e PAEBES/ALFA, o município de Domingos Martins precisa de ações para a melhoria da aprendizagem.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O inciso V do art. 12 da Lei de Diretrizes e Bases da Educação Nacional - LDB, Lei 9.394, de 20-12-1996, o qual estabelece que os estabelecimentos de ensino, respeitadas as normas comuns e as do seu sistema de ensino, terão a incumbência de prover meios para a recuperação dos estudantes de menor rendimento; Essa medida é importante para promover a inclusão e garantir que todos os estudantes tenham a oportunidade de alcançar o sucesso escolar.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O compromisso estabelecido no Plano Municipal de Educação 2015-2025, de oferecer uma educação de excelência com equidade para os estudantes da rede municipal de educação, visando promover efetiva igualdade de oportunidades, que ao longo do processo de ensino e aprendizagem, tem-se reconhecido a fragilidade de alguns estudantes na apropriação dos conhecimentos próprios da leitura, escrita e conceitos matemáticos.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A confecção das apostilas tem por finalidade proporcionar aos alunos da Educação Infantil e primeiros anos do Ensino Fundamental I (1º ao 5º ano), um material que atenda às suas necessidades ao longo do processo de alfabetização, trazendo conteúdos elaborados de acordo com os eixos da BNCC e de acordo com a realidade dos nossos alunos.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O material é elaborado de forma personalizada, atendendo, assim, a realidade do Município, o que serve de apoio para que os professores possam preparar suas aulas de modo a alcançar melhores resultados em seus processos avaliativos.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Além disso, o investimento na aquisição deste material abrange não somente os alunos, mas os professores também são contemplados com materiais elaborados para eles, além de capacitações ao longo do ano, com propostas de dinâmicas e atividades para serem trabalhados.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O material de apoio a ser adquirido facilita o trabalho com as diversas áreas do conhecimento por meio de uma linguagem atual, reflexiva e motivadora para professores e alunos da Educação Infantil e Ensino Fundamental.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Planejado para a sala de aula, adequado aos tempos letivos e com foco no aprendizado em uma proposta atualizada, completa e inovadora em organização e conteúdo.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Além disso, o material didático atua como um eixo norteador para toda a Rede Municipal de Ensino, promovendo a uniformização da Educação Municipal.</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5. REQUISITOS DA AQUISIÇÃO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 A aquisição pretendida visa atender à demanda da rede pública municipal de ensino de Domingos Martins e requer o estabelecimento de requisitos específicos que garantam a qualidade, a eficiência e a transparência do processo. Abaixo, estão os requisitos apropriados para essa aquisição:</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5.2 Qualidade dos Materiais: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5.2.1 Os cadernos devem ser produzidos com materiais de alta qualidade, incluindo papel resistente e tintas duráveis, garantindo a durabilidade e legibilidade do conteúdo ao longo do tempo.</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5.3 Especificações Técnicas:</w:t>
      </w:r>
    </w:p>
    <w:p>
      <w:pPr>
        <w:spacing w:lineRule="auto" w:line="240" w:after="0" w:beforeAutospacing="0" w:afterAutospacing="0"/>
        <w:jc w:val="both"/>
        <w:rPr>
          <w:rFonts w:ascii="Arial" w:hAnsi="Arial"/>
          <w:b w:val="0"/>
          <w:color w:val="000000"/>
          <w:sz w:val="20"/>
          <w:u w:val="none"/>
          <w:shd w:val="clear" w:color="auto" w:fill="FFFFFF"/>
        </w:rPr>
      </w:pPr>
    </w:p>
    <w:p>
      <w:pPr>
        <w:spacing w:lineRule="auto" w:line="240" w:after="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 xml:space="preserve">5.3.1 A impressão deve ser realizada em ambas as faces das folhas, em cores nítidas e de alta qualidade, com diagramação clara e atrativa. </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xml:space="preserve">5.3.1.1 A impressão será mediante contrato de sigilo, uma vez que o material é fornecido via link do Ministério da Educação que é detentor exclusivo do material didático que será impresso. </w:t>
      </w:r>
    </w:p>
    <w:p>
      <w:pPr>
        <w:spacing w:lineRule="auto" w:line="240" w:after="0" w:beforeAutospacing="0" w:afterAutospacing="0"/>
        <w:jc w:val="both"/>
        <w:rPr>
          <w:rFonts w:ascii="Arial" w:hAnsi="Arial"/>
          <w:b w:val="1"/>
          <w:color w:val="000000"/>
          <w:sz w:val="20"/>
          <w:u w:val="none"/>
          <w:shd w:val="clear" w:color="auto" w:fill="FFFFFF"/>
        </w:rPr>
      </w:pP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5.3.2 O objeto em questão precisa seguir rigorosamente as especificações técnicas descritas abaixo: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a) Os cadernos devem ser confeccionados em formato padrão A4, com capa e contracapa em polipropileno resistente (capa – transparente e contracapa preta – fundo PP) com gramatura mínima de 250g, páginas internas em papel offset ou similar, com gramatura mínima de 75g.</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b) Caderno de Atividade Língua Portuguesa - 1 ao 4 - ALUNO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 Caderno de Atividade Matemática - 1 ao 4 - ALUNO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d) PROFESSOR - 1 ao 4 - Caderno de Atividade Língua Portuguesa e Matemática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e) CADERNO DE FLUÊNCIA - 1 ao 4 -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5.5 Sustentabilidade Ambiental</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5.5.1 Deve-se priorizar o uso de papel proveniente de fontes sustentáveis, certificado pelo FSC ou organizações equivalentes, e tintas e materiais de impressão ecologicamente responsáveis.</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5.5.2 A licitante deve adotar práticas de produção sustentáveis, minimizando o consumo de recursos naturais e a geração de resíduos.</w:t>
      </w:r>
    </w:p>
    <w:p>
      <w:pPr>
        <w:spacing w:lineRule="auto" w:line="240" w:after="0" w:beforeAutospacing="0" w:afterAutospacing="0"/>
        <w:jc w:val="both"/>
        <w:rPr>
          <w:rFonts w:ascii="Arial" w:hAnsi="Arial"/>
          <w:color w:val="000000"/>
          <w:sz w:val="20"/>
          <w:u w:val="none"/>
          <w:shd w:val="clear" w:color="auto" w:fill="FFFFFF"/>
        </w:rPr>
      </w:pP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5.6 Capacidade de Produção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5.6.1 A licitante deve possuir capacidade técnica e infraestrutura adequada para atender à demanda estimada, considerando as quantidades de cadernos necessárias para cada série e disciplina.</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5.7 Prazos de Entrega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5.7.1 A entrega será em uma única parcela do material que for solicitado na Autorização de Fornecimeto (AF), e com prazo de 30 (trinta) dias.</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5.8 Transparência e Legalidade:</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5.8.1 O processo de contratação deve ser conduzido de acordo com os princípios de transparência, igualdade e legalidade, observando as normas estabelecidas pela legislação vigente, em especial a Lei 14.133/2021, que institui as normas gerais para licitações e contratações públicas.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5.8.2 Manter-se, durante toda a execução da aquisição, em compatibilidade com as obrigações assumidas, todas as condições de habilitação e qualificação exigidas na Lei 14.133/2021.</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5.9 Garantia e Suporte</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5.9.1 A licitante deve oferecer garantia de qualidade dos produtos entregues e estar disponível para prestar suporte e resolver eventuais problemas ou questões relacionadas aos cadernos produzidos.</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5.9.2 O dever previsto no subitem anterior implica na obrigação de, a critério da Administração, substituir, reparar, corrigir, remover, ou reconstruir, às suas expensas, no prazo máximo de 10 (dez) dias, o produto com avarias ou defeitos.</w:t>
      </w:r>
    </w:p>
    <w:p>
      <w:pPr>
        <w:spacing w:lineRule="auto" w:line="240" w:after="0" w:beforeAutospacing="0" w:afterAutospacing="0"/>
        <w:jc w:val="both"/>
        <w:rPr>
          <w:rFonts w:ascii="Arial" w:hAnsi="Arial"/>
          <w:color w:val="000000"/>
          <w:sz w:val="20"/>
          <w:u w:val="none"/>
          <w:shd w:val="clear" w:color="auto" w:fill="FFFFFF"/>
        </w:rPr>
      </w:pP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5.10 Subcontratação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5.10.1 Não é admitida a subcontratação do objeto.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5.11 Apresentação de Amostra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5.11.1 Havendo o aceite da proposta quanto ao valor, o interessado classificado provisoriamente em primeiro lugar deverá apresentar amostra, conforme especificado no subitem 5.3.2, que terá data, local e horário de sua realização, divulgados por mensagem no sistema, cuja presença será facultada a todos os interessados, incluindo os demais fornecedores interessados.</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5.11.2 Serão exigidos amostras dos seguintes itens: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Item 03 – Apostila encadernada língua portuguesa aluno, Grupo 1, caderno 1;</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Item 09 – Apostila encadernada matemática aluno, Grupo 1, caderno 1;</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Item 13 – Apostila encadernada matemática professor, Grupo 1, caderno 3; 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Item 01 – Apostila encadernada fluência, língua portuguesa professor, caderno 3.</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5.11.3 As amostras deverão ser entregues no endereço identificado a seguir, no prazo limite de 5 (cinco) dias, contados da convocação, sendo que a contratada assume total responsabilidade pelo envio e por eventual atraso na entrega.</w:t>
      </w:r>
    </w:p>
    <w:p>
      <w:pPr>
        <w:spacing w:lineRule="auto" w:line="240" w:after="0" w:beforeAutospacing="0" w:afterAutospacing="0"/>
        <w:rPr>
          <w:rFonts w:ascii="Arial" w:hAnsi="Arial"/>
          <w:b w:val="1"/>
          <w:color w:val="000000"/>
          <w:sz w:val="20"/>
          <w:u w:val="none"/>
          <w:shd w:val="clear" w:color="auto" w:fill="FFFFFF"/>
        </w:rPr>
      </w:pPr>
      <w:r>
        <w:rPr>
          <w:rFonts w:ascii="Arial" w:hAnsi="Arial"/>
          <w:b w:val="1"/>
          <w:color w:val="000000"/>
          <w:sz w:val="20"/>
          <w:u w:val="none"/>
          <w:shd w:val="clear" w:color="auto" w:fill="FFFFFF"/>
        </w:rPr>
        <w:t>Endereço:</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Secretaria Municipal de Educação</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Avenida Koehler, nº 116, Centro, Domingos Martins – ES, CEP 29260-000.</w:t>
      </w:r>
    </w:p>
    <w:p>
      <w:pPr>
        <w:spacing w:lineRule="auto" w:line="240" w:after="0" w:beforeAutospacing="0" w:afterAutospacing="0"/>
        <w:jc w:val="both"/>
        <w:rPr>
          <w:rFonts w:ascii="Arial" w:hAnsi="Arial"/>
          <w:color w:val="000000"/>
          <w:sz w:val="20"/>
          <w:u w:val="none"/>
          <w:shd w:val="clear" w:color="auto" w:fill="FFFFFF"/>
        </w:rPr>
      </w:pP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5.11.4 É facultada a prorrogação do prazo estabelecido, a partir de solicitação fundamentada pelo interessado, antes de findo o prazo, que será submetida à aprovação do Município.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5.11.5 No caso de não haver entrega da amostra ou ocorrer atraso na entrega, sem justificativa aceita, ou havendo entrega de amostra fora das especificações previstas, a proposta será recusada.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5.11.6 Serão avaliados os seguintes aspectos e padrões mínimos de aceitabilidade: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Itens (03, 09, 13, 01): qualidade e cor da capa, contracapa e espiral se está de acordo com o solicitado neste Termo de Referência e ETP; qualidade de impressão e qualidade do papel.</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5.11.7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5.11.7.1 Caso a(s) amostra(s) apresentada(s) possuam mínima divergência em relação aos critérios de avaliação adotados, ficará sob juízo de mérito da Secretaria solicitante e do Agente de Contratação abrir diligência ao licitante para adequação, desde que não se altere a substância da proposta, tampouco da amostra apresentada.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5.11.8 Os exemplares colocados à disposição da Administração serão tratados como protótipos, podendo ser manuseados e desmontados pela equipe técnica responsável pela análise, não gerando direito a ressarcimento.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5.11.9 Após a divulgação do resultado final do certame, as amostras entregues que foram reprovadas, deverão ser recolhidas pelos fornecedores no prazo de 03 (três) dias, após o qual poderão ser descartadas pela Administração, sem direito a ressarcimento.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5.11.10 As amostras aprovadas ficarão de posse do Município para conferência por ocasião da entrega dos bens.</w:t>
      </w:r>
    </w:p>
    <w:p>
      <w:pPr>
        <w:spacing w:lineRule="auto" w:line="240" w:after="16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6. CONDIÇÕES DE ENTREGA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 O objeto deste Termo de Referência deverá ser entregue no prazo de 30 (trinta) dias, contados do recebimento da Autorização de Fornecimento, em parcela única.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6.2 Ocorrendo fato superveniente, no qual o fornecedor não possa realizar a entrega no prazo especificado, deverá comunicar as razões respectivas com, pelo menos, 02 (dois) dias úteis de antecedência, com a formalização de solicitação de prorrogação de prazo e documentos comprobatórios, para análise e decisão da Administração, observando-se o preceito da razoabilidade e considerando-se os prejuízos à Prefeitura, ressalvadas situações de caso fortuito e força maior.</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6.3 Caso a entrega não seja efetuada no prazo estabelecido, e não havendo justificativa aceita pela Administração, o fornecedor sujeitar-se-á às penalidades decorrentes deste fato.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6.4 Os bens deverão ser entregues no seguinte endereço:</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Almoxarifado da Secretaria Municipal de Educação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Avenida Presidente Vargas, 242, Centro, Domingos Martins – ES, CEP 29260-000.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6.5 O transporte e a entrega dos bens no(s) local(is) indicado(s) acima são de responsabilidade do fornecedor.</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6.6 A entrega deverá ser realizada pelo fornecedor em dias úteis, obedecendo ao horário de funcionamento da Prefeitura, com início a partir das 08 horas e encerramento, no máximo, às 16 horas.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6.7 A Prefeitura não se obriga ao recebimento dos bens em horários ou dias em que não há expediente nas repartições públicas municipais.</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6.8 Os bens deverão ser entregues embalados com plástico ou plástico filme PVC transparente por grupo (GRUPO 1, GRUPO 2, GRUPO 3, GRUPO 4, GRUPO 5 e FLUÊNCIA), sem avarias, identificados com informações precisas, corretas, claras e em língua portuguesa.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6.9 Será recusado produto deteriorado, adulterado, avariado, corrompido, fraudado, bem como aquele em desacordo com as normas regulamentares de fabricação e distribuição.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6.10 Os bens objeto deste Termo de Referência serão recebidos: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6.10.1 Provisoriamente, de forma sumária, pelo responsável por seu acompanhamento e fiscalização, com verificação posterior da conformidade do material com as exigências e especificações solicitadas.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6.10.2 O recebimento provisório está voltado à conferência de volumes, confrontando-se Nota Fiscal do fornecedor com os respectivos registros e controles de compra.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6.10.3 Definitivamente, por servidor ou comissão designada pela autoridade competente, em até 03 (três) dias úteis, contados do recebimento provisório.</w:t>
      </w:r>
    </w:p>
    <w:p>
      <w:pPr>
        <w:spacing w:lineRule="auto" w:line="240" w:before="0" w:after="160" w:beforeAutospacing="0" w:afterAutospacing="0"/>
        <w:ind w:left="708" w:right="0"/>
        <w:jc w:val="both"/>
        <w:rPr>
          <w:rFonts w:ascii="Arial" w:hAnsi="Arial"/>
          <w:color w:val="000000"/>
          <w:sz w:val="20"/>
          <w:u w:val="none"/>
          <w:shd w:val="clear" w:color="auto" w:fill="FFFFFF"/>
        </w:rPr>
      </w:pPr>
      <w:r>
        <w:rPr>
          <w:rFonts w:ascii="Arial" w:hAnsi="Arial"/>
          <w:color w:val="000000"/>
          <w:sz w:val="20"/>
          <w:u w:val="none"/>
          <w:shd w:val="clear" w:color="auto" w:fill="FFFFFF"/>
        </w:rPr>
        <w:t>6.10.3.1 Para o recebimento definitivo será verificado se os bens atendem a todas as especificações solicitadas.</w:t>
      </w:r>
    </w:p>
    <w:p>
      <w:pPr>
        <w:spacing w:lineRule="auto" w:line="240" w:before="0" w:after="160" w:beforeAutospacing="0" w:afterAutospacing="0"/>
        <w:ind w:left="708" w:right="0"/>
        <w:jc w:val="both"/>
        <w:rPr>
          <w:rFonts w:ascii="Arial" w:hAnsi="Arial"/>
          <w:color w:val="000000"/>
          <w:sz w:val="20"/>
          <w:u w:val="none"/>
          <w:shd w:val="clear" w:color="auto" w:fill="FFFFFF"/>
        </w:rPr>
      </w:pPr>
      <w:r>
        <w:rPr>
          <w:rFonts w:ascii="Arial" w:hAnsi="Arial"/>
          <w:color w:val="000000"/>
          <w:sz w:val="20"/>
          <w:u w:val="none"/>
          <w:shd w:val="clear" w:color="auto" w:fill="FFFFFF"/>
        </w:rPr>
        <w:t>6.10.3.2 Sendo verificado pela Administração a necessidade de realização de testes para apuração das especificações, será comunicado à empresa, ficando o prazo de recebimento definitivo automaticamente suspenso até o resultado dos testes.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6.11 Os ensaios, testes e demais provas para aferição de boa execução do objeto do contrato exigido por normas técnicas oficiais correrão por conta do fornecedor.</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6.12 Constatadas irregularidades no objeto contratual, o Município poderá:</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6.12.1 Se for sobre a especificação, rejeitá-lo no todo, determinando sua substituição ou rescindindo o contrato, sem prejuízo das penalidades cabíveis.</w:t>
      </w:r>
    </w:p>
    <w:p>
      <w:pPr>
        <w:spacing w:lineRule="auto" w:line="240" w:before="0" w:after="160" w:beforeAutospacing="0" w:afterAutospacing="0"/>
        <w:ind w:left="708" w:right="0"/>
        <w:jc w:val="both"/>
        <w:rPr>
          <w:rFonts w:ascii="Arial" w:hAnsi="Arial"/>
          <w:color w:val="000000"/>
          <w:sz w:val="20"/>
          <w:u w:val="none"/>
          <w:shd w:val="clear" w:color="auto" w:fill="FFFFFF"/>
        </w:rPr>
      </w:pPr>
      <w:r>
        <w:rPr>
          <w:rFonts w:ascii="Arial" w:hAnsi="Arial"/>
          <w:color w:val="000000"/>
          <w:sz w:val="20"/>
          <w:u w:val="none"/>
          <w:shd w:val="clear" w:color="auto" w:fill="FFFFFF"/>
        </w:rPr>
        <w:t>6.12.1.1 Na hipótese de substituição, a Contratada deverá fazê-la em conformidade com a Administração, no prazo máximo de (05) cinco dias úteis, contados da notificação por escrito, sem acréscimo no valor da aquisição.</w:t>
      </w:r>
    </w:p>
    <w:p>
      <w:pPr>
        <w:spacing w:lineRule="auto" w:line="240" w:before="0" w:after="160" w:beforeAutospacing="0" w:afterAutospacing="0"/>
        <w:ind w:left="708" w:right="0"/>
        <w:jc w:val="both"/>
        <w:rPr>
          <w:rFonts w:ascii="Arial" w:hAnsi="Arial"/>
          <w:color w:val="000000"/>
          <w:sz w:val="20"/>
          <w:u w:val="none"/>
          <w:shd w:val="clear" w:color="auto" w:fill="FFFFFF"/>
        </w:rPr>
      </w:pPr>
      <w:r>
        <w:rPr>
          <w:rFonts w:ascii="Arial" w:hAnsi="Arial"/>
          <w:color w:val="000000"/>
          <w:sz w:val="20"/>
          <w:u w:val="none"/>
          <w:shd w:val="clear" w:color="auto" w:fill="FFFFFF"/>
        </w:rPr>
        <w:t>6.12.1.2 O Município aceitará apenas uma única substituição, independentemente da aplicação das penalidades cabíveis.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6.12.2 Se for sobre diferença nas características do objeto, determinar sua complementação ou rescindir a contratação, sem prejuízo das penalidades cabíveis.</w:t>
      </w:r>
    </w:p>
    <w:p>
      <w:pPr>
        <w:spacing w:lineRule="auto" w:line="240" w:before="0" w:after="160" w:beforeAutospacing="0" w:afterAutospacing="0"/>
        <w:ind w:left="708" w:right="0"/>
        <w:jc w:val="both"/>
        <w:rPr>
          <w:rFonts w:ascii="Arial" w:hAnsi="Arial"/>
          <w:color w:val="000000"/>
          <w:sz w:val="20"/>
          <w:u w:val="none"/>
          <w:shd w:val="clear" w:color="auto" w:fill="FFFFFF"/>
        </w:rPr>
      </w:pPr>
      <w:r>
        <w:rPr>
          <w:rFonts w:ascii="Arial" w:hAnsi="Arial"/>
          <w:color w:val="000000"/>
          <w:sz w:val="20"/>
          <w:u w:val="none"/>
          <w:shd w:val="clear" w:color="auto" w:fill="FFFFFF"/>
        </w:rPr>
        <w:t>6.12.2.1 Na hipótese de complementação, a Contratada deverá fazê-la em conformidade com a indicação da Contratante, no prazo máximo de 03 (três) dias, contados da notificação por escrito, sem acréscimo no valor da aquisição.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6.13 O recebimento provisório ou definitivo não isenta o fornecedor quanto às responsabilidades futuras sobre a qualidade do produto entregue durante o prazo de garantia e as respectivas condições.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6.14 Se verificada, a qualquer tempo, a inadequação do produto, e a empresa não realizar a troca nos prazos e condições previstas, ou se o material trocado também apresentar inadequação, a empresa ficará sujeita às penalidades, sem isenção da responsabilidade criminal.</w:t>
      </w:r>
    </w:p>
    <w:p>
      <w:pPr>
        <w:spacing w:lineRule="auto" w:line="240" w:after="16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7. SOBRE O PAGAMENTO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7.1 A efetivação do pagamento estará sujeita à entrega e ao aceite total e definitivo dos bens.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7.2 O pagamento será efetuado em até 30 (trinta) dias, após o aceite total e definitivo dos produtos e o ateste da Secretaria requisitante, com a apresentação da Nota Fiscal dos serviços prestados, sem emendas ou rasuras, conforme Autorização de Fornecimento emitida pelo Município.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7.3 Ocorrendo erro na apresentação da Nota Fiscal/Fatura, esta será devolvida ao fornecedor para retificação, ficando estabelecido que o pagamento será efetuado após a apresentação da nova Nota Fiscal/Fatura definitivamente retificada.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7.4 O pagamento será efetuado através de depósito em conta-corrente do fornecedor, no Banco por ele indicado, constante na Nota Fiscal/Fatura.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7.5 O pagamento das faturas somente será feito em carteira ou cobrança simples, sendo expressamente vedado ao fornecedor realizar cobrança ou desconto de duplicatas através de rede bancária ou de terceiros.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7.6 A Prefeitura Municipal de Domingos Martins poderá deduzir do pagamento importâncias que a qualquer título lhe forem devidas pela contratada, em decorrência de inadimplemento contratual.</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7.7 Para a efetivação do pagamento, o fornecedor deverá manter as condições no que se refere à Proposta e à Habilitação, bem como fornecer os documentos necessários a comprovação da despesa exigidos pela secretaria requisitante.</w:t>
      </w:r>
    </w:p>
    <w:p>
      <w:pPr>
        <w:spacing w:lineRule="auto" w:line="240" w:after="16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8. GESTÃO E FISCALIZAÇÃO DA AQUISIÇÃO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8.1 As condições da aquisição deverão ser executadas fielmente pelas partes, de acordo com as cláusulas avençadas e as normas da Lei nº 14.133/2021, e cada parte responderá pelas consequências de sua inexecução total ou parcial (Lei nº 14.133/2021, art. 115, caput).</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8.2 A execução da aquisição será acompanhada e fiscalizada pelo(s) servidor(es) identificados a seguir, da Secretaria Municipal de Educação, de forma a fazer cumprir rigorosamente as condições expressas neste Termo de Referência.</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Gestor – Marivana Merscher Hertel</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Fiscal – Rosana Rupf da Penha, Gerente do Apoio Administrativo e Operacional, matrícula 2062, e-mail: secedu@domingosmartins.es.gov.br e telefone (27) 93618-2004.</w:t>
      </w:r>
    </w:p>
    <w:p>
      <w:pPr>
        <w:spacing w:lineRule="auto" w:line="240" w:after="160" w:beforeAutospacing="0" w:afterAutospacing="0"/>
        <w:jc w:val="both"/>
        <w:rPr>
          <w:rFonts w:ascii="Arial" w:hAnsi="Arial"/>
          <w:b w:val="1"/>
          <w:color w:val="000000"/>
          <w:sz w:val="20"/>
          <w:u w:val="none"/>
        </w:rPr>
      </w:pPr>
      <w:r>
        <w:rPr>
          <w:rFonts w:ascii="Arial" w:hAnsi="Arial"/>
          <w:b w:val="1"/>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9. OBRIGAÇÕES DA CONTRATADA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Pela consecução dos objetivos previstos nesta Ata, a Contratada, além das obrigações definidas em outras cláusulas do presente instrumento, ou estabelecidas em lei, se obriga 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 Atender integralmente ao fornecimento do objeto, de acordo com as especificações, prazos e condições constantes no Termo de Referência, no Edital e seus anexos, bem como no instrumento contratual, se houver, em consonância com a proposta apresentada e com a qualidade e as especificações determinadas pela legislação em vigor. Tudo sem nenhum ônus extra para a Contratante, utilizando todos os equipamentos/padrões de segurança associados.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 Responsabilizar-se pela boa execução e eficiência no fornecimento dos bens objeto desta contratação, inclusive no que se referir a inobservância da legislação em vigor.</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9.3 Reparar, corrigir, remover as suas expensas, no todo ou em parte o(s) objeto(s) em que se verifiquem danos, bem como, providenciar a imediata substituição daqueles.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9.4 Providenciar a imediata correção das deficiências apontadas pelo contratante quando da entrega do produto.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9.5 Apresentar, sempre que solicitado documentos que comprovem a procedência do produto fornecido, assim como a amostra para análise pela Administração, sem qualquer ônus adicional.</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9.6 Comunicar ao Município, por escrito, quaisquer anormalidades que ponham em risco o êxito e o cumprimento dos prazos mesmo que não sejam de sua competência, propondo as ações corretivas necessárias.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9.7 Assumir total responsabilidade por danos causados ao Contratante ou a terceiros, ainda que culposo, decorrentes da execução do fornecimento dos bens, isentando o Município de todas as reclamações que possam surgir, sejam elas resultantes de atos de seus prepostos ou de quaisquer pessoas físicas ou jurídicas empregadas ou ajustadas na aquisição. Fica, ainda, o Contratante autorizado a descontar o valor correspondente dos pagamentos à Contratada. Não exclui ou reduz essa responsabilidade a fiscalização ou acompanhamento pela Contratante.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9.8 Arcar com todos os custos referentes ao fornecimento dos bens, tais como taxas, licenças, transporte, pagamento de funcionários e encargos sociais, e todas as outras relacionadas ao fornecimento integral do objeto desta contratação.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9.9 Manter endereço eletrônico (e-mail) válido para fins de comunicação com a contratante por todo o período de contratação; comunicando, imediatamente, o Contratante em caso de alteração.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9.10 Fiscalizar o perfeito cumprimento da execução contratual, cabendo-lhe, integralmente, os ônus decorrentes. Tal fiscalização dar-se-á independente da que será exercida pelo Contratante.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9.11 Não permitir que seus empregados ou prepostos forneçam objeto além dos previstos nesta contratação.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9.12 Executar o objeto contratual por meio de pessoas idôneas, assumindo total responsabilidade por quaisquer danos ou faltas que os mesmos venham a cometer no desempenho de suas funções, podendo o Contratante exigir a retirada daqueles cuja conduta seja inconveniente.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9.13 Prestar os esclarecimentos que forem solicitados pelo Contratante, cujas reclamações se obriga atender prontamente.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9.14 Manter, durante toda a vigência do instrumento contratual, em compatibilidade com as obrigações assumidas, todas as condições de habilitação e qualificação exigidas por lei, no edital e neste instrumento, inclusive a regularidade fiscal.</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9.15 A Contratada deve manter a mais elevada conduta ética e profissional durante toda a execução deste Contrato e em todas as interações dele decorrentes. Isso inclui agir com integridade, honestidade e transparência, cumprindo todas as leis e regulamentos aplicáveis. A Contratada também deve abster-se de qualquer prática antiética, ilegal ou prejudicial à imagem e aos interesses da Contratante.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9.16 A Contratada deve garantir que todas as comunicações relativas a este Contrato sejam estritamente formais e por escrito, utilizando e-mail ou outros canais previamente acordados entre as partes.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9.17 Comunicações verbais devem ser exclusivamente direcionadas ao Fiscal do Contrato e/ou ao Gestor do Contrato designados pela Contratante. Em todas as interações, a Contratada e seus empregados devem utilizar linguagem profissional e formal, abstendo-se de gírias ou expressões informais, tratando com civilidade e cortesia os servidores da Contratante.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9.18 Registrar as ocorrências havidas durante a execução do Contrato, de tudo dando ciência ao Contratante, respondendo integralmente por sua omissão.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9.19 Responsabilizar-se civilmente por vícios na execução, tais como: quantidade, qualidade do produto ou disparidade com as especificações técnicas exigidas neste termo, ou atribuídas pela Contratada, verificados posteriormente, garantindo-se ao Contratante as faculdades previstas no Código de Defesa do Consumidor.</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9.20 Nomear preposto para representar a Contratada durante toda execução do Contrato, com indicação, declaração de ciência e assinatura no formulário apropriado fornecido pelo Contratante.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9.21 Manter o mais completo e absoluto sigilo, para os jurídicos e legais efeitos, devendo guardar, por si, seus empregados e/ou prepostos, em relação às informações, documentos de qualquer natureza e tecnologia que, em razão deste instrumento, lhe sejam exibidos, manuseados ou por qualquer outra forma ou modo, venham a tomar conhecimento, ficando, portanto, responsáveis por sua indevida divulgação, descuidada ou incorreta utilização, sob pena de rescisão contratual e medidas cíveis e penais cabíveis.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9.22 Pagar todos os tributos, contribuições fiscais e parafiscais que incidam direta ou indiretamente sobre este Contrato ou seu objeto, ficando, desde logo, convencionado que o Contratante poderá descontar de qualquer crédito da Contratada a importância correspondente a eventuais pagamentos desta natureza, que porventura venha a efetuar por imposição legal, podendo também o Contratante exigir, se e quando necessário, a apresentação dos respectivos comprovantes de quitação dos períodos anteriores.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9.23 Cumprir o disposto no inciso XXXIII do art. 7º da Constituição Federal, que proíbe trabalho noturno, perigoso ou insalubre a menores de dezoito anos e de qualquer trabalho a menores de dezesseis anos, salvo na condição de aprendiz, a partir de quatorze anos.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9.24 Responsabilizar-se por todas as obrigações trabalhistas e previdenciárias, FGTS, seguro e quaisquer encargos propostos, não existindo entre seus empregados e o Contratante vínculo de qualquer natureza, haja vista que a Contratada, para todos os fins de direito, é empregadora autônoma.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9.25 Cumprir e manter, durante toda a vigência contratual, padrões elevados de ética, respeitando: a legislação brasileira e os compromissos internacionais assumidos que tratam de direitos humanos e da responsabilidade socioambiental e as exigências legais acerca das responsabilidades trabalhistas e da proibição do trabalho escravo e do trabalho infantil.</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9.26 Não subcontratar, ceder ou transferir, total ou parcialmente, o objeto do contrato.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xml:space="preserve">10. OBRIGAÇÕES DA CONTRATANTE </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Pela consecução dos objetivos previstos nesta Ata, a Contratante, além das obrigações definidas em outras cláusulas do presente instrumento, ou estabelecidas em lei, se obriga 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10.1 Fiscalizar o perfeito cumprimento do objeto e das cláusulas do Edital, Termo de Referência e do instrumento contratual, quando existente.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10.2 Comunicar a contratada, por escrito, sobre as possíveis irregularidades observadas na entrega do material, nos descumprimentos de prazos, ou quando for constatado algum outro tipo de irregularidade, para a imediata adoção das providências a fim de sanar os problemas eventualmente ocorridos.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10.3 Efetuar o pagamento da nota fiscal/fatura apresentada pela Contratada, conforme o prazo e as condições estabelecidos no Edital e no instrumento contratual, quando existente.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10.4 Promover o acompanhamento e a fiscalização do fornecimento, sob os aspectos qualitativo e quantitativo, anotando em registro próprio as falhas e solicitando as medidas corretivas.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10.5 Rejeitar, no todo ou em parte, o objeto entregue pelo fornecedor fora das especificações do contrato ou do edital e seus anexos.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10.6 Observar para que sejam cumpridas as obrigações assumidas pela Contratada, bem como sejam mantidas todas as condições de habilitação e qualificação exigidas na licitação.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10.7 Aplicar as sanções administrativas, quando se fizerem necessárias.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10.8 Prestar ao fornecedor informações e esclarecimentos que venham a ser solicitados.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10.9 Fornecer à Contratada, condições adequadas para execução quando identificado pela Contratante a necessidade de realização de entregas dentro de suas dependências.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10.10 Não utilizar os funcionários da Contratada para execução de outros serviços que não aqueles aqui contratados. Da mesma forma, não pagar compensações ou fornecer qualquer outro benefício aos funcionários da Contratada.</w:t>
      </w:r>
    </w:p>
    <w:p>
      <w:pPr>
        <w:spacing w:lineRule="auto" w:line="240" w:after="16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11. FORMAS E CRITÉRIOS DE SELEÇÃO DO FORNECEDOR</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11.1 A seleção do fornecedor se dará por meio de procedimento licitatório na modalidade Pregão Eletrônico.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 xml:space="preserve">11.1.1 O critério adotado é o de </w:t>
      </w:r>
      <w:r>
        <w:rPr>
          <w:rFonts w:ascii="Arial" w:hAnsi="Arial"/>
          <w:b w:val="1"/>
          <w:color w:val="000000"/>
          <w:sz w:val="20"/>
          <w:u w:val="none"/>
          <w:shd w:val="clear" w:color="auto" w:fill="FFFFFF"/>
        </w:rPr>
        <w:t>menor preço global</w:t>
      </w:r>
      <w:r>
        <w:rPr>
          <w:rFonts w:ascii="Arial" w:hAnsi="Arial"/>
          <w:color w:val="000000"/>
          <w:sz w:val="20"/>
          <w:u w:val="none"/>
          <w:shd w:val="clear" w:color="auto" w:fill="FFFFFF"/>
        </w:rPr>
        <w:t xml:space="preserve"> desde que atenda às especificações e exigências deste Termo de Referência.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11.2 As exigências de habilitação jurídica, fiscal, social, trabalhista e econômico-financeira são as usuais para a generalidade dos objetos, já adotadas pelo Município, e estarão especificadas no edital.</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11.3 Para aquisição dos bens será adotado o Sistema de Registro de Preços, conforme justificativa discriminada no Estudo Técnico Preliminar.</w:t>
      </w:r>
    </w:p>
    <w:p>
      <w:pPr>
        <w:spacing w:lineRule="auto" w:line="240" w:after="16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12. ESTIMATIVA DA AQUISIÇÃO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12.1 O custo estimado da aquisição já foi detalhado no Estudo Técnico Preliminar, porém possui para a Prefeitura de Domingos Martins caráter sigiloso, e será tornado público apenas e imediatamente após o julgamento das propostas, conforme o artigo 24 da Lei Federal nº 14.133/2021 e a Recomendação Técnica nº 004/2023 (Processo PMDM nº 2861/2023) emitida pela Controladoria Interna.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12.2 A Administração Pública Municipal entende ser de fundamental importância a não divulgação da estimativa de preço da contratação na fase preparatória, de forma a diferir o fornecimento do preço de referência aos licitantes interessados para momento posterior a fase de lances, sem prejuízo ao princípio da isonomia, mas com o único intuito de resguardar o princípio da eficiência e da economicidade, obtendo maior competitividade nos processos aquisitivos e maiores reduções nos valores a serem pagos.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12.3 O orçamento sigiloso é uma importante ferramenta para impedir que os licitantes utilizem o valor estimado como suporte para elevar suas propostas, de forma que a Prefeitura consiga aumentar a competitividade pela redução da assimetria informacional.</w:t>
      </w:r>
    </w:p>
    <w:p>
      <w:pPr>
        <w:spacing w:lineRule="auto" w:line="240" w:after="160" w:beforeAutospacing="0" w:afterAutospacing="0"/>
        <w:jc w:val="both"/>
        <w:rPr>
          <w:rFonts w:ascii="Arial" w:hAnsi="Arial"/>
          <w:b w:val="1"/>
          <w:color w:val="000000"/>
          <w:sz w:val="20"/>
          <w:u w:val="none"/>
        </w:rPr>
      </w:pPr>
      <w:r>
        <w:rPr>
          <w:rFonts w:ascii="Arial" w:hAnsi="Arial"/>
          <w:b w:val="1"/>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13. INFRAÇÕES E SANÇÕES ADMINISTRATIVAS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13.1 A contratada será responsabilizada administrativamente pelas infrações nas quais incorrer, conforme especificado no artigo 155 da Lei Federal nº 14.133/2021.</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13.2 A contratada estará sujeita as disposições sancionatórias previstas no Edital (quando houver), nos artigos 156 a 163 da Lei Federal nº 14.133/2021, bem como aos procedimentos especificados na Instrução Normativa SCI nº 010/2023, de acordo com a última versão aprovada.</w:t>
      </w:r>
    </w:p>
    <w:p>
      <w:pPr>
        <w:spacing w:lineRule="auto" w:line="240" w:after="160" w:beforeAutospacing="0" w:afterAutospacing="0"/>
        <w:jc w:val="both"/>
        <w:rPr>
          <w:rFonts w:ascii="Arial" w:hAnsi="Arial"/>
          <w:b w:val="1"/>
          <w:color w:val="000000"/>
          <w:sz w:val="20"/>
          <w:u w:val="none"/>
        </w:rPr>
      </w:pPr>
      <w:r>
        <w:rPr>
          <w:rFonts w:ascii="Arial" w:hAnsi="Arial"/>
          <w:b w:val="1"/>
          <w:color w:val="000000"/>
          <w:sz w:val="20"/>
          <w:u w:val="none"/>
        </w:rPr>
        <w:t xml:space="preserve"> </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14. ADEQUAÇÃO ORÇAMENTÁRIA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14.1 As despesas decorrentes da presente contratação correrão à conta de recursos específicos consignados no Orçamento do Município de Domingos Martins para o ano de 2026.</w:t>
      </w:r>
    </w:p>
    <w:p>
      <w:pPr>
        <w:spacing w:lineRule="auto" w:line="240" w:beforeAutospacing="0" w:afterAutospacing="0"/>
        <w:jc w:val="both"/>
        <w:rPr>
          <w:rFonts w:ascii="Arial" w:hAnsi="Arial"/>
          <w:color w:val="000000"/>
          <w:sz w:val="20"/>
        </w:rPr>
      </w:pPr>
      <w:r>
        <w:rPr>
          <w:rFonts w:ascii="Arial" w:hAnsi="Arial"/>
          <w:color w:val="000000"/>
          <w:sz w:val="20"/>
          <w:u w:val="none"/>
        </w:rPr>
        <w:t xml:space="preserve"> </w:t>
      </w:r>
      <w:r>
        <w:rPr>
          <w:rFonts w:ascii="Arial" w:hAnsi="Arial"/>
          <w:color w:val="000000"/>
          <w:sz w:val="20"/>
        </w:rPr>
        <w:br w:type="page"/>
      </w:r>
      <w:bookmarkStart w:id="0" w:name="_GoBack"/>
      <w:bookmarkEnd w:id="0"/>
    </w:p>
    <w:p>
      <w:pPr>
        <w:spacing w:lineRule="auto" w:line="240" w:after="0" w:beforeAutospacing="0" w:afterAutospacing="0"/>
        <w:jc w:val="both"/>
        <w:rPr>
          <w:rFonts w:ascii="Arial" w:hAnsi="Arial"/>
          <w:b w:val="1"/>
          <w:color w:val="000000"/>
          <w:sz w:val="20"/>
        </w:rPr>
      </w:pPr>
      <w:r>
        <w:rPr>
          <w:rFonts w:ascii="Arial" w:hAnsi="Arial"/>
          <w:b w:val="1"/>
          <w:color w:val="000000"/>
          <w:sz w:val="20"/>
        </w:rPr>
        <w:t>ANEXO II</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sz w:val="20"/>
        </w:rPr>
      </w:pPr>
      <w:r>
        <w:rPr>
          <w:rFonts w:ascii="Arial" w:hAnsi="Arial"/>
          <w:b w:val="1"/>
          <w:sz w:val="20"/>
        </w:rPr>
        <w:t>DECLARAÇÃO CONJUNTA</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 xml:space="preserve">Referência: </w:t>
      </w:r>
    </w:p>
    <w:p>
      <w:pPr>
        <w:spacing w:lineRule="auto" w:line="240" w:after="0" w:beforeAutospacing="0" w:afterAutospacing="0"/>
        <w:jc w:val="both"/>
        <w:rPr>
          <w:rFonts w:ascii="Arial" w:hAnsi="Arial"/>
          <w:b w:val="1"/>
          <w:color w:val="000000"/>
          <w:sz w:val="20"/>
        </w:rPr>
      </w:pPr>
      <w:r>
        <w:rPr>
          <w:rFonts w:ascii="Arial" w:hAnsi="Arial"/>
          <w:b w:val="1"/>
          <w:sz w:val="20"/>
        </w:rPr>
        <w:t xml:space="preserve">Pregão ELETRÔNICO Nº </w:t>
      </w:r>
      <w:r>
        <w:rPr>
          <w:rFonts w:ascii="Arial" w:hAnsi="Arial"/>
          <w:b w:val="1"/>
          <w:color w:val="000000"/>
          <w:sz w:val="20"/>
        </w:rPr>
        <w:t>000007/2026</w:t>
      </w:r>
    </w:p>
    <w:p>
      <w:pPr>
        <w:spacing w:lineRule="auto" w:line="240" w:after="0" w:beforeAutospacing="0" w:afterAutospacing="0"/>
        <w:ind w:hanging="426" w:left="426"/>
        <w:jc w:val="both"/>
        <w:rPr>
          <w:rFonts w:ascii="Arial" w:hAnsi="Arial"/>
          <w:b w:val="1"/>
          <w:color w:val="000000"/>
          <w:sz w:val="20"/>
        </w:rPr>
      </w:pPr>
      <w:r>
        <w:rPr>
          <w:rFonts w:ascii="Arial" w:hAnsi="Arial"/>
          <w:color w:val="000000"/>
          <w:sz w:val="20"/>
        </w:rPr>
        <w:t xml:space="preserve">Objeto: </w:t>
      </w:r>
      <w:r>
        <w:rPr>
          <w:rFonts w:ascii="Arial" w:hAnsi="Arial"/>
          <w:b w:val="1"/>
          <w:color w:val="000000"/>
          <w:sz w:val="20"/>
        </w:rPr>
        <w:t>Aqusição de apostilas encadernadas - Material Didático Complementar do Programa Educar pra Valer que será utilizado nas turmas dos anos iniciais do Ensino Fundamental no decorrer do ano de 2026.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sz w:val="20"/>
        </w:rPr>
        <w:t xml:space="preserve">A ........................................................... (RAZÃO SOCIAL DA EMPRESA), CNPJ Nº........................., localizada à ..........................................., por intermédio de seu representante legal o(a) sr(a) ................................., portador(a) da Carteira de Identidade Nº ................ e CPF Nº............................, declara para os fins de direito, para participação no </w:t>
      </w:r>
      <w:r>
        <w:rPr>
          <w:rFonts w:ascii="Arial" w:hAnsi="Arial"/>
          <w:b w:val="1"/>
          <w:sz w:val="20"/>
        </w:rPr>
        <w:t xml:space="preserve">Pregão ELETRÔNICO Nº </w:t>
      </w:r>
      <w:r>
        <w:rPr>
          <w:rFonts w:ascii="Arial" w:hAnsi="Arial"/>
          <w:color w:val="000000"/>
          <w:sz w:val="20"/>
        </w:rPr>
        <w:t>000007</w:t>
      </w:r>
      <w:r>
        <w:rPr>
          <w:rFonts w:ascii="Arial" w:hAnsi="Arial"/>
          <w:b w:val="1"/>
          <w:color w:val="000000"/>
          <w:sz w:val="20"/>
        </w:rPr>
        <w:t>/</w:t>
      </w:r>
      <w:r>
        <w:rPr>
          <w:rFonts w:ascii="Arial" w:hAnsi="Arial"/>
          <w:color w:val="000000"/>
          <w:sz w:val="20"/>
        </w:rPr>
        <w:t>2026 da Prefeitura Municipal de Domingos Martins.</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 xml:space="preserve">a) </w:t>
      </w:r>
      <w:r>
        <w:rPr>
          <w:rFonts w:ascii="Arial" w:hAnsi="Arial"/>
          <w:sz w:val="20"/>
        </w:rPr>
        <w:t>quese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 xml:space="preserve">b) </w:t>
      </w:r>
      <w:r>
        <w:rPr>
          <w:rFonts w:ascii="Arial" w:hAnsi="Arial"/>
          <w:sz w:val="20"/>
        </w:rPr>
        <w:t>a inexistência de fatos supervenientes impeditivos da habilitação ou que comprometa a idoneidade da proponente.</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 xml:space="preserve">c) </w:t>
      </w:r>
      <w:r>
        <w:rPr>
          <w:rFonts w:ascii="Arial" w:hAnsi="Arial"/>
          <w:sz w:val="20"/>
        </w:rPr>
        <w:t>não ter recebido do Município de Domingos Martins / ES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sz w:val="20"/>
        </w:rPr>
      </w:pPr>
      <w:r>
        <w:rPr>
          <w:rFonts w:ascii="Arial" w:hAnsi="Arial"/>
          <w:b w:val="1"/>
          <w:sz w:val="20"/>
        </w:rPr>
        <w:t>c)</w:t>
      </w:r>
      <w:r>
        <w:rPr>
          <w:rFonts w:ascii="Arial" w:hAnsi="Arial"/>
          <w:sz w:val="20"/>
        </w:rPr>
        <w:t xml:space="preserve"> que cumpre todos os requisitos para habilitação para este certame licitatório no Município de Domingos Martins  - </w:t>
      </w:r>
      <w:r>
        <w:rPr>
          <w:rFonts w:ascii="Arial" w:hAnsi="Arial"/>
          <w:b w:val="1"/>
          <w:sz w:val="20"/>
        </w:rPr>
        <w:t>Pregão ELETRÔNICO Nº 000007</w:t>
      </w:r>
      <w:r>
        <w:rPr>
          <w:rFonts w:ascii="Arial" w:hAnsi="Arial"/>
          <w:b w:val="1"/>
          <w:color w:val="000000"/>
          <w:sz w:val="20"/>
        </w:rPr>
        <w:t>/</w:t>
      </w:r>
      <w:r>
        <w:rPr>
          <w:rFonts w:ascii="Arial" w:hAnsi="Arial"/>
          <w:b w:val="1"/>
          <w:sz w:val="20"/>
        </w:rPr>
        <w:t>2026.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 xml:space="preserve">e) </w:t>
      </w:r>
      <w:r>
        <w:rPr>
          <w:rFonts w:ascii="Arial" w:hAnsi="Arial"/>
          <w:sz w:val="20"/>
        </w:rPr>
        <w:t xml:space="preserve">que não emprega menor de dezoito anos em trabalho noturno, perigoso ou insalubre e não emprega menor de dezesseis anos. </w:t>
      </w:r>
    </w:p>
    <w:p>
      <w:pPr>
        <w:spacing w:lineRule="auto" w:line="240" w:after="0" w:beforeAutospacing="0" w:afterAutospacing="0"/>
        <w:jc w:val="both"/>
        <w:rPr>
          <w:rFonts w:ascii="Arial" w:hAnsi="Arial"/>
          <w:sz w:val="20"/>
        </w:rPr>
      </w:pPr>
      <w:r>
        <w:rPr>
          <w:rFonts w:ascii="Arial" w:hAnsi="Arial"/>
          <w:sz w:val="20"/>
        </w:rPr>
        <w:t>Ressalva: (</w:t>
        <w:tab/>
        <w:t xml:space="preserve"> ) Emprega menor, a partir de quatorze anos, na condição de aprendiz.</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b w:val="1"/>
          <w:sz w:val="20"/>
        </w:rPr>
        <w:t xml:space="preserve">f) </w:t>
      </w:r>
      <w:r>
        <w:rPr>
          <w:rFonts w:ascii="Arial" w:hAnsi="Arial"/>
          <w:sz w:val="20"/>
        </w:rPr>
        <w:t>que</w:t>
      </w:r>
      <w:r>
        <w:rPr>
          <w:rFonts w:ascii="Arial" w:hAnsi="Arial"/>
          <w:color w:val="000000"/>
          <w:sz w:val="20"/>
        </w:rPr>
        <w:t xml:space="preserve"> cumpre as exigências de reserva de cargos para pessoa com deficiência e para reabilitado da Previdência Social, previstas em lei e em outras normas específicas.</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b w:val="1"/>
          <w:sz w:val="20"/>
        </w:rPr>
        <w:t xml:space="preserve">g) </w:t>
      </w:r>
      <w:r>
        <w:rPr>
          <w:rFonts w:ascii="Arial" w:hAnsi="Arial"/>
          <w:color w:val="000000"/>
          <w:sz w:val="20"/>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b w:val="1"/>
          <w:sz w:val="20"/>
        </w:rPr>
        <w:t xml:space="preserve">h) </w:t>
      </w:r>
      <w:r>
        <w:rPr>
          <w:rFonts w:ascii="Arial" w:hAnsi="Arial"/>
          <w:color w:val="000000"/>
          <w:sz w:val="20"/>
        </w:rPr>
        <w:t>que não possui em seu quadro societário servidor público da ativa ou empregado de empresa pública ou de sociedade de economia Mista, do órgão celebrante.</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 xml:space="preserve">i) </w:t>
      </w:r>
      <w:r>
        <w:rPr>
          <w:rFonts w:ascii="Arial" w:hAnsi="Arial"/>
          <w:sz w:val="20"/>
        </w:rPr>
        <w:t>que por ocasião da assinatura do contrato, ou de instrumento equivalente, cumpre a cota de reserva de vagas de aprendiz nos termos do Art 429 e seguintes da Consolidação das Leis Trabalhistas (CLT).</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 xml:space="preserve">j) </w:t>
      </w:r>
      <w:r>
        <w:rPr>
          <w:rFonts w:ascii="Arial" w:hAnsi="Arial"/>
          <w:sz w:val="20"/>
          <w:u w:val="none"/>
        </w:rPr>
        <w:t>O CONTRATADO declara, sob as penas da lei, que todo o material recebido, seja em formato físico ou eletrônico, é de caráter confidencial e exclusivo do Ministério da Educação, não podendo divulgá</w:t>
      </w:r>
      <w:r>
        <w:rPr>
          <w:rFonts w:ascii="Open Sans" w:hAnsi="Open Sans"/>
          <w:sz w:val="20"/>
          <w:u w:val="none"/>
        </w:rPr>
        <w:t>‑</w:t>
      </w:r>
      <w:r>
        <w:rPr>
          <w:rFonts w:ascii="Arial" w:hAnsi="Arial"/>
          <w:sz w:val="20"/>
          <w:u w:val="none"/>
        </w:rPr>
        <w:t>lo, reproduzi</w:t>
      </w:r>
      <w:r>
        <w:rPr>
          <w:rFonts w:ascii="Open Sans" w:hAnsi="Open Sans"/>
          <w:sz w:val="20"/>
          <w:u w:val="none"/>
        </w:rPr>
        <w:t>‑</w:t>
      </w:r>
      <w:r>
        <w:rPr>
          <w:rFonts w:ascii="Arial" w:hAnsi="Arial"/>
          <w:sz w:val="20"/>
          <w:u w:val="none"/>
        </w:rPr>
        <w:t>lo, transmiti</w:t>
      </w:r>
      <w:r>
        <w:rPr>
          <w:rFonts w:ascii="Open Sans" w:hAnsi="Open Sans"/>
          <w:sz w:val="20"/>
          <w:u w:val="none"/>
        </w:rPr>
        <w:t>‑</w:t>
      </w:r>
      <w:r>
        <w:rPr>
          <w:rFonts w:ascii="Arial" w:hAnsi="Arial"/>
          <w:sz w:val="20"/>
          <w:u w:val="none"/>
        </w:rPr>
        <w:t>lo a terceiros ou utilizá</w:t>
      </w:r>
      <w:r>
        <w:rPr>
          <w:rFonts w:ascii="Open Sans" w:hAnsi="Open Sans"/>
          <w:sz w:val="20"/>
          <w:u w:val="none"/>
        </w:rPr>
        <w:t>‑</w:t>
      </w:r>
      <w:r>
        <w:rPr>
          <w:rFonts w:ascii="Arial" w:hAnsi="Arial"/>
          <w:sz w:val="20"/>
          <w:u w:val="none"/>
        </w:rPr>
        <w:t>lo para quaisquer fins que não estejam expressamente previstos neste contrato, sob pena de responsabilidade civil, administrativa e criminal</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sz w:val="20"/>
        </w:rPr>
        <w:t>Por ser verdade, firma a presente.</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color w:val="000000"/>
          <w:sz w:val="20"/>
        </w:rPr>
        <w:t xml:space="preserve">(LOCAL), ___ DE _________ DE  2026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sz w:val="20"/>
        </w:rPr>
        <w:t>.....................................</w:t>
      </w:r>
    </w:p>
    <w:p>
      <w:pPr>
        <w:spacing w:lineRule="auto" w:line="240" w:after="0" w:beforeAutospacing="0" w:afterAutospacing="0"/>
        <w:jc w:val="both"/>
        <w:rPr>
          <w:rFonts w:ascii="Arial" w:hAnsi="Arial"/>
          <w:sz w:val="20"/>
        </w:rPr>
      </w:pPr>
      <w:r>
        <w:rPr>
          <w:rFonts w:ascii="Arial" w:hAnsi="Arial"/>
          <w:sz w:val="20"/>
        </w:rPr>
        <w:t>(NOME, ASSINATURA DO RESPONSÁVEL E CPF)</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sz w:val="20"/>
        </w:rPr>
      </w:pPr>
      <w:r>
        <w:rPr>
          <w:rFonts w:ascii="Arial" w:hAnsi="Arial"/>
          <w:b w:val="1"/>
          <w:sz w:val="20"/>
        </w:rPr>
        <w:t>(PAPEL TIMBRADO E/OU CARIMBO DO CNPJ DA EMPRESA)</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color w:val="000000"/>
          <w:sz w:val="20"/>
        </w:rPr>
        <w:t>¹Observação: em caso afirmativo, assinalar a ressalva acima.</w:t>
      </w:r>
    </w:p>
    <w:p>
      <w:pPr>
        <w:rPr>
          <w:rFonts w:ascii="Arial" w:hAnsi="Arial"/>
          <w:color w:val="000000"/>
          <w:sz w:val="20"/>
        </w:rPr>
      </w:pPr>
      <w:r>
        <w:rPr>
          <w:rFonts w:ascii="Arial" w:hAnsi="Arial"/>
          <w:color w:val="000000"/>
          <w:sz w:val="20"/>
        </w:rPr>
        <w:br w:type="page"/>
      </w:r>
    </w:p>
    <w:p>
      <w:pPr>
        <w:rPr>
          <w:rFonts w:ascii="Arial" w:hAnsi="Arial"/>
          <w:b w:val="1"/>
          <w:color w:val="000000"/>
          <w:sz w:val="20"/>
        </w:rPr>
      </w:pPr>
      <w:r>
        <w:rPr>
          <w:rFonts w:ascii="Arial" w:hAnsi="Arial"/>
          <w:b w:val="1"/>
          <w:color w:val="000000"/>
          <w:sz w:val="20"/>
        </w:rPr>
        <w:t>ANEXO III</w:t>
      </w:r>
    </w:p>
    <w:p>
      <w:pPr>
        <w:spacing w:lineRule="auto" w:line="240" w:after="0" w:beforeAutospacing="0" w:afterAutospacing="0"/>
        <w:jc w:val="both"/>
        <w:rPr>
          <w:rFonts w:ascii="Arial" w:hAnsi="Arial"/>
          <w:b w:val="1"/>
          <w:sz w:val="20"/>
        </w:rPr>
      </w:pPr>
      <w:r>
        <w:rPr>
          <w:rFonts w:ascii="Arial" w:hAnsi="Arial"/>
          <w:b w:val="1"/>
          <w:sz w:val="20"/>
        </w:rPr>
        <w:t>DECLARAÇÃO DE ELABORAÇÃO DE PROPOSTA INDEPENDENTE</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 xml:space="preserve">Referência: </w:t>
      </w:r>
    </w:p>
    <w:p>
      <w:pPr>
        <w:spacing w:lineRule="auto" w:line="240" w:after="0" w:beforeAutospacing="0" w:afterAutospacing="0"/>
        <w:jc w:val="both"/>
        <w:rPr>
          <w:rFonts w:ascii="Arial" w:hAnsi="Arial"/>
          <w:b w:val="1"/>
          <w:color w:val="000000"/>
          <w:sz w:val="20"/>
        </w:rPr>
      </w:pPr>
      <w:r>
        <w:rPr>
          <w:rFonts w:ascii="Arial" w:hAnsi="Arial"/>
          <w:b w:val="1"/>
          <w:sz w:val="20"/>
        </w:rPr>
        <w:t xml:space="preserve">Pregão ELETRÔNICO Nº </w:t>
      </w:r>
      <w:r>
        <w:rPr>
          <w:rFonts w:ascii="Arial" w:hAnsi="Arial"/>
          <w:b w:val="1"/>
          <w:color w:val="000000"/>
          <w:sz w:val="20"/>
        </w:rPr>
        <w:t>000007/2026</w:t>
      </w:r>
    </w:p>
    <w:p>
      <w:pPr>
        <w:spacing w:lineRule="auto" w:line="240" w:after="0" w:beforeAutospacing="0" w:afterAutospacing="0"/>
        <w:ind w:hanging="426" w:left="426"/>
        <w:jc w:val="both"/>
        <w:rPr>
          <w:rFonts w:ascii="Arial" w:hAnsi="Arial"/>
          <w:b w:val="1"/>
          <w:color w:val="000000"/>
          <w:sz w:val="20"/>
        </w:rPr>
      </w:pPr>
      <w:r>
        <w:rPr>
          <w:rFonts w:ascii="Arial" w:hAnsi="Arial"/>
          <w:color w:val="000000"/>
          <w:sz w:val="20"/>
        </w:rPr>
        <w:t xml:space="preserve">Objeto: </w:t>
      </w:r>
      <w:r>
        <w:rPr>
          <w:rFonts w:ascii="Arial" w:hAnsi="Arial"/>
          <w:b w:val="1"/>
          <w:color w:val="000000"/>
          <w:sz w:val="20"/>
        </w:rPr>
        <w:t>Aqusição de apostilas encadernadas - Material Didático Complementar do Programa Educar pra Valer que será utilizado nas turmas dos anos iniciais do Ensino Fundamental no decorrer do ano de 2026.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sz w:val="20"/>
        </w:rPr>
        <w:t xml:space="preserve">A ........................................................... (RAZÃO SOCIAL DA EMPRESA), CNPJ Nº........................., localizada à ..........................................., por intermédio de seu representante legal o(a) sr(a) ................................., portador(a) da Carteira de Identidade Nº ................ e CPF Nº............................, para fins do disposto no edital de licitação do </w:t>
      </w:r>
      <w:r>
        <w:rPr>
          <w:rFonts w:ascii="Arial" w:hAnsi="Arial"/>
          <w:b w:val="1"/>
          <w:sz w:val="20"/>
        </w:rPr>
        <w:t xml:space="preserve">Pregão Eletrônico Nº </w:t>
      </w:r>
      <w:r>
        <w:rPr>
          <w:rFonts w:ascii="Arial" w:hAnsi="Arial"/>
          <w:sz w:val="20"/>
        </w:rPr>
        <w:t>000007</w:t>
      </w:r>
      <w:r>
        <w:rPr>
          <w:rFonts w:ascii="Arial" w:hAnsi="Arial"/>
          <w:color w:val="000000"/>
          <w:sz w:val="20"/>
        </w:rPr>
        <w:t>/</w:t>
      </w:r>
      <w:r>
        <w:rPr>
          <w:rFonts w:ascii="Arial" w:hAnsi="Arial"/>
          <w:sz w:val="20"/>
        </w:rPr>
        <w:t>2026</w:t>
      </w:r>
      <w:r>
        <w:rPr>
          <w:rFonts w:ascii="Arial" w:hAnsi="Arial"/>
          <w:b w:val="1"/>
          <w:sz w:val="20"/>
        </w:rPr>
        <w:t xml:space="preserve">, </w:t>
      </w:r>
      <w:r>
        <w:rPr>
          <w:rFonts w:ascii="Arial" w:hAnsi="Arial"/>
          <w:sz w:val="20"/>
        </w:rPr>
        <w:t>declara, sob as penas da lei, em especial o Art. 299 do Código Penal Braisleiro, que:</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a)</w:t>
      </w:r>
      <w:r>
        <w:rPr>
          <w:rFonts w:ascii="Arial" w:hAnsi="Arial"/>
          <w:sz w:val="20"/>
        </w:rPr>
        <w:t xml:space="preserve"> A proposta apresentada para participar do </w:t>
      </w:r>
      <w:r>
        <w:rPr>
          <w:rFonts w:ascii="Arial" w:hAnsi="Arial"/>
          <w:b w:val="1"/>
          <w:sz w:val="20"/>
        </w:rPr>
        <w:t xml:space="preserve">Pregão Eletrônico Nº </w:t>
      </w:r>
      <w:r>
        <w:rPr>
          <w:rFonts w:ascii="Arial" w:hAnsi="Arial"/>
          <w:color w:val="000000"/>
          <w:sz w:val="20"/>
        </w:rPr>
        <w:t xml:space="preserve"> </w:t>
      </w:r>
      <w:r>
        <w:rPr>
          <w:rFonts w:ascii="Arial" w:hAnsi="Arial"/>
          <w:sz w:val="20"/>
        </w:rPr>
        <w:t>000007</w:t>
      </w:r>
      <w:r>
        <w:rPr>
          <w:rFonts w:ascii="Arial" w:hAnsi="Arial"/>
          <w:b w:val="1"/>
          <w:color w:val="000000"/>
          <w:sz w:val="20"/>
        </w:rPr>
        <w:t>/</w:t>
      </w:r>
      <w:r>
        <w:rPr>
          <w:rFonts w:ascii="Arial" w:hAnsi="Arial"/>
          <w:sz w:val="20"/>
        </w:rPr>
        <w:t>2026</w:t>
      </w:r>
      <w:r>
        <w:rPr>
          <w:rFonts w:ascii="Arial" w:hAnsi="Arial"/>
          <w:b w:val="1"/>
          <w:sz w:val="20"/>
        </w:rPr>
        <w:t xml:space="preserve">, </w:t>
      </w:r>
      <w:r>
        <w:rPr>
          <w:rFonts w:ascii="Arial" w:hAnsi="Arial"/>
          <w:sz w:val="20"/>
        </w:rPr>
        <w:t xml:space="preserve">foi elaborada de maneira independente (pelo licitante), e o conteúdo da proposta não foi, no todo ou em parte, direta ou indiretamente, informado, discutido ou recebido de qualquer outro participante potencial ou de fato do </w:t>
      </w:r>
      <w:r>
        <w:rPr>
          <w:rFonts w:ascii="Arial" w:hAnsi="Arial"/>
          <w:b w:val="1"/>
          <w:sz w:val="20"/>
        </w:rPr>
        <w:t xml:space="preserve">Pregão Eletrônico Nº </w:t>
      </w:r>
      <w:r>
        <w:rPr>
          <w:rFonts w:ascii="Arial" w:hAnsi="Arial"/>
          <w:color w:val="000000"/>
          <w:sz w:val="20"/>
        </w:rPr>
        <w:t xml:space="preserve"> </w:t>
      </w:r>
      <w:r>
        <w:rPr>
          <w:rFonts w:ascii="Arial" w:hAnsi="Arial"/>
          <w:sz w:val="20"/>
        </w:rPr>
        <w:t>000007</w:t>
      </w:r>
      <w:r>
        <w:rPr>
          <w:rFonts w:ascii="Arial" w:hAnsi="Arial"/>
          <w:b w:val="1"/>
          <w:color w:val="000000"/>
          <w:sz w:val="20"/>
        </w:rPr>
        <w:t>/</w:t>
      </w:r>
      <w:r>
        <w:rPr>
          <w:rFonts w:ascii="Arial" w:hAnsi="Arial"/>
          <w:sz w:val="20"/>
        </w:rPr>
        <w:t>2026</w:t>
      </w:r>
      <w:r>
        <w:rPr>
          <w:rFonts w:ascii="Arial" w:hAnsi="Arial"/>
          <w:b w:val="1"/>
          <w:sz w:val="20"/>
        </w:rPr>
        <w:t xml:space="preserve">, </w:t>
      </w:r>
      <w:r>
        <w:rPr>
          <w:rFonts w:ascii="Arial" w:hAnsi="Arial"/>
          <w:sz w:val="20"/>
        </w:rPr>
        <w:t>por qualquer meio ou por qualquer pessoa;</w:t>
      </w:r>
    </w:p>
    <w:p>
      <w:pPr>
        <w:spacing w:lineRule="auto" w:line="240" w:after="0" w:beforeAutospacing="0" w:afterAutospacing="0"/>
        <w:ind w:left="709"/>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b)</w:t>
      </w:r>
      <w:r>
        <w:rPr>
          <w:rFonts w:ascii="Arial" w:hAnsi="Arial"/>
          <w:sz w:val="20"/>
        </w:rPr>
        <w:t xml:space="preserve"> A intenção de apresentar a proposta elaborada para participar do </w:t>
      </w:r>
      <w:r>
        <w:rPr>
          <w:rFonts w:ascii="Arial" w:hAnsi="Arial"/>
          <w:b w:val="1"/>
          <w:sz w:val="20"/>
        </w:rPr>
        <w:t xml:space="preserve">Pregão Eletrônico Nº </w:t>
      </w:r>
      <w:r>
        <w:rPr>
          <w:rFonts w:ascii="Arial" w:hAnsi="Arial"/>
          <w:color w:val="000000"/>
          <w:sz w:val="20"/>
        </w:rPr>
        <w:t xml:space="preserve"> </w:t>
      </w:r>
      <w:r>
        <w:rPr>
          <w:rFonts w:ascii="Arial" w:hAnsi="Arial"/>
          <w:sz w:val="20"/>
        </w:rPr>
        <w:t>000007</w:t>
      </w:r>
      <w:r>
        <w:rPr>
          <w:rFonts w:ascii="Arial" w:hAnsi="Arial"/>
          <w:b w:val="1"/>
          <w:color w:val="000000"/>
          <w:sz w:val="20"/>
        </w:rPr>
        <w:t>/</w:t>
      </w:r>
      <w:r>
        <w:rPr>
          <w:rFonts w:ascii="Arial" w:hAnsi="Arial"/>
          <w:sz w:val="20"/>
        </w:rPr>
        <w:t xml:space="preserve">2026 não foi informada, discutida ou recebida de qualquer outro participante potencial ou de fato do </w:t>
      </w:r>
      <w:r>
        <w:rPr>
          <w:rFonts w:ascii="Arial" w:hAnsi="Arial"/>
          <w:b w:val="1"/>
          <w:sz w:val="20"/>
        </w:rPr>
        <w:t xml:space="preserve">Pregão Eletrônico Nº </w:t>
      </w:r>
      <w:r>
        <w:rPr>
          <w:rFonts w:ascii="Arial" w:hAnsi="Arial"/>
          <w:color w:val="000000"/>
          <w:sz w:val="20"/>
        </w:rPr>
        <w:t xml:space="preserve"> </w:t>
      </w:r>
      <w:r>
        <w:rPr>
          <w:rFonts w:ascii="Arial" w:hAnsi="Arial"/>
          <w:sz w:val="20"/>
        </w:rPr>
        <w:t>000007</w:t>
      </w:r>
      <w:r>
        <w:rPr>
          <w:rFonts w:ascii="Arial" w:hAnsi="Arial"/>
          <w:b w:val="1"/>
          <w:color w:val="000000"/>
          <w:sz w:val="20"/>
        </w:rPr>
        <w:t>/</w:t>
      </w:r>
      <w:r>
        <w:rPr>
          <w:rFonts w:ascii="Arial" w:hAnsi="Arial"/>
          <w:sz w:val="20"/>
        </w:rPr>
        <w:t>2026, por qualquer meio ou por qualquer pessoa;</w:t>
      </w:r>
    </w:p>
    <w:p>
      <w:pPr>
        <w:spacing w:lineRule="auto" w:line="240" w:after="0" w:beforeAutospacing="0" w:afterAutospacing="0"/>
        <w:ind w:left="709"/>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b)</w:t>
      </w:r>
      <w:r>
        <w:rPr>
          <w:rFonts w:ascii="Arial" w:hAnsi="Arial"/>
          <w:sz w:val="20"/>
        </w:rPr>
        <w:t xml:space="preserve"> Que não tentou, por qualquer meio ou por qualquer pessoa, influir na decisão de qualquer outro participante potencial ou de fato do </w:t>
      </w:r>
      <w:r>
        <w:rPr>
          <w:rFonts w:ascii="Arial" w:hAnsi="Arial"/>
          <w:b w:val="1"/>
          <w:sz w:val="20"/>
        </w:rPr>
        <w:t xml:space="preserve">Pregão Eletrônico Nº </w:t>
      </w:r>
      <w:r>
        <w:rPr>
          <w:rFonts w:ascii="Arial" w:hAnsi="Arial"/>
          <w:color w:val="000000"/>
          <w:sz w:val="20"/>
        </w:rPr>
        <w:t xml:space="preserve"> </w:t>
      </w:r>
      <w:r>
        <w:rPr>
          <w:rFonts w:ascii="Arial" w:hAnsi="Arial"/>
          <w:sz w:val="20"/>
        </w:rPr>
        <w:t>000007</w:t>
      </w:r>
      <w:r>
        <w:rPr>
          <w:rFonts w:ascii="Arial" w:hAnsi="Arial"/>
          <w:b w:val="1"/>
          <w:color w:val="000000"/>
          <w:sz w:val="20"/>
        </w:rPr>
        <w:t>/</w:t>
      </w:r>
      <w:r>
        <w:rPr>
          <w:rFonts w:ascii="Arial" w:hAnsi="Arial"/>
          <w:sz w:val="20"/>
        </w:rPr>
        <w:t>2026</w:t>
      </w:r>
      <w:r>
        <w:rPr>
          <w:rFonts w:ascii="Arial" w:hAnsi="Arial"/>
          <w:color w:val="000000"/>
          <w:sz w:val="20"/>
        </w:rPr>
        <w:t xml:space="preserve"> </w:t>
      </w:r>
      <w:r>
        <w:rPr>
          <w:rFonts w:ascii="Arial" w:hAnsi="Arial"/>
          <w:sz w:val="20"/>
        </w:rPr>
        <w:t>quanto a participar ou não da referida licitação;</w:t>
      </w:r>
    </w:p>
    <w:p>
      <w:pPr>
        <w:spacing w:lineRule="auto" w:line="240" w:after="0" w:beforeAutospacing="0" w:afterAutospacing="0"/>
        <w:ind w:left="709"/>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d)</w:t>
      </w:r>
      <w:r>
        <w:rPr>
          <w:rFonts w:ascii="Arial" w:hAnsi="Arial"/>
          <w:sz w:val="20"/>
        </w:rPr>
        <w:t xml:space="preserve"> Que o conteúdo da proposta apresentada para participar do </w:t>
      </w:r>
      <w:r>
        <w:rPr>
          <w:rFonts w:ascii="Arial" w:hAnsi="Arial"/>
          <w:b w:val="1"/>
          <w:sz w:val="20"/>
        </w:rPr>
        <w:t xml:space="preserve">Pregão Eletrônico Nº </w:t>
      </w:r>
      <w:r>
        <w:rPr>
          <w:rFonts w:ascii="Arial" w:hAnsi="Arial"/>
          <w:color w:val="000000"/>
          <w:sz w:val="20"/>
        </w:rPr>
        <w:t xml:space="preserve"> </w:t>
      </w:r>
      <w:r>
        <w:rPr>
          <w:rFonts w:ascii="Arial" w:hAnsi="Arial"/>
          <w:sz w:val="20"/>
        </w:rPr>
        <w:t>000007</w:t>
      </w:r>
      <w:r>
        <w:rPr>
          <w:rFonts w:ascii="Arial" w:hAnsi="Arial"/>
          <w:b w:val="1"/>
          <w:color w:val="000000"/>
          <w:sz w:val="20"/>
        </w:rPr>
        <w:t>/</w:t>
      </w:r>
      <w:r>
        <w:rPr>
          <w:rFonts w:ascii="Arial" w:hAnsi="Arial"/>
          <w:sz w:val="20"/>
        </w:rPr>
        <w:t>2026</w:t>
      </w:r>
      <w:r>
        <w:rPr>
          <w:rFonts w:ascii="Arial" w:hAnsi="Arial"/>
          <w:color w:val="000000"/>
          <w:sz w:val="20"/>
        </w:rPr>
        <w:t xml:space="preserve">} </w:t>
      </w:r>
      <w:r>
        <w:rPr>
          <w:rFonts w:ascii="Arial" w:hAnsi="Arial"/>
          <w:sz w:val="20"/>
        </w:rPr>
        <w:t xml:space="preserve">não será, no todo ou em parte, direta ou indiretamente, comunicado ou discutido com qualquer outro participante potencial ou de fato do  </w:t>
      </w:r>
      <w:r>
        <w:rPr>
          <w:rFonts w:ascii="Arial" w:hAnsi="Arial"/>
          <w:b w:val="1"/>
          <w:sz w:val="20"/>
        </w:rPr>
        <w:t xml:space="preserve">Pregão Eletrônico Nº </w:t>
      </w:r>
      <w:r>
        <w:rPr>
          <w:rFonts w:ascii="Arial" w:hAnsi="Arial"/>
          <w:color w:val="000000"/>
          <w:sz w:val="20"/>
        </w:rPr>
        <w:t xml:space="preserve"> </w:t>
      </w:r>
      <w:r>
        <w:rPr>
          <w:rFonts w:ascii="Arial" w:hAnsi="Arial"/>
          <w:sz w:val="20"/>
        </w:rPr>
        <w:t>000007/2026 antes da adjudicação do objeto da referida licitação;</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e)</w:t>
      </w:r>
      <w:r>
        <w:rPr>
          <w:rFonts w:ascii="Arial" w:hAnsi="Arial"/>
          <w:sz w:val="20"/>
        </w:rPr>
        <w:t xml:space="preserve"> Que o conteúdo da proposta apresentada para participar do </w:t>
      </w:r>
      <w:r>
        <w:rPr>
          <w:rFonts w:ascii="Arial" w:hAnsi="Arial"/>
          <w:b w:val="1"/>
          <w:sz w:val="20"/>
        </w:rPr>
        <w:t xml:space="preserve">Pregão Eletrônico Nº </w:t>
      </w:r>
      <w:r>
        <w:rPr>
          <w:rFonts w:ascii="Arial" w:hAnsi="Arial"/>
          <w:color w:val="000000"/>
          <w:sz w:val="20"/>
        </w:rPr>
        <w:t xml:space="preserve"> </w:t>
      </w:r>
      <w:r>
        <w:rPr>
          <w:rFonts w:ascii="Arial" w:hAnsi="Arial"/>
          <w:sz w:val="20"/>
        </w:rPr>
        <w:t>000007</w:t>
      </w:r>
      <w:r>
        <w:rPr>
          <w:rFonts w:ascii="Arial" w:hAnsi="Arial"/>
          <w:b w:val="1"/>
          <w:color w:val="000000"/>
          <w:sz w:val="20"/>
        </w:rPr>
        <w:t>/</w:t>
      </w:r>
      <w:r>
        <w:rPr>
          <w:rFonts w:ascii="Arial" w:hAnsi="Arial"/>
          <w:sz w:val="20"/>
        </w:rPr>
        <w:t>2026</w:t>
      </w:r>
      <w:r>
        <w:rPr>
          <w:rFonts w:ascii="Arial" w:hAnsi="Arial"/>
          <w:color w:val="000000"/>
          <w:sz w:val="20"/>
        </w:rPr>
        <w:t xml:space="preserve"> </w:t>
      </w:r>
      <w:r>
        <w:rPr>
          <w:rFonts w:ascii="Arial" w:hAnsi="Arial"/>
          <w:sz w:val="20"/>
        </w:rPr>
        <w:t xml:space="preserve">não foi, no todo ou em parte, direta ou indiretamente, informado, discutido ou recebido de qualquer integrante do município de Domingos Martins/ES, antes da abertura oficial das propostas; e </w:t>
      </w:r>
    </w:p>
    <w:p>
      <w:pPr>
        <w:spacing w:lineRule="auto" w:line="240" w:after="0" w:beforeAutospacing="0" w:afterAutospacing="0"/>
        <w:ind w:left="709"/>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b w:val="1"/>
          <w:color w:val="000000"/>
          <w:sz w:val="20"/>
        </w:rPr>
        <w:t>f)</w:t>
      </w:r>
      <w:r>
        <w:rPr>
          <w:rFonts w:ascii="Arial" w:hAnsi="Arial"/>
          <w:color w:val="000000"/>
          <w:sz w:val="20"/>
        </w:rPr>
        <w:t xml:space="preserve"> Que está plenamente ciente do teor e da extensão desta declaração e que detém plenos poderes e informações para firmá-la.</w:t>
      </w:r>
    </w:p>
    <w:p>
      <w:pPr>
        <w:spacing w:lineRule="auto" w:line="240" w:after="0" w:beforeAutospacing="0" w:afterAutospacing="0"/>
        <w:ind w:left="709"/>
        <w:jc w:val="both"/>
        <w:rPr>
          <w:rFonts w:ascii="Arial" w:hAnsi="Arial"/>
          <w:sz w:val="20"/>
        </w:rPr>
      </w:pPr>
    </w:p>
    <w:p>
      <w:pPr>
        <w:spacing w:lineRule="auto" w:line="240" w:after="0" w:beforeAutospacing="0" w:afterAutospacing="0"/>
        <w:ind w:left="709"/>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color w:val="000000"/>
          <w:sz w:val="20"/>
        </w:rPr>
        <w:t xml:space="preserve">(LOCAL), ___ DE _________ DE  2026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sz w:val="20"/>
        </w:rPr>
        <w:t>.....................................</w:t>
      </w:r>
    </w:p>
    <w:p>
      <w:pPr>
        <w:spacing w:lineRule="auto" w:line="240" w:after="0" w:beforeAutospacing="0" w:afterAutospacing="0"/>
        <w:jc w:val="both"/>
        <w:rPr>
          <w:rFonts w:ascii="Arial" w:hAnsi="Arial"/>
          <w:sz w:val="20"/>
        </w:rPr>
      </w:pPr>
      <w:r>
        <w:rPr>
          <w:rFonts w:ascii="Arial" w:hAnsi="Arial"/>
          <w:sz w:val="20"/>
        </w:rPr>
        <w:t>(NOME, ASSINATURA DO RESPONSÁVEL E CPF)</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sz w:val="20"/>
        </w:rPr>
      </w:pPr>
      <w:r>
        <w:rPr>
          <w:rFonts w:ascii="Arial" w:hAnsi="Arial"/>
          <w:b w:val="1"/>
          <w:sz w:val="20"/>
        </w:rPr>
        <w:t>(PAPEL TIMBRADO E/OU CARIMBO DO CNPJ DA EMPRESA)</w:t>
      </w:r>
    </w:p>
    <w:p>
      <w:pPr>
        <w:rPr>
          <w:rFonts w:ascii="Arial" w:hAnsi="Arial"/>
          <w:b w:val="1"/>
          <w:sz w:val="20"/>
        </w:rPr>
      </w:pPr>
      <w:r>
        <w:rPr>
          <w:rFonts w:ascii="Arial" w:hAnsi="Arial"/>
          <w:b w:val="1"/>
          <w:sz w:val="20"/>
        </w:rPr>
        <w:br w:type="page"/>
      </w:r>
    </w:p>
    <w:p>
      <w:pPr>
        <w:spacing w:lineRule="auto" w:line="240" w:after="0" w:beforeAutospacing="0" w:afterAutospacing="0"/>
        <w:jc w:val="both"/>
        <w:rPr>
          <w:rFonts w:ascii="Arial" w:hAnsi="Arial"/>
          <w:b w:val="1"/>
          <w:sz w:val="20"/>
        </w:rPr>
      </w:pPr>
      <w:r>
        <w:rPr>
          <w:rFonts w:ascii="Arial" w:hAnsi="Arial"/>
          <w:b w:val="1"/>
          <w:sz w:val="20"/>
        </w:rPr>
        <w:t>ANEXO IV</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DECLARAÇÃO DO PORTE DA EMPRESA - MICROEMPRESA OU EMPRESA DE PEQUENO PORTE</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 xml:space="preserve">Referência: </w:t>
      </w:r>
    </w:p>
    <w:p>
      <w:pPr>
        <w:spacing w:lineRule="auto" w:line="240" w:after="0" w:beforeAutospacing="0" w:afterAutospacing="0"/>
        <w:jc w:val="both"/>
        <w:rPr>
          <w:rFonts w:ascii="Arial" w:hAnsi="Arial"/>
          <w:b w:val="1"/>
          <w:color w:val="000000"/>
          <w:sz w:val="20"/>
        </w:rPr>
      </w:pPr>
      <w:r>
        <w:rPr>
          <w:rFonts w:ascii="Arial" w:hAnsi="Arial"/>
          <w:b w:val="1"/>
          <w:sz w:val="20"/>
        </w:rPr>
        <w:t xml:space="preserve">Pregão ELETRÔNICO Nº </w:t>
      </w:r>
      <w:r>
        <w:rPr>
          <w:rFonts w:ascii="Arial" w:hAnsi="Arial"/>
          <w:b w:val="1"/>
          <w:color w:val="000000"/>
          <w:sz w:val="20"/>
        </w:rPr>
        <w:t>000007/2026</w:t>
      </w:r>
    </w:p>
    <w:p>
      <w:pPr>
        <w:spacing w:lineRule="auto" w:line="240" w:after="0" w:beforeAutospacing="0" w:afterAutospacing="0"/>
        <w:ind w:hanging="426" w:left="426"/>
        <w:jc w:val="both"/>
        <w:rPr>
          <w:rFonts w:ascii="Arial" w:hAnsi="Arial"/>
          <w:b w:val="1"/>
          <w:color w:val="000000"/>
          <w:sz w:val="20"/>
        </w:rPr>
      </w:pPr>
      <w:r>
        <w:rPr>
          <w:rFonts w:ascii="Arial" w:hAnsi="Arial"/>
          <w:color w:val="000000"/>
          <w:sz w:val="20"/>
        </w:rPr>
        <w:t xml:space="preserve">Objeto: </w:t>
      </w:r>
      <w:r>
        <w:rPr>
          <w:rFonts w:ascii="Arial" w:hAnsi="Arial"/>
          <w:b w:val="1"/>
          <w:color w:val="000000"/>
          <w:sz w:val="20"/>
        </w:rPr>
        <w:t>Aqusição de apostilas encadernadas - Material Didático Complementar do Programa Educar pra Valer que será utilizado nas turmas dos anos iniciais do Ensino Fundamental no decorrer do ano de 2026.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sz w:val="20"/>
        </w:rPr>
        <w:t xml:space="preserve">A ........................................................... (RAZÃO SOCIAL DA EMPRESA), CNPJ Nº........................., localizada à ..........................................., por intermédio de seu representante legal o(a) sr(a) ................................., portador(a) da Carteira de Identidade Nº ................ e CPF Nº............................., </w:t>
      </w:r>
      <w:r>
        <w:rPr>
          <w:rFonts w:ascii="Arial" w:hAnsi="Arial"/>
          <w:b w:val="1"/>
          <w:sz w:val="20"/>
        </w:rPr>
        <w:t>DECLARA</w:t>
      </w:r>
      <w:r>
        <w:rPr>
          <w:rFonts w:ascii="Arial" w:hAnsi="Arial"/>
          <w:sz w:val="20"/>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DECLARA</w:t>
      </w:r>
      <w:r>
        <w:rPr>
          <w:rFonts w:ascii="Arial" w:hAnsi="Arial"/>
          <w:sz w:val="20"/>
        </w:rPr>
        <w:t>, para fins da LCc 123/2006 e suas alterações, sob as penalidades desta, ser:</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 xml:space="preserve">(  ) MICROEMPRESA</w:t>
      </w:r>
      <w:r>
        <w:rPr>
          <w:rFonts w:ascii="Arial" w:hAnsi="Arial"/>
          <w:sz w:val="20"/>
        </w:rPr>
        <w:t xml:space="preserve"> - receita bruta anual igual ou inferior a r$ 360.000,00 (trezentos e sessenta mil reais) e estando apta a fruir os benefícios e vantagens legalmente instituídas por não se enquadrar em nenhuma das vedações legais impostas pelo § 4º do Art. 3º da Lei Complementar Nº 123/06 alterada pela LC 147/2014.</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sz w:val="20"/>
        </w:rPr>
        <w:t xml:space="preserve">(  ) EMPRESA DE PEQUENO PORTE </w:t>
      </w:r>
      <w:r>
        <w:rPr>
          <w:rFonts w:ascii="Arial" w:hAnsi="Arial"/>
          <w:sz w:val="20"/>
        </w:rPr>
        <w:t>- receita bruta anual superior a R$ 360.000,00 (trezentos e sessenta mil reais) e igual ou inferior a R$ 4.800.000,00 (quatro milhões e oitocentos mil reais), estando apta a fruir os benefícios e vantagens legalmente instituídas por não se enquadrar em nenhuma das vedações legais impostas pelo § 4º do art. 3º da Lei Complementar Nº 123/06 alterada pela LC 147/2014.</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sz w:val="20"/>
        </w:rPr>
      </w:pPr>
      <w:r>
        <w:rPr>
          <w:rFonts w:ascii="Arial" w:hAnsi="Arial"/>
          <w:b w:val="1"/>
          <w:sz w:val="20"/>
        </w:rPr>
        <w:t>OBSERVAÇÕES:</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color w:val="000000"/>
          <w:sz w:val="20"/>
        </w:rPr>
        <w:t xml:space="preserve">●   esta declaração poderá ser preenchida somente pela licitante enquadrada como ME ou EPP, nos termos da LC 123, de 14 de dezembro de 2006;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color w:val="000000"/>
          <w:sz w:val="20"/>
        </w:rPr>
        <w:t>●</w:t>
        <w:tab/>
        <w:t xml:space="preserve"> a não apresentação desta declaração será interpretada como não enquadramento da licitante como ME ou EPP, nos termos da LC Nº 123/2006, ou a opção pela não utilização do direito de tratamento diferenciado.</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color w:val="000000"/>
          <w:sz w:val="20"/>
        </w:rPr>
        <w:t xml:space="preserve">(LOCAL), ___ DE _________ DE  2026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sz w:val="20"/>
        </w:rPr>
        <w:t xml:space="preserve">NOME, ASSINATURA DO </w:t>
      </w:r>
      <w:r>
        <w:rPr>
          <w:rFonts w:ascii="Arial" w:hAnsi="Arial"/>
          <w:b w:val="1"/>
          <w:sz w:val="20"/>
        </w:rPr>
        <w:t>RESPONSÁVEL LEGAL</w:t>
      </w:r>
      <w:r>
        <w:rPr>
          <w:rFonts w:ascii="Arial" w:hAnsi="Arial"/>
          <w:sz w:val="20"/>
        </w:rPr>
        <w:t xml:space="preserve"> E CPF</w:t>
      </w:r>
    </w:p>
    <w:p>
      <w:pPr>
        <w:spacing w:lineRule="auto" w:line="240" w:after="0" w:beforeAutospacing="0" w:afterAutospacing="0"/>
        <w:jc w:val="both"/>
        <w:rPr>
          <w:rFonts w:ascii="Arial" w:hAnsi="Arial"/>
          <w:sz w:val="20"/>
        </w:rPr>
      </w:pPr>
      <w:r>
        <w:rPr>
          <w:rFonts w:ascii="Arial" w:hAnsi="Arial"/>
          <w:sz w:val="20"/>
        </w:rPr>
        <w:t>.....................................</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sz w:val="20"/>
        </w:rPr>
      </w:pPr>
      <w:r>
        <w:rPr>
          <w:rFonts w:ascii="Arial" w:hAnsi="Arial"/>
          <w:b w:val="1"/>
          <w:sz w:val="20"/>
        </w:rPr>
        <w:t>(PAPEL TIMBRADO E/OU CARIMBO DO CNPJ DA EMPRESA)</w:t>
      </w:r>
    </w:p>
    <w:p>
      <w:pPr>
        <w:rPr>
          <w:rFonts w:ascii="Arial" w:hAnsi="Arial"/>
          <w:b w:val="1"/>
          <w:color w:val="000000"/>
          <w:sz w:val="20"/>
        </w:rPr>
      </w:pPr>
      <w:r>
        <w:rPr>
          <w:rFonts w:ascii="Arial" w:hAnsi="Arial"/>
          <w:b w:val="1"/>
          <w:color w:val="000000"/>
          <w:sz w:val="20"/>
        </w:rPr>
        <w:br w:type="page"/>
      </w:r>
    </w:p>
    <w:p>
      <w:pPr>
        <w:spacing w:lineRule="auto" w:line="240" w:after="0" w:beforeAutospacing="0" w:afterAutospacing="0"/>
        <w:jc w:val="both"/>
        <w:rPr>
          <w:rFonts w:ascii="Arial" w:hAnsi="Arial"/>
          <w:b w:val="1"/>
          <w:color w:val="000000"/>
          <w:sz w:val="20"/>
        </w:rPr>
      </w:pPr>
      <w:r>
        <w:rPr>
          <w:rFonts w:ascii="Arial" w:hAnsi="Arial"/>
          <w:b w:val="1"/>
          <w:color w:val="000000"/>
          <w:sz w:val="20"/>
        </w:rPr>
        <w:t>ANEXO V</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sz w:val="20"/>
        </w:rPr>
      </w:pPr>
      <w:r>
        <w:rPr>
          <w:rFonts w:ascii="Arial" w:hAnsi="Arial"/>
          <w:b w:val="1"/>
          <w:sz w:val="20"/>
        </w:rPr>
        <w:t>MINUTA DA ATA DE REGISTRO DE PREÇOS</w:t>
      </w:r>
    </w:p>
    <w:p>
      <w:pPr>
        <w:spacing w:lineRule="auto" w:line="240" w:after="0" w:beforeAutospacing="0" w:afterAutospacing="0"/>
        <w:jc w:val="both"/>
        <w:rPr>
          <w:rFonts w:ascii="Arial" w:hAnsi="Arial"/>
          <w:sz w:val="20"/>
        </w:rPr>
      </w:pPr>
    </w:p>
    <w:p>
      <w:pPr>
        <w:spacing w:lineRule="auto" w:line="240" w:after="0" w:beforeAutospacing="0" w:afterAutospacing="0"/>
        <w:jc w:val="center"/>
        <w:rPr>
          <w:rFonts w:ascii="Arial" w:hAnsi="Arial"/>
          <w:b w:val="1"/>
          <w:sz w:val="20"/>
        </w:rPr>
      </w:pPr>
      <w:r>
        <w:rPr>
          <w:rFonts w:ascii="Arial" w:hAnsi="Arial"/>
          <w:b w:val="1"/>
          <w:sz w:val="20"/>
        </w:rPr>
        <w:t>ATA DE REGISTRO DE PREÇOS Nº XXXX/2026</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color w:val="000000"/>
          <w:sz w:val="20"/>
        </w:rPr>
        <w:t xml:space="preserve">O </w:t>
      </w:r>
      <w:r>
        <w:rPr>
          <w:rFonts w:ascii="Arial" w:hAnsi="Arial"/>
          <w:b w:val="1"/>
          <w:color w:val="000000"/>
          <w:sz w:val="20"/>
        </w:rPr>
        <w:t>MUNICÍPIO DE DOMINGOS MARTINS</w:t>
      </w:r>
      <w:r>
        <w:rPr>
          <w:rFonts w:ascii="Arial" w:hAnsi="Arial"/>
          <w:color w:val="000000"/>
          <w:sz w:val="20"/>
        </w:rPr>
        <w:t xml:space="preserve">, Estado do Espírito Santo, com sede na Rua Bernardino Monteiro, nº 22, Centro desta Cidade, inscrito no CNPJ sob o nº 27.150556/0001-10, neste ato representado pelo Prefeito, o Sr. </w:t>
      </w:r>
      <w:r>
        <w:rPr>
          <w:rFonts w:ascii="Arial" w:hAnsi="Arial"/>
          <w:b w:val="1"/>
          <w:color w:val="000000"/>
          <w:sz w:val="20"/>
        </w:rPr>
        <w:t xml:space="preserve">Eduardo José Ramos, </w:t>
      </w:r>
      <w:r>
        <w:rPr>
          <w:rFonts w:ascii="Arial" w:hAnsi="Arial"/>
          <w:color w:val="000000"/>
          <w:sz w:val="20"/>
        </w:rPr>
        <w:t xml:space="preserve">por intermédio da </w:t>
      </w:r>
      <w:r>
        <w:rPr>
          <w:rFonts w:ascii="Arial" w:hAnsi="Arial"/>
          <w:b w:val="1"/>
          <w:color w:val="000000"/>
          <w:sz w:val="20"/>
        </w:rPr>
        <w:t xml:space="preserve">SECRETARIA MUNICIPAL DE xxxxxxx, </w:t>
      </w:r>
      <w:r>
        <w:rPr>
          <w:rFonts w:ascii="Arial" w:hAnsi="Arial"/>
          <w:color w:val="000000"/>
          <w:sz w:val="20"/>
        </w:rPr>
        <w:t xml:space="preserve">representada pelo(a) Secretária(o) Municipal Sr.(a). xxxxxxxxxxx, doravante denominado </w:t>
      </w:r>
      <w:r>
        <w:rPr>
          <w:rFonts w:ascii="Arial" w:hAnsi="Arial"/>
          <w:b w:val="1"/>
          <w:color w:val="000000"/>
          <w:sz w:val="20"/>
        </w:rPr>
        <w:t>ÓRGÃO GERENCIADOR</w:t>
      </w:r>
      <w:r>
        <w:rPr>
          <w:rFonts w:ascii="Arial" w:hAnsi="Arial"/>
          <w:color w:val="000000"/>
          <w:sz w:val="20"/>
        </w:rPr>
        <w:t xml:space="preserve">, e a empresa </w:t>
      </w:r>
      <w:r>
        <w:rPr>
          <w:rFonts w:ascii="Arial" w:hAnsi="Arial"/>
          <w:color w:val="FF0000"/>
          <w:sz w:val="20"/>
        </w:rPr>
        <w:t>..............................</w:t>
      </w:r>
      <w:r>
        <w:rPr>
          <w:rFonts w:ascii="Arial" w:hAnsi="Arial"/>
          <w:color w:val="000000"/>
          <w:sz w:val="20"/>
        </w:rPr>
        <w:t xml:space="preserve"> inscrita no CNPJ/MF sob o nº </w:t>
      </w:r>
      <w:r>
        <w:rPr>
          <w:rFonts w:ascii="Arial" w:hAnsi="Arial"/>
          <w:color w:val="FF0000"/>
          <w:sz w:val="20"/>
        </w:rPr>
        <w:t>............................</w:t>
      </w:r>
      <w:r>
        <w:rPr>
          <w:rFonts w:ascii="Arial" w:hAnsi="Arial"/>
          <w:color w:val="000000"/>
          <w:sz w:val="20"/>
        </w:rPr>
        <w:t xml:space="preserve">, sediada na </w:t>
      </w:r>
      <w:r>
        <w:rPr>
          <w:rFonts w:ascii="Arial" w:hAnsi="Arial"/>
          <w:color w:val="FF0000"/>
          <w:sz w:val="20"/>
        </w:rPr>
        <w:t>...................................</w:t>
      </w:r>
      <w:r>
        <w:rPr>
          <w:rFonts w:ascii="Arial" w:hAnsi="Arial"/>
          <w:color w:val="000000"/>
          <w:sz w:val="20"/>
        </w:rPr>
        <w:t xml:space="preserve">, em </w:t>
      </w:r>
      <w:r>
        <w:rPr>
          <w:rFonts w:ascii="Arial" w:hAnsi="Arial"/>
          <w:color w:val="FF0000"/>
          <w:sz w:val="20"/>
        </w:rPr>
        <w:t>.............................</w:t>
      </w:r>
      <w:r>
        <w:rPr>
          <w:rFonts w:ascii="Arial" w:hAnsi="Arial"/>
          <w:color w:val="000000"/>
          <w:sz w:val="20"/>
        </w:rPr>
        <w:t xml:space="preserve"> doravante designada FORNECEDOR, representada pelo(a) Sr.(a) </w:t>
      </w:r>
      <w:r>
        <w:rPr>
          <w:rFonts w:ascii="Arial" w:hAnsi="Arial"/>
          <w:color w:val="FF0000"/>
          <w:sz w:val="20"/>
        </w:rPr>
        <w:t>.....................</w:t>
      </w:r>
      <w:r>
        <w:rPr>
          <w:rFonts w:ascii="Arial" w:hAnsi="Arial"/>
          <w:color w:val="000000"/>
          <w:sz w:val="20"/>
        </w:rPr>
        <w:t xml:space="preserve">, tendo em vista o que consta no </w:t>
      </w:r>
      <w:r>
        <w:rPr>
          <w:rFonts w:ascii="Arial" w:hAnsi="Arial"/>
          <w:b w:val="1"/>
          <w:color w:val="000000"/>
          <w:sz w:val="20"/>
        </w:rPr>
        <w:t>Processo nº 332/2026</w:t>
      </w:r>
      <w:r>
        <w:rPr>
          <w:rFonts w:ascii="Arial" w:hAnsi="Arial"/>
          <w:color w:val="000000"/>
          <w:sz w:val="20"/>
        </w:rPr>
        <w:t xml:space="preserve"> e em observância às disposições da Lei nº 14.133/2021, da Lei nº 123/2006 e 147/2014, resolvem celebrar a presente Ata de Registro de Preços, decorrente do </w:t>
      </w:r>
      <w:r>
        <w:rPr>
          <w:rFonts w:ascii="Arial" w:hAnsi="Arial"/>
          <w:b w:val="1"/>
          <w:sz w:val="20"/>
        </w:rPr>
        <w:t>Pregão Eletrônico</w:t>
      </w:r>
      <w:r>
        <w:rPr>
          <w:rFonts w:ascii="Arial" w:hAnsi="Arial"/>
          <w:b w:val="1"/>
          <w:color w:val="000000"/>
          <w:sz w:val="20"/>
        </w:rPr>
        <w:t xml:space="preserve"> nº 000007/2026</w:t>
      </w:r>
      <w:r>
        <w:rPr>
          <w:rFonts w:ascii="Arial" w:hAnsi="Arial"/>
          <w:color w:val="000000"/>
          <w:sz w:val="20"/>
        </w:rPr>
        <w:t>, mediante as cláusulas e condições a seguir enunciadas:</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ind w:right="16"/>
        <w:jc w:val="both"/>
        <w:rPr>
          <w:rFonts w:ascii="Arial" w:hAnsi="Arial"/>
          <w:b w:val="1"/>
          <w:color w:val="000000"/>
          <w:sz w:val="20"/>
        </w:rPr>
      </w:pPr>
      <w:r>
        <w:rPr>
          <w:rFonts w:ascii="Arial" w:hAnsi="Arial"/>
          <w:b w:val="1"/>
          <w:color w:val="000000"/>
          <w:sz w:val="20"/>
        </w:rPr>
        <w:t>CLÁUSULA PRIMEIRA</w:t>
      </w:r>
      <w:r>
        <w:rPr>
          <w:rFonts w:ascii="Arial" w:hAnsi="Arial"/>
          <w:sz w:val="20"/>
        </w:rPr>
        <w:t xml:space="preserve"> - </w:t>
      </w:r>
      <w:r>
        <w:rPr>
          <w:rFonts w:ascii="Arial" w:hAnsi="Arial"/>
          <w:b w:val="1"/>
          <w:color w:val="000000"/>
          <w:sz w:val="20"/>
        </w:rPr>
        <w:t>DO OBJETO.</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rPr>
      </w:pPr>
      <w:r>
        <w:rPr>
          <w:rFonts w:ascii="Arial" w:hAnsi="Arial"/>
          <w:b w:val="1"/>
          <w:color w:val="000000"/>
          <w:sz w:val="20"/>
        </w:rPr>
        <w:t xml:space="preserve">1.1. </w:t>
      </w:r>
      <w:r>
        <w:rPr>
          <w:rFonts w:ascii="Arial" w:hAnsi="Arial"/>
          <w:color w:val="000000"/>
          <w:sz w:val="20"/>
        </w:rPr>
        <w:t xml:space="preserve">O objeto da presente Ata de Registro de Preços é a Aqusição de apostilas encadernadas - Material Didático Complementar do Programa Educar pra Valer que será utilizado nas turmas dos anos iniciais do Ensino Fundamental no decorrer do ano de 2026, conforme especificações e quantitativos estabelecidos no Edital do </w:t>
      </w:r>
      <w:r>
        <w:rPr>
          <w:rFonts w:ascii="Arial" w:hAnsi="Arial"/>
          <w:sz w:val="20"/>
        </w:rPr>
        <w:t>Pregão Eletrônico</w:t>
      </w:r>
      <w:r>
        <w:rPr>
          <w:rFonts w:ascii="Arial" w:hAnsi="Arial"/>
          <w:color w:val="000000"/>
          <w:sz w:val="20"/>
        </w:rPr>
        <w:t xml:space="preserve"> nº 000007/2026</w:t>
      </w:r>
      <w:r>
        <w:rPr>
          <w:rFonts w:ascii="Arial" w:hAnsi="Arial"/>
          <w:sz w:val="20"/>
        </w:rPr>
        <w:t xml:space="preserve"> e seus anexos</w:t>
      </w:r>
      <w:r>
        <w:rPr>
          <w:rFonts w:ascii="Arial" w:hAnsi="Arial"/>
          <w:color w:val="000000"/>
          <w:sz w:val="20"/>
        </w:rPr>
        <w:t>.</w:t>
      </w:r>
    </w:p>
    <w:p>
      <w:pPr>
        <w:spacing w:lineRule="auto" w:line="240" w:after="0" w:beforeAutospacing="0" w:afterAutospacing="0"/>
        <w:jc w:val="both"/>
        <w:rPr>
          <w:rFonts w:ascii="Arial" w:hAnsi="Arial"/>
          <w:color w:val="000000"/>
          <w:sz w:val="20"/>
        </w:rPr>
      </w:pPr>
    </w:p>
    <w:p>
      <w:pPr>
        <w:spacing w:lineRule="auto" w:line="240" w:after="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 xml:space="preserve">1.1.1.  Especificações Técnicas</w:t>
      </w:r>
    </w:p>
    <w:p>
      <w:pPr>
        <w:spacing w:lineRule="auto" w:line="240" w:after="160" w:beforeAutospacing="0" w:afterAutospacing="0"/>
        <w:jc w:val="both"/>
        <w:rPr>
          <w:rFonts w:ascii="Arial" w:hAnsi="Arial"/>
          <w:color w:val="auto"/>
          <w:sz w:val="20"/>
          <w:u w:val="none"/>
          <w:shd w:val="clear" w:color="auto" w:fill="FFFFFF"/>
        </w:rPr>
      </w:pPr>
      <w:r>
        <w:rPr>
          <w:rFonts w:ascii="Arial" w:hAnsi="Arial"/>
          <w:color w:val="auto"/>
          <w:sz w:val="20"/>
          <w:u w:val="none"/>
          <w:shd w:val="clear" w:color="auto" w:fill="FFFFFF"/>
        </w:rPr>
        <w:t>A aquisição pretendida visa atender à demanda da rede pública municipal de ensino de Domingos Martins e requer o estabelecimento de requisitos específicos que garantam a qualidade, a eficiência e a transparência do processo. Abaixo, estão os requisitos apropriados para essa aquisição:</w:t>
      </w:r>
    </w:p>
    <w:p>
      <w:pPr>
        <w:spacing w:lineRule="auto" w:line="240" w:after="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 xml:space="preserve">1.1.2. Qualidade dos Materiais: </w:t>
      </w:r>
    </w:p>
    <w:p>
      <w:pPr>
        <w:spacing w:lineRule="auto" w:line="240" w:after="0" w:beforeAutospacing="0" w:afterAutospacing="0"/>
        <w:jc w:val="both"/>
        <w:rPr>
          <w:rFonts w:ascii="Arial" w:hAnsi="Arial"/>
          <w:color w:val="auto"/>
          <w:sz w:val="20"/>
          <w:u w:val="none"/>
          <w:shd w:val="clear" w:color="auto" w:fill="FFFFFF"/>
        </w:rPr>
      </w:pPr>
      <w:r>
        <w:rPr>
          <w:rFonts w:ascii="Arial" w:hAnsi="Arial"/>
          <w:b w:val="1"/>
          <w:color w:val="auto"/>
          <w:sz w:val="20"/>
          <w:u w:val="none"/>
          <w:shd w:val="clear" w:color="auto" w:fill="FFFFFF"/>
        </w:rPr>
        <w:t xml:space="preserve">1.1.2.1. </w:t>
      </w:r>
      <w:r>
        <w:rPr>
          <w:rFonts w:ascii="Arial" w:hAnsi="Arial"/>
          <w:color w:val="auto"/>
          <w:sz w:val="20"/>
          <w:u w:val="none"/>
          <w:shd w:val="clear" w:color="auto" w:fill="FFFFFF"/>
        </w:rPr>
        <w:t xml:space="preserve">Os cadernos devem ser produzidos com materiais de alta qualidade, incluindo papel resistente e tintas duráveis, garantindo a durabilidade e legibilidade do conteúdo ao longo do tempo. </w:t>
      </w:r>
    </w:p>
    <w:p>
      <w:pPr>
        <w:spacing w:lineRule="auto" w:line="240" w:after="0" w:beforeAutospacing="0" w:afterAutospacing="0"/>
        <w:jc w:val="both"/>
        <w:rPr>
          <w:rFonts w:ascii="Arial" w:hAnsi="Arial"/>
          <w:color w:val="auto"/>
          <w:sz w:val="20"/>
          <w:u w:val="none"/>
          <w:shd w:val="clear" w:color="auto" w:fill="FFFFFF"/>
        </w:rPr>
      </w:pPr>
      <w:r>
        <w:rPr>
          <w:rFonts w:ascii="Arial" w:hAnsi="Arial"/>
          <w:b w:val="1"/>
          <w:color w:val="auto"/>
          <w:sz w:val="20"/>
          <w:u w:val="none"/>
          <w:shd w:val="clear" w:color="auto" w:fill="FFFFFF"/>
        </w:rPr>
        <w:t xml:space="preserve">1.1.2.2. </w:t>
      </w:r>
      <w:r>
        <w:rPr>
          <w:rFonts w:ascii="Arial" w:hAnsi="Arial"/>
          <w:color w:val="auto"/>
          <w:sz w:val="20"/>
          <w:u w:val="none"/>
          <w:shd w:val="clear" w:color="auto" w:fill="FFFFFF"/>
        </w:rPr>
        <w:t xml:space="preserve">A impressão deve ser realizada em ambas as faces das folhas, em cores nítidas e de alta qualidade, com diagramação clara e atrativa. </w:t>
      </w:r>
    </w:p>
    <w:p>
      <w:pPr>
        <w:spacing w:lineRule="auto" w:line="240" w:after="0" w:beforeAutospacing="0" w:afterAutospacing="0"/>
        <w:jc w:val="both"/>
        <w:rPr>
          <w:rFonts w:ascii="Arial" w:hAnsi="Arial"/>
          <w:color w:val="000000"/>
          <w:sz w:val="20"/>
          <w:u w:val="none"/>
          <w:shd w:val="clear" w:color="auto" w:fill="FFFFFF"/>
        </w:rPr>
      </w:pPr>
    </w:p>
    <w:p>
      <w:pPr>
        <w:spacing w:lineRule="auto" w:line="240" w:after="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1.1.3. A impressão será mediante contrato de sigilo, uma vez que, o material é fornecido via link pelo Instituto Bem Comum e SEDU que são detentores exclusivos do material didático que será impresso.</w:t>
      </w:r>
    </w:p>
    <w:p>
      <w:pPr>
        <w:spacing w:lineRule="auto" w:line="240" w:after="0" w:beforeAutospacing="0" w:afterAutospacing="0"/>
        <w:ind w:left="0"/>
        <w:jc w:val="both"/>
        <w:rPr>
          <w:rFonts w:ascii="Arial" w:hAnsi="Arial"/>
          <w:color w:val="000000"/>
          <w:sz w:val="20"/>
          <w:u w:val="none"/>
          <w:shd w:val="clear" w:color="auto" w:fill="FFFFFF"/>
        </w:rPr>
      </w:pPr>
    </w:p>
    <w:p>
      <w:pPr>
        <w:spacing w:lineRule="auto" w:line="240" w:after="160" w:beforeAutospacing="0" w:afterAutospacing="0"/>
        <w:ind w:lef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1.1.4. </w:t>
      </w:r>
      <w:r>
        <w:rPr>
          <w:rFonts w:ascii="Arial" w:hAnsi="Arial"/>
          <w:color w:val="000000"/>
          <w:sz w:val="20"/>
          <w:u w:val="none"/>
          <w:shd w:val="clear" w:color="auto" w:fill="FFFFFF"/>
        </w:rPr>
        <w:t>O objeto em questão precisa seguir rigorosamente as especificações técnicas descritas abaixo:</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a) </w:t>
      </w:r>
      <w:r>
        <w:rPr>
          <w:rFonts w:ascii="Arial" w:hAnsi="Arial"/>
          <w:color w:val="000000"/>
          <w:sz w:val="20"/>
          <w:u w:val="none"/>
          <w:shd w:val="clear" w:color="auto" w:fill="FFFFFF"/>
        </w:rPr>
        <w:t>Os cadernos devem ser confeccionados em formato padrão A4, com capa e contracapa em polipropileno resistente (capa – transparente e contracapa preta – fundo PP) com gramatura mínima de 250g, páginas internas em papel offset ou similar, com gramatura mínima de 75g.</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b)</w:t>
      </w:r>
      <w:r>
        <w:rPr>
          <w:rFonts w:ascii="Arial" w:hAnsi="Arial"/>
          <w:color w:val="000000"/>
          <w:sz w:val="20"/>
          <w:u w:val="none"/>
          <w:shd w:val="clear" w:color="auto" w:fill="FFFFFF"/>
        </w:rPr>
        <w:t xml:space="preserve"> Caderno de Atividade Língua Portuguesa - 1 ao 4 - ALUNO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c)</w:t>
      </w:r>
      <w:r>
        <w:rPr>
          <w:rFonts w:ascii="Arial" w:hAnsi="Arial"/>
          <w:color w:val="000000"/>
          <w:sz w:val="20"/>
          <w:u w:val="none"/>
          <w:shd w:val="clear" w:color="auto" w:fill="FFFFFF"/>
        </w:rPr>
        <w:t xml:space="preserve"> Caderno de Atividade Matemática - 1 ao 4 - ALUNO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d) </w:t>
      </w:r>
      <w:r>
        <w:rPr>
          <w:rFonts w:ascii="Arial" w:hAnsi="Arial"/>
          <w:color w:val="000000"/>
          <w:sz w:val="20"/>
          <w:u w:val="none"/>
          <w:shd w:val="clear" w:color="auto" w:fill="FFFFFF"/>
        </w:rPr>
        <w:t>PROFESSOR - 1 ao 4 - Caderno de Atividade Língua Portuguesa e Matemática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e)</w:t>
      </w:r>
      <w:r>
        <w:rPr>
          <w:rFonts w:ascii="Arial" w:hAnsi="Arial"/>
          <w:color w:val="000000"/>
          <w:sz w:val="20"/>
          <w:u w:val="none"/>
          <w:shd w:val="clear" w:color="auto" w:fill="FFFFFF"/>
        </w:rPr>
        <w:t xml:space="preserve"> CADERNO DE FLUÊNCIA - 1 ao 4 - Formato padrão A4, capa e contracapa em polipropileno resistente (capa – transparente e contracapa preta – fundo PP) com gramatura mínima de 250g com acabamento em espiral preto, MIOLO 4x4 em Papel A4 offset ou similar com gramatura mínima de 75g.</w:t>
      </w:r>
    </w:p>
    <w:p>
      <w:pPr>
        <w:spacing w:lineRule="auto" w:line="240" w:after="160" w:beforeAutospacing="0" w:afterAutospacing="0"/>
        <w:ind w:left="708"/>
        <w:jc w:val="both"/>
        <w:rPr>
          <w:rFonts w:ascii="Arial" w:hAnsi="Arial"/>
          <w:color w:val="000000"/>
          <w:sz w:val="20"/>
          <w:u w:val="none"/>
          <w:shd w:val="clear" w:color="auto" w:fill="FFFFFF"/>
        </w:rPr>
      </w:pPr>
      <w:r>
        <w:rPr>
          <w:rFonts w:ascii="Arial" w:hAnsi="Arial"/>
          <w:b w:val="1"/>
          <w:color w:val="000000"/>
          <w:sz w:val="20"/>
          <w:u w:val="none"/>
          <w:shd w:val="clear" w:color="auto" w:fill="FFFFFF"/>
        </w:rPr>
        <w:t>f)</w:t>
      </w:r>
      <w:r>
        <w:rPr>
          <w:rFonts w:ascii="Arial" w:hAnsi="Arial"/>
          <w:color w:val="000000"/>
          <w:sz w:val="20"/>
          <w:u w:val="none"/>
          <w:shd w:val="clear" w:color="auto" w:fill="FFFFFF"/>
        </w:rPr>
        <w:t xml:space="preserve"> o modelo de partes dos cadernos estão anexados no ETP e também disponíveis para visualização presencial na Secretaria Municipal de Educação – Avenida Koehler, 101, Centro, Domingos Martins – ES, CEP 29260-000.</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xml:space="preserve">1.1.5. Sustentabilidade Ambiental: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1.1.5.1.</w:t>
      </w:r>
      <w:r>
        <w:rPr>
          <w:rFonts w:ascii="Arial" w:hAnsi="Arial"/>
          <w:color w:val="000000"/>
          <w:sz w:val="20"/>
          <w:u w:val="none"/>
          <w:shd w:val="clear" w:color="auto" w:fill="FFFFFF"/>
        </w:rPr>
        <w:t xml:space="preserve"> Deve-se priorizar o uso de papel proveniente de fontes sustentáveis, certificado pelo FSC ou organizações equivalentes, e tintas e materiais de impressão ecologicamente responsáveis.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1.1.5.2. </w:t>
      </w:r>
      <w:r>
        <w:rPr>
          <w:rFonts w:ascii="Arial" w:hAnsi="Arial"/>
          <w:color w:val="000000"/>
          <w:sz w:val="20"/>
          <w:u w:val="none"/>
          <w:shd w:val="clear" w:color="auto" w:fill="FFFFFF"/>
        </w:rPr>
        <w:t xml:space="preserve">A licitante deve adotar práticas de produção sustentáveis, minimizando o consumo de recursos naturais e a geração de resíduos. </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xml:space="preserve">1.1.6. Capacidade de Produção: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1.1.6.1.</w:t>
      </w:r>
      <w:r>
        <w:rPr>
          <w:rFonts w:ascii="Arial" w:hAnsi="Arial"/>
          <w:color w:val="000000"/>
          <w:sz w:val="20"/>
          <w:u w:val="none"/>
          <w:shd w:val="clear" w:color="auto" w:fill="FFFFFF"/>
        </w:rPr>
        <w:t xml:space="preserve"> A licitante deve possuir capacidade técnica e infraestrutura adequada para atender à demanda estimada, considerando as quantidades de cadernos necessárias para cada série e disciplina. </w:t>
      </w:r>
    </w:p>
    <w:p>
      <w:pPr>
        <w:spacing w:lineRule="auto" w:line="240" w:after="0" w:beforeAutospacing="0" w:afterAutospacing="0"/>
        <w:jc w:val="both"/>
        <w:rPr>
          <w:rFonts w:ascii="Arial" w:hAnsi="Arial"/>
          <w:color w:val="000000"/>
          <w:sz w:val="20"/>
        </w:rPr>
      </w:pPr>
    </w:p>
    <w:p>
      <w:pPr>
        <w:spacing w:lineRule="auto" w:line="240" w:after="0" w:beforeAutospacing="0" w:afterAutospacing="0"/>
        <w:jc w:val="both"/>
        <w:rPr>
          <w:rFonts w:ascii="Arial" w:hAnsi="Arial"/>
          <w:color w:val="000000"/>
          <w:sz w:val="20"/>
        </w:rPr>
      </w:pPr>
      <w:r>
        <w:rPr>
          <w:rFonts w:ascii="Arial" w:hAnsi="Arial"/>
          <w:b w:val="1"/>
          <w:color w:val="000000"/>
          <w:sz w:val="20"/>
        </w:rPr>
        <w:t xml:space="preserve">1.2. </w:t>
      </w:r>
      <w:r>
        <w:rPr>
          <w:rFonts w:ascii="Arial" w:hAnsi="Arial"/>
          <w:color w:val="000000"/>
          <w:sz w:val="20"/>
        </w:rPr>
        <w:t xml:space="preserve">Esta Ata de Registro de Preços vincula-se ao Edital do </w:t>
      </w:r>
      <w:r>
        <w:rPr>
          <w:rFonts w:ascii="Arial" w:hAnsi="Arial"/>
          <w:sz w:val="20"/>
        </w:rPr>
        <w:t>Pregão Eletrônico</w:t>
      </w:r>
      <w:r>
        <w:rPr>
          <w:rFonts w:ascii="Arial" w:hAnsi="Arial"/>
          <w:color w:val="000000"/>
          <w:sz w:val="20"/>
        </w:rPr>
        <w:t xml:space="preserve"> nº 000007/2026, e à proposta vencedora, independentemente de transcrição.</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shd w:val="clear" w:color="auto" w:fill="FFFFFF"/>
        </w:rPr>
      </w:pPr>
      <w:r>
        <w:rPr>
          <w:rFonts w:ascii="Arial" w:hAnsi="Arial"/>
          <w:b w:val="1"/>
          <w:color w:val="000000"/>
          <w:sz w:val="20"/>
          <w:shd w:val="clear" w:color="auto" w:fill="FFFFFF"/>
        </w:rPr>
        <w:t>CLÁUSULA SEGUNDA - DAS CONDIÇÕES DO REGISTRO DE PREÇOS.</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shd w:val="clear" w:color="auto" w:fill="FFFFFF"/>
        </w:rPr>
      </w:pPr>
      <w:r>
        <w:rPr>
          <w:rFonts w:ascii="Arial" w:hAnsi="Arial"/>
          <w:b w:val="1"/>
          <w:color w:val="000000"/>
          <w:sz w:val="20"/>
          <w:shd w:val="clear" w:color="auto" w:fill="FFFFFF"/>
        </w:rPr>
        <w:t xml:space="preserve">2.1. </w:t>
      </w:r>
      <w:r>
        <w:rPr>
          <w:rFonts w:ascii="Arial" w:hAnsi="Arial"/>
          <w:sz w:val="20"/>
          <w:shd w:val="clear" w:color="auto" w:fill="FFFFFF"/>
        </w:rPr>
        <w:t>Serão registrados nesta ata os preços e os quantitativos do adjudicatário conforme item 4 desta ata</w:t>
      </w:r>
      <w:r>
        <w:rPr>
          <w:rFonts w:ascii="Arial" w:hAnsi="Arial"/>
          <w:b w:val="1"/>
          <w:color w:val="000000"/>
          <w:sz w:val="20"/>
          <w:shd w:val="clear" w:color="auto" w:fill="FFFFFF"/>
        </w:rPr>
        <w:t>.</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shd w:val="clear" w:color="auto" w:fill="FFFFFF"/>
        </w:rPr>
      </w:pPr>
      <w:r>
        <w:rPr>
          <w:rFonts w:ascii="Arial" w:hAnsi="Arial"/>
          <w:b w:val="1"/>
          <w:color w:val="000000"/>
          <w:sz w:val="20"/>
          <w:shd w:val="clear" w:color="auto" w:fill="FFFFFF"/>
        </w:rPr>
        <w:t xml:space="preserve">2.2. </w:t>
      </w:r>
      <w:r>
        <w:rPr>
          <w:rFonts w:ascii="Arial" w:hAnsi="Arial"/>
          <w:color w:val="000000"/>
          <w:sz w:val="20"/>
          <w:shd w:val="clear" w:color="auto" w:fill="FFFFFF"/>
        </w:rPr>
        <w:t xml:space="preserve">Fica vedado efetuar acréscimos nos quantitativos estabelecidos nesta Ata de Registro de Preços. </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shd w:val="clear" w:color="auto" w:fill="FFFFFF"/>
        </w:rPr>
      </w:pPr>
      <w:r>
        <w:rPr>
          <w:rFonts w:ascii="Arial" w:hAnsi="Arial"/>
          <w:b w:val="1"/>
          <w:color w:val="000000"/>
          <w:sz w:val="20"/>
          <w:shd w:val="clear" w:color="auto" w:fill="FFFFFF"/>
        </w:rPr>
        <w:t xml:space="preserve">2.3. </w:t>
      </w:r>
      <w:r>
        <w:rPr>
          <w:rFonts w:ascii="Arial" w:hAnsi="Arial"/>
          <w:color w:val="000000"/>
          <w:sz w:val="20"/>
          <w:shd w:val="clear" w:color="auto" w:fill="FFFFFF"/>
        </w:rPr>
        <w:t>Será incluído nesta ata, na forma de anexo, o registro:</w:t>
      </w:r>
    </w:p>
    <w:p>
      <w:pPr>
        <w:spacing w:lineRule="auto" w:line="240" w:after="0" w:beforeAutospacing="0" w:afterAutospacing="0"/>
        <w:ind w:left="284"/>
        <w:jc w:val="both"/>
        <w:rPr>
          <w:rFonts w:ascii="Arial" w:hAnsi="Arial"/>
          <w:color w:val="000000"/>
          <w:sz w:val="20"/>
          <w:shd w:val="clear" w:color="auto" w:fill="FFFFFF"/>
        </w:rPr>
      </w:pPr>
      <w:r>
        <w:rPr>
          <w:rFonts w:ascii="Arial" w:hAnsi="Arial"/>
          <w:b w:val="1"/>
          <w:color w:val="000000"/>
          <w:sz w:val="20"/>
          <w:shd w:val="clear" w:color="auto" w:fill="FFFFFF"/>
        </w:rPr>
        <w:t>a)</w:t>
      </w:r>
      <w:r>
        <w:rPr>
          <w:rFonts w:ascii="Arial" w:hAnsi="Arial"/>
          <w:color w:val="000000"/>
          <w:sz w:val="20"/>
          <w:shd w:val="clear" w:color="auto" w:fill="FFFFFF"/>
        </w:rPr>
        <w:t xml:space="preserve"> dos licitantes ou dos fornecedores que aceitarem cotar o objeto com preços iguais aos do adjudicatário, observada a classificação na licitação; </w:t>
      </w:r>
    </w:p>
    <w:p>
      <w:pPr>
        <w:spacing w:lineRule="auto" w:line="240" w:after="0" w:beforeAutospacing="0" w:afterAutospacing="0"/>
        <w:ind w:left="284"/>
        <w:jc w:val="both"/>
        <w:rPr>
          <w:rFonts w:ascii="Arial" w:hAnsi="Arial"/>
          <w:color w:val="000000"/>
          <w:sz w:val="20"/>
          <w:shd w:val="clear" w:color="auto" w:fill="FFFFFF"/>
        </w:rPr>
      </w:pPr>
      <w:r>
        <w:rPr>
          <w:rFonts w:ascii="Arial" w:hAnsi="Arial"/>
          <w:b w:val="1"/>
          <w:color w:val="000000"/>
          <w:sz w:val="20"/>
          <w:shd w:val="clear" w:color="auto" w:fill="FFFFFF"/>
        </w:rPr>
        <w:t xml:space="preserve">b) </w:t>
      </w:r>
      <w:r>
        <w:rPr>
          <w:rFonts w:ascii="Arial" w:hAnsi="Arial"/>
          <w:color w:val="000000"/>
          <w:sz w:val="20"/>
          <w:shd w:val="clear" w:color="auto" w:fill="FFFFFF"/>
        </w:rPr>
        <w:t>dos licitantes ou dos fornecedores que mantiverem sua proposta original; e</w:t>
      </w:r>
    </w:p>
    <w:p>
      <w:pPr>
        <w:spacing w:lineRule="auto" w:line="240" w:after="0" w:beforeAutospacing="0" w:afterAutospacing="0"/>
        <w:ind w:left="284"/>
        <w:jc w:val="both"/>
        <w:rPr>
          <w:rFonts w:ascii="Arial" w:hAnsi="Arial"/>
          <w:color w:val="000000"/>
          <w:sz w:val="20"/>
          <w:shd w:val="clear" w:color="auto" w:fill="FFFFFF"/>
        </w:rPr>
      </w:pPr>
      <w:r>
        <w:rPr>
          <w:rFonts w:ascii="Arial" w:hAnsi="Arial"/>
          <w:b w:val="1"/>
          <w:color w:val="000000"/>
          <w:sz w:val="20"/>
          <w:shd w:val="clear" w:color="auto" w:fill="FFFFFF"/>
        </w:rPr>
        <w:t>c)</w:t>
      </w:r>
      <w:r>
        <w:rPr>
          <w:rFonts w:ascii="Arial" w:hAnsi="Arial"/>
          <w:color w:val="000000"/>
          <w:sz w:val="20"/>
          <w:shd w:val="clear" w:color="auto" w:fill="FFFFFF"/>
        </w:rPr>
        <w:t xml:space="preserve"> será respeitada, nas contratações, a ordem de classificação dos licitantes ou fornecedores registrados na ata.</w:t>
      </w:r>
    </w:p>
    <w:p>
      <w:pPr>
        <w:spacing w:lineRule="auto" w:line="240" w:after="0" w:beforeAutospacing="0" w:afterAutospacing="0"/>
        <w:jc w:val="both"/>
        <w:rPr>
          <w:rFonts w:ascii="Arial" w:hAnsi="Arial"/>
          <w:sz w:val="20"/>
        </w:rPr>
      </w:pPr>
    </w:p>
    <w:p>
      <w:pPr>
        <w:spacing w:lineRule="auto" w:line="240" w:after="0" w:beforeAutospacing="0" w:afterAutospacing="0"/>
        <w:ind w:left="284"/>
        <w:jc w:val="both"/>
        <w:rPr>
          <w:rFonts w:ascii="Arial" w:hAnsi="Arial"/>
          <w:sz w:val="20"/>
          <w:shd w:val="clear" w:color="auto" w:fill="FFFFFF"/>
        </w:rPr>
      </w:pPr>
      <w:r>
        <w:rPr>
          <w:rFonts w:ascii="Arial" w:hAnsi="Arial"/>
          <w:b w:val="1"/>
          <w:color w:val="000000"/>
          <w:sz w:val="20"/>
          <w:shd w:val="clear" w:color="auto" w:fill="FFFFFF"/>
        </w:rPr>
        <w:t xml:space="preserve">2.3.1. </w:t>
      </w:r>
      <w:r>
        <w:rPr>
          <w:rFonts w:ascii="Arial" w:hAnsi="Arial"/>
          <w:sz w:val="20"/>
          <w:shd w:val="clear" w:color="auto" w:fill="FFFFFF"/>
        </w:rPr>
        <w:t>O registro a que se refere o item anteriortem por objetivo a formação de cadastro de reserva, para o caso de impossibilidade de atendimento pelo signatário da ata.</w:t>
      </w:r>
    </w:p>
    <w:p>
      <w:pPr>
        <w:spacing w:lineRule="auto" w:line="240" w:after="0" w:beforeAutospacing="0" w:afterAutospacing="0"/>
        <w:ind w:left="284"/>
        <w:jc w:val="both"/>
        <w:rPr>
          <w:rFonts w:ascii="Arial" w:hAnsi="Arial"/>
          <w:sz w:val="20"/>
        </w:rPr>
      </w:pPr>
    </w:p>
    <w:p>
      <w:pPr>
        <w:spacing w:lineRule="auto" w:line="240" w:after="0" w:beforeAutospacing="0" w:afterAutospacing="0"/>
        <w:ind w:left="284"/>
        <w:jc w:val="both"/>
        <w:rPr>
          <w:rFonts w:ascii="Arial" w:hAnsi="Arial"/>
          <w:color w:val="000000"/>
          <w:sz w:val="20"/>
          <w:shd w:val="clear" w:color="auto" w:fill="FFFFFF"/>
        </w:rPr>
      </w:pPr>
      <w:r>
        <w:rPr>
          <w:rFonts w:ascii="Arial" w:hAnsi="Arial"/>
          <w:b w:val="1"/>
          <w:color w:val="000000"/>
          <w:sz w:val="20"/>
          <w:shd w:val="clear" w:color="auto" w:fill="FFFFFF"/>
        </w:rPr>
        <w:t xml:space="preserve">2.3.2. </w:t>
      </w:r>
      <w:r>
        <w:rPr>
          <w:rFonts w:ascii="Arial" w:hAnsi="Arial"/>
          <w:color w:val="000000"/>
          <w:sz w:val="20"/>
          <w:shd w:val="clear" w:color="auto" w:fill="FFFFFF"/>
        </w:rPr>
        <w:t>Para fins da ordem de classificação, os licitantes ou fornecedores de que trata a alínea "a" do subitem 1.6 antecederão aqueles de que trata a alínea "b" do referido item.</w:t>
      </w:r>
    </w:p>
    <w:p>
      <w:pPr>
        <w:spacing w:lineRule="auto" w:line="240" w:after="0" w:beforeAutospacing="0" w:afterAutospacing="0"/>
        <w:ind w:left="284"/>
        <w:jc w:val="both"/>
        <w:rPr>
          <w:rFonts w:ascii="Arial" w:hAnsi="Arial"/>
          <w:sz w:val="20"/>
        </w:rPr>
      </w:pPr>
    </w:p>
    <w:p>
      <w:pPr>
        <w:spacing w:lineRule="auto" w:line="240" w:after="0" w:beforeAutospacing="0" w:afterAutospacing="0"/>
        <w:ind w:left="284"/>
        <w:jc w:val="both"/>
        <w:rPr>
          <w:rFonts w:ascii="Arial" w:hAnsi="Arial"/>
          <w:sz w:val="20"/>
          <w:shd w:val="clear" w:color="auto" w:fill="FFFFFF"/>
        </w:rPr>
      </w:pPr>
      <w:r>
        <w:rPr>
          <w:rFonts w:ascii="Arial" w:hAnsi="Arial"/>
          <w:b w:val="1"/>
          <w:color w:val="000000"/>
          <w:sz w:val="20"/>
          <w:shd w:val="clear" w:color="auto" w:fill="FFFFFF"/>
        </w:rPr>
        <w:t xml:space="preserve">2.3.3. </w:t>
      </w:r>
      <w:r>
        <w:rPr>
          <w:rFonts w:ascii="Arial" w:hAnsi="Arial"/>
          <w:sz w:val="20"/>
          <w:shd w:val="clear" w:color="auto" w:fill="FFFFFF"/>
        </w:rPr>
        <w:t>A habilitação dos licitantes que comporão o cadastro de reserva a que se referem o subitem 1.6 somente será efetuada quando houver necessidade de contratação dos licitantes remanescentes, nos casos previstos no item 14.11 do Edital da licitação.</w:t>
      </w:r>
    </w:p>
    <w:p>
      <w:pPr>
        <w:spacing w:lineRule="auto" w:line="240" w:after="0" w:beforeAutospacing="0" w:afterAutospacing="0"/>
        <w:ind w:left="284"/>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CLÁUSULA TERCEIRA</w:t>
      </w:r>
      <w:r>
        <w:rPr>
          <w:rFonts w:ascii="Arial" w:hAnsi="Arial"/>
          <w:sz w:val="20"/>
        </w:rPr>
        <w:t xml:space="preserve"> - </w:t>
      </w:r>
      <w:r>
        <w:rPr>
          <w:rFonts w:ascii="Arial" w:hAnsi="Arial"/>
          <w:b w:val="1"/>
          <w:color w:val="000000"/>
          <w:sz w:val="20"/>
        </w:rPr>
        <w:t>DA VIGÊNCIA.</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auto"/>
          <w:sz w:val="20"/>
          <w:u w:val="none"/>
          <w:shd w:val="clear" w:color="auto" w:fill="FFFFFF"/>
        </w:rPr>
      </w:pPr>
      <w:r>
        <w:rPr>
          <w:rFonts w:ascii="Arial" w:hAnsi="Arial"/>
          <w:b w:val="1"/>
          <w:color w:val="auto"/>
          <w:sz w:val="20"/>
          <w:u w:val="none"/>
          <w:shd w:val="clear" w:color="auto" w:fill="FFFFFF"/>
        </w:rPr>
        <w:t xml:space="preserve">3.1. </w:t>
      </w:r>
      <w:r>
        <w:rPr>
          <w:rFonts w:ascii="Arial" w:hAnsi="Arial"/>
          <w:color w:val="auto"/>
          <w:sz w:val="20"/>
          <w:u w:val="none"/>
          <w:shd w:val="clear" w:color="auto" w:fill="FFFFFF"/>
        </w:rPr>
        <w:t>O prazo de vigência desta Ata de registro de preços será de 1 (um) ano e poderá ser prorrogado por igual período, desde que comprovado o preço vantajoso, nos termos do art. 84, caput, da Lei Federal n° 14.133/2021.</w:t>
      </w:r>
    </w:p>
    <w:p>
      <w:pPr>
        <w:spacing w:lineRule="auto" w:line="240" w:after="0" w:beforeAutospacing="0" w:afterAutospacing="0"/>
        <w:ind w:firstLine="0" w:left="334"/>
        <w:jc w:val="both"/>
        <w:rPr>
          <w:rFonts w:ascii="Arial" w:hAnsi="Arial"/>
          <w:b w:val="0"/>
          <w:color w:val="auto"/>
          <w:sz w:val="20"/>
          <w:u w:val="none"/>
          <w:shd w:val="clear" w:color="auto" w:fill="FFFFFF"/>
        </w:rPr>
      </w:pPr>
      <w:r>
        <w:rPr>
          <w:rFonts w:ascii="Arial" w:hAnsi="Arial"/>
          <w:b w:val="1"/>
          <w:color w:val="auto"/>
          <w:sz w:val="20"/>
          <w:u w:val="none"/>
          <w:shd w:val="clear" w:color="auto" w:fill="FFFFFF"/>
        </w:rPr>
        <w:t xml:space="preserve">3.1.1. </w:t>
      </w:r>
      <w:r>
        <w:rPr>
          <w:rFonts w:ascii="Arial" w:hAnsi="Arial"/>
          <w:b w:val="0"/>
          <w:color w:val="auto"/>
          <w:sz w:val="20"/>
          <w:u w:val="none"/>
          <w:shd w:val="clear" w:color="auto" w:fill="FFFFFF"/>
        </w:rPr>
        <w:t>Em caso de prorrogação da vigência da ata de registro de preços, poderão ser restabelecidos os quantitativos inicialmente fixados na licitação.</w:t>
      </w:r>
    </w:p>
    <w:p>
      <w:pPr>
        <w:spacing w:lineRule="auto" w:line="240" w:after="0" w:beforeAutospacing="0" w:afterAutospacing="0"/>
        <w:ind w:firstLine="0" w:left="334"/>
        <w:jc w:val="both"/>
        <w:rPr>
          <w:rFonts w:ascii="Arial" w:hAnsi="Arial"/>
          <w:b w:val="0"/>
          <w:color w:val="auto"/>
          <w:sz w:val="20"/>
          <w:u w:val="none"/>
          <w:shd w:val="clear" w:color="auto" w:fill="FFFFFF"/>
        </w:rPr>
      </w:pPr>
      <w:r>
        <w:rPr>
          <w:rFonts w:ascii="Arial" w:hAnsi="Arial"/>
          <w:b w:val="1"/>
          <w:color w:val="auto"/>
          <w:sz w:val="20"/>
          <w:u w:val="none"/>
          <w:shd w:val="clear" w:color="auto" w:fill="FFFFFF"/>
        </w:rPr>
        <w:t>3.1.2.</w:t>
      </w:r>
      <w:r>
        <w:rPr>
          <w:rFonts w:ascii="Arial" w:hAnsi="Arial"/>
          <w:b w:val="0"/>
          <w:color w:val="auto"/>
          <w:sz w:val="20"/>
          <w:u w:val="none"/>
          <w:shd w:val="clear" w:color="auto" w:fill="FFFFFF"/>
        </w:rPr>
        <w:t xml:space="preserve"> Nos termos do art. 84, parágrafo único, da Lei Federal n° 14.133/2021, o prazo de vigência dos contratos decorrentes do Sistema de Registro de Preços não se confunde com aquele da Ata de registro de preços, mas deverá ser assinado durante a vigência da Ata e terá sua vigência estabelecida em conformidade com as disposições nela contidas. </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 xml:space="preserve">CLÁUSULA QUARTA </w:t>
      </w:r>
      <w:r>
        <w:rPr>
          <w:rFonts w:ascii="Arial" w:hAnsi="Arial"/>
          <w:sz w:val="20"/>
        </w:rPr>
        <w:t xml:space="preserve">- </w:t>
      </w:r>
      <w:r>
        <w:rPr>
          <w:rFonts w:ascii="Arial" w:hAnsi="Arial"/>
          <w:b w:val="1"/>
          <w:color w:val="000000"/>
          <w:sz w:val="20"/>
        </w:rPr>
        <w:t>DO PREÇO E DISCRIMINAÇÃO DO OBJETO.</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sz w:val="20"/>
        </w:rPr>
      </w:pPr>
      <w:r>
        <w:rPr>
          <w:rFonts w:ascii="Arial" w:hAnsi="Arial"/>
          <w:b w:val="1"/>
          <w:color w:val="000000"/>
          <w:sz w:val="20"/>
        </w:rPr>
        <w:t xml:space="preserve">4.1. </w:t>
      </w:r>
      <w:r>
        <w:rPr>
          <w:rFonts w:ascii="Arial" w:hAnsi="Arial"/>
          <w:sz w:val="20"/>
        </w:rPr>
        <w:t>O valor Total da presente Ata de Registro de Preços é de R$ ............ (...............)</w:t>
      </w:r>
      <w:r>
        <w:rPr>
          <w:rFonts w:ascii="Arial" w:hAnsi="Arial"/>
          <w:b w:val="1"/>
          <w:sz w:val="20"/>
        </w:rPr>
        <w:t>.</w:t>
      </w:r>
    </w:p>
    <w:p>
      <w:pPr>
        <w:spacing w:lineRule="auto" w:line="240" w:after="0" w:beforeAutospacing="0" w:afterAutospacing="0"/>
        <w:jc w:val="both"/>
        <w:rPr>
          <w:rFonts w:ascii="Arial" w:hAnsi="Arial"/>
          <w:sz w:val="20"/>
        </w:rPr>
      </w:pPr>
    </w:p>
    <w:p>
      <w:pPr>
        <w:spacing w:lineRule="auto" w:line="240" w:after="0" w:beforeAutospacing="0" w:afterAutospacing="0"/>
        <w:ind w:left="284"/>
        <w:jc w:val="both"/>
        <w:rPr>
          <w:rFonts w:ascii="Arial" w:hAnsi="Arial"/>
          <w:sz w:val="20"/>
          <w:shd w:val="clear" w:color="auto" w:fill="FFFFFF"/>
        </w:rPr>
      </w:pPr>
      <w:r>
        <w:rPr>
          <w:rFonts w:ascii="Arial" w:hAnsi="Arial"/>
          <w:b w:val="1"/>
          <w:sz w:val="20"/>
          <w:shd w:val="clear" w:color="auto" w:fill="FFFFFF"/>
        </w:rPr>
        <w:t xml:space="preserve">4.1.1 </w:t>
      </w:r>
      <w:r>
        <w:rPr>
          <w:rFonts w:ascii="Arial" w:hAnsi="Arial"/>
          <w:sz w:val="20"/>
          <w:shd w:val="clear" w:color="auto" w:fill="FFFFFF"/>
        </w:rPr>
        <w:t xml:space="preserve">A discriminação do objeto é a constante no item 1.1.1 e a estimativa das quantidades é a discriminada a seguir: </w:t>
      </w:r>
    </w:p>
    <w:p>
      <w:pPr>
        <w:spacing w:lineRule="auto" w:line="240" w:after="0" w:beforeAutospacing="0" w:afterAutospacing="0"/>
        <w:ind w:left="284"/>
        <w:jc w:val="both"/>
        <w:rPr>
          <w:rFonts w:ascii="Arial" w:hAnsi="Arial"/>
          <w:sz w:val="20"/>
        </w:rPr>
      </w:pPr>
    </w:p>
    <w:tbl>
      <w:tblPr>
        <w:tblW w:w="0" w:type="auto"/>
        <w:tblInd w:w="0" w:type="dxa"/>
        <w:shd w:val="clear" w:fill="FFFFFF"/>
        <w:tblLayout w:type="autofit"/>
      </w:tblPr>
      <w:tblGrid/>
      <w:tr>
        <w:trPr>
          <w:wBefore w:w="0" w:type="dxa"/>
          <w:wAfter w:w="0" w:type="dxa"/>
        </w:trPr>
        <w:tc>
          <w:tcPr>
            <w:tcW w:w="82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GRUPOS / ANO</w:t>
            </w:r>
          </w:p>
        </w:tc>
        <w:tc>
          <w:tcPr>
            <w:tcW w:w="112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CADERNOS ALUNOS</w:t>
            </w:r>
          </w:p>
        </w:tc>
        <w:tc>
          <w:tcPr>
            <w:tcW w:w="124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LÍNGUA PORTUGUESA</w:t>
            </w:r>
          </w:p>
        </w:tc>
        <w:tc>
          <w:tcPr>
            <w:tcW w:w="118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MATEMÁTICA</w:t>
            </w:r>
          </w:p>
        </w:tc>
        <w:tc>
          <w:tcPr>
            <w:tcW w:w="1200"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PROFESSOR LÍNGUA PORTUGUESA</w:t>
            </w:r>
          </w:p>
        </w:tc>
        <w:tc>
          <w:tcPr>
            <w:tcW w:w="133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PROFESSOR MATEMÁTICA</w:t>
            </w:r>
          </w:p>
        </w:tc>
        <w:tc>
          <w:tcPr>
            <w:tcW w:w="915" w:type="dxa"/>
            <w:tcBorders>
              <w:top w:val="single" w:sz="6" w:space="0" w:shadow="0" w:frame="0"/>
              <w:left w:val="single" w:sz="6" w:space="0" w:shadow="0" w:frame="0"/>
              <w:bottom w:val="single" w:sz="6" w:space="0" w:shadow="0" w:frame="0"/>
            </w:tcBorders>
            <w:tcMar>
              <w:top w:w="6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TOTAL CADERNOS</w:t>
            </w:r>
          </w:p>
        </w:tc>
        <w:tc>
          <w:tcPr>
            <w:tcW w:w="750" w:type="dxa"/>
            <w:tcBorders>
              <w:top w:val="single" w:sz="6" w:space="0" w:shadow="0" w:frame="0"/>
              <w:left w:val="single" w:sz="6" w:space="0" w:shadow="0" w:frame="0"/>
              <w:bottom w:val="single" w:sz="6" w:space="0" w:shadow="0" w:frame="0"/>
              <w:right w:val="single" w:sz="6" w:space="0" w:shadow="0" w:frame="0"/>
            </w:tcBorders>
            <w:tcMar>
              <w:top w:w="6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TOTAL CÓPIAS</w:t>
            </w:r>
          </w:p>
        </w:tc>
      </w:tr>
      <w:tr>
        <w:trPr>
          <w:wBefore w:w="0" w:type="dxa"/>
          <w:wAfter w:w="0" w:type="dxa"/>
        </w:trPr>
        <w:tc>
          <w:tcPr>
            <w:tcW w:w="825" w:type="dxa"/>
            <w:vMerge w:val="restart"/>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1</w:t>
            </w: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1</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80 cadernos (10.240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80 cadernos (4.480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160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14.720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2</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(12.800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(5.600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200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18.400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3</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(19.200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(8.400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(5.440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(1.280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380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34.320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4</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(19.200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(8.400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(5.440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(1.280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380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34.320</w:t>
            </w:r>
          </w:p>
        </w:tc>
      </w:tr>
      <w:tr>
        <w:trPr>
          <w:wBefore w:w="0" w:type="dxa"/>
          <w:wAfter w:w="0" w:type="dxa"/>
        </w:trPr>
        <w:tc>
          <w:tcPr>
            <w:tcW w:w="825" w:type="dxa"/>
            <w:vMerge w:val="restart"/>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2</w:t>
            </w: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1</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80 cadernos (10.240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80 cadernos (4.480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160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14.720</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2</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60 cadernos (7.680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60 cadernos (3.360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120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11.040</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3</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(19.200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(8.400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(8.960 cópias)</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(2.560 cópias)</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380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39.120</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4</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(19.200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(8.400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(8.800 cópias)</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(2.720 cópias)</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380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39.120</w:t>
            </w:r>
          </w:p>
        </w:tc>
      </w:tr>
      <w:tr>
        <w:trPr>
          <w:wBefore w:w="0" w:type="dxa"/>
          <w:wAfter w:w="0" w:type="dxa"/>
        </w:trPr>
        <w:tc>
          <w:tcPr>
            <w:tcW w:w="825" w:type="dxa"/>
            <w:vMerge w:val="restart"/>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3</w:t>
            </w: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1</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 cadernos (6.400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 cadernos (2.800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9.200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2</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3</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(12.800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(5.600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(17.400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(6.000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41.800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4</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(12.800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(5.600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(17.400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150 cadernos (6.600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42.400</w:t>
            </w:r>
          </w:p>
        </w:tc>
      </w:tr>
      <w:tr>
        <w:trPr>
          <w:wBefore w:w="0" w:type="dxa"/>
          <w:wAfter w:w="0" w:type="dxa"/>
        </w:trPr>
        <w:tc>
          <w:tcPr>
            <w:tcW w:w="825" w:type="dxa"/>
            <w:vMerge w:val="restart"/>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4</w:t>
            </w: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1</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 cadernos (5.600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 cadernos (4.200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9.800</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2</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3</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(11.200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(8.400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(3.680 cópias)</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(2.080 cópias)</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280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25.360</w:t>
            </w:r>
          </w:p>
        </w:tc>
      </w:tr>
      <w:tr>
        <w:trPr>
          <w:wBefore w:w="0" w:type="dxa"/>
          <w:wAfter w:w="0" w:type="dxa"/>
        </w:trPr>
        <w:tc>
          <w:tcPr>
            <w:tcW w:w="825" w:type="dxa"/>
            <w:vMerge w:val="continue"/>
            <w:tcBorders>
              <w:left w:val="single" w:sz="6" w:space="0" w:shadow="0" w:frame="0"/>
              <w:bottom w:val="single" w:sz="6" w:space="0" w:shadow="0" w:frame="0"/>
            </w:tcBorders>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4</w:t>
            </w:r>
          </w:p>
        </w:tc>
        <w:tc>
          <w:tcPr>
            <w:tcW w:w="124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(11.200 cópias)</w:t>
            </w:r>
          </w:p>
        </w:tc>
        <w:tc>
          <w:tcPr>
            <w:tcW w:w="118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(8.400 cópias)</w:t>
            </w:r>
          </w:p>
        </w:tc>
        <w:tc>
          <w:tcPr>
            <w:tcW w:w="1200"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(4.000 cópias)</w:t>
            </w:r>
          </w:p>
        </w:tc>
        <w:tc>
          <w:tcPr>
            <w:tcW w:w="133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(2.400 cópias)</w:t>
            </w:r>
          </w:p>
        </w:tc>
        <w:tc>
          <w:tcPr>
            <w:tcW w:w="915" w:type="dxa"/>
            <w:tcBorders>
              <w:left w:val="single" w:sz="6" w:space="0" w:shadow="0" w:frame="0"/>
              <w:bottom w:val="single" w:sz="6" w:space="0" w:shadow="0" w:frame="0"/>
            </w:tcBorders>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280</w:t>
            </w:r>
          </w:p>
        </w:tc>
        <w:tc>
          <w:tcPr>
            <w:tcW w:w="750" w:type="dxa"/>
            <w:tcBorders>
              <w:left w:val="single" w:sz="6" w:space="0" w:shadow="0" w:frame="0"/>
              <w:bottom w:val="single" w:sz="6" w:space="0" w:shadow="0" w:frame="0"/>
              <w:right w:val="single" w:sz="6" w:space="0" w:shadow="0" w:frame="0"/>
            </w:tcBorders>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26.000</w:t>
            </w:r>
          </w:p>
        </w:tc>
      </w:tr>
      <w:tr>
        <w:trPr>
          <w:wBefore w:w="0" w:type="dxa"/>
          <w:wAfter w:w="0" w:type="dxa"/>
        </w:trPr>
        <w:tc>
          <w:tcPr>
            <w:tcW w:w="825" w:type="dxa"/>
            <w:vMerge w:val="restart"/>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5</w:t>
            </w: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1</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 cadernos (4.000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50 cadernos (3.800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7.800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2</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(3.200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(3.040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80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6.240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3</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(8.000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(7.600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(3.520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(4.000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280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23.120</w:t>
            </w:r>
          </w:p>
        </w:tc>
      </w:tr>
      <w:tr>
        <w:trPr>
          <w:wBefore w:w="0" w:type="dxa"/>
          <w:wAfter w:w="0" w:type="dxa"/>
        </w:trPr>
        <w:tc>
          <w:tcPr>
            <w:tcW w:w="825" w:type="dxa"/>
            <w:vMerge w:val="continue"/>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CADERNO 4</w:t>
            </w:r>
          </w:p>
        </w:tc>
        <w:tc>
          <w:tcPr>
            <w:tcW w:w="124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(8.000 cópias)</w:t>
            </w:r>
          </w:p>
        </w:tc>
        <w:tc>
          <w:tcPr>
            <w:tcW w:w="118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100 cadernos (7.600 cópias)</w:t>
            </w:r>
          </w:p>
        </w:tc>
        <w:tc>
          <w:tcPr>
            <w:tcW w:w="1200"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(3.840 cópias)</w:t>
            </w:r>
          </w:p>
        </w:tc>
        <w:tc>
          <w:tcPr>
            <w:tcW w:w="133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(3.680 cópias)</w:t>
            </w:r>
          </w:p>
        </w:tc>
        <w:tc>
          <w:tcPr>
            <w:tcW w:w="915" w:type="dxa"/>
            <w:tcBorders>
              <w:left w:val="single" w:sz="6" w:space="0" w:shadow="0" w:frame="0"/>
              <w:bottom w:val="single" w:sz="6" w:space="0" w:shadow="0" w:frame="0"/>
            </w:tcBorders>
            <w:shd w:val="clear" w:color="auto" w:fill="DDDDDD"/>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280</w:t>
            </w:r>
          </w:p>
        </w:tc>
        <w:tc>
          <w:tcPr>
            <w:tcW w:w="750" w:type="dxa"/>
            <w:tcBorders>
              <w:left w:val="single" w:sz="6" w:space="0" w:shadow="0" w:frame="0"/>
              <w:bottom w:val="single" w:sz="6" w:space="0" w:shadow="0" w:frame="0"/>
              <w:right w:val="single" w:sz="6" w:space="0" w:shadow="0" w:frame="0"/>
            </w:tcBorders>
            <w:shd w:val="clear" w:color="auto" w:fill="DDDDDD"/>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23.120</w:t>
            </w:r>
          </w:p>
        </w:tc>
      </w:tr>
      <w:tr>
        <w:trPr>
          <w:wBefore w:w="0" w:type="dxa"/>
          <w:wAfter w:w="0" w:type="dxa"/>
        </w:trPr>
        <w:tc>
          <w:tcPr>
            <w:tcW w:w="825" w:type="dxa"/>
            <w:vMerge w:val="restart"/>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98" w:beforeAutospacing="0" w:afterAutospacing="0"/>
              <w:jc w:val="both"/>
              <w:rPr>
                <w:rFonts w:ascii="Arial" w:hAnsi="Arial"/>
                <w:sz w:val="20"/>
                <w:u w:val="none"/>
                <w:shd w:val="clear" w:color="auto" w:fill="FFFFFF"/>
              </w:rPr>
            </w:pPr>
            <w:r>
              <w:rPr>
                <w:rFonts w:ascii="Arial" w:hAnsi="Arial"/>
                <w:sz w:val="20"/>
                <w:u w:val="none"/>
                <w:shd w:val="clear" w:color="auto" w:fill="FFFFFF"/>
              </w:rPr>
              <w:t xml:space="preserve"> </w:t>
            </w:r>
          </w:p>
          <w:p>
            <w:pPr>
              <w:spacing w:lineRule="auto" w:line="240" w:after="198"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FLUÊNCIA</w:t>
            </w:r>
          </w:p>
        </w:tc>
        <w:tc>
          <w:tcPr>
            <w:tcW w:w="112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1</w:t>
            </w:r>
          </w:p>
        </w:tc>
        <w:tc>
          <w:tcPr>
            <w:tcW w:w="2535" w:type="dxa"/>
            <w:gridSpan w:val="2"/>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(1.280 cópias)</w:t>
            </w:r>
          </w:p>
        </w:tc>
        <w:tc>
          <w:tcPr>
            <w:tcW w:w="1200"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w:t>
            </w:r>
          </w:p>
        </w:tc>
        <w:tc>
          <w:tcPr>
            <w:tcW w:w="750" w:type="dxa"/>
            <w:tcBorders>
              <w:left w:val="single" w:sz="6" w:space="0" w:shadow="0" w:frame="0"/>
              <w:bottom w:val="single" w:sz="6" w:space="0" w:shadow="0" w:frame="0"/>
              <w:right w:val="single" w:sz="6" w:space="0" w:shadow="0" w:frame="0"/>
            </w:tcBorders>
            <w:shd w:val="clear" w:color="auto" w:fill="FFFFFF"/>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1.280</w:t>
            </w:r>
          </w:p>
        </w:tc>
      </w:tr>
      <w:tr>
        <w:trPr>
          <w:wBefore w:w="0" w:type="dxa"/>
          <w:wAfter w:w="0" w:type="dxa"/>
        </w:trPr>
        <w:tc>
          <w:tcPr>
            <w:tcW w:w="825" w:type="dxa"/>
            <w:vMerge w:val="continue"/>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2</w:t>
            </w:r>
          </w:p>
        </w:tc>
        <w:tc>
          <w:tcPr>
            <w:tcW w:w="2535" w:type="dxa"/>
            <w:gridSpan w:val="2"/>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(2.560 cópias)</w:t>
            </w:r>
          </w:p>
        </w:tc>
        <w:tc>
          <w:tcPr>
            <w:tcW w:w="1200"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w:t>
            </w:r>
          </w:p>
        </w:tc>
        <w:tc>
          <w:tcPr>
            <w:tcW w:w="750" w:type="dxa"/>
            <w:tcBorders>
              <w:left w:val="single" w:sz="6" w:space="0" w:shadow="0" w:frame="0"/>
              <w:bottom w:val="single" w:sz="6" w:space="0" w:shadow="0" w:frame="0"/>
              <w:right w:val="single" w:sz="6" w:space="0" w:shadow="0" w:frame="0"/>
            </w:tcBorders>
            <w:shd w:val="clear" w:color="auto" w:fill="FFFFFF"/>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2.560</w:t>
            </w:r>
          </w:p>
        </w:tc>
      </w:tr>
      <w:tr>
        <w:trPr>
          <w:wBefore w:w="0" w:type="dxa"/>
          <w:wAfter w:w="0" w:type="dxa"/>
        </w:trPr>
        <w:tc>
          <w:tcPr>
            <w:tcW w:w="825" w:type="dxa"/>
            <w:vMerge w:val="continue"/>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3</w:t>
            </w:r>
          </w:p>
        </w:tc>
        <w:tc>
          <w:tcPr>
            <w:tcW w:w="2535" w:type="dxa"/>
            <w:gridSpan w:val="2"/>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(2.720 cópias)</w:t>
            </w:r>
          </w:p>
        </w:tc>
        <w:tc>
          <w:tcPr>
            <w:tcW w:w="1200"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w:t>
            </w:r>
          </w:p>
        </w:tc>
        <w:tc>
          <w:tcPr>
            <w:tcW w:w="750" w:type="dxa"/>
            <w:tcBorders>
              <w:left w:val="single" w:sz="6" w:space="0" w:shadow="0" w:frame="0"/>
              <w:bottom w:val="single" w:sz="6" w:space="0" w:shadow="0" w:frame="0"/>
              <w:right w:val="single" w:sz="6" w:space="0" w:shadow="0" w:frame="0"/>
            </w:tcBorders>
            <w:shd w:val="clear" w:color="auto" w:fill="FFFFFF"/>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2.720</w:t>
            </w:r>
          </w:p>
        </w:tc>
      </w:tr>
      <w:tr>
        <w:trPr>
          <w:wBefore w:w="0" w:type="dxa"/>
          <w:wAfter w:w="0" w:type="dxa"/>
        </w:trPr>
        <w:tc>
          <w:tcPr>
            <w:tcW w:w="825" w:type="dxa"/>
            <w:vMerge w:val="continue"/>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rPr>
                <w:rFonts w:ascii="Arial" w:hAnsi="Arial"/>
                <w:sz w:val="20"/>
              </w:rPr>
            </w:pPr>
          </w:p>
        </w:tc>
        <w:tc>
          <w:tcPr>
            <w:tcW w:w="112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GRUPO 4</w:t>
            </w:r>
          </w:p>
        </w:tc>
        <w:tc>
          <w:tcPr>
            <w:tcW w:w="2535" w:type="dxa"/>
            <w:gridSpan w:val="2"/>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 cadernos (2.560 cópias)</w:t>
            </w:r>
          </w:p>
        </w:tc>
        <w:tc>
          <w:tcPr>
            <w:tcW w:w="1200"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133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w:t>
            </w:r>
          </w:p>
        </w:tc>
        <w:tc>
          <w:tcPr>
            <w:tcW w:w="91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40</w:t>
            </w:r>
          </w:p>
        </w:tc>
        <w:tc>
          <w:tcPr>
            <w:tcW w:w="750" w:type="dxa"/>
            <w:tcBorders>
              <w:left w:val="single" w:sz="6" w:space="0" w:shadow="0" w:frame="0"/>
              <w:bottom w:val="single" w:sz="6" w:space="0" w:shadow="0" w:frame="0"/>
              <w:right w:val="single" w:sz="6" w:space="0" w:shadow="0" w:frame="0"/>
            </w:tcBorders>
            <w:shd w:val="clear" w:color="auto" w:fill="FFFFFF"/>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2.560</w:t>
            </w:r>
          </w:p>
        </w:tc>
      </w:tr>
      <w:tr>
        <w:trPr>
          <w:wBefore w:w="0" w:type="dxa"/>
          <w:wAfter w:w="0" w:type="dxa"/>
        </w:trPr>
        <w:tc>
          <w:tcPr>
            <w:tcW w:w="7500" w:type="dxa"/>
            <w:gridSpan w:val="6"/>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TOTAL</w:t>
            </w:r>
          </w:p>
        </w:tc>
        <w:tc>
          <w:tcPr>
            <w:tcW w:w="915" w:type="dxa"/>
            <w:tcBorders>
              <w:left w:val="single" w:sz="6" w:space="0" w:shadow="0" w:frame="0"/>
              <w:bottom w:val="single" w:sz="6" w:space="0" w:shadow="0" w:frame="0"/>
            </w:tcBorders>
            <w:shd w:val="clear" w:color="auto" w:fill="FFFFFF"/>
            <w:tcMar>
              <w:top w:w="20" w:type="dxa"/>
              <w:left w:w="60" w:type="dxa"/>
              <w:bottom w:w="60" w:type="dxa"/>
              <w:right w:w="2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4.820</w:t>
            </w:r>
          </w:p>
        </w:tc>
        <w:tc>
          <w:tcPr>
            <w:tcW w:w="750" w:type="dxa"/>
            <w:tcBorders>
              <w:left w:val="single" w:sz="6" w:space="0" w:shadow="0" w:frame="0"/>
              <w:bottom w:val="single" w:sz="6" w:space="0" w:shadow="0" w:frame="0"/>
              <w:right w:val="single" w:sz="6" w:space="0" w:shadow="0" w:frame="0"/>
            </w:tcBorders>
            <w:shd w:val="clear" w:color="auto" w:fill="FFFFFF"/>
            <w:tcMar>
              <w:top w:w="20" w:type="dxa"/>
              <w:left w:w="60" w:type="dxa"/>
              <w:bottom w:w="60" w:type="dxa"/>
              <w:right w:w="60" w:type="dxa"/>
            </w:tcMar>
            <w:vAlign w:val="center"/>
          </w:tcPr>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429.720</w:t>
            </w:r>
          </w:p>
        </w:tc>
      </w:tr>
    </w:tbl>
    <w:p>
      <w:pPr>
        <w:spacing w:lineRule="auto" w:line="240" w:after="0" w:beforeAutospacing="0" w:afterAutospacing="0"/>
        <w:ind w:left="284"/>
        <w:jc w:val="both"/>
        <w:rPr>
          <w:rFonts w:ascii="Arial" w:hAnsi="Arial"/>
          <w:sz w:val="20"/>
        </w:rPr>
      </w:pPr>
    </w:p>
    <w:p>
      <w:pPr>
        <w:spacing w:lineRule="auto" w:line="240" w:after="0" w:beforeAutospacing="0" w:afterAutospacing="0"/>
        <w:jc w:val="both"/>
        <w:rPr>
          <w:rFonts w:ascii="Arial" w:hAnsi="Arial"/>
          <w:sz w:val="20"/>
        </w:rPr>
      </w:pPr>
    </w:p>
    <w:tbl>
      <w:tblPr>
        <w:tblW w:w="9525" w:type="dxa"/>
        <w:tblInd w:w="105" w:type="dxa"/>
        <w:shd w:val="clear" w:fill="FFFFFF"/>
        <w:tblLayout w:type="fixed"/>
        <w:tblLook w:val="04A0"/>
      </w:tblPr>
      <w:tblGrid/>
      <w:tr>
        <w:tc>
          <w:tcPr>
            <w:tcW w:w="840" w:type="dxa"/>
            <w:tcBorders>
              <w:top w:val="single" w:sz="4" w:space="0" w:shadow="0" w:frame="0"/>
              <w:left w:val="single" w:sz="4" w:space="0" w:shadow="0" w:frame="0"/>
              <w:bottom w:val="single" w:sz="4" w:space="0" w:shadow="0" w:frame="0"/>
              <w:right w:val="single" w:sz="4" w:space="0" w:shadow="0" w:frame="0"/>
            </w:tcBorders>
            <w:tcMar>
              <w:top w:w="15" w:type="dxa"/>
              <w:left w:w="100" w:type="dxa"/>
              <w:bottom w:w="15" w:type="dxa"/>
              <w:right w:w="100" w:type="dxa"/>
            </w:tcMar>
          </w:tcPr>
          <w:p>
            <w:pPr>
              <w:spacing w:lineRule="auto" w:line="240" w:after="0" w:beforeAutospacing="0" w:afterAutospacing="0"/>
              <w:ind w:right="105"/>
              <w:jc w:val="center"/>
              <w:rPr>
                <w:rFonts w:ascii="Arial" w:hAnsi="Arial"/>
                <w:b w:val="1"/>
                <w:color w:val="000000"/>
                <w:sz w:val="20"/>
              </w:rPr>
            </w:pPr>
            <w:r>
              <w:rPr>
                <w:rFonts w:ascii="Arial" w:hAnsi="Arial"/>
                <w:b w:val="1"/>
                <w:color w:val="000000"/>
                <w:sz w:val="20"/>
              </w:rPr>
              <w:t>Lote</w:t>
            </w:r>
          </w:p>
        </w:tc>
        <w:tc>
          <w:tcPr>
            <w:tcW w:w="810" w:type="dxa"/>
            <w:tcBorders>
              <w:top w:val="single" w:sz="4" w:space="0" w:shadow="0" w:frame="0"/>
              <w:bottom w:val="single" w:sz="4" w:space="0" w:shadow="0" w:frame="0"/>
              <w:right w:val="single" w:sz="4" w:space="0" w:shadow="0" w:frame="0"/>
            </w:tcBorders>
            <w:tcMar>
              <w:top w:w="15" w:type="dxa"/>
              <w:left w:w="100" w:type="dxa"/>
              <w:bottom w:w="15" w:type="dxa"/>
              <w:right w:w="100" w:type="dxa"/>
            </w:tcMar>
          </w:tcPr>
          <w:p>
            <w:pPr>
              <w:spacing w:lineRule="auto" w:line="240" w:after="0" w:beforeAutospacing="0" w:afterAutospacing="0"/>
              <w:ind w:right="105"/>
              <w:jc w:val="center"/>
              <w:rPr>
                <w:rFonts w:ascii="Arial" w:hAnsi="Arial"/>
                <w:b w:val="1"/>
                <w:color w:val="000000"/>
                <w:sz w:val="20"/>
              </w:rPr>
            </w:pPr>
            <w:r>
              <w:rPr>
                <w:rFonts w:ascii="Arial" w:hAnsi="Arial"/>
                <w:b w:val="1"/>
                <w:color w:val="000000"/>
                <w:sz w:val="20"/>
              </w:rPr>
              <w:t xml:space="preserve"> Item</w:t>
            </w:r>
          </w:p>
        </w:tc>
        <w:tc>
          <w:tcPr>
            <w:tcW w:w="1020" w:type="dxa"/>
            <w:tcBorders>
              <w:top w:val="single" w:sz="4" w:space="0" w:shadow="0" w:frame="0"/>
              <w:bottom w:val="single" w:sz="4" w:space="0" w:shadow="0" w:frame="0"/>
              <w:right w:val="single" w:sz="4" w:space="0" w:shadow="0" w:frame="0"/>
            </w:tcBorders>
            <w:tcMar>
              <w:top w:w="15" w:type="dxa"/>
              <w:left w:w="100" w:type="dxa"/>
              <w:bottom w:w="15" w:type="dxa"/>
              <w:right w:w="100" w:type="dxa"/>
            </w:tcMar>
          </w:tcPr>
          <w:p>
            <w:pPr>
              <w:spacing w:lineRule="auto" w:line="240" w:after="0" w:beforeAutospacing="0" w:afterAutospacing="0"/>
              <w:ind w:right="105"/>
              <w:jc w:val="center"/>
              <w:rPr>
                <w:rFonts w:ascii="Arial" w:hAnsi="Arial"/>
                <w:b w:val="1"/>
                <w:color w:val="000000"/>
                <w:sz w:val="20"/>
              </w:rPr>
            </w:pPr>
            <w:r>
              <w:rPr>
                <w:rFonts w:ascii="Arial" w:hAnsi="Arial"/>
                <w:b w:val="1"/>
                <w:color w:val="000000"/>
                <w:sz w:val="20"/>
              </w:rPr>
              <w:t>Código</w:t>
            </w:r>
          </w:p>
        </w:tc>
        <w:tc>
          <w:tcPr>
            <w:tcW w:w="1860" w:type="dxa"/>
            <w:tcBorders>
              <w:top w:val="single" w:sz="4" w:space="0" w:shadow="0" w:frame="0"/>
              <w:bottom w:val="single" w:sz="4" w:space="0" w:shadow="0" w:frame="0"/>
              <w:right w:val="single" w:sz="4" w:space="0" w:shadow="0" w:frame="0"/>
            </w:tcBorders>
            <w:tcMar>
              <w:top w:w="15" w:type="dxa"/>
              <w:left w:w="100" w:type="dxa"/>
              <w:bottom w:w="15" w:type="dxa"/>
              <w:right w:w="100" w:type="dxa"/>
            </w:tcMar>
          </w:tcPr>
          <w:p>
            <w:pPr>
              <w:spacing w:lineRule="auto" w:line="240" w:after="0" w:beforeAutospacing="0" w:afterAutospacing="0"/>
              <w:ind w:right="105"/>
              <w:jc w:val="both"/>
              <w:rPr>
                <w:rFonts w:ascii="Arial" w:hAnsi="Arial"/>
                <w:b w:val="1"/>
                <w:color w:val="000000"/>
                <w:sz w:val="20"/>
              </w:rPr>
            </w:pPr>
            <w:r>
              <w:rPr>
                <w:rFonts w:ascii="Arial" w:hAnsi="Arial"/>
                <w:b w:val="1"/>
                <w:color w:val="000000"/>
                <w:sz w:val="20"/>
              </w:rPr>
              <w:t>Especificação</w:t>
            </w:r>
          </w:p>
        </w:tc>
        <w:tc>
          <w:tcPr>
            <w:tcW w:w="1170" w:type="dxa"/>
            <w:tcBorders>
              <w:top w:val="single" w:sz="4" w:space="0" w:shadow="0" w:frame="0"/>
              <w:bottom w:val="single" w:sz="4" w:space="0" w:shadow="0" w:frame="0"/>
              <w:right w:val="single" w:sz="4" w:space="0" w:shadow="0" w:frame="0"/>
            </w:tcBorders>
            <w:tcMar>
              <w:top w:w="15" w:type="dxa"/>
              <w:left w:w="100" w:type="dxa"/>
              <w:bottom w:w="15" w:type="dxa"/>
              <w:right w:w="100" w:type="dxa"/>
            </w:tcMar>
          </w:tcPr>
          <w:p>
            <w:pPr>
              <w:spacing w:lineRule="auto" w:line="240" w:after="0" w:beforeAutospacing="0" w:afterAutospacing="0"/>
              <w:ind w:right="105"/>
              <w:jc w:val="center"/>
              <w:rPr>
                <w:rFonts w:ascii="Arial" w:hAnsi="Arial"/>
                <w:b w:val="1"/>
                <w:color w:val="000000"/>
                <w:sz w:val="20"/>
              </w:rPr>
            </w:pPr>
            <w:r>
              <w:rPr>
                <w:rFonts w:ascii="Arial" w:hAnsi="Arial"/>
                <w:b w:val="1"/>
                <w:color w:val="000000"/>
                <w:sz w:val="20"/>
              </w:rPr>
              <w:t xml:space="preserve"> Unidade</w:t>
            </w:r>
          </w:p>
        </w:tc>
        <w:tc>
          <w:tcPr>
            <w:tcW w:w="1500" w:type="dxa"/>
            <w:tcBorders>
              <w:top w:val="single" w:sz="4" w:space="0" w:shadow="0" w:frame="0"/>
              <w:bottom w:val="single" w:sz="4" w:space="0" w:shadow="0" w:frame="0"/>
              <w:right w:val="single" w:sz="4" w:space="0" w:shadow="0" w:frame="0"/>
            </w:tcBorders>
            <w:tcMar>
              <w:top w:w="15" w:type="dxa"/>
              <w:left w:w="100" w:type="dxa"/>
              <w:bottom w:w="15" w:type="dxa"/>
              <w:right w:w="100" w:type="dxa"/>
            </w:tcMar>
          </w:tcPr>
          <w:p>
            <w:pPr>
              <w:spacing w:lineRule="auto" w:line="240" w:after="0" w:beforeAutospacing="0" w:afterAutospacing="0"/>
              <w:ind w:right="105"/>
              <w:jc w:val="right"/>
              <w:rPr>
                <w:rFonts w:ascii="Arial" w:hAnsi="Arial"/>
                <w:b w:val="1"/>
                <w:color w:val="000000"/>
                <w:sz w:val="20"/>
              </w:rPr>
            </w:pPr>
            <w:r>
              <w:rPr>
                <w:rFonts w:ascii="Arial" w:hAnsi="Arial"/>
                <w:b w:val="1"/>
                <w:color w:val="000000"/>
                <w:sz w:val="20"/>
              </w:rPr>
              <w:t>Quantidade</w:t>
            </w:r>
          </w:p>
        </w:tc>
        <w:tc>
          <w:tcPr>
            <w:tcW w:w="1155" w:type="dxa"/>
            <w:tcBorders>
              <w:top w:val="single" w:sz="4" w:space="0" w:shadow="0" w:frame="0"/>
              <w:bottom w:val="single" w:sz="4" w:space="0" w:shadow="0" w:frame="0"/>
              <w:right w:val="single" w:sz="4" w:space="0" w:shadow="0" w:frame="0"/>
            </w:tcBorders>
            <w:tcMar>
              <w:top w:w="15" w:type="dxa"/>
              <w:left w:w="100" w:type="dxa"/>
              <w:bottom w:w="15" w:type="dxa"/>
              <w:right w:w="100" w:type="dxa"/>
            </w:tcMar>
          </w:tcPr>
          <w:p>
            <w:pPr>
              <w:spacing w:lineRule="auto" w:line="240" w:after="0" w:beforeAutospacing="0" w:afterAutospacing="0"/>
              <w:ind w:right="105"/>
              <w:jc w:val="right"/>
              <w:rPr>
                <w:rFonts w:ascii="Arial" w:hAnsi="Arial"/>
                <w:b w:val="1"/>
                <w:color w:val="000000"/>
                <w:sz w:val="20"/>
              </w:rPr>
            </w:pPr>
            <w:r>
              <w:rPr>
                <w:rFonts w:ascii="Arial" w:hAnsi="Arial"/>
                <w:b w:val="1"/>
                <w:color w:val="000000"/>
                <w:sz w:val="20"/>
              </w:rPr>
              <w:t>Unitário</w:t>
            </w:r>
          </w:p>
        </w:tc>
        <w:tc>
          <w:tcPr>
            <w:tcW w:w="1170" w:type="dxa"/>
            <w:tcBorders>
              <w:top w:val="single" w:sz="4" w:space="0" w:shadow="0" w:frame="0"/>
              <w:bottom w:val="single" w:sz="4" w:space="0" w:shadow="0" w:frame="0"/>
              <w:right w:val="single" w:sz="4" w:space="0" w:shadow="0" w:frame="0"/>
            </w:tcBorders>
            <w:tcMar>
              <w:top w:w="15" w:type="dxa"/>
              <w:left w:w="100" w:type="dxa"/>
              <w:bottom w:w="15" w:type="dxa"/>
              <w:right w:w="100" w:type="dxa"/>
            </w:tcMar>
          </w:tcPr>
          <w:p>
            <w:pPr>
              <w:spacing w:lineRule="auto" w:line="240" w:after="0" w:beforeAutospacing="0" w:afterAutospacing="0"/>
              <w:ind w:right="105"/>
              <w:jc w:val="right"/>
              <w:rPr>
                <w:rFonts w:ascii="Arial" w:hAnsi="Arial"/>
                <w:b w:val="1"/>
                <w:color w:val="000000"/>
                <w:sz w:val="20"/>
              </w:rPr>
            </w:pPr>
            <w:r>
              <w:rPr>
                <w:rFonts w:ascii="Arial" w:hAnsi="Arial"/>
                <w:b w:val="1"/>
                <w:color w:val="000000"/>
                <w:sz w:val="20"/>
              </w:rPr>
              <w:t>Total</w:t>
            </w:r>
          </w:p>
        </w:tc>
      </w:tr>
      <w:tr>
        <w:tc>
          <w:tcPr>
            <w:tcW w:w="840" w:type="dxa"/>
            <w:tcBorders>
              <w:left w:val="single" w:sz="4" w:space="0" w:shadow="0" w:frame="0"/>
              <w:bottom w:val="single" w:sz="4" w:space="0" w:shadow="0" w:frame="0"/>
              <w:right w:val="single" w:sz="4" w:space="0" w:shadow="0" w:frame="0"/>
            </w:tcBorders>
            <w:tcMar>
              <w:top w:w="15" w:type="dxa"/>
              <w:left w:w="100" w:type="dxa"/>
              <w:bottom w:w="15" w:type="dxa"/>
              <w:right w:w="100" w:type="dxa"/>
            </w:tcMar>
          </w:tcPr>
          <w:p>
            <w:pPr>
              <w:pBdr>
                <w:top w:val="none" w:sz="0" w:space="0" w:shadow="0" w:frame="0" w:color="auto"/>
                <w:left w:val="single" w:sz="4" w:space="0" w:shadow="0" w:frame="0" w:color="auto"/>
                <w:bottom w:val="single" w:sz="4" w:space="0" w:shadow="0" w:frame="0" w:color="auto"/>
                <w:right w:val="single" w:sz="4" w:space="0" w:shadow="0" w:frame="0" w:color="auto"/>
                <w:between w:val="none" w:sz="0" w:space="0" w:shadow="0" w:frame="0" w:color="auto"/>
              </w:pBdr>
              <w:spacing w:lineRule="auto" w:line="240" w:beforeAutospacing="0" w:afterAutospacing="0"/>
              <w:ind w:right="105"/>
              <w:rPr>
                <w:rFonts w:ascii="Arial" w:hAnsi="Arial"/>
                <w:sz w:val="20"/>
              </w:rPr>
            </w:pPr>
            <w:r>
              <w:rPr>
                <w:rFonts w:ascii="Arial" w:hAnsi="Arial"/>
                <w:sz w:val="20"/>
              </w:rPr>
              <w:t>01</w:t>
            </w:r>
          </w:p>
        </w:tc>
        <w:tc>
          <w:tcPr>
            <w:tcW w:w="810" w:type="dxa"/>
            <w:tcBorders>
              <w:bottom w:val="single" w:sz="4" w:space="0" w:shadow="0" w:frame="0"/>
              <w:right w:val="single" w:sz="4" w:space="0" w:shadow="0" w:frame="0"/>
            </w:tcBorders>
            <w:tcMar>
              <w:top w:w="15" w:type="dxa"/>
              <w:left w:w="100" w:type="dxa"/>
              <w:bottom w:w="15" w:type="dxa"/>
              <w:right w:w="100" w:type="dxa"/>
            </w:tcMar>
          </w:tcPr>
          <w:p>
            <w:pPr>
              <w:pBdr>
                <w:top w:val="none" w:sz="0" w:space="0" w:shadow="0" w:frame="0" w:color="auto"/>
                <w:left w:val="none" w:sz="0" w:space="0" w:shadow="0" w:frame="0" w:color="auto"/>
                <w:bottom w:val="single" w:sz="4" w:space="0" w:shadow="0" w:frame="0" w:color="auto"/>
                <w:right w:val="single" w:sz="4" w:space="0" w:shadow="0" w:frame="0" w:color="auto"/>
                <w:between w:val="none" w:sz="0" w:space="0" w:shadow="0" w:frame="0" w:color="auto"/>
              </w:pBdr>
              <w:spacing w:lineRule="auto" w:line="240" w:beforeAutospacing="0" w:afterAutospacing="0"/>
              <w:ind w:right="105"/>
              <w:rPr>
                <w:rFonts w:ascii="Arial" w:hAnsi="Arial"/>
                <w:sz w:val="20"/>
              </w:rPr>
            </w:pPr>
          </w:p>
        </w:tc>
        <w:tc>
          <w:tcPr>
            <w:tcW w:w="1020" w:type="dxa"/>
            <w:tcBorders>
              <w:bottom w:val="single" w:sz="4" w:space="0" w:shadow="0" w:frame="0"/>
              <w:right w:val="single" w:sz="4" w:space="0" w:shadow="0" w:frame="0"/>
            </w:tcBorders>
            <w:tcMar>
              <w:top w:w="15" w:type="dxa"/>
              <w:left w:w="100" w:type="dxa"/>
              <w:bottom w:w="15" w:type="dxa"/>
              <w:right w:w="100" w:type="dxa"/>
            </w:tcMar>
          </w:tcPr>
          <w:p>
            <w:pPr>
              <w:pBdr>
                <w:top w:val="none" w:sz="0" w:space="0" w:shadow="0" w:frame="0" w:color="auto"/>
                <w:left w:val="none" w:sz="0" w:space="0" w:shadow="0" w:frame="0" w:color="auto"/>
                <w:bottom w:val="single" w:sz="4" w:space="0" w:shadow="0" w:frame="0" w:color="auto"/>
                <w:right w:val="single" w:sz="4" w:space="0" w:shadow="0" w:frame="0" w:color="auto"/>
                <w:between w:val="none" w:sz="0" w:space="0" w:shadow="0" w:frame="0" w:color="auto"/>
              </w:pBdr>
              <w:spacing w:lineRule="auto" w:line="240" w:beforeAutospacing="0" w:afterAutospacing="0"/>
              <w:ind w:right="105"/>
              <w:rPr>
                <w:rFonts w:ascii="Arial" w:hAnsi="Arial"/>
                <w:sz w:val="20"/>
              </w:rPr>
            </w:pPr>
          </w:p>
        </w:tc>
        <w:tc>
          <w:tcPr>
            <w:tcW w:w="1860" w:type="dxa"/>
            <w:tcBorders>
              <w:bottom w:val="single" w:sz="4" w:space="0" w:shadow="0" w:frame="0"/>
              <w:right w:val="single" w:sz="4" w:space="0" w:shadow="0" w:frame="0"/>
            </w:tcBorders>
            <w:tcMar>
              <w:top w:w="15" w:type="dxa"/>
              <w:left w:w="100" w:type="dxa"/>
              <w:bottom w:w="15" w:type="dxa"/>
              <w:right w:w="100" w:type="dxa"/>
            </w:tcMar>
          </w:tcPr>
          <w:p>
            <w:pPr>
              <w:pBdr>
                <w:top w:val="none" w:sz="0" w:space="0" w:shadow="0" w:frame="0" w:color="auto"/>
                <w:left w:val="none" w:sz="0" w:space="0" w:shadow="0" w:frame="0" w:color="auto"/>
                <w:bottom w:val="single" w:sz="4" w:space="0" w:shadow="0" w:frame="0" w:color="auto"/>
                <w:right w:val="single" w:sz="4" w:space="0" w:shadow="0" w:frame="0" w:color="auto"/>
                <w:between w:val="none" w:sz="0" w:space="0" w:shadow="0" w:frame="0" w:color="auto"/>
              </w:pBdr>
              <w:spacing w:lineRule="auto" w:line="240" w:beforeAutospacing="0" w:afterAutospacing="0"/>
              <w:ind w:right="105"/>
              <w:rPr>
                <w:rFonts w:ascii="Arial" w:hAnsi="Arial"/>
                <w:sz w:val="20"/>
              </w:rPr>
            </w:pPr>
          </w:p>
        </w:tc>
        <w:tc>
          <w:tcPr>
            <w:tcW w:w="1170" w:type="dxa"/>
            <w:tcBorders>
              <w:bottom w:val="single" w:sz="4" w:space="0" w:shadow="0" w:frame="0"/>
              <w:right w:val="single" w:sz="4" w:space="0" w:shadow="0" w:frame="0"/>
            </w:tcBorders>
            <w:tcMar>
              <w:top w:w="15" w:type="dxa"/>
              <w:left w:w="100" w:type="dxa"/>
              <w:bottom w:w="15" w:type="dxa"/>
              <w:right w:w="100" w:type="dxa"/>
            </w:tcMar>
          </w:tcPr>
          <w:p>
            <w:pPr>
              <w:pBdr>
                <w:top w:val="none" w:sz="0" w:space="0" w:shadow="0" w:frame="0" w:color="auto"/>
                <w:left w:val="none" w:sz="0" w:space="0" w:shadow="0" w:frame="0" w:color="auto"/>
                <w:bottom w:val="single" w:sz="4" w:space="0" w:shadow="0" w:frame="0" w:color="auto"/>
                <w:right w:val="single" w:sz="4" w:space="0" w:shadow="0" w:frame="0" w:color="auto"/>
                <w:between w:val="none" w:sz="0" w:space="0" w:shadow="0" w:frame="0" w:color="auto"/>
              </w:pBdr>
              <w:spacing w:lineRule="auto" w:line="240" w:beforeAutospacing="0" w:afterAutospacing="0"/>
              <w:ind w:right="105"/>
              <w:rPr>
                <w:rFonts w:ascii="Arial" w:hAnsi="Arial"/>
                <w:sz w:val="20"/>
              </w:rPr>
            </w:pPr>
          </w:p>
        </w:tc>
        <w:tc>
          <w:tcPr>
            <w:tcW w:w="1500" w:type="dxa"/>
            <w:tcBorders>
              <w:bottom w:val="single" w:sz="4" w:space="0" w:shadow="0" w:frame="0"/>
              <w:right w:val="single" w:sz="4" w:space="0" w:shadow="0" w:frame="0"/>
            </w:tcBorders>
            <w:tcMar>
              <w:top w:w="15" w:type="dxa"/>
              <w:left w:w="100" w:type="dxa"/>
              <w:bottom w:w="15" w:type="dxa"/>
              <w:right w:w="100" w:type="dxa"/>
            </w:tcMar>
          </w:tcPr>
          <w:p>
            <w:pPr>
              <w:pBdr>
                <w:top w:val="none" w:sz="0" w:space="0" w:shadow="0" w:frame="0" w:color="auto"/>
                <w:left w:val="none" w:sz="0" w:space="0" w:shadow="0" w:frame="0" w:color="auto"/>
                <w:bottom w:val="single" w:sz="4" w:space="0" w:shadow="0" w:frame="0" w:color="auto"/>
                <w:right w:val="single" w:sz="4" w:space="0" w:shadow="0" w:frame="0" w:color="auto"/>
                <w:between w:val="none" w:sz="0" w:space="0" w:shadow="0" w:frame="0" w:color="auto"/>
              </w:pBdr>
              <w:spacing w:lineRule="auto" w:line="240" w:beforeAutospacing="0" w:afterAutospacing="0"/>
              <w:ind w:right="105"/>
              <w:rPr>
                <w:rFonts w:ascii="Arial" w:hAnsi="Arial"/>
                <w:sz w:val="20"/>
              </w:rPr>
            </w:pPr>
          </w:p>
        </w:tc>
        <w:tc>
          <w:tcPr>
            <w:tcW w:w="1155" w:type="dxa"/>
            <w:tcBorders>
              <w:bottom w:val="single" w:sz="4" w:space="0" w:shadow="0" w:frame="0"/>
              <w:right w:val="single" w:sz="4" w:space="0" w:shadow="0" w:frame="0"/>
            </w:tcBorders>
            <w:tcMar>
              <w:top w:w="15" w:type="dxa"/>
              <w:left w:w="100" w:type="dxa"/>
              <w:bottom w:w="15" w:type="dxa"/>
              <w:right w:w="100" w:type="dxa"/>
            </w:tcMar>
          </w:tcPr>
          <w:p>
            <w:pPr>
              <w:spacing w:lineRule="auto" w:line="240" w:beforeAutospacing="0" w:afterAutospacing="0"/>
              <w:ind w:right="105"/>
              <w:jc w:val="right"/>
              <w:rPr>
                <w:rFonts w:ascii="Arial" w:hAnsi="Arial"/>
                <w:b w:val="1"/>
                <w:color w:val="000000"/>
                <w:sz w:val="20"/>
              </w:rPr>
            </w:pPr>
            <w:r>
              <w:rPr>
                <w:rFonts w:ascii="Arial" w:hAnsi="Arial"/>
                <w:b w:val="1"/>
                <w:color w:val="000000"/>
                <w:sz w:val="20"/>
              </w:rPr>
              <w:t xml:space="preserve"> </w:t>
            </w:r>
          </w:p>
        </w:tc>
        <w:tc>
          <w:tcPr>
            <w:tcW w:w="1170" w:type="dxa"/>
            <w:tcBorders>
              <w:bottom w:val="single" w:sz="4" w:space="0" w:shadow="0" w:frame="0"/>
              <w:right w:val="single" w:sz="4" w:space="0" w:shadow="0" w:frame="0"/>
            </w:tcBorders>
            <w:tcMar>
              <w:top w:w="15" w:type="dxa"/>
              <w:left w:w="100" w:type="dxa"/>
              <w:bottom w:w="15" w:type="dxa"/>
              <w:right w:w="100" w:type="dxa"/>
            </w:tcMar>
          </w:tcPr>
          <w:p>
            <w:pPr>
              <w:spacing w:lineRule="auto" w:line="240" w:beforeAutospacing="0" w:afterAutospacing="0"/>
              <w:ind w:right="105"/>
              <w:jc w:val="right"/>
              <w:rPr>
                <w:rFonts w:ascii="Arial" w:hAnsi="Arial"/>
                <w:b w:val="1"/>
                <w:color w:val="000000"/>
                <w:sz w:val="20"/>
              </w:rPr>
            </w:pPr>
            <w:r>
              <w:rPr>
                <w:rFonts w:ascii="Arial" w:hAnsi="Arial"/>
                <w:b w:val="1"/>
                <w:color w:val="000000"/>
                <w:sz w:val="20"/>
              </w:rPr>
              <w:t xml:space="preserve"> </w:t>
            </w:r>
          </w:p>
        </w:tc>
      </w:tr>
      <w:tr>
        <w:trPr>
          <w:gridAfter w:val="0"/>
        </w:trPr>
        <w:tc>
          <w:tcPr>
            <w:tcW w:w="840" w:type="dxa"/>
            <w:tcBorders>
              <w:left w:val="single" w:sz="4" w:space="0" w:shadow="0" w:frame="0"/>
              <w:bottom w:val="single" w:sz="4" w:space="0" w:shadow="0" w:frame="0"/>
              <w:right w:val="single" w:sz="4" w:space="0" w:shadow="0" w:frame="0"/>
            </w:tcBorders>
            <w:tcMar>
              <w:top w:w="15" w:type="dxa"/>
              <w:left w:w="100" w:type="dxa"/>
              <w:bottom w:w="15" w:type="dxa"/>
              <w:right w:w="100" w:type="dxa"/>
            </w:tcMar>
          </w:tcPr>
          <w:p>
            <w:pPr>
              <w:pBdr>
                <w:top w:val="none" w:sz="0" w:space="0" w:shadow="0" w:frame="0" w:color="auto"/>
                <w:left w:val="single" w:sz="4" w:space="0" w:shadow="0" w:frame="0" w:color="auto"/>
                <w:bottom w:val="single" w:sz="4" w:space="0" w:shadow="0" w:frame="0" w:color="auto"/>
                <w:right w:val="single" w:sz="4" w:space="0" w:shadow="0" w:frame="0" w:color="auto"/>
                <w:between w:val="none" w:sz="0" w:space="0" w:shadow="0" w:frame="0" w:color="auto"/>
              </w:pBdr>
              <w:spacing w:lineRule="auto" w:line="240" w:beforeAutospacing="0" w:afterAutospacing="0"/>
              <w:ind w:right="105"/>
              <w:rPr>
                <w:rFonts w:ascii="Arial" w:hAnsi="Arial"/>
                <w:b w:val="1"/>
                <w:color w:val="000000"/>
                <w:sz w:val="20"/>
              </w:rPr>
            </w:pPr>
          </w:p>
        </w:tc>
        <w:tc>
          <w:tcPr>
            <w:tcW w:w="810" w:type="dxa"/>
            <w:tcBorders>
              <w:bottom w:val="single" w:sz="4" w:space="0" w:shadow="0" w:frame="0"/>
              <w:right w:val="single" w:sz="4" w:space="0" w:shadow="0" w:frame="0"/>
            </w:tcBorders>
            <w:tcMar>
              <w:top w:w="15" w:type="dxa"/>
              <w:left w:w="100" w:type="dxa"/>
              <w:bottom w:w="15" w:type="dxa"/>
              <w:right w:w="100" w:type="dxa"/>
            </w:tcMar>
          </w:tcPr>
          <w:p>
            <w:pPr>
              <w:spacing w:lineRule="auto" w:line="240" w:beforeAutospacing="0" w:afterAutospacing="0"/>
              <w:ind w:right="105"/>
              <w:jc w:val="center"/>
              <w:rPr>
                <w:rFonts w:ascii="Arial" w:hAnsi="Arial"/>
                <w:b w:val="1"/>
                <w:color w:val="000000"/>
                <w:sz w:val="20"/>
              </w:rPr>
            </w:pPr>
            <w:r>
              <w:rPr>
                <w:rFonts w:ascii="Arial" w:hAnsi="Arial"/>
                <w:b w:val="1"/>
                <w:color w:val="000000"/>
                <w:sz w:val="20"/>
              </w:rPr>
              <w:t xml:space="preserve"> </w:t>
            </w:r>
          </w:p>
        </w:tc>
        <w:tc>
          <w:tcPr>
            <w:tcW w:w="1020" w:type="dxa"/>
            <w:tcBorders>
              <w:bottom w:val="single" w:sz="4" w:space="0" w:shadow="0" w:frame="0"/>
              <w:right w:val="single" w:sz="4" w:space="0" w:shadow="0" w:frame="0"/>
            </w:tcBorders>
            <w:tcMar>
              <w:top w:w="15" w:type="dxa"/>
              <w:left w:w="100" w:type="dxa"/>
              <w:bottom w:w="15" w:type="dxa"/>
              <w:right w:w="100" w:type="dxa"/>
            </w:tcMar>
          </w:tcPr>
          <w:p>
            <w:pPr>
              <w:spacing w:lineRule="auto" w:line="240" w:beforeAutospacing="0" w:afterAutospacing="0"/>
              <w:ind w:right="105"/>
              <w:jc w:val="center"/>
              <w:rPr>
                <w:rFonts w:ascii="Arial" w:hAnsi="Arial"/>
                <w:b w:val="1"/>
                <w:color w:val="000000"/>
                <w:sz w:val="20"/>
              </w:rPr>
            </w:pPr>
            <w:r>
              <w:rPr>
                <w:rFonts w:ascii="Arial" w:hAnsi="Arial"/>
                <w:b w:val="1"/>
                <w:color w:val="000000"/>
                <w:sz w:val="20"/>
              </w:rPr>
              <w:t xml:space="preserve"> </w:t>
            </w:r>
          </w:p>
        </w:tc>
        <w:tc>
          <w:tcPr>
            <w:tcW w:w="1860" w:type="dxa"/>
            <w:tcBorders>
              <w:bottom w:val="single" w:sz="4" w:space="0" w:shadow="0" w:frame="0"/>
              <w:right w:val="single" w:sz="4" w:space="0" w:shadow="0" w:frame="0"/>
            </w:tcBorders>
            <w:tcMar>
              <w:top w:w="15" w:type="dxa"/>
              <w:left w:w="100" w:type="dxa"/>
              <w:bottom w:w="15" w:type="dxa"/>
              <w:right w:w="100" w:type="dxa"/>
            </w:tcMar>
          </w:tcPr>
          <w:p>
            <w:pPr>
              <w:spacing w:lineRule="auto" w:line="240" w:beforeAutospacing="0" w:afterAutospacing="0"/>
              <w:ind w:right="105"/>
              <w:rPr>
                <w:rFonts w:ascii="Arial" w:hAnsi="Arial"/>
                <w:b w:val="1"/>
                <w:color w:val="000000"/>
                <w:sz w:val="20"/>
              </w:rPr>
            </w:pPr>
            <w:r>
              <w:rPr>
                <w:rFonts w:ascii="Arial" w:hAnsi="Arial"/>
                <w:b w:val="1"/>
                <w:color w:val="000000"/>
                <w:sz w:val="20"/>
              </w:rPr>
              <w:t xml:space="preserve"> </w:t>
            </w:r>
          </w:p>
        </w:tc>
        <w:tc>
          <w:tcPr>
            <w:tcW w:w="1170" w:type="dxa"/>
            <w:tcBorders>
              <w:bottom w:val="single" w:sz="4" w:space="0" w:shadow="0" w:frame="0"/>
              <w:right w:val="single" w:sz="4" w:space="0" w:shadow="0" w:frame="0"/>
            </w:tcBorders>
            <w:tcMar>
              <w:top w:w="15" w:type="dxa"/>
              <w:left w:w="100" w:type="dxa"/>
              <w:bottom w:w="15" w:type="dxa"/>
              <w:right w:w="100" w:type="dxa"/>
            </w:tcMar>
          </w:tcPr>
          <w:p>
            <w:pPr>
              <w:spacing w:lineRule="auto" w:line="240" w:beforeAutospacing="0" w:afterAutospacing="0"/>
              <w:ind w:right="105"/>
              <w:jc w:val="center"/>
              <w:rPr>
                <w:rFonts w:ascii="Arial" w:hAnsi="Arial"/>
                <w:b w:val="1"/>
                <w:color w:val="000000"/>
                <w:sz w:val="20"/>
              </w:rPr>
            </w:pPr>
            <w:r>
              <w:rPr>
                <w:rFonts w:ascii="Arial" w:hAnsi="Arial"/>
                <w:b w:val="1"/>
                <w:color w:val="000000"/>
                <w:sz w:val="20"/>
              </w:rPr>
              <w:t xml:space="preserve"> </w:t>
            </w:r>
          </w:p>
        </w:tc>
        <w:tc>
          <w:tcPr>
            <w:tcW w:w="1500" w:type="dxa"/>
            <w:tcBorders>
              <w:bottom w:val="single" w:sz="4" w:space="0" w:shadow="0" w:frame="0"/>
              <w:right w:val="single" w:sz="4" w:space="0" w:shadow="0" w:frame="0"/>
            </w:tcBorders>
            <w:tcMar>
              <w:top w:w="15" w:type="dxa"/>
              <w:left w:w="100" w:type="dxa"/>
              <w:bottom w:w="15" w:type="dxa"/>
              <w:right w:w="100" w:type="dxa"/>
            </w:tcMar>
          </w:tcPr>
          <w:p>
            <w:pPr>
              <w:spacing w:lineRule="auto" w:line="240" w:beforeAutospacing="0" w:afterAutospacing="0"/>
              <w:ind w:right="105"/>
              <w:jc w:val="right"/>
              <w:rPr>
                <w:rFonts w:ascii="Arial" w:hAnsi="Arial"/>
                <w:b w:val="1"/>
                <w:color w:val="000000"/>
                <w:sz w:val="20"/>
              </w:rPr>
            </w:pPr>
            <w:r>
              <w:rPr>
                <w:rFonts w:ascii="Arial" w:hAnsi="Arial"/>
                <w:b w:val="1"/>
                <w:color w:val="000000"/>
                <w:sz w:val="20"/>
              </w:rPr>
              <w:t xml:space="preserve"> </w:t>
            </w:r>
          </w:p>
        </w:tc>
        <w:tc>
          <w:tcPr>
            <w:tcW w:w="1155" w:type="dxa"/>
            <w:tcBorders>
              <w:bottom w:val="single" w:sz="4" w:space="0" w:shadow="0" w:frame="0"/>
              <w:right w:val="single" w:sz="4" w:space="0" w:shadow="0" w:frame="0"/>
            </w:tcBorders>
            <w:tcMar>
              <w:top w:w="15" w:type="dxa"/>
              <w:left w:w="100" w:type="dxa"/>
              <w:bottom w:w="15" w:type="dxa"/>
              <w:right w:w="100" w:type="dxa"/>
            </w:tcMar>
          </w:tcPr>
          <w:p>
            <w:pPr>
              <w:spacing w:lineRule="auto" w:line="240" w:beforeAutospacing="0" w:afterAutospacing="0"/>
              <w:ind w:right="105"/>
              <w:jc w:val="right"/>
              <w:rPr>
                <w:rFonts w:ascii="Arial" w:hAnsi="Arial"/>
                <w:b w:val="1"/>
                <w:color w:val="000000"/>
                <w:sz w:val="20"/>
              </w:rPr>
            </w:pPr>
            <w:r>
              <w:rPr>
                <w:rFonts w:ascii="Arial" w:hAnsi="Arial"/>
                <w:b w:val="1"/>
                <w:color w:val="000000"/>
                <w:sz w:val="20"/>
              </w:rPr>
              <w:t xml:space="preserve"> </w:t>
            </w:r>
          </w:p>
        </w:tc>
        <w:tc>
          <w:tcPr>
            <w:tcW w:w="1170" w:type="dxa"/>
            <w:tcBorders>
              <w:bottom w:val="single" w:sz="4" w:space="0" w:shadow="0" w:frame="0"/>
              <w:right w:val="single" w:sz="4" w:space="0" w:shadow="0" w:frame="0"/>
            </w:tcBorders>
            <w:tcMar>
              <w:top w:w="15" w:type="dxa"/>
              <w:left w:w="100" w:type="dxa"/>
              <w:bottom w:w="15" w:type="dxa"/>
              <w:right w:w="100" w:type="dxa"/>
            </w:tcMar>
          </w:tcPr>
          <w:p>
            <w:pPr>
              <w:spacing w:lineRule="auto" w:line="240" w:beforeAutospacing="0" w:afterAutospacing="0"/>
              <w:ind w:right="105"/>
              <w:jc w:val="right"/>
              <w:rPr>
                <w:rFonts w:ascii="Arial" w:hAnsi="Arial"/>
                <w:b w:val="1"/>
                <w:color w:val="000000"/>
                <w:sz w:val="20"/>
              </w:rPr>
            </w:pPr>
            <w:r>
              <w:rPr>
                <w:rFonts w:ascii="Arial" w:hAnsi="Arial"/>
                <w:b w:val="1"/>
                <w:color w:val="000000"/>
                <w:sz w:val="20"/>
              </w:rPr>
              <w:t xml:space="preserve"> </w:t>
            </w:r>
          </w:p>
        </w:tc>
      </w:tr>
      <w:tr>
        <w:tc>
          <w:tcPr>
            <w:tcW w:w="8355" w:type="dxa"/>
            <w:gridSpan w:val="7"/>
            <w:tcBorders>
              <w:left w:val="single" w:sz="4" w:space="0" w:shadow="0" w:frame="0"/>
              <w:bottom w:val="single" w:sz="4" w:space="0" w:shadow="0" w:frame="0"/>
              <w:right w:val="single" w:sz="4" w:space="0" w:shadow="0" w:frame="0"/>
            </w:tcBorders>
            <w:tcMar>
              <w:top w:w="15" w:type="dxa"/>
              <w:left w:w="100" w:type="dxa"/>
              <w:bottom w:w="15" w:type="dxa"/>
              <w:right w:w="100" w:type="dxa"/>
            </w:tcMar>
          </w:tcPr>
          <w:p>
            <w:pPr>
              <w:spacing w:lineRule="auto" w:line="360" w:after="0" w:beforeAutospacing="0" w:afterAutospacing="0"/>
              <w:ind w:right="105"/>
              <w:jc w:val="right"/>
              <w:rPr>
                <w:rFonts w:ascii="Arial" w:hAnsi="Arial"/>
                <w:b w:val="1"/>
                <w:color w:val="000000"/>
                <w:sz w:val="20"/>
              </w:rPr>
            </w:pPr>
            <w:r>
              <w:rPr>
                <w:rFonts w:ascii="Arial" w:hAnsi="Arial"/>
                <w:b w:val="1"/>
                <w:color w:val="000000"/>
                <w:sz w:val="20"/>
              </w:rPr>
              <w:t>VALOR TOTAL R$</w:t>
            </w:r>
          </w:p>
        </w:tc>
        <w:tc>
          <w:tcPr>
            <w:tcW w:w="1170" w:type="dxa"/>
            <w:tcBorders>
              <w:bottom w:val="single" w:sz="4" w:space="0" w:shadow="0" w:frame="0"/>
              <w:right w:val="single" w:sz="4" w:space="0" w:shadow="0" w:frame="0"/>
            </w:tcBorders>
            <w:tcMar>
              <w:top w:w="15" w:type="dxa"/>
              <w:left w:w="100" w:type="dxa"/>
              <w:bottom w:w="15" w:type="dxa"/>
              <w:right w:w="100" w:type="dxa"/>
            </w:tcMar>
          </w:tcPr>
          <w:p>
            <w:pPr>
              <w:spacing w:lineRule="auto" w:line="240" w:beforeAutospacing="0" w:afterAutospacing="0"/>
              <w:ind w:right="105"/>
              <w:jc w:val="right"/>
              <w:rPr>
                <w:rFonts w:ascii="Arial" w:hAnsi="Arial"/>
                <w:b w:val="1"/>
                <w:color w:val="000000"/>
                <w:sz w:val="20"/>
              </w:rPr>
            </w:pPr>
            <w:r>
              <w:rPr>
                <w:rFonts w:ascii="Arial" w:hAnsi="Arial"/>
                <w:b w:val="1"/>
                <w:color w:val="000000"/>
                <w:sz w:val="20"/>
              </w:rPr>
              <w:t xml:space="preserve"> </w:t>
            </w:r>
          </w:p>
        </w:tc>
      </w:tr>
    </w:tbl>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b w:val="1"/>
          <w:color w:val="000000"/>
          <w:sz w:val="20"/>
        </w:rPr>
        <w:t xml:space="preserve">4.2. </w:t>
      </w:r>
      <w:r>
        <w:rPr>
          <w:rFonts w:ascii="Arial" w:hAnsi="Arial"/>
          <w:sz w:val="20"/>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pPr>
        <w:spacing w:lineRule="auto" w:line="240" w:after="0" w:beforeAutospacing="0" w:afterAutospacing="0"/>
        <w:ind w:left="720"/>
        <w:jc w:val="both"/>
        <w:rPr>
          <w:rFonts w:ascii="Arial" w:hAnsi="Arial"/>
          <w:sz w:val="20"/>
        </w:rPr>
      </w:pPr>
    </w:p>
    <w:p>
      <w:pPr>
        <w:spacing w:lineRule="auto" w:line="240" w:after="0" w:beforeAutospacing="0" w:afterAutospacing="0"/>
        <w:ind w:left="72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CLÁUSULA QUINTA</w:t>
      </w:r>
      <w:r>
        <w:rPr>
          <w:rFonts w:ascii="Arial" w:hAnsi="Arial"/>
          <w:sz w:val="20"/>
        </w:rPr>
        <w:t xml:space="preserve"> - </w:t>
      </w:r>
      <w:r>
        <w:rPr>
          <w:rFonts w:ascii="Arial" w:hAnsi="Arial"/>
          <w:b w:val="1"/>
          <w:color w:val="000000"/>
          <w:sz w:val="20"/>
        </w:rPr>
        <w:t>CRITÉRIOS DE PAGAMENTO.</w:t>
      </w:r>
    </w:p>
    <w:p>
      <w:pPr>
        <w:spacing w:lineRule="auto" w:line="240" w:after="0" w:beforeAutospacing="0" w:afterAutospacing="0"/>
        <w:jc w:val="both"/>
        <w:rPr>
          <w:rFonts w:ascii="Arial" w:hAnsi="Arial"/>
          <w:sz w:val="20"/>
        </w:rPr>
      </w:pP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5.1. </w:t>
      </w:r>
      <w:r>
        <w:rPr>
          <w:rFonts w:ascii="Arial" w:hAnsi="Arial"/>
          <w:color w:val="000000"/>
          <w:sz w:val="20"/>
          <w:u w:val="none"/>
          <w:shd w:val="clear" w:color="auto" w:fill="FFFFFF"/>
        </w:rPr>
        <w:t>A efetivação do pagamento estará sujeita à entrega e ao aceite total e definitivo dos bens.</w:t>
      </w: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5.2. </w:t>
      </w:r>
      <w:r>
        <w:rPr>
          <w:rFonts w:ascii="Arial" w:hAnsi="Arial"/>
          <w:color w:val="000000"/>
          <w:sz w:val="20"/>
          <w:u w:val="none"/>
          <w:shd w:val="clear" w:color="auto" w:fill="FFFFFF"/>
        </w:rPr>
        <w:t>O pagamento será efetuado em até 30 (trinta) dias, após o aceite total e definitivo dos produtos e o ateste da Secretaria requisitante, com a apresentação da Nota Fiscal dos serviços prestados, sem emendas ou rasuras, conforme Autorização de Fornecimento emitida pelo Município.</w:t>
      </w: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5.3.</w:t>
      </w:r>
      <w:r>
        <w:rPr>
          <w:rFonts w:ascii="Arial" w:hAnsi="Arial"/>
          <w:color w:val="000000"/>
          <w:sz w:val="20"/>
          <w:u w:val="none"/>
          <w:shd w:val="clear" w:color="auto" w:fill="FFFFFF"/>
        </w:rPr>
        <w:t xml:space="preserve"> Ocorrendo erro na apresentação da Nota Fiscal/Fatura, esta será devolvida ao fornecedor para retificação, ficando estabelecido que o pagamento será efetuado após a apresentação da nova Nota Fiscal/Fatura definitivamente retificada.</w:t>
      </w: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5.4.</w:t>
      </w:r>
      <w:r>
        <w:rPr>
          <w:rFonts w:ascii="Arial" w:hAnsi="Arial"/>
          <w:color w:val="000000"/>
          <w:sz w:val="20"/>
          <w:u w:val="none"/>
          <w:shd w:val="clear" w:color="auto" w:fill="FFFFFF"/>
        </w:rPr>
        <w:t xml:space="preserve"> O pagamento será efetuado através de depósito em conta-corrente do fornecedor, no Banco por ele indicado, constante na Nota Fiscal/Fatura.</w:t>
      </w: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5.5.</w:t>
      </w:r>
      <w:r>
        <w:rPr>
          <w:rFonts w:ascii="Arial" w:hAnsi="Arial"/>
          <w:color w:val="000000"/>
          <w:sz w:val="20"/>
          <w:u w:val="none"/>
          <w:shd w:val="clear" w:color="auto" w:fill="FFFFFF"/>
        </w:rPr>
        <w:t xml:space="preserve"> O pagamento das faturas somente será feito em carteira ou cobrança simples, sendo expressamente vedado ao fornecedor realizar cobrança ou desconto de duplicatas através de rede bancária ou de terceiros.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5.6.</w:t>
      </w:r>
      <w:r>
        <w:rPr>
          <w:rFonts w:ascii="Arial" w:hAnsi="Arial"/>
          <w:color w:val="000000"/>
          <w:sz w:val="20"/>
          <w:u w:val="none"/>
          <w:shd w:val="clear" w:color="auto" w:fill="FFFFFF"/>
        </w:rPr>
        <w:t xml:space="preserve"> A Prefeitura Municipal de Domingos Martins poderá deduzir do pagamento importâncias que a qualquer título lhe forem devidas pela contratada, em decorrência de inadimplemento contratual.</w:t>
      </w: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5.7.</w:t>
      </w:r>
      <w:r>
        <w:rPr>
          <w:rFonts w:ascii="Arial" w:hAnsi="Arial"/>
          <w:color w:val="000000"/>
          <w:sz w:val="20"/>
          <w:u w:val="none"/>
          <w:shd w:val="clear" w:color="auto" w:fill="FFFFFF"/>
        </w:rPr>
        <w:t xml:space="preserve"> Para a efetivação do pagamento, o fornecedor deverá manter as condições no que se refere à Proposta e à Habilitação, bem como fornecer os documentos necessários a comprovação da despesa exigidos pela secretaria requisitante.</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CLÁUSULA SEXTA</w:t>
      </w:r>
      <w:r>
        <w:rPr>
          <w:rFonts w:ascii="Arial" w:hAnsi="Arial"/>
          <w:color w:val="000000"/>
          <w:sz w:val="20"/>
          <w:u w:val="none"/>
        </w:rPr>
        <w:t xml:space="preserve"> - </w:t>
      </w:r>
      <w:r>
        <w:rPr>
          <w:rFonts w:ascii="Arial" w:hAnsi="Arial"/>
          <w:b w:val="1"/>
          <w:color w:val="000000"/>
          <w:sz w:val="20"/>
          <w:u w:val="none"/>
        </w:rPr>
        <w:t>DA ALTERAÇÃO OU ATUALIZAÇÃO DOS PREÇOS.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6.1. </w:t>
      </w:r>
      <w:r>
        <w:rPr>
          <w:rFonts w:ascii="Arial" w:hAnsi="Arial"/>
          <w:color w:val="000000"/>
          <w:sz w:val="20"/>
          <w:u w:val="none"/>
        </w:rPr>
        <w:t>Os preços registrados poderão ser alterados ou atualizados em decorrência de eventual redução dos preços praticados no mercado ou de fato que eleve o custo dos bens/serviços registrados, nas seguintes situações: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a) </w:t>
      </w:r>
      <w:r>
        <w:rPr>
          <w:rFonts w:ascii="Arial" w:hAnsi="Arial"/>
          <w:color w:val="000000"/>
          <w:sz w:val="20"/>
          <w:u w:val="none"/>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b)</w:t>
      </w:r>
      <w:r>
        <w:rPr>
          <w:rFonts w:ascii="Arial" w:hAnsi="Arial"/>
          <w:color w:val="000000"/>
          <w:sz w:val="20"/>
          <w:u w:val="none"/>
        </w:rPr>
        <w:t xml:space="preserve"> em caso de criação, alteração ou extinção de quaisquer tributos ou encargos legais ou superveniência de disposições legais, com comprovada repercussão sobre os pr eços registrados; ou</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c)</w:t>
      </w:r>
      <w:r>
        <w:rPr>
          <w:rFonts w:ascii="Arial" w:hAnsi="Arial"/>
          <w:color w:val="000000"/>
          <w:sz w:val="20"/>
          <w:u w:val="none"/>
        </w:rPr>
        <w:t xml:space="preserve"> na hipótese de previsão no edital ou no aviso de contratação direta de cláusula de reajustamento ou repactuação sobre os preços registrados, nos termos do disposto na Lei nº 14.133/2021.</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c.1)</w:t>
      </w:r>
      <w:r>
        <w:rPr>
          <w:rFonts w:ascii="Arial" w:hAnsi="Arial"/>
          <w:color w:val="000000"/>
          <w:sz w:val="20"/>
          <w:u w:val="none"/>
        </w:rPr>
        <w:t xml:space="preserve"> No caso de reajustamento, deverá ser respeitada a contagem da anualidade e o índice proposto no Edital.</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c.2)</w:t>
      </w:r>
      <w:r>
        <w:rPr>
          <w:rFonts w:ascii="Arial" w:hAnsi="Arial"/>
          <w:color w:val="000000"/>
          <w:sz w:val="20"/>
          <w:u w:val="none"/>
        </w:rPr>
        <w:t xml:space="preserve"> No caso de repactuação, poderá ser a pedido do interessado, conforme critérios do edital e da lei.</w:t>
      </w:r>
    </w:p>
    <w:p>
      <w:pPr>
        <w:spacing w:lineRule="auto" w:line="240" w:before="0" w:after="0" w:beforeAutospacing="0" w:afterAutospacing="0"/>
        <w:ind w:left="284"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6.2. </w:t>
      </w:r>
      <w:r>
        <w:rPr>
          <w:rFonts w:ascii="Arial" w:hAnsi="Arial"/>
          <w:color w:val="000000"/>
          <w:sz w:val="20"/>
          <w:u w:val="none"/>
        </w:rPr>
        <w:t>Na hipótese de o preço registrado tornar-se superior ao preço praticado no mercado, por motivo superveniente, o órgão ou entidade gerenciadora convocará o fornecedor para negociar a redução do preço registrado.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6.2.1. </w:t>
      </w:r>
      <w:r>
        <w:rPr>
          <w:rFonts w:ascii="Arial" w:hAnsi="Arial"/>
          <w:color w:val="000000"/>
          <w:sz w:val="20"/>
          <w:u w:val="none"/>
        </w:rPr>
        <w:t>Caso não aceite reduzir seu preço aos valores praticados pelo mercado, o fornecedor será liberado do compromisso assumido quanto ao item registrado, sem aplicação de penalidades administrativas.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6.2.2.</w:t>
      </w:r>
      <w:r>
        <w:rPr>
          <w:rFonts w:ascii="Arial" w:hAnsi="Arial"/>
          <w:color w:val="000000"/>
          <w:sz w:val="20"/>
          <w:u w:val="none"/>
        </w:rPr>
        <w:t xml:space="preserve"> Na hipótese prevista no subitem 11.2.1, o órgão ou entidade gerenciadora convocará os fornecedores do cadastro de reserva, na ordem de classificação, para verificar se aceitam reduzir seus preços aos valores de mercado.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6.2.3. </w:t>
      </w:r>
      <w:r>
        <w:rPr>
          <w:rFonts w:ascii="Arial" w:hAnsi="Arial"/>
          <w:color w:val="000000"/>
          <w:sz w:val="20"/>
          <w:u w:val="none"/>
        </w:rPr>
        <w:t>Se não obtiver êxito nas negociações, o órgão ou a entidade gerenciadora procederá ao cancelamento da ata de registro de preços, nos termos do disposto item 12 desta ata, e adotará as medidas cabíveis para a obtenção de contratação mais vantajosa.</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6.2.4.</w:t>
      </w:r>
      <w:r>
        <w:rPr>
          <w:rFonts w:ascii="Arial" w:hAnsi="Arial"/>
          <w:color w:val="000000"/>
          <w:sz w:val="20"/>
          <w:u w:val="none"/>
        </w:rPr>
        <w:t xml:space="preserve"> Na hipótese de redução do preço registrado, a Prefeitura Municipal de Domingos Martins como gerenciadora comunicará aos órgãos e às entidades que tiverem firmado contratos decorrentes da ata de registro de preços, para que avaliem a conveniência e a oportunidade de diligenciarem negociação com vistas à alteração contratual.</w:t>
      </w:r>
    </w:p>
    <w:p>
      <w:pPr>
        <w:spacing w:lineRule="auto" w:line="240" w:after="0" w:beforeAutospacing="0" w:afterAutospacing="0"/>
        <w:ind w:firstLine="1134"/>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6.3. </w:t>
      </w:r>
      <w:r>
        <w:rPr>
          <w:rFonts w:ascii="Arial" w:hAnsi="Arial"/>
          <w:color w:val="000000"/>
          <w:sz w:val="20"/>
          <w:u w: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6.3.1.</w:t>
      </w:r>
      <w:r>
        <w:rPr>
          <w:rFonts w:ascii="Arial" w:hAnsi="Arial"/>
          <w:color w:val="000000"/>
          <w:sz w:val="20"/>
          <w:u w:val="none"/>
        </w:rPr>
        <w:t xml:space="preserve"> Para fins do disposto item 11.3, o fornecedor encaminhará, juntamente ao pedido de alteração, a documentação comprobatória ou a planilha de custos que demonstre a inviabilidade do preço registrado em relação às condições inicialmente pactuadas.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6.3.2. </w:t>
      </w:r>
      <w:r>
        <w:rPr>
          <w:rFonts w:ascii="Arial" w:hAnsi="Arial"/>
          <w:color w:val="000000"/>
          <w:sz w:val="20"/>
          <w:u w:val="none"/>
        </w:rPr>
        <w:t>Na hipótese de não comprovação da existência de fato superveniente que inviabilize o preço registrado, o pedido será indeferido pelo Prefeitura Municipal de Domingos Martins e o fornecedor deverá cumprir as obrigações estabelecidas nesta ata, sob pena de cancelamento do seu registro, nos termos do disposto do item 12 desta ata, sem prejuízo da aplicação das sanções previstas na Lei nº 14.133/2021, e na legislação aplicável.</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6.3.3.</w:t>
      </w:r>
      <w:r>
        <w:rPr>
          <w:rFonts w:ascii="Arial" w:hAnsi="Arial"/>
          <w:color w:val="000000"/>
          <w:sz w:val="20"/>
          <w:u w:val="none"/>
        </w:rPr>
        <w:t xml:space="preserve"> Na hipótese de cancelamento do registro do fornecedor, o gerenciador convocará os fornecedores do cadastro de reserva, na ordem de classificação, para verificar se aceitam manter seus preços registrados.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6.3.4. </w:t>
      </w:r>
      <w:r>
        <w:rPr>
          <w:rFonts w:ascii="Arial" w:hAnsi="Arial"/>
          <w:color w:val="000000"/>
          <w:sz w:val="20"/>
          <w:u w:val="none"/>
        </w:rPr>
        <w:t>Se não obtiver êxito nas negociações, o órgão ou entidade gerenciadora procederá ao cancelamento da ata de registro de preços, nos termos do item 12, e adotará as medidas cabíveis para a obtenção da contratação mais vantajosa.</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6.3.5.</w:t>
      </w:r>
      <w:r>
        <w:rPr>
          <w:rFonts w:ascii="Arial" w:hAnsi="Arial"/>
          <w:color w:val="000000"/>
          <w:sz w:val="20"/>
          <w:u w:val="none"/>
        </w:rPr>
        <w:t xml:space="preserve"> Na hipótese de comprovação do disposto nos subitens 11.3 e 11.3.1, o órgão ou entidade gerenciadora atualizará o preço registrado, de acordo com a realidade dos valores praticados pelo mercado.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6.3.6.</w:t>
      </w:r>
      <w:r>
        <w:rPr>
          <w:rFonts w:ascii="Arial" w:hAnsi="Arial"/>
          <w:color w:val="000000"/>
          <w:sz w:val="20"/>
          <w:u w:val="none"/>
        </w:rPr>
        <w:t xml:space="preserve"> Para atualizar ou alterar os preços deverá ser emitida nova Ata de Registro de Preços, com a indicação dos novos preços a serem praticados, devendo ser assinada pelos órgãos gerenciador e participante e pelo fornecedor.</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6.3.7. </w:t>
      </w:r>
      <w:r>
        <w:rPr>
          <w:rFonts w:ascii="Arial" w:hAnsi="Arial"/>
          <w:color w:val="000000"/>
          <w:sz w:val="20"/>
          <w:u w:val="none"/>
        </w:rPr>
        <w:t xml:space="preserve">A Ata de Registro de Preços atualizada ou alterada deverá ser publicada no Diário Oficial dos Municípios (DOM).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6.3.8.</w:t>
      </w:r>
      <w:r>
        <w:rPr>
          <w:rFonts w:ascii="Arial" w:hAnsi="Arial"/>
          <w:color w:val="000000"/>
          <w:sz w:val="20"/>
          <w:u w:val="none"/>
        </w:rPr>
        <w:t xml:space="preserve"> O órgão ou a entidade gerenciadora comunicará aos órgãos e às entidades que tiverem firmado contratos decorrentes da ata de registro de preços sobre a efetiva alteração do preço registrado, para que avaliem a necessidade de alteração contratual, uma vez que a alteração da Ata não modifica automaticamente os contratos dela decorrentes.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CLÁUSULA SÉTIMA</w:t>
      </w:r>
      <w:r>
        <w:rPr>
          <w:rFonts w:ascii="Arial" w:hAnsi="Arial"/>
          <w:color w:val="000000"/>
          <w:sz w:val="20"/>
          <w:u w:val="none"/>
        </w:rPr>
        <w:t xml:space="preserve"> - </w:t>
      </w:r>
      <w:r>
        <w:rPr>
          <w:rFonts w:ascii="Arial" w:hAnsi="Arial"/>
          <w:b w:val="1"/>
          <w:color w:val="000000"/>
          <w:sz w:val="20"/>
          <w:u w:val="none"/>
        </w:rPr>
        <w:t>DA EXECUÇÃO.</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rPr>
        <w:t xml:space="preserve">7.1. </w:t>
      </w:r>
      <w:r>
        <w:rPr>
          <w:rFonts w:ascii="Arial" w:hAnsi="Arial"/>
          <w:b w:val="1"/>
          <w:color w:val="000000"/>
          <w:sz w:val="20"/>
          <w:u w:val="none"/>
          <w:shd w:val="clear" w:color="auto" w:fill="FFFFFF"/>
        </w:rPr>
        <w:t>Qualidade dos Materiais:</w:t>
      </w: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7.1.1. </w:t>
      </w:r>
      <w:r>
        <w:rPr>
          <w:rFonts w:ascii="Arial" w:hAnsi="Arial"/>
          <w:color w:val="000000"/>
          <w:sz w:val="20"/>
          <w:u w:val="none"/>
          <w:shd w:val="clear" w:color="auto" w:fill="FFFFFF"/>
        </w:rPr>
        <w:t>Os cadernos devem ser produzidos com materiais de alta qualidade, incluindo papel resistente e tintas duráveis, garantindo a durabilidade e legibilidade do conteúdo ao longo do tempo.</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7.2. Especificações Técnicas:</w:t>
      </w:r>
    </w:p>
    <w:p>
      <w:pPr>
        <w:spacing w:lineRule="auto" w:line="240" w:after="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7.2.1. </w:t>
      </w:r>
      <w:r>
        <w:rPr>
          <w:rFonts w:ascii="Arial" w:hAnsi="Arial"/>
          <w:color w:val="000000"/>
          <w:sz w:val="20"/>
          <w:u w:val="none"/>
          <w:shd w:val="clear" w:color="auto" w:fill="FFFFFF"/>
        </w:rPr>
        <w:t>Os cadernos devem ser produzidos conforme especificações constantes no item 1.1 deste instrumento.</w:t>
      </w:r>
    </w:p>
    <w:p>
      <w:pPr>
        <w:spacing w:lineRule="auto" w:line="240" w:after="0" w:beforeAutospacing="0" w:afterAutospacing="0"/>
        <w:jc w:val="both"/>
        <w:rPr>
          <w:rFonts w:ascii="Arial" w:hAnsi="Arial"/>
          <w:b w:val="1"/>
          <w:color w:val="000000"/>
          <w:sz w:val="20"/>
          <w:u w:val="none"/>
          <w:shd w:val="clear" w:color="auto" w:fill="FFFFFF"/>
        </w:rPr>
      </w:pP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7.3. Capacidade de Produção:</w:t>
      </w:r>
    </w:p>
    <w:p>
      <w:pPr>
        <w:spacing w:lineRule="auto" w:line="240" w:after="160" w:beforeAutospacing="0" w:afterAutospacing="0"/>
        <w:jc w:val="both"/>
        <w:rPr>
          <w:rFonts w:ascii="Arial" w:hAnsi="Arial"/>
          <w:b w:val="0"/>
          <w:color w:val="auto"/>
          <w:sz w:val="20"/>
          <w:u w:val="none"/>
          <w:shd w:val="clear" w:color="auto" w:fill="FFFFFF"/>
        </w:rPr>
      </w:pPr>
      <w:r>
        <w:rPr>
          <w:rFonts w:ascii="Arial" w:hAnsi="Arial"/>
          <w:b w:val="1"/>
          <w:color w:val="000000"/>
          <w:sz w:val="20"/>
          <w:u w:val="none"/>
          <w:shd w:val="clear" w:color="auto" w:fill="FFFFFF"/>
        </w:rPr>
        <w:t xml:space="preserve">7.3.1. </w:t>
      </w:r>
      <w:r>
        <w:rPr>
          <w:rFonts w:ascii="Arial" w:hAnsi="Arial"/>
          <w:b w:val="0"/>
          <w:color w:val="000000"/>
          <w:sz w:val="20"/>
          <w:u w:val="none"/>
          <w:shd w:val="clear" w:color="auto" w:fill="FFFFFF"/>
        </w:rPr>
        <w:t xml:space="preserve">A licitante deve possuir capacidade técnica e infraestrutura adequada para atender à demanda </w:t>
      </w:r>
      <w:r>
        <w:rPr>
          <w:rFonts w:ascii="Arial" w:hAnsi="Arial"/>
          <w:b w:val="0"/>
          <w:color w:val="auto"/>
          <w:sz w:val="20"/>
          <w:u w:val="none"/>
          <w:shd w:val="clear" w:color="auto" w:fill="FFFFFF"/>
        </w:rPr>
        <w:t>estimada, considerando as quantidades de cadernos necessárias para cada série e disciplina.</w:t>
      </w:r>
    </w:p>
    <w:p>
      <w:pPr>
        <w:spacing w:lineRule="auto" w:line="240" w:after="0" w:beforeAutospacing="0" w:afterAutospacing="0"/>
        <w:jc w:val="both"/>
        <w:rPr>
          <w:rFonts w:ascii="Arial" w:hAnsi="Arial"/>
          <w:b w:val="1"/>
          <w:color w:val="auto"/>
          <w:sz w:val="20"/>
          <w:u w:val="none"/>
          <w:shd w:val="clear" w:color="auto" w:fill="FFFFFF"/>
        </w:rPr>
      </w:pPr>
      <w:r>
        <w:rPr>
          <w:rFonts w:ascii="Arial" w:hAnsi="Arial"/>
          <w:b w:val="1"/>
          <w:color w:val="auto"/>
          <w:sz w:val="20"/>
          <w:u w:val="none"/>
          <w:shd w:val="clear" w:color="auto" w:fill="FFFFFF"/>
        </w:rPr>
        <w:t>7.4. Prazos de Entrega:</w:t>
      </w:r>
    </w:p>
    <w:p>
      <w:pPr>
        <w:spacing w:lineRule="auto" w:line="240" w:after="160" w:beforeAutospacing="0" w:afterAutospacing="0"/>
        <w:jc w:val="both"/>
        <w:rPr>
          <w:rFonts w:ascii="Arial" w:hAnsi="Arial"/>
          <w:b w:val="0"/>
          <w:color w:val="auto"/>
          <w:sz w:val="20"/>
          <w:u w:val="none"/>
          <w:shd w:val="clear" w:color="auto" w:fill="FFFFFF"/>
        </w:rPr>
      </w:pPr>
      <w:r>
        <w:rPr>
          <w:rFonts w:ascii="Arial" w:hAnsi="Arial"/>
          <w:b w:val="1"/>
          <w:color w:val="auto"/>
          <w:sz w:val="20"/>
          <w:u w:val="none"/>
          <w:shd w:val="clear" w:color="auto" w:fill="FFFFFF"/>
        </w:rPr>
        <w:t>7.4.1.</w:t>
      </w:r>
      <w:r>
        <w:rPr>
          <w:rFonts w:ascii="Arial" w:hAnsi="Arial"/>
          <w:b w:val="0"/>
          <w:color w:val="auto"/>
          <w:sz w:val="20"/>
          <w:u w:val="none"/>
          <w:shd w:val="clear" w:color="auto" w:fill="FFFFFF"/>
        </w:rPr>
        <w:t xml:space="preserve"> A entrega será de acordo com a necessidade da Secretaria Municipal de Educação, no prazo de até 30 (trinta) dias, contados a partir da emissão da Autorização de Fornecimento.</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1"/>
          <w:color w:val="000000"/>
          <w:sz w:val="20"/>
          <w:u w:val="none"/>
          <w:shd w:val="clear" w:color="auto" w:fill="FFFFFF"/>
        </w:rPr>
        <w:t>7.5.</w:t>
      </w:r>
      <w:r>
        <w:rPr>
          <w:rFonts w:ascii="Arial" w:hAnsi="Arial"/>
          <w:b w:val="0"/>
          <w:color w:val="000000"/>
          <w:sz w:val="20"/>
          <w:u w:val="none"/>
          <w:shd w:val="clear" w:color="auto" w:fill="FFFFFF"/>
        </w:rPr>
        <w:t xml:space="preserve"> Manter-se, durante toda a execução da aquisição, em compatibilidade com as obrigações assumidas, todas as condições de habilitação e qualificação exigidas na Lei 14.133/2021.</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7.6. Garantia e Suporte</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xml:space="preserve">7.6.1. </w:t>
      </w:r>
      <w:r>
        <w:rPr>
          <w:rFonts w:ascii="Arial" w:hAnsi="Arial"/>
          <w:b w:val="0"/>
          <w:color w:val="000000"/>
          <w:sz w:val="20"/>
          <w:u w:val="none"/>
          <w:shd w:val="clear" w:color="auto" w:fill="FFFFFF"/>
        </w:rPr>
        <w:t>A licitante deve oferecer garantia de qualidade dos produtos entregues e estar disponível para prestar suporte e resolver eventuais problemas ou questões relacionadas aos cadernos produzidos.</w:t>
      </w:r>
    </w:p>
    <w:p>
      <w:pPr>
        <w:spacing w:lineRule="auto" w:line="240" w:after="0" w:beforeAutospacing="0" w:afterAutospacing="0"/>
        <w:jc w:val="both"/>
        <w:rPr>
          <w:rFonts w:ascii="Arial" w:hAnsi="Arial"/>
          <w:b w:val="0"/>
          <w:color w:val="000000"/>
          <w:sz w:val="20"/>
          <w:u w:val="none"/>
          <w:shd w:val="clear" w:color="auto" w:fill="FFFFFF"/>
        </w:rPr>
      </w:pPr>
      <w:r>
        <w:rPr>
          <w:rFonts w:ascii="Arial" w:hAnsi="Arial"/>
          <w:b w:val="1"/>
          <w:color w:val="000000"/>
          <w:sz w:val="20"/>
          <w:u w:val="none"/>
          <w:shd w:val="clear" w:color="auto" w:fill="FFFFFF"/>
        </w:rPr>
        <w:t xml:space="preserve">7.6.2. </w:t>
      </w:r>
      <w:r>
        <w:rPr>
          <w:rFonts w:ascii="Arial" w:hAnsi="Arial"/>
          <w:b w:val="0"/>
          <w:color w:val="000000"/>
          <w:sz w:val="20"/>
          <w:u w:val="none"/>
          <w:shd w:val="clear" w:color="auto" w:fill="FFFFFF"/>
        </w:rPr>
        <w:t>O dever previsto no subitem anterior implica na obrigação de, a critério da Administração, substituir, reparar, corrigir, remover, ou reconstruir, às suas expensas, no prazo máximo de 10 (dez) dias, o produto com avarias ou defeitos.</w:t>
      </w:r>
    </w:p>
    <w:p>
      <w:pPr>
        <w:spacing w:lineRule="auto" w:line="240" w:after="0" w:beforeAutospacing="0" w:afterAutospacing="0"/>
        <w:jc w:val="both"/>
        <w:rPr>
          <w:rFonts w:ascii="Arial" w:hAnsi="Arial"/>
          <w:b w:val="1"/>
          <w:color w:val="000000"/>
          <w:sz w:val="20"/>
          <w:u w:val="none"/>
          <w:shd w:val="clear" w:color="auto" w:fill="FFFFFF"/>
        </w:rPr>
      </w:pP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7.7. Subcontratação</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1"/>
          <w:color w:val="000000"/>
          <w:sz w:val="20"/>
          <w:u w:val="none"/>
          <w:shd w:val="clear" w:color="auto" w:fill="FFFFFF"/>
        </w:rPr>
        <w:t xml:space="preserve">7.7.1. </w:t>
      </w:r>
      <w:r>
        <w:rPr>
          <w:rFonts w:ascii="Arial" w:hAnsi="Arial"/>
          <w:b w:val="0"/>
          <w:color w:val="000000"/>
          <w:sz w:val="20"/>
          <w:u w:val="none"/>
          <w:shd w:val="clear" w:color="auto" w:fill="FFFFFF"/>
        </w:rPr>
        <w:t>Não é admitida a subcontratação do objeto.</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7.8. CONDIÇÕES DE ENTREGA</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 O objeto desta Ata deverá ser entregue no prazo de 30 (trinta) dias, contados do recebimento da Autorização de Fornecimento, em parcela única.</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7.8.2 Ocorrendo fato superveniente, no qual o fornecedor não possa realizar a entrega no prazo especificado, deverá comunicar as razões respectivas com, pelo menos, 02 (dois) dias úteis de antecedência, com a formalização de solicitação de prorrogação de prazo e documentos comprobatórios, para análise e decisão da Administração, observando-se o preceito da razoabilidade e considerando-se os prejuízos à Prefeitura, ressalvadas situações de caso fortuito e força maior.</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7.8.3 Caso a entrega não seja efetuada no prazo estabelecido, e não havendo justificativa aceita pela Administração, o fornecedor sujeitar-se-á às penalidades decorrentes deste fato.</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7.8.4 Os bens deverão ser entregues no seguinte endereço:</w:t>
      </w:r>
    </w:p>
    <w:p>
      <w:pPr>
        <w:spacing w:lineRule="auto" w:line="240" w:after="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Almoxarifado da Secretaria Municipal de Educação</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 xml:space="preserve">Avenida Presidente Vargas, 242, Centro, Domingos Martins – ES, CEP 29260-000. </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7.8.5 O transporte e a entrega dos bens no(s) local(is) indicado(s) acima são de responsabilidade do fornecedor.</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7.8.6 A entrega deverá ser realizada pelo fornecedor em dias úteis, obedecendo ao horário de funcionamento da Prefeitura, com início a partir das 08 horas e encerramento, no máximo, às 16 horas.</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7.8.7 A Prefeitura não se obriga ao recebimento dos bens em horários ou dias em que não há expediente nas repartições públicas municipais.</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7.8.8 Os bens deverão ser entregues embalados com plástico ou plástico filme PVC transparente por grupo (GRUPO 1, GRUPO 2, GRUPO 3, GRUPO 4, GRUPO 5 e FLUÊNCIA), sem avarias, identificados com informações precisas, corretas, claras e em língua portuguesa.</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7.8.9 Será recusado produto deteriorado, adulterado, avariado, corrompido, fraudado, bem como aquele em desacordo com as normas regulamentares de fabricação e distribuição.</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7.8.10 Os bens objeto deste Termo de Referência serão recebidos:</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7.8.10.1 Provisoriamente, de forma sumária, pelo responsável por seu acompanhamento e fiscalização, com verificação posterior da conformidade do material com as exigências e especificações solicitadas.</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7.8.10.2 O recebimento provisório está voltado à conferência de volumes, confrontando-se Nota Fiscal do fornecedor com os respectivos registros e controles de compra.</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7.8.10.3 Definitivamente, por servidor ou comissão designada pela autoridade competente, em até 03 (três) dias úteis, contados do recebimento provisório.</w:t>
      </w:r>
    </w:p>
    <w:p>
      <w:pPr>
        <w:spacing w:lineRule="auto" w:line="240" w:before="0" w:after="160" w:beforeAutospacing="0" w:afterAutospacing="0"/>
        <w:ind w:left="708" w:right="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7.8.10.3.1 Para o recebimento definitivo será verificado se os bens atendem a todas as especificações solicitadas.</w:t>
      </w:r>
    </w:p>
    <w:p>
      <w:pPr>
        <w:spacing w:lineRule="auto" w:line="240" w:before="0" w:after="160" w:beforeAutospacing="0" w:afterAutospacing="0"/>
        <w:ind w:left="708" w:right="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7.8.10..3.2 Sendo verificado pela Administração a necessidade de realização de testes para apuração das especificações, será comunicado à empresa, ficando o prazo de recebimento definitivo automaticamente suspenso até o resultado dos testes.</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7.8.11 Os ensaios, testes e demais provas para aferição de boa execução do objeto do contrato exigido por normas técnicas oficiais correrão por conta do fornecedor.</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7.8.12 Constatadas irregularidades no objeto contratual, o Município poderá:</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7.8.12.1 Se for sobre a especificação, rejeitá-lo no todo, determinando sua substituição ou rescindindo o contrato, sem prejuízo das penalidades cabíveis.</w:t>
      </w:r>
    </w:p>
    <w:p>
      <w:pPr>
        <w:spacing w:lineRule="auto" w:line="240" w:before="0" w:after="160" w:beforeAutospacing="0" w:afterAutospacing="0"/>
        <w:ind w:left="708" w:right="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7.8.12.1.1 Na hipótese de substituição, a Contratada deverá fazê-la em conformidade com a Administração, no prazo máximo de (05) cinco dias úteis, contados da notificação por escrito, sem acréscimo no valor da aquisição.</w:t>
      </w:r>
    </w:p>
    <w:p>
      <w:pPr>
        <w:spacing w:lineRule="auto" w:line="240" w:before="0" w:after="160" w:beforeAutospacing="0" w:afterAutospacing="0"/>
        <w:ind w:left="708" w:right="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7.8.12.1.2 O Município aceitará apenas uma única substituição, independentemente da aplicação das penalidades cabíveis.</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7.8.12.2 Se for sobre diferença nas características do objeto, determinar sua complementação ou rescindir a contratação, sem prejuízo das penalidades cabíveis.</w:t>
      </w:r>
    </w:p>
    <w:p>
      <w:pPr>
        <w:spacing w:lineRule="auto" w:line="240" w:before="0" w:after="160" w:beforeAutospacing="0" w:afterAutospacing="0"/>
        <w:ind w:left="708" w:right="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7.8.12.2.1 Na hipótese de complementação, a Contratada deverá fazê-la em conformidade com a indicação da Contratante, no prazo máximo de 03 (três) dias, contados da notificação por escrito, sem acréscimo no valor da aquisição.</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7.8.13 O recebimento provisório ou definitivo não isenta o fornecedor quanto às responsabilidades futuras sobre a qualidade do produto entregue durante o prazo de garantia e as respectivas condições.</w:t>
      </w:r>
    </w:p>
    <w:p>
      <w:pPr>
        <w:spacing w:lineRule="auto" w:line="240" w:after="160" w:beforeAutospacing="0" w:afterAutospacing="0"/>
        <w:jc w:val="both"/>
        <w:rPr>
          <w:rFonts w:ascii="Arial" w:hAnsi="Arial"/>
          <w:b w:val="0"/>
          <w:color w:val="000000"/>
          <w:sz w:val="20"/>
          <w:u w:val="none"/>
          <w:shd w:val="clear" w:color="auto" w:fill="FFFFFF"/>
        </w:rPr>
      </w:pPr>
      <w:r>
        <w:rPr>
          <w:rFonts w:ascii="Arial" w:hAnsi="Arial"/>
          <w:b w:val="0"/>
          <w:color w:val="000000"/>
          <w:sz w:val="20"/>
          <w:u w:val="none"/>
          <w:shd w:val="clear" w:color="auto" w:fill="FFFFFF"/>
        </w:rPr>
        <w:t>7.8.14 Se verificada, a qualquer tempo, a inadequação do produto, e a empresa não realizar a troca nos prazos e condições previstas, ou se o material trocado também apresentar inadequação, a empresa ficará sujeita às penalidades, sem isenção da responsabilidade criminal.</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CLÁUSULA OITAVA - DA FISCALIZAÇÃO E GESTÃO.</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8.1. </w:t>
      </w:r>
      <w:r>
        <w:rPr>
          <w:rFonts w:ascii="Arial" w:hAnsi="Arial"/>
          <w:color w:val="000000"/>
          <w:sz w:val="20"/>
          <w:u w:val="none"/>
          <w:shd w:val="clear" w:color="auto" w:fill="FFFFFF"/>
        </w:rPr>
        <w:t>As condições da aquisição deverão ser executadas fielmente pelas partes, de acordo com as cláusulas avençadas e as normas da Lei nº 14.133/2021, e cada parte responderá pelas consequências de sua inexecução total ou parcial (Lei nº 14.133/2021, art. 115, caput).</w:t>
      </w:r>
    </w:p>
    <w:p>
      <w:pPr>
        <w:spacing w:lineRule="auto" w:line="240" w:after="160" w:beforeAutospacing="0" w:afterAutospacing="0"/>
        <w:jc w:val="both"/>
        <w:rPr>
          <w:rFonts w:ascii="Arial" w:hAnsi="Arial"/>
          <w:color w:val="000000"/>
          <w:sz w:val="20"/>
          <w:u w:val="none"/>
          <w:shd w:val="clear" w:color="auto" w:fill="FFFFFF"/>
        </w:rPr>
      </w:pPr>
      <w:r>
        <w:rPr>
          <w:rFonts w:ascii="Arial" w:hAnsi="Arial"/>
          <w:b w:val="1"/>
          <w:color w:val="000000"/>
          <w:sz w:val="20"/>
          <w:u w:val="none"/>
          <w:shd w:val="clear" w:color="auto" w:fill="FFFFFF"/>
        </w:rPr>
        <w:t>8.2.</w:t>
      </w:r>
      <w:r>
        <w:rPr>
          <w:rFonts w:ascii="Arial" w:hAnsi="Arial"/>
          <w:color w:val="000000"/>
          <w:sz w:val="20"/>
          <w:u w:val="none"/>
          <w:shd w:val="clear" w:color="auto" w:fill="FFFFFF"/>
        </w:rPr>
        <w:t xml:space="preserve"> A execução da aquisição será acompanhada e fiscalizada pelo(s) servidor(es) identificados a seguir, da Secretaria Municipal de Educação, de forma a fazer cumprir rigorosamente as condições expressas neste Termo de Referência.</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Gestor – Marivana Merscher Hertel</w:t>
      </w:r>
    </w:p>
    <w:p>
      <w:pPr>
        <w:spacing w:lineRule="auto" w:line="240" w:after="160" w:beforeAutospacing="0" w:afterAutospacing="0"/>
        <w:jc w:val="both"/>
        <w:rPr>
          <w:rFonts w:ascii="Arial" w:hAnsi="Arial"/>
          <w:b w:val="1"/>
          <w:color w:val="000000"/>
          <w:sz w:val="20"/>
          <w:u w:val="none"/>
          <w:shd w:val="clear" w:color="auto" w:fill="FFFFFF"/>
        </w:rPr>
      </w:pPr>
      <w:r>
        <w:rPr>
          <w:rFonts w:ascii="Arial" w:hAnsi="Arial"/>
          <w:b w:val="1"/>
          <w:color w:val="000000"/>
          <w:sz w:val="20"/>
          <w:u w:val="none"/>
          <w:shd w:val="clear" w:color="auto" w:fill="FFFFFF"/>
        </w:rPr>
        <w:t>- Fiscal – Rosana Rupf da Penha, Gerente do Apoio Administrativo e Operacional, matrícula 2062, e-mail: secedu@domingosmartins.es.gov.br e telefone (27) 93618-2004.</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 xml:space="preserve">CLÁUSULA NONA </w:t>
      </w:r>
      <w:r>
        <w:rPr>
          <w:rFonts w:ascii="Arial" w:hAnsi="Arial"/>
          <w:color w:val="000000"/>
          <w:sz w:val="20"/>
          <w:u w:val="none"/>
        </w:rPr>
        <w:t xml:space="preserve">- </w:t>
      </w:r>
      <w:r>
        <w:rPr>
          <w:rFonts w:ascii="Arial" w:hAnsi="Arial"/>
          <w:b w:val="1"/>
          <w:color w:val="000000"/>
          <w:sz w:val="20"/>
          <w:u w:val="none"/>
        </w:rPr>
        <w:t>DAS OBRIGAÇÕES DO FORNECEDOR.</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Pela consecução dos objetivos previstos nesta Ata, a Contratada, além das obrigações definidas em outras cláusulas do presente instrumento, ou estabelecidas em lei, se obriga 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 Atender integralmente ao fornecimento do objeto, de acordo com as especificações, prazos e condições constantes no Termo de Referência, no Edital e seus anexos, bem como no instrumento contratual, se houver, em consonância com a proposta apresentada e com a qualidade e as especificações determinadas pela legislação em vigor. Tudo sem nenhum ônus extra para a Contratante, utilizando todos os equipamentos/padrões de segurança associados.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 Responsabilizar-se pela boa execução e eficiência no fornecimento dos bens objeto desta contratação, inclusive no que se referir a inobservância da legislação em vigor.</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9.3 Reparar, corrigir, remover as suas expensas, no todo ou em parte o(s) objeto(s) em que se verifiquem danos, bem como, providenciar a imediata substituição daqueles.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9.4 Providenciar a imediata correção das deficiências apontadas pelo contratante quando da entrega do produto.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9.5 Apresentar, sempre que solicitado documentos que comprovem a procedência do produto fornecido, assim como a amostra para análise pela Administração, sem qualquer ônus adicional.</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9.6 Comunicar ao Município, por escrito, quaisquer anormalidades que ponham em risco o êxito e o cumprimento dos prazos mesmo que não sejam de sua competência, propondo as ações corretivas necessárias.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9.7 Assumir total responsabilidade por danos causados ao Contratante ou a terceiros, ainda que culposo, decorrentes da execução do fornecimento dos bens, isentando o Município de todas as reclamações que possam surgir, sejam elas resultantes de atos de seus prepostos ou de quaisquer pessoas físicas ou jurídicas empregadas ou ajustadas na aquisição. Fica, ainda, o Contratante autorizado a descontar o valor correspondente dos pagamentos à Contratada. Não exclui ou reduz essa responsabilidade a fiscalização ou acompanhamento pela Contratante.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9.8 Arcar com todos os custos referentes ao fornecimento dos bens, tais como taxas, licenças, transporte, pagamento de funcionários e encargos sociais, e todas as outras relacionadas ao fornecimento integral do objeto desta contratação.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9.9 Manter endereço eletrônico (e-mail) válido para fins de comunicação com a contratante por todo o período de contratação; comunicando, imediatamente, o Contratante em caso de alteração.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9.10 Fiscalizar o perfeito cumprimento da execução contratual, cabendo-lhe, integralmente, os ônus decorrentes. Tal fiscalização dar-se-á independente da que será exercida pelo Contratante.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9.11 Não permitir que seus empregados ou prepostos forneçam objeto além dos previstos nesta contratação.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9.12 Executar o objeto contratual por meio de pessoas idôneas, assumindo total responsabilidade por quaisquer danos ou faltas que os mesmos venham a cometer no desempenho de suas funções, podendo o Contratante exigir a retirada daqueles cuja conduta seja inconveniente.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9.13 Prestar os esclarecimentos que forem solicitados pelo Contratante, cujas reclamações se obriga atender prontamente.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9.14 Manter, durante toda a vigência do instrumento contratual, em compatibilidade com as obrigações assumidas, todas as condições de habilitação e qualificação exigidas por lei, no edital e neste instrumento, inclusive a regularidade fiscal.</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9.15 A Contratada deve manter a mais elevada conduta ética e profissional durante toda a execução deste Contrato e em todas as interações dele decorrentes. Isso inclui agir com integridade, honestidade e transparência, cumprindo todas as leis e regulamentos aplicáveis. A Contratada também deve abster-se de qualquer prática antiética, ilegal ou prejudicial à imagem e aos interesses da Contratante.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9.16 A Contratada deve garantir que todas as comunicações relativas a este Contrato sejam estritamente formais e por escrito, utilizando e-mail ou outros canais previamente acordados entre as partes.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9.17 Comunicações verbais devem ser exclusivamente direcionadas ao Fiscal do Contrato e/ou ao Gestor do Contrato designados pela Contratante. Em todas as interações, a Contratada e seus empregados devem utilizar linguagem profissional e formal, abstendo-se de gírias ou expressões informais, tratando com civilidade e cortesia os servidores da Contratante.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9.18 Registrar as ocorrências havidas durante a execução do Contrato, de tudo dando ciência ao Contratante, respondendo integralmente por sua omissão.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9.19 Responsabilizar-se civilmente por vícios na execução, tais como: quantidade, qualidade do produto ou disparidade com as especificações técnicas exigidas neste termo, ou atribuídas pela Contratada, verificados posteriormente, garantindo-se ao Contratante as faculdades previstas no Código de Defesa do Consumidor.</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9.20 Nomear preposto para representar a Contratada durante toda execução do Contrato, com indicação, declaração de ciência e assinatura no formulário apropriado fornecido pelo Contratante.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9.21 Manter o mais completo e absoluto sigilo, para os jurídicos e legais efeitos, devendo guardar, por si, seus empregados e/ou prepostos, em relação às informações, documentos de qualquer natureza e tecnologia que, em razão deste instrumento, lhe sejam exibidos, manuseados ou por qualquer outra forma ou modo, venham a tomar conhecimento, ficando, portanto, responsáveis por sua indevida divulgação, descuidada ou incorreta utilização, sob pena de rescisão contratual e medidas cíveis e penais cabíveis.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9.22 Pagar todos os tributos, contribuições fiscais e parafiscais que incidam direta ou indiretamente sobre este Contrato ou seu objeto, ficando, desde logo, convencionado que o Contratante poderá descontar de qualquer crédito da Contratada a importância correspondente a eventuais pagamentos desta natureza, que porventura venha a efetuar por imposição legal, podendo também o Contratante exigir, se e quando necessário, a apresentação dos respectivos comprovantes de quitação dos períodos anteriores.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9.23 Cumprir o disposto no inciso XXXIII do art. 7º da Constituição Federal, que proíbe trabalho noturno, perigoso ou insalubre a menores de dezoito anos e de qualquer trabalho a menores de dezesseis anos, salvo na condição de aprendiz, a partir de quatorze anos.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9.24 Responsabilizar-se por todas as obrigações trabalhistas e previdenciárias, FGTS, seguro e quaisquer encargos propostos, não existindo entre seus empregados e o Contratante vínculo de qualquer natureza, haja vista que a Contratada, para todos os fins de direito, é empregadora autônoma.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9.25 Cumprir e manter, durante toda a vigência contratual, padrões elevados de ética, respeitando: a legislação brasileira e os compromissos internacionais assumidos que tratam de direitos humanos e da responsabilidade socioambiental e as exigências legais acerca das responsabilidades trabalhistas e da proibição do trabalho escravo e do trabalho infantil.</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9.26 Não subcontratar, ceder ou transferir, total ou parcialmente, o objeto do contrato.</w:t>
      </w:r>
    </w:p>
    <w:p>
      <w:pPr>
        <w:spacing w:lineRule="auto" w:line="240" w:after="0" w:beforeAutospacing="0" w:afterAutospacing="0"/>
        <w:jc w:val="both"/>
        <w:rPr>
          <w:rFonts w:ascii="Arial" w:hAnsi="Arial"/>
          <w:b w:val="0"/>
          <w:color w:val="000000"/>
          <w:sz w:val="20"/>
          <w:u w:val="none"/>
        </w:rPr>
      </w:pPr>
      <w:r>
        <w:rPr>
          <w:rFonts w:ascii="Arial" w:hAnsi="Arial"/>
          <w:b w:val="0"/>
          <w:color w:val="000000"/>
          <w:sz w:val="20"/>
          <w:u w:val="none"/>
        </w:rPr>
        <w:t>9.27 Cumprir as exigências de reserva de cargos prevista em lei, bem como em outras normas específicas, para pessoa com deficiência, para reabilitado da Previdência Social, e para aprendiz.</w:t>
      </w:r>
    </w:p>
    <w:p>
      <w:pPr>
        <w:spacing w:lineRule="auto" w:line="240" w:after="0" w:beforeAutospacing="0" w:afterAutospacing="0"/>
        <w:jc w:val="both"/>
        <w:rPr>
          <w:rFonts w:ascii="Times New Roman" w:hAnsi="Times New Roman"/>
          <w:b w:val="0"/>
          <w:color w:val="000000"/>
          <w:sz w:val="24"/>
          <w:u w:val="none"/>
        </w:rPr>
      </w:pPr>
      <w:r>
        <w:rPr>
          <w:rFonts w:ascii="Times New Roman" w:hAnsi="Times New Roman"/>
          <w:b w:val="0"/>
          <w:color w:val="000000"/>
          <w:sz w:val="24"/>
          <w:u w:val="none"/>
        </w:rPr>
        <w:t xml:space="preserve"> </w:t>
      </w:r>
    </w:p>
    <w:p>
      <w:pPr>
        <w:spacing w:lineRule="auto" w:line="240" w:after="0" w:beforeAutospacing="0" w:afterAutospacing="0"/>
        <w:jc w:val="both"/>
        <w:rPr>
          <w:rFonts w:ascii="Arial" w:hAnsi="Arial"/>
          <w:b w:val="0"/>
          <w:color w:val="000000"/>
          <w:sz w:val="20"/>
          <w:u w:val="none"/>
        </w:rPr>
      </w:pPr>
      <w:r>
        <w:rPr>
          <w:rFonts w:ascii="Arial" w:hAnsi="Arial"/>
          <w:b w:val="0"/>
          <w:color w:val="000000"/>
          <w:sz w:val="20"/>
          <w:u w:val="none"/>
        </w:rPr>
        <w:t>9.28 A Contratada deve manter a mais elevada conduta ética e profissional durante toda a execução deste Contrato e em todas as interações dele decorrentes. Isso inclui agir com integridade, honestidade e transparência, cumprindo todas as leis e regulamentos aplicáveis. A Contratada também deve abster-se de qualquer prática antiética, ilegal ou prejudicial à imagem e aos interesses da Contratante.</w:t>
      </w:r>
    </w:p>
    <w:p>
      <w:pPr>
        <w:spacing w:lineRule="auto" w:line="240" w:after="0" w:beforeAutospacing="0" w:afterAutospacing="0"/>
        <w:jc w:val="both"/>
        <w:rPr>
          <w:rFonts w:ascii="Times New Roman" w:hAnsi="Times New Roman"/>
          <w:b w:val="0"/>
          <w:color w:val="000000"/>
          <w:sz w:val="24"/>
          <w:u w:val="none"/>
        </w:rPr>
      </w:pPr>
      <w:r>
        <w:rPr>
          <w:rFonts w:ascii="Times New Roman" w:hAnsi="Times New Roman"/>
          <w:b w:val="0"/>
          <w:color w:val="000000"/>
          <w:sz w:val="24"/>
          <w:u w:val="none"/>
        </w:rPr>
        <w:t xml:space="preserve"> </w:t>
      </w:r>
    </w:p>
    <w:p>
      <w:pPr>
        <w:spacing w:lineRule="auto" w:line="240" w:after="0" w:beforeAutospacing="0" w:afterAutospacing="0"/>
        <w:jc w:val="both"/>
        <w:rPr>
          <w:rFonts w:ascii="Arial" w:hAnsi="Arial"/>
          <w:b w:val="0"/>
          <w:color w:val="000000"/>
          <w:sz w:val="20"/>
          <w:u w:val="none"/>
        </w:rPr>
      </w:pPr>
      <w:r>
        <w:rPr>
          <w:rFonts w:ascii="Arial" w:hAnsi="Arial"/>
          <w:b w:val="0"/>
          <w:color w:val="000000"/>
          <w:sz w:val="20"/>
          <w:u w:val="none"/>
        </w:rPr>
        <w:t>9.29 A Contratada deve garantir que todas as comunicações relativas a este Contrato sejam estritamente formais e por escrito, utilizando e-mail ou outros canais previamente acordados entre as partes.</w:t>
      </w:r>
    </w:p>
    <w:p>
      <w:pPr>
        <w:spacing w:lineRule="auto" w:line="240" w:after="0" w:beforeAutospacing="0" w:afterAutospacing="0"/>
        <w:jc w:val="both"/>
        <w:rPr>
          <w:rFonts w:ascii="Times New Roman" w:hAnsi="Times New Roman"/>
          <w:b w:val="0"/>
          <w:color w:val="000000"/>
          <w:sz w:val="24"/>
          <w:u w:val="none"/>
        </w:rPr>
      </w:pPr>
      <w:r>
        <w:rPr>
          <w:rFonts w:ascii="Times New Roman" w:hAnsi="Times New Roman"/>
          <w:b w:val="0"/>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0"/>
          <w:color w:val="000000"/>
          <w:sz w:val="20"/>
          <w:u w:val="none"/>
        </w:rPr>
        <w:t>9.30 Comunicações verbais devem ser exclusivamente direcionadas ao Fiscal do Contrato e/ou ao Gestor do Co</w:t>
      </w:r>
      <w:r>
        <w:rPr>
          <w:rFonts w:ascii="Arial" w:hAnsi="Arial"/>
          <w:color w:val="000000"/>
          <w:sz w:val="20"/>
          <w:u w:val="none"/>
        </w:rPr>
        <w:t>ntrato designados pela Contratante. Em todas as interações, a Contratada e seus empregados devem utilizar linguagem profissional e formal, abstendo-se de gírias ou expressões informais, tratando com civilidade e cortesia os servidores da Contratante.</w:t>
      </w:r>
    </w:p>
    <w:p>
      <w:pPr>
        <w:spacing w:lineRule="auto" w:line="240" w:after="0" w:beforeAutospacing="0" w:afterAutospacing="0"/>
        <w:jc w:val="both"/>
        <w:rPr>
          <w:rFonts w:ascii="Arial" w:hAnsi="Arial"/>
          <w:color w:val="000000"/>
          <w:sz w:val="20"/>
          <w:u w:val="none"/>
        </w:rPr>
      </w:pP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 xml:space="preserve">9.31 </w:t>
      </w:r>
      <w:r>
        <w:rPr>
          <w:rFonts w:ascii="Arial" w:hAnsi="Arial"/>
          <w:color w:val="000000"/>
          <w:sz w:val="20"/>
          <w:u w:val="none"/>
          <w:shd w:val="clear" w:color="auto" w:fill="FFFFFF"/>
        </w:rPr>
        <w:t>É vedada ao CONTRATADO a reprodução, total ou parcial, do material objeto deste contrato para fins diferentes daqueles especificados no objeto contratual, inclusive para uso interno, comercialização, divulgação em sítios eletrônicos ou qualquer outra forma de exploração econômica, sob pena de incorrer nas sanções previstas no art. 156 da Lei nº 14.133/2021.</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 xml:space="preserve"> </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CLÁUSULA DÉCIMA - DAS OBRIGAÇÕES DO MUNICÍPIO.</w:t>
      </w:r>
    </w:p>
    <w:p>
      <w:pPr>
        <w:spacing w:lineRule="auto" w:line="240" w:after="0" w:beforeAutospacing="0" w:afterAutospacing="0"/>
        <w:jc w:val="both"/>
        <w:rPr>
          <w:rFonts w:ascii="Arial" w:hAnsi="Arial"/>
          <w:color w:val="000000"/>
          <w:sz w:val="20"/>
          <w:u w:val="none"/>
          <w:shd w:val="clear" w:color="auto" w:fill="FFFFFF"/>
        </w:rPr>
      </w:pP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Pela consecução dos objetivos previstos nesta Ata, a Contratante, além das obrigações definidas em outras cláusulas do presente instrumento, ou estabelecidas em lei, se obriga a:</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10.1 Fiscalizar o perfeito cumprimento do objeto e das cláusulas do Edital, Termo de Referência e do instrumento contratual, quando existente.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10.2 Comunicar a contratada, por escrito, sobre as possíveis irregularidades observadas na entrega do material, nos descumprimentos de prazos, ou quando for constatado algum outro tipo de irregularidade, para a imediata adoção das providências a fim de sanar os problemas eventualmente ocorridos.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10.3 Efetuar o pagamento da nota fiscal/fatura apresentada pela Contratada, conforme o prazo e as condições estabelecidos no Edital e no instrumento contratual, quando existente.</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10.4 Promover o acompanhamento e a fiscalização do fornecimento, sob os aspectos qualitativo e quantitativo, anotando em registro próprio as falhas e solicitando as medidas corretivas.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10.5 Rejeitar, no todo ou em parte, o objeto entregue pelo fornecedor fora das especificações do contrato ou do edital e seus anexos.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10.6 Observar para que sejam cumpridas as obrigações assumidas pela Contratada, bem como sejam mantidas todas as condições de habilitação e qualificação exigidas na licitação.</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10.7 Aplicar as sanções administrativas, quando se fizerem necessárias.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10.8 Prestar ao fornecedor informações e esclarecimentos que venham a ser solicitados.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10.9 Fornecer à Contratada, condições adequadas para execução quando identificado pela Contratante a necessidade de realização de entregas dentro de suas dependências.</w:t>
      </w:r>
    </w:p>
    <w:p>
      <w:pPr>
        <w:spacing w:lineRule="auto" w:line="240" w:after="160" w:beforeAutospacing="0" w:afterAutospacing="0"/>
        <w:jc w:val="both"/>
        <w:rPr>
          <w:rFonts w:ascii="Arial" w:hAnsi="Arial"/>
          <w:color w:val="000000"/>
          <w:sz w:val="20"/>
          <w:u w:val="none"/>
          <w:shd w:val="clear" w:color="auto" w:fill="FFFFFF"/>
        </w:rPr>
      </w:pPr>
      <w:r>
        <w:rPr>
          <w:rFonts w:ascii="Arial" w:hAnsi="Arial"/>
          <w:color w:val="000000"/>
          <w:sz w:val="20"/>
          <w:u w:val="none"/>
          <w:shd w:val="clear" w:color="auto" w:fill="FFFFFF"/>
        </w:rPr>
        <w:t>10.10 Não utilizar os funcionários da Contratada para execução de outros serviços que não aqueles aqui contratados. Da mesma forma, não pagar compensações ou fornecer qualquer outro benefício aos funcionários da Contratada.</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CLÁUSULA DÉCIMA-PRIMEIRA</w:t>
      </w:r>
      <w:r>
        <w:rPr>
          <w:rFonts w:ascii="Arial" w:hAnsi="Arial"/>
          <w:sz w:val="20"/>
        </w:rPr>
        <w:t xml:space="preserve"> - </w:t>
      </w:r>
      <w:r>
        <w:rPr>
          <w:rFonts w:ascii="Arial" w:hAnsi="Arial"/>
          <w:b w:val="1"/>
          <w:color w:val="000000"/>
          <w:sz w:val="20"/>
        </w:rPr>
        <w:t>DAS SANÇÕES ADMINISTRATIVAS.</w:t>
      </w:r>
    </w:p>
    <w:p>
      <w:pPr>
        <w:spacing w:lineRule="auto" w:line="240" w:after="0" w:beforeAutospacing="0" w:afterAutospacing="0"/>
        <w:jc w:val="both"/>
        <w:rPr>
          <w:rFonts w:ascii="Arial" w:hAnsi="Arial"/>
          <w:sz w:val="20"/>
        </w:rPr>
      </w:pPr>
    </w:p>
    <w:p>
      <w:pPr>
        <w:spacing w:lineRule="auto" w:line="240" w:before="0" w:after="0" w:beforeAutospacing="0" w:afterAutospacing="0"/>
        <w:ind w:hanging="437" w:left="437" w:right="0"/>
        <w:jc w:val="both"/>
        <w:rPr>
          <w:rFonts w:ascii="Arial" w:hAnsi="Arial"/>
          <w:color w:val="000000"/>
          <w:sz w:val="20"/>
          <w:u w:val="none"/>
          <w:shd w:val="clear" w:color="auto" w:fill="FFFFFF"/>
        </w:rPr>
      </w:pPr>
      <w:r>
        <w:rPr>
          <w:rFonts w:ascii="Arial" w:hAnsi="Arial"/>
          <w:b w:val="1"/>
          <w:color w:val="000000"/>
          <w:sz w:val="20"/>
          <w:u w:val="none"/>
        </w:rPr>
        <w:t xml:space="preserve">11.1. </w:t>
      </w:r>
      <w:r>
        <w:rPr>
          <w:rFonts w:ascii="Arial" w:hAnsi="Arial"/>
          <w:color w:val="000000"/>
          <w:sz w:val="20"/>
          <w:u w:val="none"/>
          <w:shd w:val="clear" w:color="auto" w:fill="FFFFFF"/>
        </w:rPr>
        <w:t>Comete infração administrativa, nos termos da Lei nº 14.133/2021, o licitante/adjudicatário que:</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11.1.1. </w:t>
      </w:r>
      <w:r>
        <w:rPr>
          <w:rFonts w:ascii="Arial" w:hAnsi="Arial"/>
          <w:color w:val="000000"/>
          <w:sz w:val="20"/>
          <w:u w:val="none"/>
          <w:shd w:val="clear" w:color="auto" w:fill="FFFFFF"/>
        </w:rPr>
        <w:t>Der causa à inexecução parcial ou total do contrato;</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11.1.2. </w:t>
      </w:r>
      <w:r>
        <w:rPr>
          <w:rFonts w:ascii="Arial" w:hAnsi="Arial"/>
          <w:color w:val="000000"/>
          <w:sz w:val="20"/>
          <w:u w:val="none"/>
          <w:shd w:val="clear" w:color="auto" w:fill="FFFFFF"/>
        </w:rPr>
        <w:t>Deixar de entregar os documentos exigidos no certame;</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11.1.3. </w:t>
      </w:r>
      <w:r>
        <w:rPr>
          <w:rFonts w:ascii="Arial" w:hAnsi="Arial"/>
          <w:color w:val="000000"/>
          <w:sz w:val="20"/>
          <w:u w:val="none"/>
          <w:shd w:val="clear" w:color="auto" w:fill="FFFFFF"/>
        </w:rPr>
        <w:t>Não mantiver a proposta, salvo em decorrência de fato superveniente devidamente justificado;</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11.1.4. </w:t>
      </w:r>
      <w:r>
        <w:rPr>
          <w:rFonts w:ascii="Arial" w:hAnsi="Arial"/>
          <w:color w:val="000000"/>
          <w:sz w:val="20"/>
          <w:u w:val="none"/>
          <w:shd w:val="clear" w:color="auto" w:fill="FFFFFF"/>
        </w:rPr>
        <w:t>Não assinar o esta Ata ou o termo de contrato ou aceitar/retirar o instrumento equivalente, quando convocado dentro do prazo de validade da proposta;</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shd w:val="clear" w:color="auto" w:fill="FFFFFF"/>
        </w:rPr>
        <w:t xml:space="preserve">11.1.5. </w:t>
      </w:r>
      <w:r>
        <w:rPr>
          <w:rFonts w:ascii="Arial" w:hAnsi="Arial"/>
          <w:color w:val="000000"/>
          <w:sz w:val="20"/>
          <w:u w:val="none"/>
          <w:shd w:val="clear" w:color="auto" w:fill="FFFFFF"/>
        </w:rPr>
        <w:t xml:space="preserve">Ensejar o </w:t>
      </w:r>
      <w:r>
        <w:rPr>
          <w:rFonts w:ascii="Arial" w:hAnsi="Arial"/>
          <w:color w:val="000000"/>
          <w:sz w:val="20"/>
          <w:u w:val="none"/>
        </w:rPr>
        <w:t>retardamento da execução ou entrega do objeto da licitação sem motivo justificado;</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11.1.6. </w:t>
      </w:r>
      <w:r>
        <w:rPr>
          <w:rFonts w:ascii="Arial" w:hAnsi="Arial"/>
          <w:color w:val="000000"/>
          <w:sz w:val="20"/>
          <w:u w:val="none"/>
          <w:shd w:val="clear" w:color="auto" w:fill="FFFFFF"/>
        </w:rPr>
        <w:t>Apresentar declaração ou documentação falsa;</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11.1.7. </w:t>
      </w:r>
      <w:r>
        <w:rPr>
          <w:rFonts w:ascii="Arial" w:hAnsi="Arial"/>
          <w:color w:val="000000"/>
          <w:sz w:val="20"/>
          <w:u w:val="none"/>
          <w:shd w:val="clear" w:color="auto" w:fill="FFFFFF"/>
        </w:rPr>
        <w:t>Fraudar a licitação ou praticar ato fraudulento na execução do contrato;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11.1.8. </w:t>
      </w:r>
      <w:r>
        <w:rPr>
          <w:rFonts w:ascii="Arial" w:hAnsi="Arial"/>
          <w:color w:val="000000"/>
          <w:sz w:val="20"/>
          <w:u w:val="none"/>
        </w:rPr>
        <w:t>Comportar-se de modo inidôneo ou cometer fraude de qualquer natureza;</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11.1.10. </w:t>
      </w:r>
      <w:r>
        <w:rPr>
          <w:rFonts w:ascii="Arial" w:hAnsi="Arial"/>
          <w:color w:val="000000"/>
          <w:sz w:val="20"/>
          <w:u w:val="none"/>
          <w:shd w:val="clear" w:color="auto" w:fill="FFFFFF"/>
        </w:rPr>
        <w:t>Praticar atos ilícitos com vistas a frustrar os objetivos da licitação;</w:t>
      </w:r>
    </w:p>
    <w:p>
      <w:pPr>
        <w:spacing w:lineRule="auto" w:line="240" w:before="0" w:after="0" w:beforeAutospacing="0" w:afterAutospacing="0"/>
        <w:ind w:left="284" w:right="0"/>
        <w:jc w:val="both"/>
        <w:rPr>
          <w:rFonts w:ascii="Arial" w:hAnsi="Arial"/>
          <w:color w:val="000000"/>
          <w:sz w:val="20"/>
          <w:u w:val="none"/>
          <w:shd w:val="clear" w:color="auto" w:fill="FFFFFF"/>
        </w:rPr>
      </w:pPr>
      <w:r>
        <w:rPr>
          <w:rFonts w:ascii="Arial" w:hAnsi="Arial"/>
          <w:b w:val="1"/>
          <w:color w:val="000000"/>
          <w:sz w:val="20"/>
          <w:u w:val="none"/>
          <w:shd w:val="clear" w:color="auto" w:fill="FFFFFF"/>
        </w:rPr>
        <w:t xml:space="preserve">11.1.10. </w:t>
      </w:r>
      <w:r>
        <w:rPr>
          <w:rFonts w:ascii="Arial" w:hAnsi="Arial"/>
          <w:color w:val="000000"/>
          <w:sz w:val="20"/>
          <w:u w:val="none"/>
          <w:shd w:val="clear" w:color="auto" w:fill="FFFFFF"/>
        </w:rPr>
        <w:t>Praticar ato lesivo previsto no art. 5º da Lei nº 13.846/2013.</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shd w:val="clear" w:color="auto" w:fill="FFFFFF"/>
        </w:rPr>
        <w:t>11.2.</w:t>
      </w:r>
      <w:r>
        <w:rPr>
          <w:rFonts w:ascii="Arial" w:hAnsi="Arial"/>
          <w:color w:val="000000"/>
          <w:sz w:val="20"/>
          <w:u w:val="none"/>
        </w:rPr>
        <w:t xml:space="preserve"> O fornecedor/adjudicatário que cometer qualquer das infrações discriminadas nos subitens anteriores ficará sujeito, sem prejuízo da responsabilidade civil e criminal, às seguintes sanções: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a) </w:t>
      </w:r>
      <w:r>
        <w:rPr>
          <w:rFonts w:ascii="Arial" w:hAnsi="Arial"/>
          <w:color w:val="000000"/>
          <w:sz w:val="20"/>
          <w:u w:val="none"/>
        </w:rPr>
        <w:t>Advertência por escrito;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b) </w:t>
      </w:r>
      <w:r>
        <w:rPr>
          <w:rFonts w:ascii="Arial" w:hAnsi="Arial"/>
          <w:color w:val="000000"/>
          <w:sz w:val="20"/>
          <w:u w:val="none"/>
        </w:rPr>
        <w:t>Multa;</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c) </w:t>
      </w:r>
      <w:r>
        <w:rPr>
          <w:rFonts w:ascii="Arial" w:hAnsi="Arial"/>
          <w:color w:val="000000"/>
          <w:sz w:val="20"/>
          <w:u w:val="none"/>
        </w:rPr>
        <w:t>Impedimento de licitar e contratar;</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d) </w:t>
      </w:r>
      <w:r>
        <w:rPr>
          <w:rFonts w:ascii="Arial" w:hAnsi="Arial"/>
          <w:color w:val="000000"/>
          <w:sz w:val="20"/>
          <w:u w:val="none"/>
        </w:rPr>
        <w:t>Declaração de inidoneidade para licitar ou contratar.</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11.3 </w:t>
      </w:r>
      <w:r>
        <w:rPr>
          <w:rFonts w:ascii="Arial" w:hAnsi="Arial"/>
          <w:color w:val="000000"/>
          <w:sz w:val="20"/>
          <w:u w:val="none"/>
        </w:rPr>
        <w:t>A aplicação das sanções administrativas obedecerá as disposições do Decreto Normativo n° INSTRUÇÃO NORMATIVA SCI - SISTEMA DE CONTROLE INTERNO - Nº 010/2023 - VERSÃO 01.</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11.4 </w:t>
      </w:r>
      <w:r>
        <w:rPr>
          <w:rFonts w:ascii="Arial" w:hAnsi="Arial"/>
          <w:color w:val="000000"/>
          <w:sz w:val="20"/>
          <w:u w:val="none"/>
        </w:rPr>
        <w:t>A pensalidade de multa poderá ser aplicada cumulativamente com as demais sanções:</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11.5 </w:t>
      </w:r>
      <w:r>
        <w:rPr>
          <w:rFonts w:ascii="Arial" w:hAnsi="Arial"/>
          <w:color w:val="000000"/>
          <w:sz w:val="20"/>
          <w:u w:val="none"/>
        </w:rPr>
        <w:t>Em caso de aplicação da penalidade de multa, serã obedeceidos os seguintes critérios: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11.5.1 </w:t>
      </w:r>
      <w:r>
        <w:rPr>
          <w:rFonts w:ascii="Arial" w:hAnsi="Arial"/>
          <w:b w:val="1"/>
          <w:color w:val="000000"/>
          <w:sz w:val="20"/>
          <w:u w:val="single"/>
        </w:rPr>
        <w:t>multa de mora</w:t>
      </w:r>
      <w:r>
        <w:rPr>
          <w:rFonts w:ascii="Arial" w:hAnsi="Arial"/>
          <w:b w:val="1"/>
          <w:color w:val="000000"/>
          <w:sz w:val="20"/>
          <w:u w:val="none"/>
        </w:rPr>
        <w:t xml:space="preserve"> - punição de caráter pecuniário e será aplicada no caso de atraso injustificado na execução total ou parcial do contrato</w:t>
      </w:r>
      <w:r>
        <w:rPr>
          <w:rFonts w:ascii="Arial" w:hAnsi="Arial"/>
          <w:color w:val="000000"/>
          <w:sz w:val="20"/>
          <w:u w:val="none"/>
        </w:rPr>
        <w:t xml:space="preserve"> (entrega de bens ou prestação de serviço), correspondendo ao percentual de 0,5% (cinco décimos por cento) ao dia sobre o valor previsto no subitem 10.5.1.1, limitado a 30 (trinta) dias.</w:t>
      </w:r>
    </w:p>
    <w:p>
      <w:pPr>
        <w:spacing w:lineRule="auto" w:line="240" w:before="0" w:after="0" w:beforeAutospacing="0" w:afterAutospacing="0"/>
        <w:ind w:left="709" w:right="0"/>
        <w:jc w:val="both"/>
        <w:rPr>
          <w:rFonts w:ascii="Arial" w:hAnsi="Arial"/>
          <w:color w:val="000000"/>
          <w:sz w:val="20"/>
          <w:u w:val="none"/>
        </w:rPr>
      </w:pPr>
      <w:r>
        <w:rPr>
          <w:rFonts w:ascii="Arial" w:hAnsi="Arial"/>
          <w:b w:val="1"/>
          <w:color w:val="000000"/>
          <w:sz w:val="20"/>
          <w:u w:val="none"/>
        </w:rPr>
        <w:t xml:space="preserve">11.5.1.1 </w:t>
      </w:r>
      <w:r>
        <w:rPr>
          <w:rFonts w:ascii="Arial" w:hAnsi="Arial"/>
          <w:color w:val="000000"/>
          <w:sz w:val="20"/>
          <w:u w:val="none"/>
        </w:rPr>
        <w:t>A base de cálculo será o valor total contratado, em se tratando de entrega única, e o valor da parcela em mora, no caso de entrega parcelada.</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11.5.2 </w:t>
      </w:r>
      <w:r>
        <w:rPr>
          <w:rFonts w:ascii="Arial" w:hAnsi="Arial"/>
          <w:color w:val="000000"/>
          <w:sz w:val="20"/>
          <w:u w:val="none"/>
        </w:rPr>
        <w:t xml:space="preserve">As sanções de </w:t>
      </w:r>
      <w:r>
        <w:rPr>
          <w:rFonts w:ascii="Arial" w:hAnsi="Arial"/>
          <w:b w:val="1"/>
          <w:color w:val="000000"/>
          <w:sz w:val="20"/>
          <w:u w:val="none"/>
        </w:rPr>
        <w:t>multa de mora ou de multa compensatória</w:t>
      </w:r>
      <w:r>
        <w:rPr>
          <w:rFonts w:ascii="Arial" w:hAnsi="Arial"/>
          <w:color w:val="000000"/>
          <w:sz w:val="20"/>
          <w:u w:val="none"/>
        </w:rPr>
        <w:t>, aplicadas individual ou acumuladamente, não poderão ser inferiores a</w:t>
      </w:r>
      <w:r>
        <w:rPr>
          <w:rFonts w:ascii="Arial" w:hAnsi="Arial"/>
          <w:b w:val="1"/>
          <w:color w:val="000000"/>
          <w:sz w:val="20"/>
          <w:u w:val="none"/>
        </w:rPr>
        <w:t xml:space="preserve"> 0,5% (cinco décimos por cento) nem superior a 30% (trinta por cento) do valor do contrato licitado ou celebrado em contratação direta</w:t>
      </w:r>
      <w:r>
        <w:rPr>
          <w:rFonts w:ascii="Arial" w:hAnsi="Arial"/>
          <w:color w:val="000000"/>
          <w:sz w:val="20"/>
          <w:u w:val="none"/>
        </w:rPr>
        <w:t xml:space="preserve"> e será aplicada ao responsável por qualquer das infrações administrativas previstas no item </w:t>
      </w:r>
      <w:r>
        <w:rPr>
          <w:rFonts w:ascii="Arial" w:hAnsi="Arial"/>
          <w:b w:val="1"/>
          <w:color w:val="000000"/>
          <w:sz w:val="20"/>
          <w:u w:val="none"/>
        </w:rPr>
        <w:t>10.1</w:t>
      </w:r>
      <w:r>
        <w:rPr>
          <w:rFonts w:ascii="Arial" w:hAnsi="Arial"/>
          <w:color w:val="000000"/>
          <w:sz w:val="20"/>
          <w:u w:val="none"/>
        </w:rPr>
        <w:t xml:space="preserve"> deste contrato.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11.5.3 </w:t>
      </w:r>
      <w:r>
        <w:rPr>
          <w:rFonts w:ascii="Arial" w:hAnsi="Arial"/>
          <w:color w:val="000000"/>
          <w:sz w:val="20"/>
          <w:u w:val="none"/>
        </w:rPr>
        <w:t>Se a multa aplicada e as indenizações cabíveis forem superiores ao valor de pagamento eventualmente devido pela Administração ao contratado, além da perda desse valor, a diferença será descontada da garantia prestada ou será cobrada por meio da emissão de Documento de Arrecadação Municipal (DAM) ou ainda judicialmente.</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11.5.4 </w:t>
      </w:r>
      <w:r>
        <w:rPr>
          <w:rFonts w:ascii="Arial" w:hAnsi="Arial"/>
          <w:color w:val="000000"/>
          <w:sz w:val="20"/>
          <w:u w:val="none"/>
        </w:rPr>
        <w:t>No cálculo de apuração do valor referente à penalidade de multa, deverão ser incluídos os dias de início, primeiro dia útil após o vencimento da obrigação, e o de efetivo adimplemento contratual.</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11.5.5 </w:t>
      </w:r>
      <w:r>
        <w:rPr>
          <w:rFonts w:ascii="Arial" w:hAnsi="Arial"/>
          <w:color w:val="000000"/>
          <w:sz w:val="20"/>
          <w:u w:val="none"/>
        </w:rPr>
        <w:t xml:space="preserve">A </w:t>
      </w:r>
      <w:r>
        <w:rPr>
          <w:rFonts w:ascii="Arial" w:hAnsi="Arial"/>
          <w:b w:val="1"/>
          <w:color w:val="000000"/>
          <w:sz w:val="20"/>
          <w:u w:val="none"/>
        </w:rPr>
        <w:t xml:space="preserve">multa compensatória </w:t>
      </w:r>
      <w:r>
        <w:rPr>
          <w:rFonts w:ascii="Arial" w:hAnsi="Arial"/>
          <w:color w:val="000000"/>
          <w:sz w:val="20"/>
          <w:u w:val="none"/>
        </w:rPr>
        <w:t xml:space="preserve">será aplicada por descumprimento total ou parcial das obrigações contratuais. Possui caráter indenizatório, cujo objetivo é compensar a Administração pelos prejuízos causados e obedecerá às seguintes disposições: </w:t>
      </w:r>
    </w:p>
    <w:p>
      <w:pPr>
        <w:spacing w:lineRule="auto" w:line="240" w:before="0" w:after="0" w:beforeAutospacing="0" w:afterAutospacing="0"/>
        <w:ind w:left="709" w:right="0"/>
        <w:jc w:val="both"/>
        <w:rPr>
          <w:rFonts w:ascii="Arial" w:hAnsi="Arial"/>
          <w:color w:val="000000"/>
          <w:sz w:val="20"/>
          <w:u w:val="none"/>
        </w:rPr>
      </w:pPr>
      <w:r>
        <w:rPr>
          <w:rFonts w:ascii="Arial" w:hAnsi="Arial"/>
          <w:b w:val="1"/>
          <w:color w:val="000000"/>
          <w:sz w:val="20"/>
          <w:u w:val="none"/>
        </w:rPr>
        <w:t>I -</w:t>
      </w:r>
      <w:r>
        <w:rPr>
          <w:rFonts w:ascii="Arial" w:hAnsi="Arial"/>
          <w:color w:val="000000"/>
          <w:sz w:val="20"/>
          <w:u w:val="none"/>
        </w:rPr>
        <w:t xml:space="preserve"> o </w:t>
      </w:r>
      <w:r>
        <w:rPr>
          <w:rFonts w:ascii="Arial" w:hAnsi="Arial"/>
          <w:b w:val="1"/>
          <w:color w:val="000000"/>
          <w:sz w:val="20"/>
          <w:u w:val="none"/>
        </w:rPr>
        <w:t>atraso injustificado e superior ao previsto no caput do artigo 8º (30 dias)</w:t>
      </w:r>
      <w:r>
        <w:rPr>
          <w:rFonts w:ascii="Arial" w:hAnsi="Arial"/>
          <w:color w:val="000000"/>
          <w:sz w:val="20"/>
          <w:u w:val="none"/>
        </w:rPr>
        <w:t xml:space="preserve"> será considerado inexecução contratual total ou parcial, sujeitando o infrator à cobrança, além de multa moratória, de multa compensatória de 1 a 5% (um a cinco por cento) </w:t>
      </w:r>
      <w:r>
        <w:rPr>
          <w:rFonts w:ascii="Arial" w:hAnsi="Arial"/>
          <w:color w:val="000000"/>
          <w:sz w:val="20"/>
          <w:u w:val="single"/>
        </w:rPr>
        <w:t>sobre o valor total do contrato</w:t>
      </w:r>
      <w:r>
        <w:rPr>
          <w:rFonts w:ascii="Arial" w:hAnsi="Arial"/>
          <w:color w:val="000000"/>
          <w:sz w:val="20"/>
          <w:u w:val="none"/>
        </w:rPr>
        <w:t>, conforme critérios estabelecidos no artigo 7º da IN IN SCI - Nº 010/2023 - VERSÃO 01, podendo ensejar sua extinção;</w:t>
      </w:r>
    </w:p>
    <w:p>
      <w:pPr>
        <w:spacing w:lineRule="auto" w:line="240" w:before="0" w:after="0" w:beforeAutospacing="0" w:afterAutospacing="0"/>
        <w:ind w:left="709" w:right="0"/>
        <w:jc w:val="both"/>
        <w:rPr>
          <w:rFonts w:ascii="Arial" w:hAnsi="Arial"/>
          <w:color w:val="000000"/>
          <w:sz w:val="20"/>
          <w:u w:val="none"/>
        </w:rPr>
      </w:pPr>
      <w:r>
        <w:rPr>
          <w:rFonts w:ascii="Arial" w:hAnsi="Arial"/>
          <w:b w:val="1"/>
          <w:color w:val="000000"/>
          <w:sz w:val="20"/>
          <w:u w:val="none"/>
        </w:rPr>
        <w:t>II -a inexecução, no todo ou em parte, de qualquer cláusula pactuada</w:t>
      </w:r>
      <w:r>
        <w:rPr>
          <w:rFonts w:ascii="Arial" w:hAnsi="Arial"/>
          <w:color w:val="000000"/>
          <w:sz w:val="20"/>
          <w:u w:val="none"/>
        </w:rPr>
        <w:t xml:space="preserve">, sujeitando o infrator à multa compensatória de 6 a 10% (seis a dez por cento) </w:t>
      </w:r>
      <w:r>
        <w:rPr>
          <w:rFonts w:ascii="Arial" w:hAnsi="Arial"/>
          <w:color w:val="000000"/>
          <w:sz w:val="20"/>
          <w:u w:val="single"/>
        </w:rPr>
        <w:t>sobre o valor total do contrato</w:t>
      </w:r>
      <w:r>
        <w:rPr>
          <w:rFonts w:ascii="Arial" w:hAnsi="Arial"/>
          <w:color w:val="000000"/>
          <w:sz w:val="20"/>
          <w:u w:val="none"/>
        </w:rPr>
        <w:t>, podendo ensejar sua extinção.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11.5.6 </w:t>
      </w:r>
      <w:r>
        <w:rPr>
          <w:rFonts w:ascii="Arial" w:hAnsi="Arial"/>
          <w:color w:val="000000"/>
          <w:sz w:val="20"/>
          <w:u w:val="none"/>
        </w:rPr>
        <w:t>O percentual estabelecido no inciso II do item 10.5.5 poderá ser dobrado, nos casos de reincidência.</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11.6.</w:t>
      </w:r>
      <w:r>
        <w:rPr>
          <w:rFonts w:ascii="Arial" w:hAnsi="Arial"/>
          <w:color w:val="000000"/>
          <w:sz w:val="20"/>
          <w:u w:val="none"/>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b w:val="1"/>
          <w:color w:val="000000"/>
          <w:sz w:val="20"/>
        </w:rPr>
      </w:pPr>
      <w:r>
        <w:rPr>
          <w:rFonts w:ascii="Arial" w:hAnsi="Arial"/>
          <w:b w:val="1"/>
          <w:color w:val="000000"/>
          <w:sz w:val="20"/>
        </w:rPr>
        <w:t>CLÁUSULA DÉCIMA</w:t>
      </w:r>
      <w:r>
        <w:rPr>
          <w:rFonts w:ascii="Arial" w:hAnsi="Arial"/>
          <w:b w:val="1"/>
          <w:sz w:val="20"/>
        </w:rPr>
        <w:t xml:space="preserve">SEGUNDA </w:t>
      </w:r>
      <w:r>
        <w:rPr>
          <w:rFonts w:ascii="Arial" w:hAnsi="Arial"/>
          <w:sz w:val="20"/>
        </w:rPr>
        <w:t xml:space="preserve">- </w:t>
      </w:r>
      <w:r>
        <w:rPr>
          <w:rFonts w:ascii="Arial" w:hAnsi="Arial"/>
          <w:b w:val="1"/>
          <w:color w:val="000000"/>
          <w:sz w:val="20"/>
        </w:rPr>
        <w:t>DA ADESÃO À ATA DE REGISTROS DE PREÇOS.</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12.1 </w:t>
      </w:r>
      <w:r>
        <w:rPr>
          <w:rFonts w:ascii="Arial" w:hAnsi="Arial"/>
          <w:color w:val="000000"/>
          <w:sz w:val="20"/>
          <w:u w:val="none"/>
        </w:rPr>
        <w:t>Durante a vigência da ata, os órgãos e as entidades da Administração Pública distrital e municipal que não participaram do procedimento de IRP poderão aderir à ata de registro de preços na condição de não participantes, observados os seguintes requisitos: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12.1.1</w:t>
      </w:r>
      <w:r>
        <w:rPr>
          <w:rFonts w:ascii="Arial" w:hAnsi="Arial"/>
          <w:color w:val="000000"/>
          <w:sz w:val="20"/>
          <w:u w:val="none"/>
        </w:rPr>
        <w:t xml:space="preserve"> Apresentação de justificativa da vantagem da adesão, inclusive em situações de prováveldesabastecimento ou descontinuidade de serviço público;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12.1.2</w:t>
      </w:r>
      <w:r>
        <w:rPr>
          <w:rFonts w:ascii="Arial" w:hAnsi="Arial"/>
          <w:color w:val="000000"/>
          <w:sz w:val="20"/>
          <w:u w:val="none"/>
        </w:rPr>
        <w:t xml:space="preserve"> Demonstração de que os valores registrados estão compatíveis com os valores praticadospelo mercado na forma do art. 23 da Lei nº 14.133, de 2021; e</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12.1.3</w:t>
      </w:r>
      <w:r>
        <w:rPr>
          <w:rFonts w:ascii="Arial" w:hAnsi="Arial"/>
          <w:color w:val="000000"/>
          <w:sz w:val="20"/>
          <w:u w:val="none"/>
        </w:rPr>
        <w:t xml:space="preserve"> Consulta e aceitação prévias do órgão ou da entidade gerenciadora e do fornecedor.</w:t>
      </w:r>
    </w:p>
    <w:p>
      <w:pPr>
        <w:spacing w:lineRule="auto" w:line="240" w:before="0" w:after="0" w:beforeAutospacing="0" w:afterAutospacing="0"/>
        <w:ind w:left="284"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12.2</w:t>
      </w:r>
      <w:r>
        <w:rPr>
          <w:rFonts w:ascii="Arial" w:hAnsi="Arial"/>
          <w:color w:val="000000"/>
          <w:sz w:val="20"/>
          <w:u w:val="none"/>
        </w:rPr>
        <w:t xml:space="preserve"> A autorização do órgão ou entidade gerenciadora apenas será realizada após a aceitação da adesão pelo fornecedor.</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12.2.1</w:t>
      </w:r>
      <w:r>
        <w:rPr>
          <w:rFonts w:ascii="Arial" w:hAnsi="Arial"/>
          <w:color w:val="000000"/>
          <w:sz w:val="20"/>
          <w:u w:val="none"/>
        </w:rPr>
        <w:t xml:space="preserve"> O órgão ou entidade gerenciadora poderá rejeitar adesões caso elas possam acarretar prejuízo à execução de seus próprios contratos ou à sua capacidade de gerenciamento.</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12.3</w:t>
      </w:r>
      <w:r>
        <w:rPr>
          <w:rFonts w:ascii="Arial" w:hAnsi="Arial"/>
          <w:color w:val="000000"/>
          <w:sz w:val="20"/>
          <w:u w:val="none"/>
        </w:rPr>
        <w:t xml:space="preserve"> Após a autorização do órgão ou da entidade gerenciadora, o órgão ou entidade não participante deverá efetivar a aquisição ou a contratação solicitada em até noventa dias, observado o prazo de vigência da ata.</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12.4</w:t>
      </w:r>
      <w:r>
        <w:rPr>
          <w:rFonts w:ascii="Arial" w:hAnsi="Arial"/>
          <w:color w:val="000000"/>
          <w:sz w:val="20"/>
          <w:u w:val="none"/>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12.5</w:t>
      </w:r>
      <w:r>
        <w:rPr>
          <w:rFonts w:ascii="Arial" w:hAnsi="Arial"/>
          <w:color w:val="000000"/>
          <w:sz w:val="20"/>
          <w:u w:val="none"/>
        </w:rPr>
        <w:t xml:space="preserve"> As aquisições ou contratações adicionais não poderão exceder, por órgão ou entidade, a 50% (cinquenta por cento) dos quantitativos dos itens do instrumento convocatório registrados na ata de registro de preços para o gerenciador e para os participantes.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12.6</w:t>
      </w:r>
      <w:r>
        <w:rPr>
          <w:rFonts w:ascii="Arial" w:hAnsi="Arial"/>
          <w:color w:val="000000"/>
          <w:sz w:val="20"/>
          <w:u w:val="none"/>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CLÁUSULA DÉCIMA TERCEIRA</w:t>
      </w:r>
      <w:r>
        <w:rPr>
          <w:rFonts w:ascii="Arial" w:hAnsi="Arial"/>
          <w:color w:val="000000"/>
          <w:sz w:val="20"/>
          <w:u w:val="none"/>
        </w:rPr>
        <w:t xml:space="preserve"> - </w:t>
      </w:r>
      <w:r>
        <w:rPr>
          <w:rFonts w:ascii="Arial" w:hAnsi="Arial"/>
          <w:b w:val="1"/>
          <w:color w:val="000000"/>
          <w:sz w:val="20"/>
          <w:u w:val="none"/>
        </w:rPr>
        <w:t>CANCELAMENTO DO REGISTRO DO FORNECEDOR E DOS PREÇOS REGISTRADOS.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13.1. </w:t>
      </w:r>
      <w:r>
        <w:rPr>
          <w:rFonts w:ascii="Arial" w:hAnsi="Arial"/>
          <w:color w:val="000000"/>
          <w:sz w:val="20"/>
          <w:u w:val="none"/>
        </w:rPr>
        <w:t>O registro do fornecedor será cancelado pelo órgão ou entidade gerenciadora, quando o fornecedor:</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a) </w:t>
      </w:r>
      <w:r>
        <w:rPr>
          <w:rFonts w:ascii="Arial" w:hAnsi="Arial"/>
          <w:color w:val="000000"/>
          <w:sz w:val="20"/>
          <w:u w:val="none"/>
        </w:rPr>
        <w:t>descumprir as condições desta ata de registro de preços sem motivo justificado;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b)</w:t>
      </w:r>
      <w:r>
        <w:rPr>
          <w:rFonts w:ascii="Arial" w:hAnsi="Arial"/>
          <w:color w:val="000000"/>
          <w:sz w:val="20"/>
          <w:u w:val="none"/>
        </w:rPr>
        <w:t xml:space="preserve"> não retirar a Autorização de Fornecimento, ou instrumento equivalente, no prazo estabelecido pela Administração sem justificativa razoável;</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c) </w:t>
      </w:r>
      <w:r>
        <w:rPr>
          <w:rFonts w:ascii="Arial" w:hAnsi="Arial"/>
          <w:color w:val="000000"/>
          <w:sz w:val="20"/>
          <w:u w:val="none"/>
        </w:rPr>
        <w:t>não aceitar manter seu preço registrado, na hipótese prevista no subitem 11.3.2; ou</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d) </w:t>
      </w:r>
      <w:r>
        <w:rPr>
          <w:rFonts w:ascii="Arial" w:hAnsi="Arial"/>
          <w:color w:val="000000"/>
          <w:sz w:val="20"/>
          <w:u w:val="none"/>
        </w:rPr>
        <w:t>sofrer sanção prevista nos incisos III ou IV do caput do art. 156 da Lei nº 14.133/2021.</w:t>
      </w:r>
    </w:p>
    <w:p>
      <w:pPr>
        <w:spacing w:lineRule="auto" w:line="240" w:after="0" w:beforeAutospacing="0" w:afterAutospacing="0"/>
        <w:ind w:firstLine="1134"/>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13.2. </w:t>
      </w:r>
      <w:r>
        <w:rPr>
          <w:rFonts w:ascii="Arial" w:hAnsi="Arial"/>
          <w:color w:val="000000"/>
          <w:sz w:val="20"/>
          <w:u w:val="none"/>
        </w:rPr>
        <w:t>Na hipótese prevista na alínea "d" do subitem anterior, caso a penalidade aplicada ao fornecedor não ultrapasse o prazo de vigência da ata de registro de preços, o órgão ou a entidade g uerenciadora poderá, mediante decisão fundamentada, decidir pela manutenção do registro de preços, vedadas novas contratações derivadas da ata enquanto perdurarem os efeitos da sanção.</w:t>
      </w:r>
    </w:p>
    <w:p>
      <w:pPr>
        <w:spacing w:lineRule="auto" w:line="240" w:after="0" w:beforeAutospacing="0" w:afterAutospacing="0"/>
        <w:ind w:firstLine="1134"/>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13.3. </w:t>
      </w:r>
      <w:r>
        <w:rPr>
          <w:rFonts w:ascii="Arial" w:hAnsi="Arial"/>
          <w:color w:val="000000"/>
          <w:sz w:val="20"/>
          <w:u w:val="none"/>
        </w:rPr>
        <w:t>O cancelamento do registro será formalizado por Termo de Cancelamento do registro a ser elaborado pelo Órgão ou Entidade Gerenciadora e encaminhado por meio de Ofício, garantidos os princípios do contraditório e da ampla defesa.</w:t>
      </w:r>
    </w:p>
    <w:p>
      <w:pPr>
        <w:spacing w:lineRule="auto" w:line="240" w:after="0" w:beforeAutospacing="0" w:afterAutospacing="0"/>
        <w:ind w:firstLine="1134"/>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13.4. </w:t>
      </w:r>
      <w:r>
        <w:rPr>
          <w:rFonts w:ascii="Arial" w:hAnsi="Arial"/>
          <w:color w:val="000000"/>
          <w:sz w:val="20"/>
          <w:u w:val="none"/>
        </w:rPr>
        <w:t>Na hipótese de cancelamento do registro do fornecedor, o órgão ou a entidade gerenciadora poderá convocar os licitantes que compõem o cadastro de reserva, observada a ordem de classificação.</w:t>
      </w:r>
    </w:p>
    <w:p>
      <w:pPr>
        <w:spacing w:lineRule="auto" w:line="240" w:after="0" w:beforeAutospacing="0" w:afterAutospacing="0"/>
        <w:ind w:firstLine="1134"/>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13.5.</w:t>
      </w:r>
      <w:r>
        <w:rPr>
          <w:rFonts w:ascii="Arial" w:hAnsi="Arial"/>
          <w:color w:val="000000"/>
          <w:sz w:val="20"/>
          <w:u w:val="none"/>
        </w:rPr>
        <w:t xml:space="preserve"> O cancelamento dos preços registrados poderá ser realizado pelo gerenciador, total ou parcialmente, nas seguintes hipóteses, desde que devidamente comprovadas e justificadas: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a) </w:t>
      </w:r>
      <w:r>
        <w:rPr>
          <w:rFonts w:ascii="Arial" w:hAnsi="Arial"/>
          <w:color w:val="000000"/>
          <w:sz w:val="20"/>
          <w:u w:val="none"/>
        </w:rPr>
        <w:t xml:space="preserve">por razão de interesse público; </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b)</w:t>
      </w:r>
      <w:r>
        <w:rPr>
          <w:rFonts w:ascii="Arial" w:hAnsi="Arial"/>
          <w:color w:val="000000"/>
          <w:sz w:val="20"/>
          <w:u w:val="none"/>
        </w:rPr>
        <w:t xml:space="preserve"> a pedido do fornecedor, decorrente de caso fortuito ou força maior; ou</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c)</w:t>
      </w:r>
      <w:r>
        <w:rPr>
          <w:rFonts w:ascii="Arial" w:hAnsi="Arial"/>
          <w:color w:val="000000"/>
          <w:sz w:val="20"/>
          <w:u w:val="none"/>
        </w:rPr>
        <w:t xml:space="preserve"> se não houver êxito nas negociações, nos termos do disposto nos subitens 11.2.3 e 11.3.4.</w:t>
      </w:r>
    </w:p>
    <w:p>
      <w:pPr>
        <w:spacing w:lineRule="auto" w:line="240" w:before="0" w:after="0" w:beforeAutospacing="0" w:afterAutospacing="0"/>
        <w:ind w:left="284"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284"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CLÁUSULA DÉCIMA QUARTA</w:t>
      </w:r>
      <w:r>
        <w:rPr>
          <w:rFonts w:ascii="Arial" w:hAnsi="Arial"/>
          <w:color w:val="000000"/>
          <w:sz w:val="20"/>
          <w:u w:val="none"/>
        </w:rPr>
        <w:t xml:space="preserve"> - </w:t>
      </w:r>
      <w:r>
        <w:rPr>
          <w:rFonts w:ascii="Arial" w:hAnsi="Arial"/>
          <w:b w:val="1"/>
          <w:color w:val="000000"/>
          <w:sz w:val="20"/>
          <w:u w:val="none"/>
        </w:rPr>
        <w:t>DA DOTAÇÃO ORÇAMENTÁRIA.</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14.1. </w:t>
      </w:r>
      <w:r>
        <w:rPr>
          <w:rFonts w:ascii="Arial" w:hAnsi="Arial"/>
          <w:color w:val="000000"/>
          <w:sz w:val="20"/>
          <w:u w:val="none"/>
        </w:rPr>
        <w:t>As despesas decorrentes da presente ata de registro de preços correrão à conta de recursos específicos consignados no Orçamento do Município de Domingos Martins.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CLÁUSULA DÉCIMA QUINTA</w:t>
      </w:r>
      <w:r>
        <w:rPr>
          <w:rFonts w:ascii="Arial" w:hAnsi="Arial"/>
          <w:color w:val="000000"/>
          <w:sz w:val="20"/>
          <w:u w:val="none"/>
        </w:rPr>
        <w:t xml:space="preserve"> - </w:t>
      </w:r>
      <w:r>
        <w:rPr>
          <w:rFonts w:ascii="Arial" w:hAnsi="Arial"/>
          <w:b w:val="1"/>
          <w:color w:val="000000"/>
          <w:sz w:val="20"/>
          <w:u w:val="none"/>
        </w:rPr>
        <w:t>DO REMANEJAMENTO DAS QUANTIDADES REGISTRADAS.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15.1. </w:t>
      </w:r>
      <w:r>
        <w:rPr>
          <w:rFonts w:ascii="Arial" w:hAnsi="Arial"/>
          <w:color w:val="000000"/>
          <w:sz w:val="20"/>
          <w:u w:val="none"/>
        </w:rPr>
        <w:t>As quantidades previstas para os itens com preços registrados nesta ata de registro de preços poderão ser remanejadas pelo Órgão ou Entidade Gerenciadora entre os órgãos ou as entidades participantes e não participantes do registro de preços.</w:t>
      </w:r>
    </w:p>
    <w:p>
      <w:pPr>
        <w:spacing w:lineRule="auto" w:line="240" w:after="0" w:beforeAutospacing="0" w:afterAutospacing="0"/>
        <w:ind w:firstLine="1134"/>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15.1.1. </w:t>
      </w:r>
      <w:r>
        <w:rPr>
          <w:rFonts w:ascii="Arial" w:hAnsi="Arial"/>
          <w:color w:val="000000"/>
          <w:sz w:val="20"/>
          <w:u w:val="none"/>
        </w:rPr>
        <w:t>O remanejamento somente será feito: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a)</w:t>
      </w:r>
      <w:r>
        <w:rPr>
          <w:rFonts w:ascii="Arial" w:hAnsi="Arial"/>
          <w:color w:val="000000"/>
          <w:sz w:val="20"/>
          <w:u w:val="none"/>
        </w:rPr>
        <w:t xml:space="preserve"> de órgão ou entidade participante para órgão ou entidade participante; ou</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b) </w:t>
      </w:r>
      <w:r>
        <w:rPr>
          <w:rFonts w:ascii="Arial" w:hAnsi="Arial"/>
          <w:color w:val="000000"/>
          <w:sz w:val="20"/>
          <w:u w:val="none"/>
        </w:rPr>
        <w:t>de órgão ou entidade participante para órgão ou entidade não participante.</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15.1.2.</w:t>
      </w:r>
      <w:r>
        <w:rPr>
          <w:rFonts w:ascii="Arial" w:hAnsi="Arial"/>
          <w:color w:val="000000"/>
          <w:sz w:val="20"/>
          <w:u w:val="none"/>
        </w:rPr>
        <w:t xml:space="preserve"> O Órgão ou Entidade gerenciadora tendo estimado as quantidades que pretendia contratar será considerada participante para fins do remanejamento.</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15.1.3. </w:t>
      </w:r>
      <w:r>
        <w:rPr>
          <w:rFonts w:ascii="Arial" w:hAnsi="Arial"/>
          <w:color w:val="000000"/>
          <w:sz w:val="20"/>
          <w:u w:val="none"/>
        </w:rPr>
        <w:t>Na hipótese de remanejamento de órgão ou de entidade participante para órgão ou entidade não participante, serão observadas as seguintes regras de controle para a adesão à ata de registro de preços: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a)</w:t>
      </w:r>
      <w:r>
        <w:rPr>
          <w:rFonts w:ascii="Arial" w:hAnsi="Arial"/>
          <w:color w:val="000000"/>
          <w:sz w:val="20"/>
          <w:u w:val="none"/>
        </w:rPr>
        <w:t xml:space="preserve"> as aquisições ou as contratações adicionais não poderão exceder, por órgão ou entidade, a 50% (cinquenta por cento) dos quantitativos dos itens do instrumento convocatório registrados na ata de registro de preços para o órgão ou a entidade gerenciadora e para os órgãos ou as entidades participantes; e</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b) </w:t>
      </w:r>
      <w:r>
        <w:rPr>
          <w:rFonts w:ascii="Arial" w:hAnsi="Arial"/>
          <w:color w:val="000000"/>
          <w:sz w:val="20"/>
          <w:u w:val="none"/>
        </w:rPr>
        <w:t>o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15.1.4.</w:t>
      </w:r>
      <w:r>
        <w:rPr>
          <w:rFonts w:ascii="Arial" w:hAnsi="Arial"/>
          <w:color w:val="000000"/>
          <w:sz w:val="20"/>
          <w:u w:val="none"/>
        </w:rPr>
        <w:t xml:space="preserve"> Para fins do disposto no subitem 6.1, competirá ao Órgão ou Entidade Gerenciadora autorizar o remanejamento solicitado, com a redução do quantitativo inicialmente informado pelo órgão ou pela entidade participante, desde que haja prévia anuência do órgão ou da entidade que sofrer redução dos quantitativos informados.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15.1.5. </w:t>
      </w:r>
      <w:r>
        <w:rPr>
          <w:rFonts w:ascii="Arial" w:hAnsi="Arial"/>
          <w:color w:val="000000"/>
          <w:sz w:val="20"/>
          <w:u w:val="none"/>
        </w:rPr>
        <w:t>Caso o remanejamento seja feito entre órgãos ou entidades de Estados, do Distrito Federal ou de Municípios distintos, caberá ao fornecedor beneficiário da ata de registro de preços, observadas as condições nela estabelecidas, optar pela aceitação ou não do fornecimento decorrente do remanejamento dos itens.</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15.1.6. </w:t>
      </w:r>
      <w:r>
        <w:rPr>
          <w:rFonts w:ascii="Arial" w:hAnsi="Arial"/>
          <w:color w:val="000000"/>
          <w:sz w:val="20"/>
          <w:u w:val="none"/>
        </w:rPr>
        <w:t>Na hipótese de compra centralizada, caso não haja indicação, pelo Órgão ou Entidade Gerenciadora, dos quantitativos dos participantes da compra centralizada, nos termos do disposto no subitem 6.1.2, a distribuição das quantidades para a execução descentralizada ocorrerá por meio de remanejamento.</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CLÁUSULA DÉCIMA SEXTA</w:t>
      </w:r>
      <w:r>
        <w:rPr>
          <w:rFonts w:ascii="Arial" w:hAnsi="Arial"/>
          <w:color w:val="000000"/>
          <w:sz w:val="20"/>
          <w:u w:val="none"/>
        </w:rPr>
        <w:t xml:space="preserve"> - </w:t>
      </w:r>
      <w:r>
        <w:rPr>
          <w:rFonts w:ascii="Arial" w:hAnsi="Arial"/>
          <w:b w:val="1"/>
          <w:color w:val="000000"/>
          <w:sz w:val="20"/>
          <w:u w:val="none"/>
        </w:rPr>
        <w:t>DA CONTRATAÇÃO COM OS FORNECEDORES REGISTRADOS.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16.1. </w:t>
      </w:r>
      <w:r>
        <w:rPr>
          <w:rFonts w:ascii="Arial" w:hAnsi="Arial"/>
          <w:color w:val="000000"/>
          <w:sz w:val="20"/>
          <w:u w:val="none"/>
        </w:rPr>
        <w:t>A contratação com os fornecedores registrados nesta ata será formalizada pelo Órgão ou Entidade Gerenciadora por meio de instrumento contratual, quando viável, emissão de nota de empenho de despesa ou autorização de fornecimento, conforme o disposto no art. 95 da Lei nº 14.133/2021.</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16.1.1. </w:t>
      </w:r>
      <w:r>
        <w:rPr>
          <w:rFonts w:ascii="Arial" w:hAnsi="Arial"/>
          <w:color w:val="000000"/>
          <w:sz w:val="20"/>
          <w:u w:val="none"/>
        </w:rPr>
        <w:t xml:space="preserve">Os instrumentos de que o subitem anteriordeverão ser assinados no prazo de validade da ata de registro de preços. </w:t>
      </w:r>
    </w:p>
    <w:p>
      <w:pPr>
        <w:spacing w:lineRule="auto" w:line="240" w:after="0" w:beforeAutospacing="0" w:afterAutospacing="0"/>
        <w:ind w:firstLine="1134"/>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16.2.</w:t>
      </w:r>
      <w:r>
        <w:rPr>
          <w:rFonts w:ascii="Arial" w:hAnsi="Arial"/>
          <w:color w:val="000000"/>
          <w:sz w:val="20"/>
          <w:u w:val="none"/>
        </w:rPr>
        <w:t xml:space="preserve"> Os contratos decorrentes do sistema de registro de preços poderão ser alterados, observado o disposto no art. 124 da Lei nº 14.133, de 2021.</w:t>
      </w:r>
    </w:p>
    <w:p>
      <w:pPr>
        <w:spacing w:lineRule="auto" w:line="240" w:before="0" w:after="0" w:beforeAutospacing="0" w:afterAutospacing="0"/>
        <w:ind w:left="284" w:right="0"/>
        <w:jc w:val="both"/>
        <w:rPr>
          <w:rFonts w:ascii="Arial" w:hAnsi="Arial"/>
          <w:color w:val="000000"/>
          <w:sz w:val="20"/>
          <w:u w:val="none"/>
        </w:rPr>
      </w:pPr>
      <w:r>
        <w:rPr>
          <w:rFonts w:ascii="Arial" w:hAnsi="Arial"/>
          <w:b w:val="1"/>
          <w:color w:val="000000"/>
          <w:sz w:val="20"/>
          <w:u w:val="none"/>
        </w:rPr>
        <w:t xml:space="preserve">16.2.1. </w:t>
      </w:r>
      <w:r>
        <w:rPr>
          <w:rFonts w:ascii="Arial" w:hAnsi="Arial"/>
          <w:color w:val="000000"/>
          <w:sz w:val="20"/>
          <w:u w:val="none"/>
        </w:rPr>
        <w:t>Nas alterações unilaterais a que se refere o inciso I caput do art. 124 da Lei 14.133/2021, o contratado será obrigado a aceitar, nas mesmas condições contratuais, acréscimos ou supressões de até 25% (vinte e cinco por cento) do valor inicial atualizado do contrato, sendo que os valores acrescentados ou suprimidos não serão contabilizados no saldo desta Ata.</w:t>
      </w:r>
    </w:p>
    <w:p>
      <w:pPr>
        <w:spacing w:lineRule="auto" w:line="240" w:after="0" w:beforeAutospacing="0" w:afterAutospacing="0"/>
        <w:ind w:firstLine="1134"/>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16.3. </w:t>
      </w:r>
      <w:r>
        <w:rPr>
          <w:rFonts w:ascii="Arial" w:hAnsi="Arial"/>
          <w:color w:val="000000"/>
          <w:sz w:val="20"/>
          <w:u w:val="none"/>
        </w:rPr>
        <w:t xml:space="preserve">A vigência dos contratos decorrentes desta ata, poderá ser prorrogada se atender aos critérios definidos na Lei 14.133/2021, desde que os procedimentos para a prorrogação sejam realizados dentro do seu prazo de vigência. </w:t>
      </w:r>
    </w:p>
    <w:p>
      <w:pPr>
        <w:spacing w:lineRule="auto" w:line="240" w:before="0" w:after="0" w:beforeAutospacing="0" w:afterAutospacing="0"/>
        <w:ind w:left="284"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CLÁUSULA DÉCIMA SÉTIMA - DOS CASOS OMISSOS.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17.1. </w:t>
      </w:r>
      <w:r>
        <w:rPr>
          <w:rFonts w:ascii="Arial" w:hAnsi="Arial"/>
          <w:color w:val="000000"/>
          <w:sz w:val="20"/>
          <w:u w:val="none"/>
        </w:rPr>
        <w:t>Os casos omissos serão decididos pela CONTRATANTE, segundo as disposições contidas na Lei nº 14.133/2021 e demais normas de licitações e contratos administrativos e, subsidiariamente, segundo as normas e princípios gerais dos contratos, e Decreto Normativo Municipal n° 4.393/2023.</w:t>
      </w:r>
    </w:p>
    <w:p>
      <w:pPr>
        <w:spacing w:lineRule="auto" w:line="240" w:before="0" w:after="0" w:beforeAutospacing="0" w:afterAutospacing="0"/>
        <w:ind w:left="425"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425" w:righ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CLÁUSULA DÉCIMA OITAVA - DA PUBLICAÇÃO.</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18.1. </w:t>
      </w:r>
      <w:r>
        <w:rPr>
          <w:rFonts w:ascii="Arial" w:hAnsi="Arial"/>
          <w:color w:val="000000"/>
          <w:sz w:val="20"/>
          <w:u w:val="none"/>
        </w:rPr>
        <w:t>O preço registrado nesta ata será publicado no site oficial da Prefeitura de Domingos Martins e no PNCP e por extrato no Diário Oficial dos Municípios, e disponibilizado durante a vigência deste instrumento.</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CLÁUSULA DÉCIMA NONA - DAS DISPOSIÇÕES FINAIS.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19.1. </w:t>
      </w:r>
      <w:r>
        <w:rPr>
          <w:rFonts w:ascii="Arial" w:hAnsi="Arial"/>
          <w:color w:val="000000"/>
          <w:sz w:val="20"/>
          <w:u w:val="none"/>
        </w:rPr>
        <w:t xml:space="preserve">A existência de preços registrados não obriga a Administração a firmar as contratações que deles poderão advir, facultando-se ao Poder Público, a realização de licitação específica para a contratação pretendida ou contratação direta, nas hipóteses previstas na Lei nº 14.133/2021. Em todo caso, deverá a Administração justificar o motivo da não utilização do registro de preços e será assegurada ao beneficiário do registro preferência para contratação em igualdade de condições.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19.2. </w:t>
      </w:r>
      <w:r>
        <w:rPr>
          <w:rFonts w:ascii="Arial" w:hAnsi="Arial"/>
          <w:color w:val="000000"/>
          <w:sz w:val="20"/>
          <w:u w:val="none"/>
        </w:rPr>
        <w:t>Aplicam-se ao Sistema de Registro de Preços e às contratações dele decorrentes as penalidades previstas na Lei Federal nº 14.133/2021 e suas alterações posteriores e os procedimentos definidos na Instrução Normativa SCI nº 008/2018, na última versão aprovada.</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b w:val="1"/>
          <w:color w:val="000000"/>
          <w:sz w:val="20"/>
          <w:u w:val="none"/>
        </w:rPr>
        <w:t xml:space="preserve">19.3. </w:t>
      </w:r>
      <w:r>
        <w:rPr>
          <w:rFonts w:ascii="Arial" w:hAnsi="Arial"/>
          <w:color w:val="000000"/>
          <w:sz w:val="20"/>
          <w:u w:val="none"/>
        </w:rPr>
        <w:t>A presente ata de registro de preçospoderá ser declarada nula pela Administração, por razões de ilegalidade, assegurados aos interessados a ampla defesa e o contraditório.</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 xml:space="preserve">19.4. </w:t>
      </w:r>
      <w:r>
        <w:rPr>
          <w:rFonts w:ascii="Arial" w:hAnsi="Arial"/>
          <w:color w:val="000000"/>
          <w:sz w:val="20"/>
          <w:u w:val="none"/>
        </w:rPr>
        <w:t>No âmbito do Poder Executivo, todos os processos que envolvam licitação para registro de preços e adesões a Atas de Registro de Preços deverão ser submetidos à análise prévia da Procuradoria-Geral do Município quanto aos aspectos jurídicos</w:t>
      </w:r>
      <w:r>
        <w:rPr>
          <w:rFonts w:ascii="Arial" w:hAnsi="Arial"/>
          <w:b w:val="1"/>
          <w:color w:val="000000"/>
          <w:sz w:val="20"/>
          <w:u w:val="none"/>
        </w:rPr>
        <w:t>.</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 xml:space="preserve">CLÁUSULA VIGÉSIMA </w:t>
      </w:r>
      <w:r>
        <w:rPr>
          <w:rFonts w:ascii="Arial" w:hAnsi="Arial"/>
          <w:color w:val="000000"/>
          <w:sz w:val="20"/>
          <w:u w:val="none"/>
        </w:rPr>
        <w:t xml:space="preserve">- </w:t>
      </w:r>
      <w:r>
        <w:rPr>
          <w:rFonts w:ascii="Arial" w:hAnsi="Arial"/>
          <w:b w:val="1"/>
          <w:color w:val="000000"/>
          <w:sz w:val="20"/>
          <w:u w:val="none"/>
        </w:rPr>
        <w:t>DO FORO.</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198" w:beforeAutospacing="0" w:afterAutospacing="0"/>
        <w:jc w:val="both"/>
        <w:rPr>
          <w:rFonts w:ascii="Arial" w:hAnsi="Arial"/>
          <w:color w:val="000000"/>
          <w:sz w:val="20"/>
          <w:u w:val="none"/>
        </w:rPr>
      </w:pPr>
      <w:r>
        <w:rPr>
          <w:rFonts w:ascii="Arial" w:hAnsi="Arial"/>
          <w:b w:val="1"/>
          <w:color w:val="000000"/>
          <w:sz w:val="20"/>
          <w:u w:val="none"/>
        </w:rPr>
        <w:t xml:space="preserve">20.1. </w:t>
      </w:r>
      <w:r>
        <w:rPr>
          <w:rFonts w:ascii="Arial" w:hAnsi="Arial"/>
          <w:color w:val="000000"/>
          <w:sz w:val="20"/>
          <w:u w:val="none"/>
        </w:rPr>
        <w:t>É eleito o Foro da Comarca de Domingos Martins para dirimir os litígios que decorrerem da execução desta Ata de Registro de Preços.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Para firmeza e validade do pactuado, a presente Ata de Registro de Preços foi lavrada em 02 (duas) vias de igual teor, que, depois de lida e achada em ordem, foi assinada pelas partes.</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before="0" w:after="0" w:beforeAutospacing="0" w:afterAutospacing="0"/>
        <w:ind w:left="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Domingos Martins- ES,........ DE ................... DE 2026.</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MUNICÍPIO DE DOMINGOS MARTINS</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Eduardo José Ramos</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Prefeito</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MUNICÍPIO DE DOMINGOS MARTINS</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xxxxxxxxx</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Secretário(a) Municipal de xxxxxxxx</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Times New Roman" w:hAnsi="Times New Roman"/>
          <w:color w:val="000000"/>
          <w:sz w:val="24"/>
          <w:u w:val="none"/>
        </w:rPr>
      </w:pPr>
      <w:r>
        <w:rPr>
          <w:rFonts w:ascii="Times New Roman" w:hAnsi="Times New Roman"/>
          <w:color w:val="000000"/>
          <w:sz w:val="24"/>
          <w:u w:val="none"/>
        </w:rPr>
        <w:t xml:space="preserve"> </w:t>
      </w:r>
    </w:p>
    <w:p>
      <w:pPr>
        <w:spacing w:lineRule="auto" w:line="240" w:after="0" w:beforeAutospacing="0" w:afterAutospacing="0"/>
        <w:jc w:val="both"/>
        <w:rPr>
          <w:rFonts w:ascii="Arial" w:hAnsi="Arial"/>
          <w:b w:val="1"/>
          <w:color w:val="000000"/>
          <w:sz w:val="20"/>
          <w:u w:val="none"/>
        </w:rPr>
      </w:pPr>
      <w:r>
        <w:rPr>
          <w:rFonts w:ascii="Arial" w:hAnsi="Arial"/>
          <w:b w:val="1"/>
          <w:color w:val="000000"/>
          <w:sz w:val="20"/>
          <w:u w:val="none"/>
        </w:rPr>
        <w:t>XXXXXXXXXXXX</w:t>
      </w:r>
    </w:p>
    <w:p>
      <w:pPr>
        <w:spacing w:lineRule="auto" w:line="240" w:after="0" w:beforeAutospacing="0" w:afterAutospacing="0"/>
        <w:jc w:val="both"/>
        <w:rPr>
          <w:rFonts w:ascii="Arial" w:hAnsi="Arial"/>
          <w:color w:val="000000"/>
          <w:sz w:val="20"/>
          <w:u w:val="none"/>
        </w:rPr>
      </w:pPr>
      <w:r>
        <w:rPr>
          <w:rFonts w:ascii="Arial" w:hAnsi="Arial"/>
          <w:color w:val="000000"/>
          <w:sz w:val="20"/>
          <w:u w:val="none"/>
        </w:rPr>
        <w:t>xxxxxxxx</w:t>
      </w:r>
    </w:p>
    <w:p>
      <w:pPr>
        <w:rPr>
          <w:rFonts w:ascii="Arial" w:hAnsi="Arial"/>
          <w:sz w:val="20"/>
        </w:rPr>
      </w:pPr>
      <w:r>
        <w:rPr>
          <w:rFonts w:ascii="Arial" w:hAnsi="Arial"/>
          <w:color w:val="000000"/>
          <w:sz w:val="20"/>
          <w:u w:val="none"/>
        </w:rPr>
        <w:t>Empresa Detentora da Ata</w:t>
      </w: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p>
    <w:p>
      <w:pPr>
        <w:spacing w:lineRule="auto" w:line="240" w:after="0" w:beforeAutospacing="0" w:afterAutospacing="0"/>
        <w:jc w:val="both"/>
        <w:rPr>
          <w:rFonts w:ascii="Arial" w:hAnsi="Arial"/>
          <w:sz w:val="20"/>
        </w:rPr>
      </w:pPr>
      <w:r>
        <w:rPr>
          <w:rFonts w:ascii="Arial" w:hAnsi="Arial"/>
          <w:sz w:val="20"/>
        </w:rPr>
        <w:br w:type="textWrapping"/>
      </w:r>
    </w:p>
    <w:p>
      <w:pPr>
        <w:jc w:val="both"/>
        <w:rPr>
          <w:rFonts w:ascii="Arial" w:hAnsi="Arial"/>
          <w:sz w:val="20"/>
        </w:rPr>
      </w:pPr>
    </w:p>
    <w:sectPr>
      <w:headerReference xmlns:r="http://schemas.openxmlformats.org/officeDocument/2006/relationships" w:type="default" r:id="RelHdr1"/>
      <w:type w:val="nextPage"/>
      <w:pgSz w:w="11906" w:h="16838" w:code="0"/>
      <w:pgMar w:left="998" w:right="1125" w:top="1417" w:bottom="1417" w:header="708" w:footer="708" w:gutter="0"/>
      <w:cols w:equalWidth="1" w:space="720"/>
    </w:sectPr>
  </w:body>
</w:document>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p>
    <w:pPr>
      <w:spacing w:lineRule="auto" w:line="240" w:after="0" w:beforeAutospacing="0" w:afterAutospacing="0"/>
      <w:jc w:val="right"/>
      <w:rPr>
        <w:sz w:val="20"/>
      </w:rPr>
    </w:pPr>
    <w:r>
      <w:rPr>
        <w:noProof w:val="1"/>
        <w:lang w:eastAsia="pt-BR"/>
      </w:rPr>
      <w:drawing>
        <wp:anchor xmlns:wp="http://schemas.openxmlformats.org/drawingml/2006/wordprocessingDrawing" distT="45720" distB="45720" distL="119380" distR="119380" simplePos="0" relativeHeight="1" behindDoc="0" locked="0" layoutInCell="0" allowOverlap="1">
          <wp:simplePos x="0" y="0"/>
          <wp:positionH relativeFrom="column">
            <wp:posOffset>-133350</wp:posOffset>
          </wp:positionH>
          <wp:positionV relativeFrom="paragraph">
            <wp:posOffset>-28575</wp:posOffset>
          </wp:positionV>
          <wp:extent cx="2225040" cy="73787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dpi="0">
                  <a:blip xmlns:r="http://schemas.openxmlformats.org/officeDocument/2006/relationships" r:embed="Relimage1"/>
                  <a:srcRect/>
                  <a:stretch>
                    <a:fillRect/>
                  </a:stretch>
                </pic:blipFill>
                <pic:spPr>
                  <a:xfrm>
                    <a:off x="0" y="0"/>
                    <a:ext cx="5562600" cy="1844040"/>
                  </a:xfrm>
                  <a:prstGeom prst="rect"/>
                  <a:solidFill>
                    <a:srgbClr val="FFFFFF">
                      <a:alpha val="0"/>
                    </a:srgbClr>
                  </a:solidFill>
                  <a:ln w="0">
                    <a:solidFill>
                      <a:srgbClr val="FFFFFF">
                        <a:alpha val="0"/>
                      </a:srgbClr>
                    </a:solidFill>
                  </a:ln>
                </pic:spPr>
              </pic:pic>
            </a:graphicData>
          </a:graphic>
        </wp:anchor>
      </w:drawing>
    </w:r>
  </w:p>
  <w:p>
    <w:pPr>
      <w:spacing w:lineRule="auto" w:line="240" w:after="0" w:beforeAutospacing="0" w:afterAutospacing="0"/>
      <w:jc w:val="right"/>
      <w:rPr>
        <w:sz w:val="20"/>
      </w:rPr>
    </w:pPr>
    <w:r>
      <w:rPr>
        <w:sz w:val="20"/>
      </w:rPr>
      <w:t xml:space="preserve">Rua Bernardino Monteiro, 85, Centro </w:t>
    </w:r>
  </w:p>
  <w:p>
    <w:pPr>
      <w:spacing w:lineRule="auto" w:line="240" w:after="0" w:beforeAutospacing="0" w:afterAutospacing="0"/>
      <w:jc w:val="right"/>
      <w:rPr>
        <w:sz w:val="20"/>
      </w:rPr>
    </w:pPr>
    <w:r>
      <w:rPr>
        <w:sz w:val="20"/>
      </w:rPr>
      <w:tab/>
      <w:tab/>
      <w:tab/>
      <w:t>Domingos Martins-ES, CEP: 29.260-000</w:t>
    </w:r>
  </w:p>
  <w:p>
    <w:pPr>
      <w:spacing w:lineRule="auto" w:line="240" w:after="0" w:beforeAutospacing="0" w:afterAutospacing="0"/>
      <w:jc w:val="right"/>
      <w:rPr>
        <w:sz w:val="20"/>
      </w:rPr>
    </w:pPr>
    <w:r>
      <w:rPr>
        <w:sz w:val="20"/>
      </w:rPr>
      <w:fldChar w:fldCharType="begin"/>
    </w:r>
    <w:r>
      <w:rPr>
        <w:sz w:val="20"/>
      </w:rPr>
      <w:instrText>HYPERLINK "http://www.domingosmartins.es.gov.br"</w:instrText>
    </w:r>
    <w:r>
      <w:rPr>
        <w:sz w:val="20"/>
      </w:rPr>
      <w:fldChar w:fldCharType="separate"/>
    </w:r>
    <w:r>
      <w:rPr>
        <w:rStyle w:val="C2"/>
        <w:sz w:val="20"/>
        <w:u w:val="none"/>
      </w:rPr>
      <w:t>www.domingosmartins.es.gov.br</w:t>
    </w:r>
    <w:r>
      <w:rPr>
        <w:rStyle w:val="C2"/>
        <w:sz w:val="20"/>
        <w:u w:val="none"/>
      </w:rPr>
      <w:fldChar w:fldCharType="end"/>
    </w:r>
  </w:p>
  <w:p>
    <w:pPr>
      <w:spacing w:lineRule="auto" w:line="240" w:after="0" w:beforeAutospacing="0" w:afterAutospacing="0"/>
      <w:jc w:val="right"/>
      <w:rPr>
        <w:sz w:val="20"/>
      </w:rPr>
    </w:pPr>
    <w:r>
      <w:rPr>
        <w:sz w:val="20"/>
      </w:rPr>
      <w:t>E-mail: licitacao@domingosmartins.es.gov.br</w:t>
    </w:r>
  </w:p>
  <w:p>
    <w:pPr>
      <w:spacing w:lineRule="auto" w:line="240" w:after="0" w:beforeAutospacing="0" w:afterAutospacing="0"/>
      <w:jc w:val="right"/>
      <w:rPr>
        <w:sz w:val="20"/>
      </w:rPr>
    </w:pPr>
    <w:r>
      <w:rPr>
        <w:sz w:val="20"/>
      </w:rPr>
      <w:t>Tel: (27) 93618-2338</w:t>
      <w:br w:type="textWrapping"/>
    </w:r>
  </w:p>
</w:hdr>
</file>

<file path=word/numbering.xml><?xml version="1.0" encoding="utf-8"?>
<w:numbering xmlns:w="http://schemas.openxmlformats.org/wordprocessingml/2006/main">
  <w:abstractNum w:abstractNumId="0">
    <w:nsid w:val="0189E730"/>
    <w:multiLevelType w:val="hybridMultilevel"/>
    <w:lvl w:ilvl="0" w:tplc="500D18BC">
      <w:start w:val="1"/>
      <w:numFmt w:val="decimal"/>
      <w:suff w:val="tab"/>
      <w:lvlText w:val="%1."/>
      <w:lvlJc w:val="left"/>
      <w:pPr>
        <w:ind w:hanging="354" w:left="720"/>
      </w:pPr>
      <w:rPr/>
    </w:lvl>
    <w:lvl w:ilvl="1" w:tplc="004EE58D">
      <w:start w:val="1"/>
      <w:numFmt w:val="decimal"/>
      <w:suff w:val="tab"/>
      <w:lvlText w:val="%1."/>
      <w:lvlJc w:val="left"/>
      <w:pPr>
        <w:ind w:hanging="354" w:left="1440"/>
      </w:pPr>
      <w:rPr/>
    </w:lvl>
    <w:lvl w:ilvl="2" w:tplc="4D50EEFD">
      <w:start w:val="1"/>
      <w:numFmt w:val="decimal"/>
      <w:suff w:val="tab"/>
      <w:lvlText w:val="%1."/>
      <w:lvlJc w:val="left"/>
      <w:pPr>
        <w:ind w:hanging="354" w:left="2160"/>
      </w:pPr>
      <w:rPr/>
    </w:lvl>
    <w:lvl w:ilvl="3" w:tplc="458F2E5D">
      <w:start w:val="1"/>
      <w:numFmt w:val="decimal"/>
      <w:suff w:val="tab"/>
      <w:lvlText w:val="%1."/>
      <w:lvlJc w:val="left"/>
      <w:pPr>
        <w:ind w:hanging="354" w:left="2880"/>
      </w:pPr>
      <w:rPr/>
    </w:lvl>
    <w:lvl w:ilvl="4" w:tplc="1A31CA5E">
      <w:start w:val="1"/>
      <w:numFmt w:val="decimal"/>
      <w:suff w:val="tab"/>
      <w:lvlText w:val="%1."/>
      <w:lvlJc w:val="left"/>
      <w:pPr>
        <w:ind w:hanging="354" w:left="3600"/>
      </w:pPr>
      <w:rPr/>
    </w:lvl>
    <w:lvl w:ilvl="5" w:tplc="4E3F44E0">
      <w:start w:val="1"/>
      <w:numFmt w:val="decimal"/>
      <w:suff w:val="tab"/>
      <w:lvlText w:val="%1."/>
      <w:lvlJc w:val="left"/>
      <w:pPr>
        <w:ind w:hanging="354" w:left="4320"/>
      </w:pPr>
      <w:rPr/>
    </w:lvl>
    <w:lvl w:ilvl="6" w:tplc="7D80AD41">
      <w:start w:val="1"/>
      <w:numFmt w:val="decimal"/>
      <w:suff w:val="tab"/>
      <w:lvlText w:val="%1."/>
      <w:lvlJc w:val="left"/>
      <w:pPr>
        <w:ind w:hanging="354" w:left="5040"/>
      </w:pPr>
      <w:rPr/>
    </w:lvl>
    <w:lvl w:ilvl="7" w:tplc="1EA5BABE">
      <w:start w:val="1"/>
      <w:numFmt w:val="decimal"/>
      <w:suff w:val="tab"/>
      <w:lvlText w:val="%1."/>
      <w:lvlJc w:val="left"/>
      <w:pPr>
        <w:ind w:hanging="354" w:left="5760"/>
      </w:pPr>
      <w:rPr/>
    </w:lvl>
    <w:lvl w:ilvl="8" w:tplc="74D69CAD">
      <w:start w:val="1"/>
      <w:numFmt w:val="decimal"/>
      <w:suff w:val="tab"/>
      <w:lvlText w:val="%1."/>
      <w:lvlJc w:val="left"/>
      <w:pPr>
        <w:ind w:hanging="354" w:left="6480"/>
      </w:pPr>
      <w:rPr/>
    </w:lvl>
  </w:abstractNum>
  <w:num w:numId="1">
    <w:abstractNumId w:val="0"/>
  </w:num>
</w:numbering>
</file>

<file path=word/settings.xml><?xml version="1.0" encoding="utf-8"?>
<w:settings xmlns:w="http://schemas.openxmlformats.org/wordprocessingml/2006/main">
  <w:displayBackgroundShape w:val="0"/>
  <w:defaultTabStop w:val="708"/>
  <w:autoHyphenation w:val="0"/>
  <w:evenAndOddHeaders w:val="0"/>
  <w:compat>
    <w:compatSetting w:name="compatibilityMode" w:uri="http://schemas.microsoft.com/office/word" w:val="12"/>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shd w:val="clear" w:color="auto" w:fill="auto"/>
        <w:vertAlign w:val="baseline"/>
        <w:lang w:val="pt-BR" w:bidi="ar-SA" w:eastAsia="en-US"/>
      </w:rPr>
    </w:rPrDefault>
    <w:pPrDefault>
      <w:pPr>
        <w:keepNext w:val="0"/>
        <w:keepLines w:val="0"/>
        <w:pageBreakBefore w:val="0"/>
        <w:widowControl w:val="1"/>
        <w:suppressLineNumbers w:val="0"/>
        <w:shd w:val="clear" w:fill="auto"/>
        <w:suppressAutoHyphens w:val="0"/>
        <w:spacing w:lineRule="auto" w:line="259" w:before="0" w:after="160" w:beforeAutospacing="0" w:afterAutospacing="0"/>
        <w:ind w:firstLine="0" w:left="0" w:right="0"/>
        <w:contextualSpacing w:val="0"/>
        <w:bidi w:val="0"/>
        <w:jc w:val="left"/>
      </w:pPr>
    </w:pPrDefault>
  </w:docDefaults>
  <w:style w:type="paragraph" w:styleId="P0" w:default="1">
    <w:name w:val="Normal"/>
    <w:qFormat/>
    <w:pPr/>
    <w:rPr/>
  </w:style>
  <w:style w:type="paragraph" w:styleId="P1">
    <w:name w:val="header"/>
    <w:basedOn w:val="P0"/>
    <w:link w:val="C4"/>
    <w:pPr>
      <w:tabs>
        <w:tab w:val="center" w:pos="4252" w:leader="none"/>
        <w:tab w:val="right" w:pos="8504" w:leader="none"/>
      </w:tabs>
      <w:spacing w:lineRule="auto" w:line="240" w:after="0" w:beforeAutospacing="0" w:afterAutospacing="0"/>
    </w:pPr>
    <w:rPr/>
  </w:style>
  <w:style w:type="paragraph" w:styleId="P2">
    <w:name w:val="footer"/>
    <w:basedOn w:val="P0"/>
    <w:link w:val="C5"/>
    <w:pPr>
      <w:tabs>
        <w:tab w:val="center" w:pos="4252" w:leader="none"/>
        <w:tab w:val="right" w:pos="8504" w:leader="none"/>
      </w:tabs>
      <w:spacing w:lineRule="auto" w:line="240" w:after="0" w:beforeAutospacing="0" w:afterAutospacing="0"/>
    </w:pPr>
    <w:rPr/>
  </w:style>
  <w:style w:type="paragraph" w:styleId="P3">
    <w:name w:val="List Paragraph"/>
    <w:basedOn w:val="P0"/>
    <w:qFormat/>
    <w:pPr>
      <w:ind w:left="720"/>
      <w:contextualSpacing w:val="1"/>
    </w:pPr>
    <w:rPr/>
  </w:style>
  <w:style w:type="paragraph" w:styleId="P4">
    <w:name w:val="Normal (Web)"/>
    <w:basedOn w:val="P0"/>
    <w:pPr>
      <w:spacing w:lineRule="auto" w:line="240" w:before="100" w:after="100" w:beforeAutospacing="1" w:afterAutospacing="1"/>
    </w:pPr>
    <w:rPr>
      <w:rFonts w:ascii="Times New Roman" w:hAnsi="Times New Roman"/>
      <w:sz w:val="24"/>
      <w:lang w:eastAsia="pt-B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line number"/>
    <w:basedOn w:val="C0"/>
    <w:semiHidden/>
    <w:rPr/>
  </w:style>
  <w:style w:type="character" w:styleId="C4">
    <w:name w:val="Cabeçalho Char"/>
    <w:basedOn w:val="C0"/>
    <w:link w:val="P1"/>
    <w:rPr/>
  </w:style>
  <w:style w:type="character" w:styleId="C5">
    <w:name w:val="Rodapé Char"/>
    <w:basedOn w:val="C0"/>
    <w:link w:val="P2"/>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Pr>
    <w:trPr/>
    <w:tcPr/>
  </w:style>
  <w:style w:type="numbering" w:styleId="N0">
    <w:name w:val="No List"/>
  </w:style>
</w:styles>
</file>

<file path=word/_rels/document.xml.rels>&#65279;<?xml version="1.0" encoding="utf-8"?><Relationships xmlns="http://schemas.openxmlformats.org/package/2006/relationships"><Relationship Id="RelHdr1" Type="http://schemas.openxmlformats.org/officeDocument/2006/relationships/header" Target="head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_rels/header1.xml.rels>&#65279;<?xml version="1.0" encoding="utf-8"?><Relationships xmlns="http://schemas.openxmlformats.org/package/2006/relationships"><Relationship Id="Relimage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Otávio Rodrigues</dc:creator>
  <dcterms:created xsi:type="dcterms:W3CDTF">2019-02-18T14:21:00Z</dcterms:created>
  <cp:lastModifiedBy>IIS APPPOOL\DefaultAppPool</cp:lastModifiedBy>
  <dcterms:modified xsi:type="dcterms:W3CDTF">2026-05-21T11:43:56Z</dcterms:modified>
  <cp:revision>716</cp:revision>
</cp:coreProperties>
</file>