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2A7E9" w14:textId="77777777" w:rsidR="007A367E" w:rsidRDefault="007A367E">
      <w:pPr>
        <w:spacing w:after="0" w:line="276" w:lineRule="auto"/>
        <w:jc w:val="center"/>
        <w:rPr>
          <w:rFonts w:ascii="Times New Roman" w:eastAsia="Times New Roman" w:hAnsi="Times New Roman" w:cs="Times New Roman"/>
          <w:b/>
          <w:sz w:val="28"/>
          <w:szCs w:val="28"/>
          <w:u w:val="single"/>
        </w:rPr>
      </w:pPr>
    </w:p>
    <w:p w14:paraId="68009279" w14:textId="77777777" w:rsidR="007A367E" w:rsidRDefault="00DE66BA">
      <w:pPr>
        <w:spacing w:after="0" w:line="276" w:lineRule="auto"/>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ESTUDO TÉCNICO PRELIMINAR</w:t>
      </w:r>
    </w:p>
    <w:p w14:paraId="79001D78" w14:textId="77777777" w:rsidR="007A367E" w:rsidRDefault="007A367E">
      <w:pPr>
        <w:spacing w:after="0" w:line="276" w:lineRule="auto"/>
        <w:jc w:val="center"/>
        <w:rPr>
          <w:rFonts w:ascii="Times New Roman" w:eastAsia="Times New Roman" w:hAnsi="Times New Roman" w:cs="Times New Roman"/>
          <w:b/>
          <w:sz w:val="28"/>
          <w:szCs w:val="28"/>
          <w:u w:val="single"/>
        </w:rPr>
      </w:pPr>
    </w:p>
    <w:p w14:paraId="14778BEB" w14:textId="77777777" w:rsidR="007A367E" w:rsidRDefault="007A367E">
      <w:pPr>
        <w:spacing w:after="0" w:line="276" w:lineRule="auto"/>
        <w:jc w:val="center"/>
        <w:rPr>
          <w:rFonts w:ascii="Times New Roman" w:eastAsia="Times New Roman" w:hAnsi="Times New Roman" w:cs="Times New Roman"/>
          <w:b/>
          <w:sz w:val="28"/>
          <w:szCs w:val="28"/>
          <w:u w:val="single"/>
        </w:rPr>
      </w:pPr>
    </w:p>
    <w:p w14:paraId="493F6BA5" w14:textId="77777777" w:rsidR="007A367E" w:rsidRDefault="007A367E">
      <w:pPr>
        <w:spacing w:after="0" w:line="276" w:lineRule="auto"/>
        <w:jc w:val="center"/>
        <w:rPr>
          <w:rFonts w:ascii="Times New Roman" w:eastAsia="Times New Roman" w:hAnsi="Times New Roman" w:cs="Times New Roman"/>
          <w:b/>
          <w:sz w:val="24"/>
          <w:szCs w:val="24"/>
        </w:rPr>
      </w:pPr>
    </w:p>
    <w:p w14:paraId="21117867" w14:textId="77777777" w:rsidR="007A367E" w:rsidRDefault="00DE66BA">
      <w:pPr>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1-INTRODUÇÃO</w:t>
      </w:r>
    </w:p>
    <w:p w14:paraId="3644CAA1" w14:textId="77777777" w:rsidR="007A367E" w:rsidRDefault="00DE66BA">
      <w:pPr>
        <w:spacing w:after="120" w:line="276"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presente documento caracteriza a primeira etapa da fase de planejamento e apresenta os devidos estudos para a contratação de solução que atenderá à necessidade abaixo especificada.</w:t>
      </w:r>
    </w:p>
    <w:p w14:paraId="081E59B5" w14:textId="77777777" w:rsidR="007A367E" w:rsidRDefault="00DE66BA">
      <w:pPr>
        <w:spacing w:after="120" w:line="276"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objetivo principal é estudar detalhadamente a necessidade de identifica</w:t>
      </w:r>
      <w:r>
        <w:rPr>
          <w:rFonts w:ascii="Times New Roman" w:eastAsia="Times New Roman" w:hAnsi="Times New Roman" w:cs="Times New Roman"/>
          <w:sz w:val="24"/>
          <w:szCs w:val="24"/>
        </w:rPr>
        <w:t>r no mercado a melhor solução para supri-la, em observância às normas vigentes e aos princípios que regem a Administração Pública.</w:t>
      </w:r>
    </w:p>
    <w:p w14:paraId="0F6438B8" w14:textId="77777777" w:rsidR="007A367E" w:rsidRDefault="007A367E">
      <w:pPr>
        <w:spacing w:after="120" w:line="276" w:lineRule="auto"/>
        <w:ind w:firstLine="720"/>
        <w:jc w:val="both"/>
        <w:rPr>
          <w:rFonts w:ascii="Times New Roman" w:eastAsia="Times New Roman" w:hAnsi="Times New Roman" w:cs="Times New Roman"/>
          <w:sz w:val="24"/>
          <w:szCs w:val="24"/>
        </w:rPr>
      </w:pPr>
    </w:p>
    <w:p w14:paraId="12E094A8" w14:textId="77777777" w:rsidR="007A367E" w:rsidRDefault="00DE66BA">
      <w:pPr>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 DESCRIÇÃO DA NECESSIDADE</w:t>
      </w:r>
    </w:p>
    <w:p w14:paraId="4CB3B225" w14:textId="77777777" w:rsidR="007A367E" w:rsidRDefault="00DE66BA">
      <w:pPr>
        <w:spacing w:after="16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Foi solicitado pela SEMOSP uma vistoria no local para averiguação da necessidade de reforma e a</w:t>
      </w:r>
      <w:r>
        <w:rPr>
          <w:rFonts w:ascii="Times New Roman" w:eastAsia="Times New Roman" w:hAnsi="Times New Roman" w:cs="Times New Roman"/>
          <w:sz w:val="24"/>
          <w:szCs w:val="24"/>
        </w:rPr>
        <w:t xml:space="preserve">través de inspeção visual, constatou-se que a obra, inaugurada no ano de 2004, apresenta-se em ótimas condições estruturais, não apresentando trincas nem </w:t>
      </w:r>
      <w:proofErr w:type="spellStart"/>
      <w:r>
        <w:rPr>
          <w:rFonts w:ascii="Times New Roman" w:eastAsia="Times New Roman" w:hAnsi="Times New Roman" w:cs="Times New Roman"/>
          <w:sz w:val="24"/>
          <w:szCs w:val="24"/>
        </w:rPr>
        <w:t>desplacamentos</w:t>
      </w:r>
      <w:proofErr w:type="spellEnd"/>
      <w:r>
        <w:rPr>
          <w:rFonts w:ascii="Times New Roman" w:eastAsia="Times New Roman" w:hAnsi="Times New Roman" w:cs="Times New Roman"/>
          <w:sz w:val="24"/>
          <w:szCs w:val="24"/>
        </w:rPr>
        <w:t xml:space="preserve"> de concreto no tabuleiro, nas faces laterais nem inferiores das vigas. Mas não se pode </w:t>
      </w:r>
      <w:r>
        <w:rPr>
          <w:rFonts w:ascii="Times New Roman" w:eastAsia="Times New Roman" w:hAnsi="Times New Roman" w:cs="Times New Roman"/>
          <w:sz w:val="24"/>
          <w:szCs w:val="24"/>
        </w:rPr>
        <w:t>dizer o mesmo com relação a estética e segurança na parte superior da ponte, mais especificamente falando dos passeios laterais, guarda corpos, pavimento asfáltico, sinalização, sistema de drenagem, guias e barreiras New Jersey, que em alguns pontos aprese</w:t>
      </w:r>
      <w:r>
        <w:rPr>
          <w:rFonts w:ascii="Times New Roman" w:eastAsia="Times New Roman" w:hAnsi="Times New Roman" w:cs="Times New Roman"/>
          <w:sz w:val="24"/>
          <w:szCs w:val="24"/>
        </w:rPr>
        <w:t>ntam elevado grau de corrosão. Situações que, algumas das quais, oferecem grande risco aos usuários.</w:t>
      </w:r>
    </w:p>
    <w:p w14:paraId="24C6095D" w14:textId="77777777" w:rsidR="007A367E" w:rsidRDefault="00DE66BA">
      <w:pPr>
        <w:spacing w:after="16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Conforme exposto acima, a área técnica da Secretaria Municipal de Obras e Serviços Públicos de Cabo Frio – SEMOSP confirmou assim a necessidade de reforma</w:t>
      </w:r>
      <w:r>
        <w:rPr>
          <w:rFonts w:ascii="Times New Roman" w:eastAsia="Times New Roman" w:hAnsi="Times New Roman" w:cs="Times New Roman"/>
          <w:sz w:val="24"/>
          <w:szCs w:val="24"/>
        </w:rPr>
        <w:t xml:space="preserve"> e substituição de parte destes acessórios. Considerando que este serviço possibilitará a readequação do objeto, acarretando em melhoria na acessibilidade e segurança dos moradores e visitantes, expomos que a necessidade de sua realização é de total intere</w:t>
      </w:r>
      <w:r>
        <w:rPr>
          <w:rFonts w:ascii="Times New Roman" w:eastAsia="Times New Roman" w:hAnsi="Times New Roman" w:cs="Times New Roman"/>
          <w:sz w:val="24"/>
          <w:szCs w:val="24"/>
        </w:rPr>
        <w:t>sse desta Administração.</w:t>
      </w:r>
    </w:p>
    <w:p w14:paraId="5C61F90B" w14:textId="77777777" w:rsidR="007A367E" w:rsidRDefault="007A367E">
      <w:pPr>
        <w:spacing w:after="120" w:line="276" w:lineRule="auto"/>
        <w:jc w:val="both"/>
        <w:rPr>
          <w:rFonts w:ascii="Times New Roman" w:eastAsia="Times New Roman" w:hAnsi="Times New Roman" w:cs="Times New Roman"/>
          <w:b/>
          <w:sz w:val="24"/>
          <w:szCs w:val="24"/>
        </w:rPr>
      </w:pPr>
    </w:p>
    <w:p w14:paraId="359C070B" w14:textId="77777777" w:rsidR="007A367E" w:rsidRDefault="00DE66BA">
      <w:pPr>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 REQUISITOS DA CONTRATAÇÃO</w:t>
      </w:r>
    </w:p>
    <w:p w14:paraId="3DC707FD"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contratação objeto deste estudo preliminar apresenta os seguintes requisitos:</w:t>
      </w:r>
    </w:p>
    <w:p w14:paraId="178A4A55" w14:textId="77777777" w:rsidR="007A367E" w:rsidRDefault="007A367E">
      <w:pPr>
        <w:shd w:val="clear" w:color="auto" w:fill="FFFFFF"/>
        <w:spacing w:after="0" w:line="360" w:lineRule="auto"/>
        <w:jc w:val="both"/>
        <w:rPr>
          <w:rFonts w:ascii="Times New Roman" w:eastAsia="Times New Roman" w:hAnsi="Times New Roman" w:cs="Times New Roman"/>
          <w:sz w:val="24"/>
          <w:szCs w:val="24"/>
        </w:rPr>
      </w:pPr>
    </w:p>
    <w:p w14:paraId="2F52550E" w14:textId="77777777" w:rsidR="007A367E" w:rsidRDefault="00DE66BA">
      <w:pPr>
        <w:shd w:val="clear" w:color="auto" w:fill="FFFFFF"/>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REQUISITOS INTERNOS</w:t>
      </w:r>
    </w:p>
    <w:p w14:paraId="0495BA14" w14:textId="77777777" w:rsidR="007A367E" w:rsidRDefault="007A367E">
      <w:pPr>
        <w:shd w:val="clear" w:color="auto" w:fill="FFFFFF"/>
        <w:spacing w:after="0" w:line="360" w:lineRule="auto"/>
        <w:jc w:val="center"/>
        <w:rPr>
          <w:rFonts w:ascii="Times New Roman" w:eastAsia="Times New Roman" w:hAnsi="Times New Roman" w:cs="Times New Roman"/>
          <w:b/>
          <w:sz w:val="24"/>
          <w:szCs w:val="24"/>
        </w:rPr>
      </w:pPr>
    </w:p>
    <w:p w14:paraId="7F104962"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Definição do local de execução dos serviços, a saber: Ponte Deputado Márcio Corrêa localizada n</w:t>
      </w:r>
      <w:r>
        <w:rPr>
          <w:rFonts w:ascii="Times New Roman" w:eastAsia="Times New Roman" w:hAnsi="Times New Roman" w:cs="Times New Roman"/>
          <w:sz w:val="24"/>
          <w:szCs w:val="24"/>
        </w:rPr>
        <w:t>o Bairro Portinho, Cabo Frio;</w:t>
      </w:r>
    </w:p>
    <w:p w14:paraId="2EDC36AE"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Definição dos serviços a serem executados, dos materiais a serem aplicados e/ou substituídos, de acordo com as determinações dos projetos, dos memoriais descritivos e das especificações técnicas, a serem atendidas pela Contratada;</w:t>
      </w:r>
    </w:p>
    <w:p w14:paraId="512A7146" w14:textId="2C21A9D8"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DE66BA">
        <w:rPr>
          <w:rFonts w:ascii="Times New Roman" w:eastAsia="Times New Roman" w:hAnsi="Times New Roman" w:cs="Times New Roman"/>
          <w:sz w:val="24"/>
          <w:szCs w:val="24"/>
        </w:rPr>
        <w:t>Definição da metodologia executiva a ser adotada, de acordo com as normas técnicas vigentes e recomendações dos fabricantes, sendo as plantas, projeto básico e planilha orçamentária,</w:t>
      </w:r>
      <w:r>
        <w:rPr>
          <w:rFonts w:ascii="Times New Roman" w:eastAsia="Times New Roman" w:hAnsi="Times New Roman" w:cs="Times New Roman"/>
          <w:sz w:val="24"/>
          <w:szCs w:val="24"/>
        </w:rPr>
        <w:t xml:space="preserve"> </w:t>
      </w:r>
      <w:r w:rsidRPr="00DE66BA">
        <w:rPr>
          <w:rFonts w:ascii="Times New Roman" w:eastAsia="Times New Roman" w:hAnsi="Times New Roman" w:cs="Times New Roman"/>
          <w:sz w:val="24"/>
          <w:szCs w:val="24"/>
        </w:rPr>
        <w:t>a serem anexados, suficientes para realização da obra prevista</w:t>
      </w:r>
    </w:p>
    <w:p w14:paraId="64486FE1"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Definição do orçamento e d</w:t>
      </w:r>
      <w:r>
        <w:rPr>
          <w:rFonts w:ascii="Times New Roman" w:eastAsia="Times New Roman" w:hAnsi="Times New Roman" w:cs="Times New Roman"/>
          <w:sz w:val="24"/>
          <w:szCs w:val="24"/>
        </w:rPr>
        <w:t>o prazo de execução da obra, com detalhamento de marcos intermediários e finais das etapas, definidos no cronograma físico-financeiro da obra;</w:t>
      </w:r>
    </w:p>
    <w:p w14:paraId="49F908B1"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Empresa de engenharia para execução de serviços de reforma de edificação em alvenaria com estrutura de concret</w:t>
      </w:r>
      <w:r>
        <w:rPr>
          <w:rFonts w:ascii="Times New Roman" w:eastAsia="Times New Roman" w:hAnsi="Times New Roman" w:cs="Times New Roman"/>
          <w:sz w:val="24"/>
          <w:szCs w:val="24"/>
        </w:rPr>
        <w:t>o armado, conforme quantitativos previstos nos projetos;</w:t>
      </w:r>
    </w:p>
    <w:p w14:paraId="71CF551A"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Certidão de registro/quitação da contratada junto ao CREA / CAU, da qual deverá constar os nomes dos profissionais que poderão atuar como responsáveis técnicos pelos serviços a serem executados, c</w:t>
      </w:r>
      <w:r>
        <w:rPr>
          <w:rFonts w:ascii="Times New Roman" w:eastAsia="Times New Roman" w:hAnsi="Times New Roman" w:cs="Times New Roman"/>
          <w:sz w:val="24"/>
          <w:szCs w:val="24"/>
        </w:rPr>
        <w:t>onforme disciplina a Resolução 425/98 do CONFEA, artigo 4º, parágrafo único;</w:t>
      </w:r>
    </w:p>
    <w:p w14:paraId="3A00A861"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Comprovação de aptidão técnica, consistente na apresentação de uma ou mais certidões de acervo técnico expedidas pelo CREA / CAU, em nome dos profissionais que exercerão a funç</w:t>
      </w:r>
      <w:r>
        <w:rPr>
          <w:rFonts w:ascii="Times New Roman" w:eastAsia="Times New Roman" w:hAnsi="Times New Roman" w:cs="Times New Roman"/>
          <w:sz w:val="24"/>
          <w:szCs w:val="24"/>
        </w:rPr>
        <w:t>ão de responsáveis técnicos, comprovando a execução de pelo menos uma obra ou serviço com características similares ao objeto a ser contratado;</w:t>
      </w:r>
    </w:p>
    <w:p w14:paraId="4648544D"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 Apresentação, por parte da contratada, de pelo menos 01 (um) Atestado de Capacidade Técnico-operacional, comp</w:t>
      </w:r>
      <w:r>
        <w:rPr>
          <w:rFonts w:ascii="Times New Roman" w:eastAsia="Times New Roman" w:hAnsi="Times New Roman" w:cs="Times New Roman"/>
          <w:sz w:val="24"/>
          <w:szCs w:val="24"/>
        </w:rPr>
        <w:t>rovando a realização de obras ou serviços com características similares ao objeto a ser contratado;</w:t>
      </w:r>
    </w:p>
    <w:p w14:paraId="5FD6D740"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Definição de cláusulas e condições para a execução dos serviços que possibilitem à contratada efetivar o planejamento para a execução dos serviços em con</w:t>
      </w:r>
      <w:r>
        <w:rPr>
          <w:rFonts w:ascii="Times New Roman" w:eastAsia="Times New Roman" w:hAnsi="Times New Roman" w:cs="Times New Roman"/>
          <w:sz w:val="24"/>
          <w:szCs w:val="24"/>
        </w:rPr>
        <w:t>formidade com a logística e infraestrutura existentes no mercado, e, dessa forma, possibilitar a obtenção de preços mais competitivos para a contratação.</w:t>
      </w:r>
    </w:p>
    <w:p w14:paraId="500CA4D1" w14:textId="77777777" w:rsidR="007A367E" w:rsidRDefault="00DE66BA">
      <w:pPr>
        <w:shd w:val="clear" w:color="auto" w:fill="FFFFFF"/>
        <w:spacing w:after="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REQUISITOS EXTERNOS (LEGAIS)</w:t>
      </w:r>
    </w:p>
    <w:p w14:paraId="101BB55A"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Lei nº 5.194, DE 24 de dezembro 1966, que regula o exercício das profi</w:t>
      </w:r>
      <w:r>
        <w:rPr>
          <w:rFonts w:ascii="Times New Roman" w:eastAsia="Times New Roman" w:hAnsi="Times New Roman" w:cs="Times New Roman"/>
          <w:sz w:val="24"/>
          <w:szCs w:val="24"/>
        </w:rPr>
        <w:t>ssões de Engenharia e dá outras providências;</w:t>
      </w:r>
    </w:p>
    <w:p w14:paraId="120905DB"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Lei nº 12.378/2010 regula o exercício da Arquitetura e cria o Conselho de Arquitetura e Urbanismo do Brasil (CAU/BR) e das Unidades da Federação (CAU/UF);</w:t>
      </w:r>
    </w:p>
    <w:p w14:paraId="7F3252F5" w14:textId="77777777" w:rsidR="007A367E" w:rsidRDefault="00DE66BA">
      <w:pPr>
        <w:shd w:val="clear" w:color="auto" w:fill="FFFFFF"/>
        <w:spacing w:after="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c) Lei n° 6.496, DE 07 de dezembro de 1977, que inst</w:t>
      </w:r>
      <w:r>
        <w:rPr>
          <w:rFonts w:ascii="Times New Roman" w:eastAsia="Times New Roman" w:hAnsi="Times New Roman" w:cs="Times New Roman"/>
          <w:sz w:val="24"/>
          <w:szCs w:val="24"/>
        </w:rPr>
        <w:t>itui a “Anotação de Responsabilidade Técnica” na prestação de serviços de Engenharia, autoriza a criação, pelo Conselho Federal de Engenharia, Arquitetura e Agronomia – CONFEA, de uma mútua de assistência profissional, e dá outras providências;</w:t>
      </w:r>
    </w:p>
    <w:p w14:paraId="48A58E3E"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NBR 9050</w:t>
      </w:r>
      <w:r>
        <w:rPr>
          <w:rFonts w:ascii="Times New Roman" w:eastAsia="Times New Roman" w:hAnsi="Times New Roman" w:cs="Times New Roman"/>
          <w:sz w:val="24"/>
          <w:szCs w:val="24"/>
        </w:rPr>
        <w:t>/2015 - ABNT, Lei 10.098/2000, Decreto 5.296/2004 e Decreto 6.949/2009 (acessibilidade)</w:t>
      </w:r>
    </w:p>
    <w:p w14:paraId="124EC980" w14:textId="77777777" w:rsidR="007A367E" w:rsidRDefault="007A367E">
      <w:pPr>
        <w:shd w:val="clear" w:color="auto" w:fill="FFFFFF"/>
        <w:spacing w:after="0" w:line="360" w:lineRule="auto"/>
        <w:jc w:val="both"/>
        <w:rPr>
          <w:rFonts w:ascii="Times New Roman" w:eastAsia="Times New Roman" w:hAnsi="Times New Roman" w:cs="Times New Roman"/>
          <w:sz w:val="24"/>
          <w:szCs w:val="24"/>
        </w:rPr>
      </w:pPr>
    </w:p>
    <w:p w14:paraId="7394F955" w14:textId="77777777" w:rsidR="007A367E" w:rsidRDefault="007A367E">
      <w:pPr>
        <w:shd w:val="clear" w:color="auto" w:fill="FFFFFF"/>
        <w:spacing w:after="0" w:line="360" w:lineRule="auto"/>
        <w:jc w:val="both"/>
        <w:rPr>
          <w:rFonts w:ascii="Times New Roman" w:eastAsia="Times New Roman" w:hAnsi="Times New Roman" w:cs="Times New Roman"/>
          <w:sz w:val="24"/>
          <w:szCs w:val="24"/>
        </w:rPr>
      </w:pPr>
    </w:p>
    <w:p w14:paraId="352E16CF" w14:textId="77777777" w:rsidR="007A367E" w:rsidRDefault="00DE66BA">
      <w:pPr>
        <w:shd w:val="clear" w:color="auto" w:fill="FFFFFF"/>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 ESTIMATIVA DAS QUANTIDADES</w:t>
      </w:r>
    </w:p>
    <w:p w14:paraId="442DD073"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relação entre a demanda prevista e as quantidades de cada item a ser contratado advirá de levantamento detalhado de quantitativos de insumos e serviços, a ser feito pelo corpo técnico do Setor de Engenharia da Secretaria Municipal de Obras, com base em v</w:t>
      </w:r>
      <w:r>
        <w:rPr>
          <w:rFonts w:ascii="Times New Roman" w:eastAsia="Times New Roman" w:hAnsi="Times New Roman" w:cs="Times New Roman"/>
          <w:sz w:val="24"/>
          <w:szCs w:val="24"/>
        </w:rPr>
        <w:t>istoria prévia realizada no imóvel a ser reformado, o que resultará no orçamento completo da obra a ser executada, inclusive com valor final de referência da contratação.</w:t>
      </w:r>
    </w:p>
    <w:p w14:paraId="2CA2B008"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7847FE17"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 JUSTIFICATIVA DA ESCOLHA DO TIPO DE SOLUÇÃO A CONTRATAR</w:t>
      </w:r>
    </w:p>
    <w:p w14:paraId="7CEBBABA" w14:textId="77777777" w:rsidR="007A367E" w:rsidRDefault="007A367E">
      <w:pPr>
        <w:shd w:val="clear" w:color="auto" w:fill="FFFFFF"/>
        <w:spacing w:after="0" w:line="360" w:lineRule="auto"/>
        <w:jc w:val="both"/>
        <w:rPr>
          <w:rFonts w:ascii="Times New Roman" w:eastAsia="Times New Roman" w:hAnsi="Times New Roman" w:cs="Times New Roman"/>
          <w:b/>
          <w:sz w:val="24"/>
          <w:szCs w:val="24"/>
        </w:rPr>
      </w:pPr>
    </w:p>
    <w:p w14:paraId="7A6773DE" w14:textId="77777777" w:rsidR="007A367E" w:rsidRDefault="00DE66BA">
      <w:pPr>
        <w:shd w:val="clear" w:color="auto" w:fill="FFFFFF"/>
        <w:spacing w:after="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“É sabido que a Administração Pública poderá obter o objeto pretendido através da Execução Direta ou da Execução Indireta </w:t>
      </w:r>
    </w:p>
    <w:p w14:paraId="6DD5070E" w14:textId="77777777" w:rsidR="007A367E" w:rsidRDefault="00DE66BA">
      <w:pPr>
        <w:shd w:val="clear" w:color="auto" w:fill="FFFFFF"/>
        <w:spacing w:after="0" w:line="36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Como Execução Direta do objeto pretendido, tem-se a hipótese em que a própria Administração Pública, através de seus próprios meios, </w:t>
      </w:r>
      <w:r>
        <w:rPr>
          <w:rFonts w:ascii="Times New Roman" w:eastAsia="Times New Roman" w:hAnsi="Times New Roman" w:cs="Times New Roman"/>
          <w:i/>
          <w:sz w:val="24"/>
          <w:szCs w:val="24"/>
        </w:rPr>
        <w:t>ou seja, os seus próprios órgãos e entidades, executam o serviço pretendido. Para que se configure a dita espécie de execução, deverá a Administração Pública, efetivamente, deter a totalidade dos meios necessários à concretização do fim pretendido, ou seja</w:t>
      </w:r>
      <w:r>
        <w:rPr>
          <w:rFonts w:ascii="Times New Roman" w:eastAsia="Times New Roman" w:hAnsi="Times New Roman" w:cs="Times New Roman"/>
          <w:i/>
          <w:sz w:val="24"/>
          <w:szCs w:val="24"/>
        </w:rPr>
        <w:t xml:space="preserve">, deverá deter toda a estrutura, expertise técnica, pessoal, </w:t>
      </w:r>
      <w:proofErr w:type="spellStart"/>
      <w:r>
        <w:rPr>
          <w:rFonts w:ascii="Times New Roman" w:eastAsia="Times New Roman" w:hAnsi="Times New Roman" w:cs="Times New Roman"/>
          <w:i/>
          <w:sz w:val="24"/>
          <w:szCs w:val="24"/>
        </w:rPr>
        <w:t>etc</w:t>
      </w:r>
      <w:proofErr w:type="spellEnd"/>
      <w:r>
        <w:rPr>
          <w:rFonts w:ascii="Times New Roman" w:eastAsia="Times New Roman" w:hAnsi="Times New Roman" w:cs="Times New Roman"/>
          <w:i/>
          <w:sz w:val="24"/>
          <w:szCs w:val="24"/>
        </w:rPr>
        <w:t xml:space="preserve"> à conclusão dos serviços pretendidos, sob pena de não se configurar a hipótese em questão, impondo a contratação de terceiro para sua execução, respeitadas as disposições inerentes ao process</w:t>
      </w:r>
      <w:r>
        <w:rPr>
          <w:rFonts w:ascii="Times New Roman" w:eastAsia="Times New Roman" w:hAnsi="Times New Roman" w:cs="Times New Roman"/>
          <w:i/>
          <w:sz w:val="24"/>
          <w:szCs w:val="24"/>
        </w:rPr>
        <w:t>o licitatório.</w:t>
      </w:r>
    </w:p>
    <w:p w14:paraId="207C8439"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Já a Execução Indireta se dá quando a Administração Pública, para obter o que pretende, necessita contratar terceiros para executar o serviço necessitado ou fornecer o produto almejado. Tal espécie de execução do objeto contratado se dá atr</w:t>
      </w:r>
      <w:r>
        <w:rPr>
          <w:rFonts w:ascii="Times New Roman" w:eastAsia="Times New Roman" w:hAnsi="Times New Roman" w:cs="Times New Roman"/>
          <w:i/>
          <w:sz w:val="24"/>
          <w:szCs w:val="24"/>
        </w:rPr>
        <w:t xml:space="preserve">avés das seguintes formas: Empreitada por Preço Global; </w:t>
      </w:r>
      <w:proofErr w:type="gramStart"/>
      <w:r>
        <w:rPr>
          <w:rFonts w:ascii="Times New Roman" w:eastAsia="Times New Roman" w:hAnsi="Times New Roman" w:cs="Times New Roman"/>
          <w:i/>
          <w:sz w:val="24"/>
          <w:szCs w:val="24"/>
        </w:rPr>
        <w:t>Empreitada</w:t>
      </w:r>
      <w:proofErr w:type="gramEnd"/>
      <w:r>
        <w:rPr>
          <w:rFonts w:ascii="Times New Roman" w:eastAsia="Times New Roman" w:hAnsi="Times New Roman" w:cs="Times New Roman"/>
          <w:i/>
          <w:sz w:val="24"/>
          <w:szCs w:val="24"/>
        </w:rPr>
        <w:t xml:space="preserve"> por Preço Unitário; Tarefa; Empreitada Integral.”</w:t>
      </w:r>
      <w:r>
        <w:rPr>
          <w:rFonts w:ascii="Times New Roman" w:eastAsia="Times New Roman" w:hAnsi="Times New Roman" w:cs="Times New Roman"/>
          <w:sz w:val="24"/>
          <w:szCs w:val="24"/>
        </w:rPr>
        <w:t xml:space="preserve"> AZEVEDO, Rodrigo. Como contratar com a Administração Pública - as espécies de execução do contrato administrativo. Disponível </w:t>
      </w:r>
      <w:r>
        <w:rPr>
          <w:rFonts w:ascii="Times New Roman" w:eastAsia="Times New Roman" w:hAnsi="Times New Roman" w:cs="Times New Roman"/>
          <w:sz w:val="24"/>
          <w:szCs w:val="24"/>
        </w:rPr>
        <w:lastRenderedPageBreak/>
        <w:t>em: wwwrodrig</w:t>
      </w:r>
      <w:r>
        <w:rPr>
          <w:rFonts w:ascii="Times New Roman" w:eastAsia="Times New Roman" w:hAnsi="Times New Roman" w:cs="Times New Roman"/>
          <w:sz w:val="24"/>
          <w:szCs w:val="24"/>
        </w:rPr>
        <w:t>oazevedoadvocaciacom.jusbrasil.com.br/ artigos/136583889/Acesso em: 31 de janeiro de 2020.</w:t>
      </w:r>
    </w:p>
    <w:p w14:paraId="63E933FB"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Levando-se em conta as características do objeto a ser contratado, entende-se que a melhor solução para a contratação é a execução indireta, através de empreitada p</w:t>
      </w:r>
      <w:r>
        <w:rPr>
          <w:rFonts w:ascii="Times New Roman" w:eastAsia="Times New Roman" w:hAnsi="Times New Roman" w:cs="Times New Roman"/>
          <w:sz w:val="24"/>
          <w:szCs w:val="24"/>
        </w:rPr>
        <w:t>or preço global, tendo em vista que a Secretaria Municipal de Obras não possui meios necessários à concretização do objeto e que há meios de definir claramente os aspectos quantitativos do objeto a ser executado. Nesse caso, pode ser estabelecido um padrão</w:t>
      </w:r>
      <w:r>
        <w:rPr>
          <w:rFonts w:ascii="Times New Roman" w:eastAsia="Times New Roman" w:hAnsi="Times New Roman" w:cs="Times New Roman"/>
          <w:sz w:val="24"/>
          <w:szCs w:val="24"/>
        </w:rPr>
        <w:t xml:space="preserve"> ou uma unidade de medida, para fins de aferição do valor a ser pago ao contratado, o que será feito após o período de medição e a verificação da conformidade da prestação com a obrigação ajustada.</w:t>
      </w:r>
    </w:p>
    <w:p w14:paraId="047C03A5"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24A49427"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 ESTIMATIVAS PRELIMINARES DOS PREÇOS </w:t>
      </w:r>
    </w:p>
    <w:p w14:paraId="58D47362"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estimativa de </w:t>
      </w:r>
      <w:r>
        <w:rPr>
          <w:rFonts w:ascii="Times New Roman" w:eastAsia="Times New Roman" w:hAnsi="Times New Roman" w:cs="Times New Roman"/>
          <w:sz w:val="24"/>
          <w:szCs w:val="24"/>
        </w:rPr>
        <w:t xml:space="preserve">preços da contratação será compatível com os quantitativos levantados no projeto básico e com os preços da EMOP - Empresa Municipal de Obras </w:t>
      </w:r>
      <w:proofErr w:type="spellStart"/>
      <w:r>
        <w:rPr>
          <w:rFonts w:ascii="Times New Roman" w:eastAsia="Times New Roman" w:hAnsi="Times New Roman" w:cs="Times New Roman"/>
          <w:sz w:val="24"/>
          <w:szCs w:val="24"/>
        </w:rPr>
        <w:t>Públicas.Tal</w:t>
      </w:r>
      <w:proofErr w:type="spellEnd"/>
      <w:r>
        <w:rPr>
          <w:rFonts w:ascii="Times New Roman" w:eastAsia="Times New Roman" w:hAnsi="Times New Roman" w:cs="Times New Roman"/>
          <w:sz w:val="24"/>
          <w:szCs w:val="24"/>
        </w:rPr>
        <w:t xml:space="preserve"> sistema de custos da construção civil.</w:t>
      </w:r>
    </w:p>
    <w:p w14:paraId="695B60EC"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Preliminarmente, baseados em orçamento prévio estimativo e em v</w:t>
      </w:r>
      <w:r>
        <w:rPr>
          <w:rFonts w:ascii="Times New Roman" w:eastAsia="Times New Roman" w:hAnsi="Times New Roman" w:cs="Times New Roman"/>
          <w:sz w:val="24"/>
          <w:szCs w:val="24"/>
        </w:rPr>
        <w:t>alores obtidos em outras obras similares executadas no âmbito deste Município, estimamos em R$200.000,00 (</w:t>
      </w:r>
      <w:proofErr w:type="gramStart"/>
      <w:r>
        <w:rPr>
          <w:rFonts w:ascii="Times New Roman" w:eastAsia="Times New Roman" w:hAnsi="Times New Roman" w:cs="Times New Roman"/>
          <w:sz w:val="24"/>
          <w:szCs w:val="24"/>
        </w:rPr>
        <w:t>duzentos  mil</w:t>
      </w:r>
      <w:proofErr w:type="gramEnd"/>
      <w:r>
        <w:rPr>
          <w:rFonts w:ascii="Times New Roman" w:eastAsia="Times New Roman" w:hAnsi="Times New Roman" w:cs="Times New Roman"/>
          <w:sz w:val="24"/>
          <w:szCs w:val="24"/>
        </w:rPr>
        <w:t xml:space="preserve"> reais) o valor de referência da contratação ora pretendida.</w:t>
      </w:r>
    </w:p>
    <w:p w14:paraId="71A23445" w14:textId="77777777" w:rsidR="007A367E" w:rsidRDefault="007A367E">
      <w:pPr>
        <w:shd w:val="clear" w:color="auto" w:fill="FFFFFF"/>
        <w:spacing w:after="0" w:line="360" w:lineRule="auto"/>
        <w:jc w:val="both"/>
        <w:rPr>
          <w:rFonts w:ascii="Times New Roman" w:eastAsia="Times New Roman" w:hAnsi="Times New Roman" w:cs="Times New Roman"/>
          <w:b/>
          <w:sz w:val="24"/>
          <w:szCs w:val="24"/>
        </w:rPr>
      </w:pPr>
    </w:p>
    <w:p w14:paraId="76BC228A"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 DESCRIÇÃO DA SOLUÇÃO</w:t>
      </w:r>
    </w:p>
    <w:p w14:paraId="2A86027E"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 contratação destina-se à execução de reforma </w:t>
      </w:r>
      <w:r>
        <w:rPr>
          <w:rFonts w:ascii="Times New Roman" w:eastAsia="Times New Roman" w:hAnsi="Times New Roman" w:cs="Times New Roman"/>
          <w:sz w:val="24"/>
          <w:szCs w:val="24"/>
        </w:rPr>
        <w:t>da Ponte Márcio Correa.</w:t>
      </w:r>
    </w:p>
    <w:p w14:paraId="721A6713" w14:textId="77777777" w:rsidR="007A367E" w:rsidRDefault="00DE66BA">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Tais serviços:</w:t>
      </w:r>
    </w:p>
    <w:p w14:paraId="79F132CB" w14:textId="77777777" w:rsidR="007A367E" w:rsidRDefault="00DE66BA">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Recuperação de Guarda-Corpos e Estruturas de Concreto Armado;</w:t>
      </w:r>
    </w:p>
    <w:p w14:paraId="35368F5B" w14:textId="77777777" w:rsidR="007A367E" w:rsidRDefault="00DE66BA">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Recuperação do Sistema de Drenagem;</w:t>
      </w:r>
    </w:p>
    <w:p w14:paraId="09266869" w14:textId="77777777" w:rsidR="007A367E" w:rsidRDefault="00DE66BA">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Pavimentação;</w:t>
      </w:r>
    </w:p>
    <w:p w14:paraId="21802929" w14:textId="77777777" w:rsidR="007A367E" w:rsidRDefault="00DE66BA">
      <w:pPr>
        <w:numPr>
          <w:ilvl w:val="0"/>
          <w:numId w:val="2"/>
        </w:num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Pintura;</w:t>
      </w:r>
    </w:p>
    <w:p w14:paraId="4CB7D965"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reforma se dará de conformidade com o previsto no projeto básico, memoriais descritivos, esp</w:t>
      </w:r>
      <w:r>
        <w:rPr>
          <w:rFonts w:ascii="Times New Roman" w:eastAsia="Times New Roman" w:hAnsi="Times New Roman" w:cs="Times New Roman"/>
          <w:sz w:val="24"/>
          <w:szCs w:val="24"/>
        </w:rPr>
        <w:t>ecificações técnicas, planilhas orçamentárias e cronograma físico-financeiro, que serão elaborados em momento oportuno pelo setor competente, já tendo sido aqui demonstrado que a melhor forma de execução dos serviços é a indireta, através de empreitada por</w:t>
      </w:r>
      <w:r>
        <w:rPr>
          <w:rFonts w:ascii="Times New Roman" w:eastAsia="Times New Roman" w:hAnsi="Times New Roman" w:cs="Times New Roman"/>
          <w:sz w:val="24"/>
          <w:szCs w:val="24"/>
        </w:rPr>
        <w:t xml:space="preserve"> preço global.</w:t>
      </w:r>
    </w:p>
    <w:p w14:paraId="441BC6D1"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78A71292" w14:textId="77777777" w:rsidR="007A367E" w:rsidRDefault="007A367E">
      <w:pPr>
        <w:shd w:val="clear" w:color="auto" w:fill="FFFFFF"/>
        <w:spacing w:after="0" w:line="360" w:lineRule="auto"/>
        <w:jc w:val="both"/>
        <w:rPr>
          <w:rFonts w:ascii="Times New Roman" w:eastAsia="Times New Roman" w:hAnsi="Times New Roman" w:cs="Times New Roman"/>
          <w:sz w:val="24"/>
          <w:szCs w:val="24"/>
        </w:rPr>
      </w:pPr>
    </w:p>
    <w:p w14:paraId="3C80524A"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8 - JUSTIFICATIVAS PARA O PARCELAMENTO OU NÃO DA SOLUÇÃO</w:t>
      </w:r>
    </w:p>
    <w:p w14:paraId="21E1C66A"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parcelamento da solução não é recomendável, devendo optar-se pela via alternativa, por ser o ideal no caso em tela, do ponto de vista da eficiência técnica, haja vista que assim o </w:t>
      </w:r>
      <w:r>
        <w:rPr>
          <w:rFonts w:ascii="Times New Roman" w:eastAsia="Times New Roman" w:hAnsi="Times New Roman" w:cs="Times New Roman"/>
          <w:sz w:val="24"/>
          <w:szCs w:val="24"/>
        </w:rPr>
        <w:t>gerenciamento da obra permanecerá sempre a cargo de um único contratado, resultando num maior nível de controle da execução dos serviços por parte da administração, concentrando a responsabilidade da obra e a garantia dos resultados numa única pessoa juríd</w:t>
      </w:r>
      <w:r>
        <w:rPr>
          <w:rFonts w:ascii="Times New Roman" w:eastAsia="Times New Roman" w:hAnsi="Times New Roman" w:cs="Times New Roman"/>
          <w:sz w:val="24"/>
          <w:szCs w:val="24"/>
        </w:rPr>
        <w:t xml:space="preserve">ica. </w:t>
      </w:r>
    </w:p>
    <w:p w14:paraId="6D8588B4"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Ressalte-se que em obras com serviços inter-relacionados, o atraso em uma etapa construtiva implica em atraso nas demais etapas, ocasionando aumento de custo e comprometimento dos marcos intermediários e da entrega da obra.  </w:t>
      </w:r>
    </w:p>
    <w:p w14:paraId="36DA4412"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Assim, para execução de obras de reforma de pontes, não há viabilidade técnica na divisão dos serviços, que em sua grande maioria são interdependentes, devendo ser executados por uma mesma empresa para garantir a responsabilidade técnica dos serviços. Tam</w:t>
      </w:r>
      <w:r>
        <w:rPr>
          <w:rFonts w:ascii="Times New Roman" w:eastAsia="Times New Roman" w:hAnsi="Times New Roman" w:cs="Times New Roman"/>
          <w:sz w:val="24"/>
          <w:szCs w:val="24"/>
        </w:rPr>
        <w:t>bém não há viabilidade econômica, pois a tendência é que o custo seja reduzido para obras maiores em função da diluição dos custos administrativos e lucro. A divisão gera perda de escala, não amplia a competitividade e não melhora o aproveitamento do merca</w:t>
      </w:r>
      <w:r>
        <w:rPr>
          <w:rFonts w:ascii="Times New Roman" w:eastAsia="Times New Roman" w:hAnsi="Times New Roman" w:cs="Times New Roman"/>
          <w:sz w:val="24"/>
          <w:szCs w:val="24"/>
        </w:rPr>
        <w:t xml:space="preserve">do, pois os serviços são executados por empresas de mesmo ramo de atividade. </w:t>
      </w:r>
    </w:p>
    <w:p w14:paraId="6E7248EB"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Então, pelas razões expostas, recomendamos que a contratação não seja parcelada, por não ser vantajoso para a administração ou por representar possível prejuízo ao conjunto do ob</w:t>
      </w:r>
      <w:r>
        <w:rPr>
          <w:rFonts w:ascii="Times New Roman" w:eastAsia="Times New Roman" w:hAnsi="Times New Roman" w:cs="Times New Roman"/>
          <w:sz w:val="24"/>
          <w:szCs w:val="24"/>
        </w:rPr>
        <w:t>jeto a ser contratado.</w:t>
      </w:r>
    </w:p>
    <w:p w14:paraId="31644C2B"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6FCADD91"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9 - RESULTADOS PRETENDIDOS </w:t>
      </w:r>
    </w:p>
    <w:p w14:paraId="54A2FC9C"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solução deverá permitir o alcance dos seguintes resultados:</w:t>
      </w:r>
    </w:p>
    <w:p w14:paraId="0BC1CD1C"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before="300"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1)Segurança </w:t>
      </w:r>
      <w:proofErr w:type="gramStart"/>
      <w:r>
        <w:rPr>
          <w:rFonts w:ascii="Times New Roman" w:eastAsia="Times New Roman" w:hAnsi="Times New Roman" w:cs="Times New Roman"/>
          <w:sz w:val="24"/>
          <w:szCs w:val="24"/>
        </w:rPr>
        <w:t>Aprimorada :</w:t>
      </w:r>
      <w:proofErr w:type="gramEnd"/>
    </w:p>
    <w:p w14:paraId="24E655E2"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2) Durabilidade </w:t>
      </w:r>
      <w:proofErr w:type="gramStart"/>
      <w:r>
        <w:rPr>
          <w:rFonts w:ascii="Times New Roman" w:eastAsia="Times New Roman" w:hAnsi="Times New Roman" w:cs="Times New Roman"/>
          <w:sz w:val="24"/>
          <w:szCs w:val="24"/>
        </w:rPr>
        <w:t>Aumentada :</w:t>
      </w:r>
      <w:proofErr w:type="gramEnd"/>
    </w:p>
    <w:p w14:paraId="3379871C"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3) Manutenção de Funcionalidade:</w:t>
      </w:r>
    </w:p>
    <w:p w14:paraId="58410600"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4)Estética </w:t>
      </w:r>
      <w:proofErr w:type="gramStart"/>
      <w:r>
        <w:rPr>
          <w:rFonts w:ascii="Times New Roman" w:eastAsia="Times New Roman" w:hAnsi="Times New Roman" w:cs="Times New Roman"/>
          <w:sz w:val="24"/>
          <w:szCs w:val="24"/>
        </w:rPr>
        <w:t>Melhorada :</w:t>
      </w:r>
      <w:proofErr w:type="gramEnd"/>
    </w:p>
    <w:p w14:paraId="51901D1E"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5)Aumento da Vida Útil da </w:t>
      </w:r>
      <w:proofErr w:type="gramStart"/>
      <w:r>
        <w:rPr>
          <w:rFonts w:ascii="Times New Roman" w:eastAsia="Times New Roman" w:hAnsi="Times New Roman" w:cs="Times New Roman"/>
          <w:sz w:val="24"/>
          <w:szCs w:val="24"/>
        </w:rPr>
        <w:t>Ponte ;</w:t>
      </w:r>
      <w:proofErr w:type="gramEnd"/>
    </w:p>
    <w:p w14:paraId="20B9F00D"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6)Redução de Custos a Longo </w:t>
      </w:r>
      <w:proofErr w:type="gramStart"/>
      <w:r>
        <w:rPr>
          <w:rFonts w:ascii="Times New Roman" w:eastAsia="Times New Roman" w:hAnsi="Times New Roman" w:cs="Times New Roman"/>
          <w:sz w:val="24"/>
          <w:szCs w:val="24"/>
        </w:rPr>
        <w:t>Prazo :</w:t>
      </w:r>
      <w:proofErr w:type="gramEnd"/>
    </w:p>
    <w:p w14:paraId="183AE8A2" w14:textId="77777777" w:rsidR="007A367E" w:rsidRDefault="00DE66BA">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7)</w:t>
      </w:r>
      <w:proofErr w:type="gramStart"/>
      <w:r>
        <w:rPr>
          <w:rFonts w:ascii="Times New Roman" w:eastAsia="Times New Roman" w:hAnsi="Times New Roman" w:cs="Times New Roman"/>
          <w:sz w:val="24"/>
          <w:szCs w:val="24"/>
        </w:rPr>
        <w:t>Sustentabilidade :</w:t>
      </w:r>
      <w:proofErr w:type="gramEnd"/>
    </w:p>
    <w:p w14:paraId="26FB5463" w14:textId="77777777" w:rsidR="007A367E" w:rsidRDefault="007A367E">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0" w:line="360" w:lineRule="auto"/>
        <w:rPr>
          <w:rFonts w:ascii="Times New Roman" w:eastAsia="Times New Roman" w:hAnsi="Times New Roman" w:cs="Times New Roman"/>
          <w:color w:val="000000"/>
        </w:rPr>
      </w:pPr>
    </w:p>
    <w:p w14:paraId="12E12306" w14:textId="77777777" w:rsidR="007A367E" w:rsidRDefault="007A367E">
      <w:pPr>
        <w:numPr>
          <w:ilvl w:val="0"/>
          <w:numId w:val="1"/>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line="360" w:lineRule="auto"/>
        <w:rPr>
          <w:rFonts w:ascii="Times New Roman" w:eastAsia="Times New Roman" w:hAnsi="Times New Roman" w:cs="Times New Roman"/>
          <w:sz w:val="24"/>
          <w:szCs w:val="24"/>
        </w:rPr>
      </w:pPr>
    </w:p>
    <w:p w14:paraId="6209547A" w14:textId="77777777" w:rsidR="007A367E" w:rsidRDefault="00DE66BA">
      <w:pPr>
        <w:shd w:val="clear" w:color="auto" w:fill="FFFFFF"/>
        <w:spacing w:before="24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10 – IMPACTOS AMBIENTAIS</w:t>
      </w:r>
    </w:p>
    <w:p w14:paraId="1AFAA81C"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Geração de resíduos sólidos comuns </w:t>
      </w:r>
      <w:proofErr w:type="gramStart"/>
      <w:r>
        <w:rPr>
          <w:rFonts w:ascii="Times New Roman" w:eastAsia="Times New Roman" w:hAnsi="Times New Roman" w:cs="Times New Roman"/>
          <w:sz w:val="24"/>
          <w:szCs w:val="24"/>
        </w:rPr>
        <w:t>à</w:t>
      </w:r>
      <w:proofErr w:type="gramEnd"/>
      <w:r>
        <w:rPr>
          <w:rFonts w:ascii="Times New Roman" w:eastAsia="Times New Roman" w:hAnsi="Times New Roman" w:cs="Times New Roman"/>
          <w:sz w:val="24"/>
          <w:szCs w:val="24"/>
        </w:rPr>
        <w:t xml:space="preserve"> obras de construção civil, com previsão de destinação nos termos da Resolução CONAMA n. 307/2002 inclusa nas obrigações da contratada.</w:t>
      </w:r>
    </w:p>
    <w:p w14:paraId="1D100135"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0A0B093A"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 VIABILIDADE OU NÃO DA CONTRATAÇÃO</w:t>
      </w:r>
    </w:p>
    <w:p w14:paraId="646DA7AC"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estudos preliminares evidenciam que a contratação da solução ora descrita, ou seja, de empresa de engenharia para execução de reforma da Ponte Márcio Correa, mostra-se tecnicamente possível e fundamentadamente necessária.</w:t>
      </w:r>
    </w:p>
    <w:p w14:paraId="5DC654C3" w14:textId="77777777" w:rsidR="007A367E" w:rsidRDefault="00DE66BA">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Diante do exposto, declara-se s</w:t>
      </w:r>
      <w:r>
        <w:rPr>
          <w:rFonts w:ascii="Times New Roman" w:eastAsia="Times New Roman" w:hAnsi="Times New Roman" w:cs="Times New Roman"/>
          <w:sz w:val="24"/>
          <w:szCs w:val="24"/>
        </w:rPr>
        <w:t>er viável a contratação pretendida.</w:t>
      </w:r>
    </w:p>
    <w:p w14:paraId="1CAEB088"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74B71643"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LEVANTAMENTO DE RISCOS, CAUSAS, SEUS EFEITOS E AÇÕES</w:t>
      </w:r>
    </w:p>
    <w:p w14:paraId="2EDE05C5" w14:textId="77777777" w:rsidR="007A367E" w:rsidRDefault="007A367E">
      <w:pPr>
        <w:shd w:val="clear" w:color="auto" w:fill="FFFFFF"/>
        <w:spacing w:after="0" w:line="360" w:lineRule="auto"/>
        <w:jc w:val="both"/>
        <w:rPr>
          <w:rFonts w:ascii="Times New Roman" w:eastAsia="Times New Roman" w:hAnsi="Times New Roman" w:cs="Times New Roman"/>
          <w:b/>
          <w:sz w:val="24"/>
          <w:szCs w:val="24"/>
        </w:rPr>
      </w:pPr>
    </w:p>
    <w:p w14:paraId="1690331B"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F98A443" wp14:editId="6DE264B2">
            <wp:extent cx="5743575" cy="762952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43575" cy="7629525"/>
                    </a:xfrm>
                    <a:prstGeom prst="rect">
                      <a:avLst/>
                    </a:prstGeom>
                    <a:ln/>
                  </pic:spPr>
                </pic:pic>
              </a:graphicData>
            </a:graphic>
          </wp:inline>
        </w:drawing>
      </w:r>
    </w:p>
    <w:p w14:paraId="350552CC"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213DF002" wp14:editId="602D5391">
            <wp:extent cx="5800725" cy="8258175"/>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800725" cy="8258175"/>
                    </a:xfrm>
                    <a:prstGeom prst="rect">
                      <a:avLst/>
                    </a:prstGeom>
                    <a:ln/>
                  </pic:spPr>
                </pic:pic>
              </a:graphicData>
            </a:graphic>
          </wp:inline>
        </w:drawing>
      </w:r>
    </w:p>
    <w:p w14:paraId="28463A99"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5EBCF85" wp14:editId="02850619">
            <wp:extent cx="5781675" cy="73247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81675" cy="7324725"/>
                    </a:xfrm>
                    <a:prstGeom prst="rect">
                      <a:avLst/>
                    </a:prstGeom>
                    <a:ln/>
                  </pic:spPr>
                </pic:pic>
              </a:graphicData>
            </a:graphic>
          </wp:inline>
        </w:drawing>
      </w:r>
    </w:p>
    <w:p w14:paraId="2942B4EF"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447AC52" wp14:editId="0CAAAB53">
            <wp:extent cx="5772150" cy="74390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72150" cy="7439025"/>
                    </a:xfrm>
                    <a:prstGeom prst="rect">
                      <a:avLst/>
                    </a:prstGeom>
                    <a:ln/>
                  </pic:spPr>
                </pic:pic>
              </a:graphicData>
            </a:graphic>
          </wp:inline>
        </w:drawing>
      </w:r>
    </w:p>
    <w:p w14:paraId="7F23F4E2"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A7B37FE" wp14:editId="341FBE87">
            <wp:extent cx="5886450" cy="648652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886450" cy="6486525"/>
                    </a:xfrm>
                    <a:prstGeom prst="rect">
                      <a:avLst/>
                    </a:prstGeom>
                    <a:ln/>
                  </pic:spPr>
                </pic:pic>
              </a:graphicData>
            </a:graphic>
          </wp:inline>
        </w:drawing>
      </w:r>
    </w:p>
    <w:p w14:paraId="21768DEC"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0DCFDCF" wp14:editId="7901D3F3">
            <wp:extent cx="6299615" cy="4229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299615" cy="4229100"/>
                    </a:xfrm>
                    <a:prstGeom prst="rect">
                      <a:avLst/>
                    </a:prstGeom>
                    <a:ln/>
                  </pic:spPr>
                </pic:pic>
              </a:graphicData>
            </a:graphic>
          </wp:inline>
        </w:drawing>
      </w:r>
    </w:p>
    <w:p w14:paraId="5C2F481C" w14:textId="77777777" w:rsidR="007A367E" w:rsidRDefault="007A367E">
      <w:pPr>
        <w:shd w:val="clear" w:color="auto" w:fill="FFFFFF"/>
        <w:spacing w:after="0" w:line="360" w:lineRule="auto"/>
        <w:jc w:val="both"/>
        <w:rPr>
          <w:rFonts w:ascii="Times New Roman" w:eastAsia="Times New Roman" w:hAnsi="Times New Roman" w:cs="Times New Roman"/>
          <w:sz w:val="24"/>
          <w:szCs w:val="24"/>
        </w:rPr>
      </w:pPr>
    </w:p>
    <w:p w14:paraId="1CEE4EEA" w14:textId="77777777" w:rsidR="007A367E" w:rsidRDefault="007A367E">
      <w:pPr>
        <w:shd w:val="clear" w:color="auto" w:fill="FFFFFF"/>
        <w:spacing w:after="0" w:line="360" w:lineRule="auto"/>
        <w:ind w:firstLine="720"/>
        <w:jc w:val="both"/>
        <w:rPr>
          <w:rFonts w:ascii="Times New Roman" w:eastAsia="Times New Roman" w:hAnsi="Times New Roman" w:cs="Times New Roman"/>
          <w:sz w:val="24"/>
          <w:szCs w:val="24"/>
        </w:rPr>
      </w:pPr>
    </w:p>
    <w:p w14:paraId="7D561A55" w14:textId="77777777" w:rsidR="007A367E" w:rsidRDefault="00DE66BA">
      <w:pPr>
        <w:shd w:val="clear" w:color="auto" w:fill="FFFFFF"/>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 CONTROLE DE ELABORAÇÃO</w:t>
      </w:r>
    </w:p>
    <w:tbl>
      <w:tblPr>
        <w:tblStyle w:val="a"/>
        <w:tblW w:w="92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1830"/>
        <w:gridCol w:w="3151"/>
      </w:tblGrid>
      <w:tr w:rsidR="007A367E" w14:paraId="38890311" w14:textId="77777777">
        <w:trPr>
          <w:trHeight w:val="375"/>
        </w:trPr>
        <w:tc>
          <w:tcPr>
            <w:tcW w:w="4253" w:type="dxa"/>
            <w:vAlign w:val="center"/>
          </w:tcPr>
          <w:p w14:paraId="6B3D18FA" w14:textId="77777777" w:rsidR="007A367E" w:rsidRDefault="00DE66B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Elaborador</w:t>
            </w:r>
          </w:p>
        </w:tc>
        <w:tc>
          <w:tcPr>
            <w:tcW w:w="1830" w:type="dxa"/>
            <w:vAlign w:val="center"/>
          </w:tcPr>
          <w:p w14:paraId="21F41074" w14:textId="77777777" w:rsidR="007A367E" w:rsidRDefault="00DE66B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Matrícula</w:t>
            </w:r>
          </w:p>
        </w:tc>
        <w:tc>
          <w:tcPr>
            <w:tcW w:w="3151" w:type="dxa"/>
            <w:vAlign w:val="center"/>
          </w:tcPr>
          <w:p w14:paraId="2B27FFB1" w14:textId="77777777" w:rsidR="007A367E" w:rsidRDefault="00DE66B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Rubrica</w:t>
            </w:r>
          </w:p>
        </w:tc>
      </w:tr>
      <w:tr w:rsidR="007A367E" w14:paraId="385283CC" w14:textId="77777777">
        <w:trPr>
          <w:trHeight w:val="276"/>
        </w:trPr>
        <w:tc>
          <w:tcPr>
            <w:tcW w:w="4253" w:type="dxa"/>
            <w:vAlign w:val="center"/>
          </w:tcPr>
          <w:p w14:paraId="7B476DE0" w14:textId="77777777" w:rsidR="007A367E" w:rsidRDefault="00DE66BA">
            <w:pPr>
              <w:jc w:val="center"/>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Thayná</w:t>
            </w:r>
            <w:proofErr w:type="spellEnd"/>
            <w:r>
              <w:rPr>
                <w:rFonts w:ascii="Times New Roman" w:eastAsia="Times New Roman" w:hAnsi="Times New Roman" w:cs="Times New Roman"/>
                <w:i/>
                <w:sz w:val="24"/>
                <w:szCs w:val="24"/>
              </w:rPr>
              <w:t xml:space="preserve"> Senos Xavier</w:t>
            </w:r>
          </w:p>
        </w:tc>
        <w:tc>
          <w:tcPr>
            <w:tcW w:w="1830" w:type="dxa"/>
            <w:vAlign w:val="center"/>
          </w:tcPr>
          <w:p w14:paraId="7E4F2E3F" w14:textId="77777777" w:rsidR="007A367E" w:rsidRDefault="00DE66BA">
            <w:pPr>
              <w:jc w:val="center"/>
              <w:rPr>
                <w:rFonts w:ascii="Times New Roman" w:eastAsia="Times New Roman" w:hAnsi="Times New Roman" w:cs="Times New Roman"/>
                <w:i/>
                <w:sz w:val="24"/>
                <w:szCs w:val="24"/>
                <w:u w:val="single"/>
              </w:rPr>
            </w:pPr>
            <w:r>
              <w:rPr>
                <w:rFonts w:ascii="Times New Roman" w:eastAsia="Times New Roman" w:hAnsi="Times New Roman" w:cs="Times New Roman"/>
                <w:i/>
                <w:sz w:val="22"/>
                <w:szCs w:val="22"/>
              </w:rPr>
              <w:t>230411610</w:t>
            </w:r>
          </w:p>
        </w:tc>
        <w:tc>
          <w:tcPr>
            <w:tcW w:w="3151" w:type="dxa"/>
            <w:vAlign w:val="center"/>
          </w:tcPr>
          <w:p w14:paraId="3EAE1B1A" w14:textId="77777777" w:rsidR="007A367E" w:rsidRDefault="007A367E">
            <w:pPr>
              <w:jc w:val="both"/>
              <w:rPr>
                <w:rFonts w:ascii="Times New Roman" w:eastAsia="Times New Roman" w:hAnsi="Times New Roman" w:cs="Times New Roman"/>
                <w:i/>
                <w:sz w:val="24"/>
                <w:szCs w:val="24"/>
              </w:rPr>
            </w:pPr>
          </w:p>
        </w:tc>
      </w:tr>
    </w:tbl>
    <w:p w14:paraId="5096EA4C" w14:textId="77777777" w:rsidR="007A367E" w:rsidRDefault="007A367E">
      <w:pPr>
        <w:spacing w:after="0" w:line="276" w:lineRule="auto"/>
        <w:rPr>
          <w:rFonts w:ascii="Times New Roman" w:eastAsia="Times New Roman" w:hAnsi="Times New Roman" w:cs="Times New Roman"/>
          <w:b/>
          <w:sz w:val="24"/>
          <w:szCs w:val="24"/>
          <w:u w:val="single"/>
        </w:rPr>
      </w:pPr>
    </w:p>
    <w:p w14:paraId="48A7407F" w14:textId="77777777" w:rsidR="007A367E" w:rsidRDefault="007A367E">
      <w:pPr>
        <w:spacing w:after="0" w:line="276" w:lineRule="auto"/>
        <w:rPr>
          <w:rFonts w:ascii="Times New Roman" w:eastAsia="Times New Roman" w:hAnsi="Times New Roman" w:cs="Times New Roman"/>
          <w:b/>
          <w:sz w:val="24"/>
          <w:szCs w:val="24"/>
          <w:u w:val="single"/>
        </w:rPr>
      </w:pPr>
    </w:p>
    <w:p w14:paraId="53622EA3" w14:textId="77777777" w:rsidR="007A367E" w:rsidRDefault="007A367E">
      <w:pPr>
        <w:spacing w:after="0" w:line="276" w:lineRule="auto"/>
        <w:rPr>
          <w:rFonts w:ascii="Times New Roman" w:eastAsia="Times New Roman" w:hAnsi="Times New Roman" w:cs="Times New Roman"/>
          <w:b/>
          <w:sz w:val="24"/>
          <w:szCs w:val="24"/>
          <w:u w:val="single"/>
        </w:rPr>
      </w:pPr>
    </w:p>
    <w:p w14:paraId="78A40FA2" w14:textId="77777777" w:rsidR="007A367E" w:rsidRDefault="007A367E">
      <w:pPr>
        <w:spacing w:after="0" w:line="276" w:lineRule="auto"/>
        <w:rPr>
          <w:rFonts w:ascii="Times New Roman" w:eastAsia="Times New Roman" w:hAnsi="Times New Roman" w:cs="Times New Roman"/>
          <w:b/>
          <w:sz w:val="24"/>
          <w:szCs w:val="24"/>
          <w:u w:val="single"/>
        </w:rPr>
      </w:pPr>
    </w:p>
    <w:p w14:paraId="48F8B3AF" w14:textId="77777777" w:rsidR="007A367E" w:rsidRDefault="007A367E">
      <w:pPr>
        <w:spacing w:after="0" w:line="276" w:lineRule="auto"/>
        <w:rPr>
          <w:rFonts w:ascii="Times New Roman" w:eastAsia="Times New Roman" w:hAnsi="Times New Roman" w:cs="Times New Roman"/>
          <w:b/>
          <w:sz w:val="24"/>
          <w:szCs w:val="24"/>
          <w:u w:val="single"/>
        </w:rPr>
      </w:pPr>
    </w:p>
    <w:p w14:paraId="081227E7" w14:textId="77777777" w:rsidR="007A367E" w:rsidRDefault="007A367E">
      <w:pPr>
        <w:spacing w:after="0" w:line="276" w:lineRule="auto"/>
        <w:rPr>
          <w:rFonts w:ascii="Times New Roman" w:eastAsia="Times New Roman" w:hAnsi="Times New Roman" w:cs="Times New Roman"/>
          <w:b/>
          <w:sz w:val="24"/>
          <w:szCs w:val="24"/>
          <w:u w:val="single"/>
        </w:rPr>
      </w:pPr>
    </w:p>
    <w:p w14:paraId="3B918EE7" w14:textId="77777777" w:rsidR="007A367E" w:rsidRDefault="007A367E">
      <w:pPr>
        <w:spacing w:after="0" w:line="276" w:lineRule="auto"/>
        <w:rPr>
          <w:rFonts w:ascii="Times New Roman" w:eastAsia="Times New Roman" w:hAnsi="Times New Roman" w:cs="Times New Roman"/>
          <w:b/>
          <w:sz w:val="24"/>
          <w:szCs w:val="24"/>
          <w:u w:val="single"/>
        </w:rPr>
      </w:pPr>
    </w:p>
    <w:p w14:paraId="5A24006B" w14:textId="77777777" w:rsidR="007A367E" w:rsidRDefault="007A367E">
      <w:pPr>
        <w:spacing w:after="0" w:line="276" w:lineRule="auto"/>
        <w:rPr>
          <w:rFonts w:ascii="Times New Roman" w:eastAsia="Times New Roman" w:hAnsi="Times New Roman" w:cs="Times New Roman"/>
          <w:b/>
          <w:sz w:val="24"/>
          <w:szCs w:val="24"/>
          <w:u w:val="single"/>
        </w:rPr>
      </w:pPr>
    </w:p>
    <w:p w14:paraId="3230F42B" w14:textId="77777777" w:rsidR="007A367E" w:rsidRDefault="007A367E">
      <w:pPr>
        <w:spacing w:after="0" w:line="276" w:lineRule="auto"/>
        <w:rPr>
          <w:rFonts w:ascii="Times New Roman" w:eastAsia="Times New Roman" w:hAnsi="Times New Roman" w:cs="Times New Roman"/>
          <w:b/>
          <w:sz w:val="24"/>
          <w:szCs w:val="24"/>
          <w:u w:val="single"/>
        </w:rPr>
      </w:pPr>
    </w:p>
    <w:p w14:paraId="1B13F3A9" w14:textId="77777777" w:rsidR="007A367E" w:rsidRDefault="007A367E">
      <w:pPr>
        <w:spacing w:after="0" w:line="276" w:lineRule="auto"/>
        <w:rPr>
          <w:rFonts w:ascii="Times New Roman" w:eastAsia="Times New Roman" w:hAnsi="Times New Roman" w:cs="Times New Roman"/>
          <w:b/>
          <w:sz w:val="24"/>
          <w:szCs w:val="24"/>
          <w:u w:val="single"/>
        </w:rPr>
      </w:pPr>
    </w:p>
    <w:p w14:paraId="67774C4B" w14:textId="77777777" w:rsidR="007A367E" w:rsidRDefault="007A367E">
      <w:pPr>
        <w:spacing w:after="0" w:line="276" w:lineRule="auto"/>
        <w:rPr>
          <w:rFonts w:ascii="Times New Roman" w:eastAsia="Times New Roman" w:hAnsi="Times New Roman" w:cs="Times New Roman"/>
          <w:b/>
          <w:sz w:val="24"/>
          <w:szCs w:val="24"/>
          <w:u w:val="single"/>
        </w:rPr>
      </w:pPr>
    </w:p>
    <w:p w14:paraId="66B6D866" w14:textId="77777777" w:rsidR="007A367E" w:rsidRDefault="007A367E">
      <w:pPr>
        <w:spacing w:after="0" w:line="276" w:lineRule="auto"/>
        <w:ind w:right="-289"/>
        <w:rPr>
          <w:rFonts w:ascii="Times New Roman" w:eastAsia="Times New Roman" w:hAnsi="Times New Roman" w:cs="Times New Roman"/>
          <w:b/>
          <w:sz w:val="24"/>
          <w:szCs w:val="24"/>
          <w:u w:val="single"/>
        </w:rPr>
      </w:pPr>
    </w:p>
    <w:sectPr w:rsidR="007A367E">
      <w:headerReference w:type="default" r:id="rId13"/>
      <w:footerReference w:type="default" r:id="rId14"/>
      <w:pgSz w:w="11906" w:h="16838"/>
      <w:pgMar w:top="738" w:right="851" w:bottom="1560" w:left="1133" w:header="56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855CAA" w14:textId="77777777" w:rsidR="00000000" w:rsidRDefault="00DE66BA">
      <w:pPr>
        <w:spacing w:after="0" w:line="240" w:lineRule="auto"/>
      </w:pPr>
      <w:r>
        <w:separator/>
      </w:r>
    </w:p>
  </w:endnote>
  <w:endnote w:type="continuationSeparator" w:id="0">
    <w:p w14:paraId="4839BFCC" w14:textId="77777777" w:rsidR="00000000" w:rsidRDefault="00DE6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930E7" w14:textId="77777777" w:rsidR="007A367E" w:rsidRDefault="00DE66BA">
    <w:pPr>
      <w:pBdr>
        <w:top w:val="nil"/>
        <w:left w:val="nil"/>
        <w:bottom w:val="nil"/>
        <w:right w:val="nil"/>
        <w:between w:val="nil"/>
      </w:pBdr>
      <w:tabs>
        <w:tab w:val="center" w:pos="4252"/>
        <w:tab w:val="right" w:pos="8504"/>
      </w:tabs>
      <w:spacing w:after="0" w:line="240" w:lineRule="auto"/>
      <w:jc w:val="center"/>
      <w:rPr>
        <w:color w:val="000000"/>
      </w:rPr>
    </w:pPr>
    <w:r>
      <w:rPr>
        <w:color w:val="000000"/>
      </w:rPr>
      <w:t>SEMOSP – Rua Florisbela Rosa da Penha, S/N° - Braga</w:t>
    </w:r>
  </w:p>
  <w:p w14:paraId="7675BE52" w14:textId="77777777" w:rsidR="007A367E" w:rsidRDefault="00DE66BA">
    <w:pPr>
      <w:pBdr>
        <w:top w:val="nil"/>
        <w:left w:val="nil"/>
        <w:bottom w:val="nil"/>
        <w:right w:val="nil"/>
        <w:between w:val="nil"/>
      </w:pBdr>
      <w:tabs>
        <w:tab w:val="center" w:pos="4252"/>
        <w:tab w:val="right" w:pos="8504"/>
      </w:tabs>
      <w:spacing w:after="0" w:line="240" w:lineRule="auto"/>
      <w:jc w:val="center"/>
      <w:rPr>
        <w:color w:val="000000"/>
      </w:rPr>
    </w:pPr>
    <w:r>
      <w:rPr>
        <w:color w:val="000000"/>
      </w:rPr>
      <w:t xml:space="preserve">Cabo Frio – RJ - </w:t>
    </w:r>
    <w:r>
      <w:rPr>
        <w:rFonts w:ascii="Arial" w:eastAsia="Arial" w:hAnsi="Arial" w:cs="Arial"/>
        <w:color w:val="303030"/>
        <w:sz w:val="20"/>
        <w:szCs w:val="20"/>
        <w:shd w:val="clear" w:color="auto" w:fill="FCFCFC"/>
      </w:rPr>
      <w:t>obras@cabofrio.rj.gov.br</w:t>
    </w:r>
  </w:p>
  <w:p w14:paraId="1E1336AB" w14:textId="77777777" w:rsidR="007A367E" w:rsidRDefault="00DE66BA">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D04BE" w14:textId="77777777" w:rsidR="00000000" w:rsidRDefault="00DE66BA">
      <w:pPr>
        <w:spacing w:after="0" w:line="240" w:lineRule="auto"/>
      </w:pPr>
      <w:r>
        <w:separator/>
      </w:r>
    </w:p>
  </w:footnote>
  <w:footnote w:type="continuationSeparator" w:id="0">
    <w:p w14:paraId="7C24A3E7" w14:textId="77777777" w:rsidR="00000000" w:rsidRDefault="00DE6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57571" w14:textId="77777777" w:rsidR="007A367E" w:rsidRDefault="007A367E">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bl>
    <w:tblPr>
      <w:tblStyle w:val="a0"/>
      <w:tblW w:w="10935" w:type="dxa"/>
      <w:tblInd w:w="-113"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1515"/>
      <w:gridCol w:w="6570"/>
      <w:gridCol w:w="2850"/>
    </w:tblGrid>
    <w:tr w:rsidR="007A367E" w14:paraId="7AFE2098" w14:textId="77777777">
      <w:trPr>
        <w:trHeight w:val="1035"/>
      </w:trPr>
      <w:tc>
        <w:tcPr>
          <w:tcW w:w="1515" w:type="dxa"/>
        </w:tcPr>
        <w:p w14:paraId="54D7459E" w14:textId="77777777" w:rsidR="007A367E" w:rsidRDefault="00DE66B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noProof/>
            </w:rPr>
            <w:drawing>
              <wp:anchor distT="0" distB="0" distL="0" distR="0" simplePos="0" relativeHeight="251658240" behindDoc="1" locked="0" layoutInCell="1" hidden="0" allowOverlap="1" wp14:anchorId="6CEAC0EA" wp14:editId="04F7C48D">
                <wp:simplePos x="0" y="0"/>
                <wp:positionH relativeFrom="column">
                  <wp:posOffset>-2515</wp:posOffset>
                </wp:positionH>
                <wp:positionV relativeFrom="paragraph">
                  <wp:posOffset>635</wp:posOffset>
                </wp:positionV>
                <wp:extent cx="678815" cy="74803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78815" cy="748030"/>
                        </a:xfrm>
                        <a:prstGeom prst="rect">
                          <a:avLst/>
                        </a:prstGeom>
                        <a:ln/>
                      </pic:spPr>
                    </pic:pic>
                  </a:graphicData>
                </a:graphic>
              </wp:anchor>
            </w:drawing>
          </w:r>
        </w:p>
        <w:p w14:paraId="6196A8DF" w14:textId="77777777" w:rsidR="007A367E" w:rsidRDefault="007A367E">
          <w:pPr>
            <w:pBdr>
              <w:top w:val="nil"/>
              <w:left w:val="nil"/>
              <w:bottom w:val="nil"/>
              <w:right w:val="nil"/>
              <w:between w:val="nil"/>
            </w:pBdr>
            <w:tabs>
              <w:tab w:val="center" w:pos="4252"/>
              <w:tab w:val="right" w:pos="8504"/>
            </w:tabs>
            <w:rPr>
              <w:color w:val="000000"/>
            </w:rPr>
          </w:pPr>
        </w:p>
      </w:tc>
      <w:tc>
        <w:tcPr>
          <w:tcW w:w="6570" w:type="dxa"/>
        </w:tcPr>
        <w:p w14:paraId="6BD9511F" w14:textId="77777777" w:rsidR="007A367E" w:rsidRDefault="00DE66BA">
          <w:pPr>
            <w:keepNext/>
            <w:keepLines/>
            <w:pBdr>
              <w:top w:val="nil"/>
              <w:left w:val="nil"/>
              <w:bottom w:val="nil"/>
              <w:right w:val="nil"/>
              <w:between w:val="nil"/>
            </w:pBdr>
            <w:spacing w:line="288" w:lineRule="auto"/>
            <w:ind w:right="-1650"/>
            <w:rPr>
              <w:b/>
              <w:sz w:val="24"/>
              <w:szCs w:val="24"/>
            </w:rPr>
          </w:pPr>
          <w:r>
            <w:rPr>
              <w:b/>
              <w:i/>
              <w:sz w:val="24"/>
              <w:szCs w:val="24"/>
            </w:rPr>
            <w:t>Estado do Rio de Janeiro</w:t>
          </w:r>
          <w:r>
            <w:rPr>
              <w:b/>
              <w:sz w:val="24"/>
              <w:szCs w:val="24"/>
            </w:rPr>
            <w:t xml:space="preserve"> </w:t>
          </w:r>
        </w:p>
        <w:p w14:paraId="0B09F180" w14:textId="77777777" w:rsidR="007A367E" w:rsidRDefault="00DE66BA">
          <w:pPr>
            <w:keepNext/>
            <w:keepLines/>
            <w:pBdr>
              <w:top w:val="nil"/>
              <w:left w:val="nil"/>
              <w:bottom w:val="nil"/>
              <w:right w:val="nil"/>
              <w:between w:val="nil"/>
            </w:pBdr>
            <w:spacing w:line="288" w:lineRule="auto"/>
            <w:ind w:right="-1650"/>
            <w:rPr>
              <w:b/>
              <w:sz w:val="24"/>
              <w:szCs w:val="24"/>
            </w:rPr>
          </w:pPr>
          <w:r>
            <w:rPr>
              <w:b/>
              <w:sz w:val="24"/>
              <w:szCs w:val="24"/>
            </w:rPr>
            <w:t>PREFEITURA MUNICIPAL DE CABO FRIO</w:t>
          </w:r>
        </w:p>
        <w:p w14:paraId="178269E2" w14:textId="77777777" w:rsidR="007A367E" w:rsidRDefault="00DE66BA">
          <w:pPr>
            <w:keepNext/>
            <w:keepLines/>
            <w:pBdr>
              <w:top w:val="nil"/>
              <w:left w:val="nil"/>
              <w:bottom w:val="nil"/>
              <w:right w:val="nil"/>
              <w:between w:val="nil"/>
            </w:pBdr>
            <w:spacing w:line="288" w:lineRule="auto"/>
            <w:ind w:right="-1650"/>
            <w:rPr>
              <w:b/>
              <w:i/>
              <w:sz w:val="24"/>
              <w:szCs w:val="24"/>
            </w:rPr>
          </w:pPr>
          <w:r>
            <w:rPr>
              <w:b/>
              <w:i/>
              <w:sz w:val="24"/>
              <w:szCs w:val="24"/>
            </w:rPr>
            <w:t>SECRETARIA MUNICIPAL DE OBRAS PÚBLICAS</w:t>
          </w:r>
        </w:p>
      </w:tc>
      <w:tc>
        <w:tcPr>
          <w:tcW w:w="2850" w:type="dxa"/>
          <w:vAlign w:val="bottom"/>
        </w:tcPr>
        <w:p w14:paraId="0124C74A" w14:textId="77777777" w:rsidR="007A367E" w:rsidRDefault="007A367E">
          <w:pPr>
            <w:pBdr>
              <w:top w:val="nil"/>
              <w:left w:val="nil"/>
              <w:bottom w:val="nil"/>
              <w:right w:val="nil"/>
              <w:between w:val="nil"/>
            </w:pBdr>
            <w:tabs>
              <w:tab w:val="center" w:pos="4252"/>
              <w:tab w:val="right" w:pos="8504"/>
              <w:tab w:val="left" w:pos="743"/>
            </w:tabs>
            <w:ind w:right="1807"/>
            <w:rPr>
              <w:color w:val="000000"/>
            </w:rPr>
          </w:pPr>
        </w:p>
      </w:tc>
    </w:tr>
  </w:tbl>
  <w:p w14:paraId="023568B3" w14:textId="77777777" w:rsidR="007A367E" w:rsidRDefault="007A367E">
    <w:pPr>
      <w:pBdr>
        <w:top w:val="nil"/>
        <w:left w:val="nil"/>
        <w:bottom w:val="nil"/>
        <w:right w:val="nil"/>
        <w:between w:val="nil"/>
      </w:pBdr>
      <w:tabs>
        <w:tab w:val="center" w:pos="4252"/>
        <w:tab w:val="right" w:pos="8504"/>
        <w:tab w:val="left" w:pos="258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186CF8"/>
    <w:multiLevelType w:val="multilevel"/>
    <w:tmpl w:val="58DC8594"/>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rFonts w:ascii="Roboto" w:eastAsia="Roboto" w:hAnsi="Roboto" w:cs="Roboto"/>
        <w:color w:val="374151"/>
        <w:sz w:val="24"/>
        <w:szCs w:val="24"/>
        <w:u w:val="none"/>
      </w:rPr>
    </w:lvl>
    <w:lvl w:ilvl="2">
      <w:start w:val="1"/>
      <w:numFmt w:val="bullet"/>
      <w:lvlText w:val="●"/>
      <w:lvlJc w:val="left"/>
      <w:pPr>
        <w:ind w:left="2160" w:hanging="360"/>
      </w:pPr>
      <w:rPr>
        <w:rFonts w:ascii="Roboto" w:eastAsia="Roboto" w:hAnsi="Roboto" w:cs="Roboto"/>
        <w:color w:val="374151"/>
        <w:sz w:val="24"/>
        <w:szCs w:val="24"/>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D727D3"/>
    <w:multiLevelType w:val="multilevel"/>
    <w:tmpl w:val="2B86F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67E"/>
    <w:rsid w:val="007A367E"/>
    <w:rsid w:val="00DE66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0867F"/>
  <w15:docId w15:val="{5C394911-5881-4551-A3D5-6EC008B50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1"/>
        <w:szCs w:val="21"/>
        <w:lang w:val="pt-BR" w:eastAsia="pt-BR"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40" w:line="240" w:lineRule="auto"/>
      <w:outlineLvl w:val="0"/>
    </w:pPr>
    <w:rPr>
      <w:color w:val="538135"/>
      <w:sz w:val="40"/>
      <w:szCs w:val="40"/>
    </w:rPr>
  </w:style>
  <w:style w:type="paragraph" w:styleId="Ttulo2">
    <w:name w:val="heading 2"/>
    <w:basedOn w:val="Normal"/>
    <w:next w:val="Normal"/>
    <w:uiPriority w:val="9"/>
    <w:semiHidden/>
    <w:unhideWhenUsed/>
    <w:qFormat/>
    <w:pPr>
      <w:keepNext/>
      <w:keepLines/>
      <w:spacing w:before="80" w:after="0" w:line="240" w:lineRule="auto"/>
      <w:outlineLvl w:val="1"/>
    </w:pPr>
    <w:rPr>
      <w:color w:val="538135"/>
      <w:sz w:val="28"/>
      <w:szCs w:val="28"/>
    </w:rPr>
  </w:style>
  <w:style w:type="paragraph" w:styleId="Ttulo3">
    <w:name w:val="heading 3"/>
    <w:basedOn w:val="Normal"/>
    <w:next w:val="Normal"/>
    <w:uiPriority w:val="9"/>
    <w:semiHidden/>
    <w:unhideWhenUsed/>
    <w:qFormat/>
    <w:pPr>
      <w:keepNext/>
      <w:keepLines/>
      <w:spacing w:before="80" w:after="0" w:line="240" w:lineRule="auto"/>
      <w:outlineLvl w:val="2"/>
    </w:pPr>
    <w:rPr>
      <w:color w:val="538135"/>
      <w:sz w:val="24"/>
      <w:szCs w:val="24"/>
    </w:rPr>
  </w:style>
  <w:style w:type="paragraph" w:styleId="Ttulo4">
    <w:name w:val="heading 4"/>
    <w:basedOn w:val="Normal"/>
    <w:next w:val="Normal"/>
    <w:uiPriority w:val="9"/>
    <w:semiHidden/>
    <w:unhideWhenUsed/>
    <w:qFormat/>
    <w:pPr>
      <w:keepNext/>
      <w:keepLines/>
      <w:spacing w:before="80" w:after="0"/>
      <w:outlineLvl w:val="3"/>
    </w:pPr>
    <w:rPr>
      <w:color w:val="70AD47"/>
      <w:sz w:val="22"/>
      <w:szCs w:val="22"/>
    </w:rPr>
  </w:style>
  <w:style w:type="paragraph" w:styleId="Ttulo5">
    <w:name w:val="heading 5"/>
    <w:basedOn w:val="Normal"/>
    <w:next w:val="Normal"/>
    <w:uiPriority w:val="9"/>
    <w:semiHidden/>
    <w:unhideWhenUsed/>
    <w:qFormat/>
    <w:pPr>
      <w:keepNext/>
      <w:keepLines/>
      <w:spacing w:before="40" w:after="0"/>
      <w:outlineLvl w:val="4"/>
    </w:pPr>
    <w:rPr>
      <w:i/>
      <w:color w:val="70AD47"/>
      <w:sz w:val="22"/>
      <w:szCs w:val="22"/>
    </w:rPr>
  </w:style>
  <w:style w:type="paragraph" w:styleId="Ttulo6">
    <w:name w:val="heading 6"/>
    <w:basedOn w:val="Normal"/>
    <w:next w:val="Normal"/>
    <w:uiPriority w:val="9"/>
    <w:semiHidden/>
    <w:unhideWhenUsed/>
    <w:qFormat/>
    <w:pPr>
      <w:keepNext/>
      <w:keepLines/>
      <w:spacing w:before="40" w:after="0"/>
      <w:outlineLvl w:val="5"/>
    </w:pPr>
    <w:rPr>
      <w:color w:val="70AD4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pPr>
    <w:rPr>
      <w:color w:val="262626"/>
      <w:sz w:val="96"/>
      <w:szCs w:val="96"/>
    </w:rPr>
  </w:style>
  <w:style w:type="paragraph" w:styleId="Subttulo">
    <w:name w:val="Subtitle"/>
    <w:basedOn w:val="Normal"/>
    <w:next w:val="Normal"/>
    <w:uiPriority w:val="11"/>
    <w:qFormat/>
    <w:pPr>
      <w:spacing w:line="240" w:lineRule="auto"/>
    </w:pPr>
    <w:rPr>
      <w:sz w:val="30"/>
      <w:szCs w:val="30"/>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1662</Words>
  <Characters>8977</Characters>
  <Application>Microsoft Office Word</Application>
  <DocSecurity>0</DocSecurity>
  <Lines>74</Lines>
  <Paragraphs>21</Paragraphs>
  <ScaleCrop>false</ScaleCrop>
  <Company/>
  <LinksUpToDate>false</LinksUpToDate>
  <CharactersWithSpaces>10618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de Almeida Goncalves</dc:creator>
  <cp:lastModifiedBy>Alexandre de Almeida Goncalves</cp:lastModifiedBy>
  <cp:revision>2</cp:revision>
  <dcterms:created xsi:type="dcterms:W3CDTF">2024-04-03T14:32:00Z</dcterms:created>
  <dcterms:modified xsi:type="dcterms:W3CDTF">2024-04-03T14:32:00Z</dcterms:modified>
</cp:coreProperties>
</file>