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rFonts w:ascii="Arial" w:hAnsi="Arial" w:cs="Arial"/>
          <w:b/>
          <w:b/>
          <w:bCs/>
          <w:color w:val="000000"/>
        </w:rPr>
      </w:pPr>
      <w:r>
        <w:rPr>
          <w:rFonts w:cs="Arial" w:ascii="Arial" w:hAnsi="Arial"/>
          <w:b/>
          <w:bCs/>
          <w:color w:val="000000"/>
        </w:rPr>
        <w:t>EDITAL DO PREGÃO ELETRÔNICO N° 003/2024/FMS</w:t>
      </w:r>
    </w:p>
    <w:p>
      <w:pPr>
        <w:pStyle w:val="Normal"/>
        <w:jc w:val="center"/>
        <w:rPr>
          <w:rFonts w:ascii="Arial" w:hAnsi="Arial" w:cs="Arial"/>
          <w:b/>
          <w:b/>
          <w:bCs/>
          <w:color w:val="000000"/>
        </w:rPr>
      </w:pPr>
      <w:r>
        <w:rPr>
          <w:rFonts w:cs="Arial" w:ascii="Arial" w:hAnsi="Arial"/>
          <w:b/>
          <w:bCs/>
          <w:color w:val="000000"/>
        </w:rPr>
      </w:r>
    </w:p>
    <w:p>
      <w:pPr>
        <w:pStyle w:val="Normal"/>
        <w:jc w:val="center"/>
        <w:rPr>
          <w:rFonts w:ascii="Arial" w:hAnsi="Arial" w:cs="Arial"/>
          <w:b/>
          <w:b/>
          <w:bCs/>
          <w:color w:val="000000"/>
        </w:rPr>
      </w:pPr>
      <w:r>
        <w:rPr>
          <w:rFonts w:cs="Arial" w:ascii="Arial" w:hAnsi="Arial"/>
          <w:b/>
          <w:bCs/>
          <w:color w:val="000000"/>
        </w:rPr>
        <w:t>ÍNDICE</w:t>
      </w:r>
    </w:p>
    <w:p>
      <w:pPr>
        <w:pStyle w:val="Normal"/>
        <w:jc w:val="both"/>
        <w:rPr>
          <w:rFonts w:ascii="Arial" w:hAnsi="Arial" w:cs="Arial"/>
          <w:color w:val="000000"/>
        </w:rPr>
      </w:pPr>
      <w:r>
        <w:rPr>
          <w:rFonts w:cs="Arial" w:ascii="Arial" w:hAnsi="Arial"/>
          <w:color w:val="000000"/>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 – PREÂMBULO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 – DO OBJETO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3 – DA DATA DE ABERTURA</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4 – DO PREÇO MÁXIMO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5 – DO PRAZO DE VIGÊNCIA DO REGISTRO DE PREÇOS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6 – DA DOTAÇÃO ORÇAMENTÁRIA</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7 – DAS DISPOSIÇÕES PRELIMINARES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8 – DA IMPUGNAÇÃO DO EDITAL E DO PEDIDO DE ESCLARECIMENTO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9 – DAS CONDIÇÕES DE PARTICIPAÇÃO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10 – DO CREDENCIAMENTO NO SISTEMA LICITAÇÕES DA BOLSA DE LICITAÇÕES E LEILÕES DO BRASIL</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11 – DA REGULAMENTO OPERACIONAL DO CERTAME</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12 – DO CADASTRAMENTO DA PROPOSTA DE PREÇO E DOCUMENTOS DE HABILITAÇÃO NO SISTEMA ELETRÔNICO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13 – DO PREENCHIMENTO DA PROPOSTA</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14 – DA ABERTURA DA SESSÃO, CLASSIFICAÇÃO DAS PROPOSTAS E FORMULAÇÃO DE LANCES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15 – DA HABILITAÇÃO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16 – DO ENCAMINHAMENTO DA PROPOSTA DE PREÇOS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17 – DOS CRITÉRIOS DE JULGAMENTO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18 – DOS RECURSOS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19 – DA REABERTURA DA SESSÃO PÚBLICA</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20 – DA FORMALIZAÇÃO DA ATA DE REGISTRO DE PREÇOS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21 – DOS PRAZOS E CONDIÇÕES DE ENTREGA DO OBJETO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22 – DO ACOMPANHAMENTO E FISCALIZAÇÃO DA CONTRATAÇÃO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23 – DO PAGAMENTO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24 – DO REAJUSTAMENTO</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25 – DAS OBRIGAÇÕES DA CONTRATANTE E DA CONTRATADA</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26 – DAS MULTAS E SANÇÕES ADMINISTRATIVAS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27 – DO CANCELAMENTO DO REGISTRO DE PREÇOS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28 – DA REVOGAÇÃO DA ATA REGISTRO DE PREÇOS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29 – DO CUMPRIMENTO DA LEI GERAL DE PROTEÇÃO DE DADOS</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t>30 – DOS ANEXOS QUE INTEGRAM ESTE EDITAL</w:t>
      </w:r>
    </w:p>
    <w:p>
      <w:pPr>
        <w:pStyle w:val="NoSpacing"/>
        <w:jc w:val="both"/>
        <w:rPr>
          <w:rFonts w:ascii="Arial" w:hAnsi="Arial" w:eastAsia="Times New Roman" w:cs="Arial"/>
          <w:color w:val="000000"/>
          <w:sz w:val="16"/>
          <w:szCs w:val="16"/>
          <w:lang w:eastAsia="ar-SA"/>
        </w:rPr>
      </w:pPr>
      <w:r>
        <w:rPr>
          <w:rFonts w:eastAsia="Times New Roman" w:cs="Arial" w:ascii="Arial" w:hAnsi="Arial"/>
          <w:color w:val="000000"/>
          <w:sz w:val="16"/>
          <w:szCs w:val="16"/>
          <w:lang w:eastAsia="ar-SA"/>
        </w:rPr>
      </w:r>
    </w:p>
    <w:p>
      <w:pPr>
        <w:pStyle w:val="NoSpacing"/>
        <w:jc w:val="both"/>
        <w:rPr>
          <w:rFonts w:ascii="Arial" w:hAnsi="Arial" w:cs="Arial"/>
          <w:sz w:val="20"/>
          <w:szCs w:val="20"/>
        </w:rPr>
      </w:pPr>
      <w:r>
        <w:rPr>
          <w:rFonts w:eastAsia="Times New Roman" w:cs="Arial" w:ascii="Arial" w:hAnsi="Arial"/>
          <w:color w:val="000000"/>
          <w:sz w:val="16"/>
          <w:szCs w:val="16"/>
          <w:lang w:eastAsia="ar-SA"/>
        </w:rPr>
        <w:t>31 – DAS CONSIDERAÇÕES DE CARÁTER GERAL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r>
    </w:p>
    <w:p>
      <w:pPr>
        <w:pStyle w:val="NoSpacing"/>
        <w:jc w:val="center"/>
        <w:rPr>
          <w:rFonts w:ascii="Arial" w:hAnsi="Arial" w:cs="Arial"/>
          <w:b/>
          <w:b/>
          <w:sz w:val="20"/>
          <w:szCs w:val="20"/>
        </w:rPr>
      </w:pPr>
      <w:r>
        <w:rPr>
          <w:rFonts w:cs="Arial" w:ascii="Arial" w:hAnsi="Arial"/>
          <w:b/>
          <w:sz w:val="20"/>
          <w:szCs w:val="20"/>
        </w:rPr>
        <w:t>PREGÃO ELETRÔNICO Nº 003/2024/FMS</w:t>
      </w:r>
    </w:p>
    <w:p>
      <w:pPr>
        <w:pStyle w:val="NoSpacing"/>
        <w:jc w:val="center"/>
        <w:rPr>
          <w:rFonts w:ascii="Arial" w:hAnsi="Arial" w:cs="Arial"/>
          <w:sz w:val="20"/>
          <w:szCs w:val="20"/>
        </w:rPr>
      </w:pPr>
      <w:r>
        <w:rPr>
          <w:rFonts w:cs="Arial" w:ascii="Arial" w:hAnsi="Arial"/>
          <w:b/>
          <w:sz w:val="20"/>
          <w:szCs w:val="20"/>
        </w:rPr>
        <w:t>PROCESSO ADMINISTRATIVO Nº 0793/2023</w:t>
      </w:r>
    </w:p>
    <w:p>
      <w:pPr>
        <w:pStyle w:val="NoSpacing"/>
        <w:jc w:val="both"/>
        <w:rPr>
          <w:rFonts w:ascii="Arial" w:hAnsi="Arial" w:cs="Arial"/>
          <w:sz w:val="20"/>
          <w:szCs w:val="20"/>
        </w:rPr>
      </w:pPr>
      <w:r>
        <w:rPr>
          <w:rFonts w:cs="Arial" w:ascii="Arial" w:hAnsi="Arial"/>
          <w:sz w:val="20"/>
          <w:szCs w:val="20"/>
        </w:rPr>
      </w:r>
    </w:p>
    <w:p>
      <w:pPr>
        <w:pStyle w:val="NoSpacing"/>
        <w:jc w:val="center"/>
        <w:rPr>
          <w:rFonts w:ascii="Arial" w:hAnsi="Arial" w:cs="Arial"/>
          <w:b/>
          <w:b/>
          <w:sz w:val="20"/>
          <w:szCs w:val="20"/>
        </w:rPr>
      </w:pPr>
      <w:r>
        <w:rPr>
          <w:rFonts w:cs="Arial" w:ascii="Arial" w:hAnsi="Arial"/>
          <w:b/>
          <w:sz w:val="20"/>
          <w:szCs w:val="20"/>
        </w:rPr>
        <w:t>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 – </w:t>
      </w:r>
      <w:r>
        <w:rPr>
          <w:rFonts w:cs="Arial" w:ascii="Arial" w:hAnsi="Arial"/>
          <w:b/>
          <w:sz w:val="20"/>
          <w:szCs w:val="20"/>
          <w:u w:val="single"/>
        </w:rPr>
        <w:t>PREÂMBULO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color w:val="000000"/>
          <w:sz w:val="20"/>
          <w:szCs w:val="20"/>
        </w:rPr>
      </w:pPr>
      <w:r>
        <w:rPr>
          <w:rFonts w:cs="Arial" w:ascii="Arial" w:hAnsi="Arial"/>
          <w:sz w:val="20"/>
          <w:szCs w:val="20"/>
        </w:rPr>
        <w:t xml:space="preserve">1.1 – O </w:t>
      </w:r>
      <w:r>
        <w:rPr>
          <w:rFonts w:cs="Arial" w:ascii="Arial" w:hAnsi="Arial"/>
          <w:b/>
          <w:sz w:val="20"/>
          <w:szCs w:val="20"/>
        </w:rPr>
        <w:t>MUNICÍPIO DE RIO CLARO</w:t>
      </w:r>
      <w:r>
        <w:rPr>
          <w:rFonts w:cs="Arial" w:ascii="Arial" w:hAnsi="Arial"/>
          <w:sz w:val="20"/>
          <w:szCs w:val="20"/>
        </w:rPr>
        <w:t xml:space="preserve">, Estado do Rio de Janeiro, torna pública, para o conhecimento dos interessados, que fará realizar licitação na modalidade </w:t>
      </w:r>
      <w:r>
        <w:rPr>
          <w:rFonts w:cs="Arial" w:ascii="Arial" w:hAnsi="Arial"/>
          <w:b/>
          <w:sz w:val="20"/>
          <w:szCs w:val="20"/>
        </w:rPr>
        <w:t>PREGÃO</w:t>
      </w:r>
      <w:r>
        <w:rPr>
          <w:rFonts w:cs="Arial" w:ascii="Arial" w:hAnsi="Arial"/>
          <w:sz w:val="20"/>
          <w:szCs w:val="20"/>
        </w:rPr>
        <w:t xml:space="preserve">, na forma </w:t>
      </w:r>
      <w:r>
        <w:rPr>
          <w:rFonts w:cs="Arial" w:ascii="Arial" w:hAnsi="Arial"/>
          <w:b/>
          <w:sz w:val="20"/>
          <w:szCs w:val="20"/>
        </w:rPr>
        <w:t>ELETRÔNICA</w:t>
      </w:r>
      <w:r>
        <w:rPr>
          <w:rFonts w:cs="Arial" w:ascii="Arial" w:hAnsi="Arial"/>
          <w:sz w:val="20"/>
          <w:szCs w:val="20"/>
        </w:rPr>
        <w:t xml:space="preserve">, do tipo </w:t>
      </w:r>
      <w:r>
        <w:rPr>
          <w:rFonts w:cs="Arial" w:ascii="Arial" w:hAnsi="Arial"/>
          <w:b/>
          <w:sz w:val="20"/>
          <w:szCs w:val="20"/>
        </w:rPr>
        <w:t>MENOR PREÇO, em regime de MENOR VALOR UNITÁRIO</w:t>
      </w:r>
      <w:r>
        <w:rPr>
          <w:rFonts w:cs="Arial" w:ascii="Arial" w:hAnsi="Arial"/>
          <w:sz w:val="20"/>
          <w:szCs w:val="20"/>
        </w:rPr>
        <w:t xml:space="preserve">, para o </w:t>
      </w:r>
      <w:r>
        <w:rPr>
          <w:rFonts w:cs="Arial" w:ascii="Arial" w:hAnsi="Arial"/>
          <w:b/>
          <w:sz w:val="20"/>
          <w:szCs w:val="20"/>
        </w:rPr>
        <w:t>registro de preços, para futuras e eventuais aquisições de medicamentos para atender as demandas da farmácia hospitalar do Município de Rio Claro/RJ</w:t>
      </w:r>
      <w:r>
        <w:rPr>
          <w:rFonts w:cs="Arial" w:ascii="Arial" w:hAnsi="Arial"/>
          <w:sz w:val="20"/>
          <w:szCs w:val="20"/>
        </w:rPr>
        <w:t xml:space="preserve">, de acordo com condições e especificações no presente Edital, inclusive seus </w:t>
      </w:r>
      <w:r>
        <w:rPr>
          <w:rFonts w:cs="Arial" w:ascii="Arial" w:hAnsi="Arial"/>
          <w:color w:val="000000"/>
          <w:sz w:val="20"/>
          <w:szCs w:val="20"/>
        </w:rPr>
        <w:t>anexos, para atender a solicitação da Secretaria Municipal de Saúde.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1.2 – O procedimento licitatório obedecerá ao disposto na Lei Federal nº 10.520/2002, na Lei Complementar nº 123/2006 e suas alterações, no Decreto n° 8.538, de 06 de outubro de 2015, assim como no </w:t>
      </w:r>
      <w:r>
        <w:rPr>
          <w:rFonts w:cs="Arial" w:ascii="Arial" w:hAnsi="Arial"/>
          <w:sz w:val="20"/>
        </w:rPr>
        <w:t xml:space="preserve">Decreto Municipal n° 1698/14, </w:t>
      </w:r>
      <w:r>
        <w:rPr>
          <w:rFonts w:cs="Arial" w:ascii="Arial" w:hAnsi="Arial"/>
          <w:color w:val="000000"/>
          <w:sz w:val="20"/>
        </w:rPr>
        <w:t>de 09 de maio de 2014</w:t>
      </w:r>
      <w:r>
        <w:rPr>
          <w:rFonts w:cs="Arial" w:ascii="Arial" w:hAnsi="Arial"/>
          <w:sz w:val="20"/>
        </w:rPr>
        <w:t>, no Decreto Municipal nº 473/09, de 24 de junho de 2009</w:t>
      </w:r>
      <w:r>
        <w:rPr>
          <w:rFonts w:cs="Arial" w:ascii="Arial" w:hAnsi="Arial"/>
          <w:sz w:val="20"/>
          <w:szCs w:val="20"/>
        </w:rPr>
        <w:t>, no Decreto Federal nº 10.024/2019, e subsidiariamente, no que couber, as disposições da Lei Federal nº 8.666/93, e suas alterações, demais legislações e normas regulamentares aplicáveis à espécie e às condições e exigências estabelecidas neste Edital e seus Anexos.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2 – </w:t>
      </w:r>
      <w:r>
        <w:rPr>
          <w:rFonts w:cs="Arial" w:ascii="Arial" w:hAnsi="Arial"/>
          <w:b/>
          <w:sz w:val="20"/>
          <w:szCs w:val="20"/>
          <w:u w:val="single"/>
        </w:rPr>
        <w:t>DO OBJETO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2.1 – </w:t>
      </w:r>
      <w:r>
        <w:rPr>
          <w:rFonts w:cs="Arial" w:ascii="Arial" w:hAnsi="Arial"/>
          <w:b/>
          <w:sz w:val="20"/>
          <w:szCs w:val="20"/>
        </w:rPr>
        <w:t>REGISTRO DE PREÇOS visando futuras e eventuais aquisições de medicamentos para atender as demandas da farmácia básica e central de abastecimento farmacêutico do Município de Rio Claro</w:t>
      </w:r>
      <w:r>
        <w:rPr>
          <w:rFonts w:cs="Arial" w:ascii="Arial" w:hAnsi="Arial"/>
          <w:sz w:val="20"/>
          <w:szCs w:val="20"/>
        </w:rPr>
        <w:t>, nos termos estabelecidos no Edital e seus Anexos.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2.2 – Em caso de discordância existente entre as especificações deste objeto descritas na Bolsa de Licitações e Leilões do Brasil “BLL” e as especificações constantes deste Edital, prevalecerão as últimas.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3 – </w:t>
      </w:r>
      <w:r>
        <w:rPr>
          <w:rFonts w:cs="Arial" w:ascii="Arial" w:hAnsi="Arial"/>
          <w:b/>
          <w:sz w:val="20"/>
          <w:szCs w:val="20"/>
          <w:u w:val="single"/>
        </w:rPr>
        <w:t>DA DATA DE ABERTURA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3.1 – O recebimento das propostas, abertura e disputa de preços, será exclusivamente por meio eletrônico, no endereço </w:t>
      </w:r>
      <w:r>
        <w:rPr>
          <w:rFonts w:cs="Arial" w:ascii="Arial" w:hAnsi="Arial"/>
          <w:b/>
          <w:sz w:val="20"/>
          <w:szCs w:val="20"/>
        </w:rPr>
        <w:t>bllcompras.com</w:t>
      </w:r>
      <w:r>
        <w:rPr>
          <w:rFonts w:cs="Arial" w:ascii="Arial" w:hAnsi="Arial"/>
          <w:sz w:val="20"/>
          <w:szCs w:val="20"/>
        </w:rPr>
        <w:t>, conforme datas e horários definidos abaixo:</w:t>
      </w:r>
    </w:p>
    <w:p>
      <w:pPr>
        <w:pStyle w:val="NoSpacing"/>
        <w:jc w:val="both"/>
        <w:rPr>
          <w:rFonts w:ascii="Arial" w:hAnsi="Arial" w:cs="Arial"/>
          <w:sz w:val="20"/>
          <w:szCs w:val="20"/>
        </w:rPr>
      </w:pPr>
      <w:r>
        <w:rPr>
          <w:rFonts w:cs="Arial" w:ascii="Arial" w:hAnsi="Arial"/>
          <w:sz w:val="20"/>
          <w:szCs w:val="20"/>
        </w:rPr>
      </w:r>
    </w:p>
    <w:p>
      <w:pPr>
        <w:pStyle w:val="NoSpacing"/>
        <w:shd w:val="clear" w:color="auto" w:fill="D9D9D9"/>
        <w:jc w:val="both"/>
        <w:rPr>
          <w:rFonts w:ascii="Arial" w:hAnsi="Arial" w:cs="Arial"/>
          <w:b/>
          <w:b/>
        </w:rPr>
      </w:pPr>
      <w:r>
        <w:rPr>
          <w:rFonts w:cs="Arial" w:ascii="Arial" w:hAnsi="Arial"/>
          <w:b/>
        </w:rPr>
      </w:r>
    </w:p>
    <w:p>
      <w:pPr>
        <w:pStyle w:val="NoSpacing"/>
        <w:shd w:val="clear" w:color="auto" w:fill="D9D9D9"/>
        <w:jc w:val="both"/>
        <w:rPr>
          <w:rFonts w:ascii="Arial" w:hAnsi="Arial" w:cs="Arial"/>
          <w:b/>
          <w:b/>
        </w:rPr>
      </w:pPr>
      <w:r>
        <w:rPr>
          <w:rFonts w:cs="Arial" w:ascii="Arial" w:hAnsi="Arial"/>
          <w:b/>
        </w:rPr>
        <w:t xml:space="preserve">- Recebimento das Propostas: das 9h do dia 29/04/2024 às </w:t>
      </w:r>
      <w:r>
        <w:rPr>
          <w:rFonts w:cs="Arial" w:ascii="Arial" w:hAnsi="Arial"/>
          <w:b/>
        </w:rPr>
        <w:t>8</w:t>
      </w:r>
      <w:r>
        <w:rPr>
          <w:rFonts w:cs="Arial" w:ascii="Arial" w:hAnsi="Arial"/>
          <w:b/>
        </w:rPr>
        <w:t>h do dia 13/05/2024.</w:t>
      </w:r>
    </w:p>
    <w:p>
      <w:pPr>
        <w:pStyle w:val="NoSpacing"/>
        <w:shd w:val="clear" w:color="auto" w:fill="D9D9D9"/>
        <w:jc w:val="both"/>
        <w:rPr>
          <w:rFonts w:ascii="Arial" w:hAnsi="Arial" w:cs="Arial"/>
          <w:b/>
          <w:b/>
        </w:rPr>
      </w:pPr>
      <w:r>
        <w:rPr>
          <w:rFonts w:cs="Arial" w:ascii="Arial" w:hAnsi="Arial"/>
          <w:b/>
        </w:rPr>
      </w:r>
    </w:p>
    <w:p>
      <w:pPr>
        <w:pStyle w:val="NoSpacing"/>
        <w:shd w:val="clear" w:color="auto" w:fill="D9D9D9"/>
        <w:jc w:val="both"/>
        <w:rPr>
          <w:rFonts w:ascii="Arial" w:hAnsi="Arial" w:cs="Arial"/>
          <w:b/>
          <w:b/>
        </w:rPr>
      </w:pPr>
      <w:r>
        <w:rPr>
          <w:rFonts w:cs="Arial" w:ascii="Arial" w:hAnsi="Arial"/>
          <w:b/>
        </w:rPr>
        <w:t>- Abertura das Propostas: 9h do dia 13/05/2024.</w:t>
      </w:r>
    </w:p>
    <w:p>
      <w:pPr>
        <w:pStyle w:val="NoSpacing"/>
        <w:shd w:val="clear" w:color="auto" w:fill="D9D9D9"/>
        <w:jc w:val="both"/>
        <w:rPr>
          <w:rFonts w:ascii="Arial" w:hAnsi="Arial" w:cs="Arial"/>
          <w:b/>
          <w:b/>
        </w:rPr>
      </w:pPr>
      <w:r>
        <w:rPr>
          <w:rFonts w:cs="Arial" w:ascii="Arial" w:hAnsi="Arial"/>
          <w:b/>
        </w:rPr>
      </w:r>
    </w:p>
    <w:p>
      <w:pPr>
        <w:pStyle w:val="NoSpacing"/>
        <w:shd w:val="clear" w:color="auto" w:fill="D9D9D9"/>
        <w:jc w:val="both"/>
        <w:rPr>
          <w:rFonts w:ascii="Arial" w:hAnsi="Arial" w:cs="Arial"/>
          <w:b/>
          <w:b/>
          <w:sz w:val="24"/>
          <w:szCs w:val="24"/>
        </w:rPr>
      </w:pPr>
      <w:r>
        <w:rPr>
          <w:rFonts w:cs="Arial" w:ascii="Arial" w:hAnsi="Arial"/>
          <w:b/>
          <w:sz w:val="24"/>
          <w:szCs w:val="24"/>
        </w:rPr>
        <w:t>- Início da Sessão de Disputa de Preços: 9h do dia 13/05/2024.</w:t>
      </w:r>
    </w:p>
    <w:p>
      <w:pPr>
        <w:pStyle w:val="NoSpacing"/>
        <w:shd w:val="clear" w:color="auto" w:fill="D9D9D9"/>
        <w:jc w:val="both"/>
        <w:rPr>
          <w:rFonts w:ascii="Arial" w:hAnsi="Arial" w:cs="Arial"/>
          <w:b/>
          <w:b/>
        </w:rPr>
      </w:pPr>
      <w:r>
        <w:rPr>
          <w:rFonts w:cs="Arial" w:ascii="Arial" w:hAnsi="Arial"/>
          <w:b/>
        </w:rPr>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3.2 – Para todas as referências de tempo será observado o horário de Brasília (DF).</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4 – </w:t>
      </w:r>
      <w:r>
        <w:rPr>
          <w:rFonts w:cs="Arial" w:ascii="Arial" w:hAnsi="Arial"/>
          <w:b/>
          <w:sz w:val="20"/>
          <w:szCs w:val="20"/>
          <w:u w:val="single"/>
        </w:rPr>
        <w:t>DO PREÇO MÁXIMO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4.1 – Valor máximo estimado para este Pregão é de </w:t>
      </w:r>
      <w:r>
        <w:rPr>
          <w:rFonts w:cs="Arial" w:ascii="Arial" w:hAnsi="Arial"/>
          <w:b/>
          <w:sz w:val="20"/>
          <w:szCs w:val="20"/>
        </w:rPr>
        <w:t>R$ 2.669.314,44 (dois milhões, seiscentos e sessenta e nove mil, trezentos e quatorze reais e quarenta e quatro centavos)</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4.2 – A competição se dará por </w:t>
      </w:r>
      <w:r>
        <w:rPr>
          <w:rFonts w:cs="Arial" w:ascii="Arial" w:hAnsi="Arial"/>
          <w:b/>
          <w:sz w:val="20"/>
          <w:szCs w:val="20"/>
        </w:rPr>
        <w:t>MENOR PREÇO, em regime de MENOR VALOR UNITÁRIO POR ITEM</w:t>
      </w:r>
      <w:r>
        <w:rPr>
          <w:rFonts w:cs="Arial" w:ascii="Arial" w:hAnsi="Arial"/>
          <w:sz w:val="20"/>
          <w:szCs w:val="20"/>
        </w:rPr>
        <w:t xml:space="preserve">, sendo que o licitante deverá formular sua proposta respeitando o valor máximo unitário previsto no </w:t>
      </w:r>
      <w:r>
        <w:rPr>
          <w:rFonts w:cs="Arial" w:ascii="Arial" w:hAnsi="Arial"/>
          <w:b/>
          <w:color w:val="000000"/>
          <w:sz w:val="20"/>
          <w:szCs w:val="20"/>
        </w:rPr>
        <w:t>ANEXO I</w:t>
      </w:r>
      <w:r>
        <w:rPr>
          <w:rFonts w:cs="Arial" w:ascii="Arial" w:hAnsi="Arial"/>
          <w:sz w:val="20"/>
          <w:szCs w:val="20"/>
        </w:rPr>
        <w:t xml:space="preserve"> deste edital, sem possibilidade de ultrapassá-los, sob pena de desclassificação.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r>
    </w:p>
    <w:p>
      <w:pPr>
        <w:pStyle w:val="Normal"/>
        <w:ind w:firstLine="1"/>
        <w:jc w:val="both"/>
        <w:rPr>
          <w:rFonts w:ascii="Arial" w:hAnsi="Arial" w:cs="Arial"/>
          <w:b/>
          <w:b/>
          <w:bCs/>
          <w:u w:val="single"/>
        </w:rPr>
      </w:pPr>
      <w:r>
        <w:rPr>
          <w:rFonts w:cs="Arial" w:ascii="Arial" w:hAnsi="Arial"/>
          <w:b/>
          <w:bCs/>
        </w:rPr>
        <w:t xml:space="preserve">5 – </w:t>
      </w:r>
      <w:r>
        <w:rPr>
          <w:rFonts w:cs="Arial" w:ascii="Arial" w:hAnsi="Arial"/>
          <w:b/>
          <w:bCs/>
          <w:u w:val="single"/>
        </w:rPr>
        <w:t>DO PRAZO DE VIGÊNCIA DO REGISTRO DE PREÇOS</w:t>
      </w:r>
    </w:p>
    <w:p>
      <w:pPr>
        <w:pStyle w:val="Normal"/>
        <w:ind w:firstLine="1"/>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5.1. – O prazo de vigência do registro de preços será de </w:t>
      </w:r>
      <w:r>
        <w:rPr>
          <w:rFonts w:cs="Arial" w:ascii="Arial" w:hAnsi="Arial"/>
          <w:b/>
        </w:rPr>
        <w:t>12 (doze) meses</w:t>
      </w:r>
      <w:r>
        <w:rPr>
          <w:rFonts w:cs="Arial" w:ascii="Arial" w:hAnsi="Arial"/>
        </w:rPr>
        <w:t xml:space="preserve">, contados da data da assinatura da </w:t>
      </w:r>
      <w:r>
        <w:rPr>
          <w:rFonts w:cs="Arial" w:ascii="Arial" w:hAnsi="Arial"/>
          <w:b/>
        </w:rPr>
        <w:t>ATA DE REGISTRO DE PREÇOS – ANEXO XI</w:t>
      </w:r>
      <w:r>
        <w:rPr>
          <w:rFonts w:cs="Arial" w:ascii="Arial" w:hAnsi="Arial"/>
        </w:rPr>
        <w:t xml:space="preserve"> do edital.</w:t>
      </w:r>
    </w:p>
    <w:p>
      <w:pPr>
        <w:pStyle w:val="Normal"/>
        <w:jc w:val="both"/>
        <w:rPr>
          <w:rFonts w:ascii="Arial" w:hAnsi="Arial" w:cs="Arial"/>
        </w:rPr>
      </w:pPr>
      <w:r>
        <w:rPr>
          <w:rFonts w:cs="Arial" w:ascii="Arial" w:hAnsi="Arial"/>
        </w:rPr>
      </w:r>
    </w:p>
    <w:p>
      <w:pPr>
        <w:pStyle w:val="NoSpacing"/>
        <w:jc w:val="both"/>
        <w:rPr>
          <w:rFonts w:ascii="Arial" w:hAnsi="Arial" w:cs="Arial"/>
          <w:color w:val="000000"/>
          <w:sz w:val="20"/>
          <w:szCs w:val="20"/>
        </w:rPr>
      </w:pPr>
      <w:r>
        <w:rPr>
          <w:rFonts w:cs="Arial" w:ascii="Arial" w:hAnsi="Arial"/>
        </w:rPr>
        <w:t xml:space="preserve">5.2 – O prazo não poderá ser prorrogado, conforme </w:t>
      </w:r>
      <w:r>
        <w:rPr>
          <w:rFonts w:cs="Arial" w:ascii="Arial" w:hAnsi="Arial"/>
          <w:color w:val="000000"/>
        </w:rPr>
        <w:t>do art. 4º do Decreto Municipal nº 473, de 24 de junho de 2009.</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6 – </w:t>
      </w:r>
      <w:r>
        <w:rPr>
          <w:rFonts w:cs="Arial" w:ascii="Arial" w:hAnsi="Arial"/>
          <w:b/>
          <w:sz w:val="20"/>
          <w:szCs w:val="20"/>
          <w:u w:val="single"/>
        </w:rPr>
        <w:t>DA DOTAÇÃO ORÇAMENTÁRIA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6.1 – As despesas decorrentes desta licitação correrão à conta da Dotação Orçamentária nº </w:t>
      </w:r>
      <w:r>
        <w:rPr>
          <w:rFonts w:cs="Arial" w:ascii="Arial" w:hAnsi="Arial"/>
          <w:color w:val="000000"/>
          <w:sz w:val="20"/>
          <w:szCs w:val="20"/>
        </w:rPr>
        <w:t>02.1602.10.126.0014.2.059.33904099000.1600000000 e outras,</w:t>
      </w:r>
      <w:r>
        <w:rPr>
          <w:rFonts w:cs="Arial" w:ascii="Arial" w:hAnsi="Arial"/>
          <w:sz w:val="20"/>
          <w:szCs w:val="20"/>
        </w:rPr>
        <w:t xml:space="preserve"> do Fundo Municipal de Saúde.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7 – </w:t>
      </w:r>
      <w:r>
        <w:rPr>
          <w:rFonts w:cs="Arial" w:ascii="Arial" w:hAnsi="Arial"/>
          <w:b/>
          <w:sz w:val="20"/>
          <w:szCs w:val="20"/>
          <w:u w:val="single"/>
        </w:rPr>
        <w:t>DAS DISPOSIÇÕES PRELIMINARES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7.1 – O Pregão Eletrônico será realizado em sessão pública, por meio da </w:t>
      </w:r>
      <w:r>
        <w:rPr>
          <w:rFonts w:cs="Arial" w:ascii="Arial" w:hAnsi="Arial"/>
          <w:b/>
          <w:i/>
          <w:sz w:val="20"/>
          <w:szCs w:val="20"/>
        </w:rPr>
        <w:t>INTERNET</w:t>
      </w:r>
      <w:r>
        <w:rPr>
          <w:rFonts w:cs="Arial" w:ascii="Arial" w:hAnsi="Arial"/>
          <w:sz w:val="20"/>
          <w:szCs w:val="20"/>
        </w:rPr>
        <w:t xml:space="preserve">, mediante condições de segurança - criptografia e autenticação - em todas as suas fases através do </w:t>
      </w:r>
      <w:r>
        <w:rPr>
          <w:rFonts w:cs="Arial" w:ascii="Arial" w:hAnsi="Arial"/>
          <w:b/>
          <w:sz w:val="20"/>
          <w:szCs w:val="20"/>
        </w:rPr>
        <w:t>Sistema de Pregão Eletrônico (licitações) da Bolsa de Licitações e Leilões do Brasil</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7.2 – Os trabalhos serão conduzidos por servidor do Município de Rio Claro/RJ, denominado Pregoeiro, mediante a inserção e monitoramento de dados gerados ou transferidos para o aplicativo “Bll compras” constante da página eletrônica da Bolsa de Licitações e Leilões do Brasil (</w:t>
      </w:r>
      <w:r>
        <w:rPr>
          <w:rFonts w:cs="Arial" w:ascii="Arial" w:hAnsi="Arial"/>
          <w:b/>
          <w:sz w:val="20"/>
          <w:szCs w:val="20"/>
        </w:rPr>
        <w:t>bllcompras.com</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7.3 – O presente edital se submete integralmente ao disposto nos artigos nos artigos 43, 44, 45 e 46 da Lei Complementar nº 123/2006 e suas alterações, atendendo o direito de prioridade para microempresa e empresa de pequeno porte para efeito do desempate quando verificado ao final da disputa de preços.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7.4 – Os interessados deverão observar as datas e os horários limites previstos para a inscrição e cadastramento e a abertura da proposta, atentando também para a data e horário para início da Sessão de Disputa de Preços.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7.5 – O EDITAL poderá ser examinado e adquirido por qualquer interessado através dos sites </w:t>
      </w:r>
      <w:r>
        <w:rPr>
          <w:rFonts w:cs="Arial" w:ascii="Arial" w:hAnsi="Arial"/>
          <w:b/>
          <w:sz w:val="20"/>
          <w:szCs w:val="20"/>
        </w:rPr>
        <w:t>rioclaro.rj.gov.br e bll.org.br</w:t>
      </w:r>
      <w:r>
        <w:rPr>
          <w:rFonts w:cs="Arial" w:ascii="Arial" w:hAnsi="Arial"/>
          <w:sz w:val="20"/>
          <w:szCs w:val="20"/>
        </w:rPr>
        <w:t xml:space="preserve"> ou na Secretaria Municipal de Administração – Departamento de Licitações da Prefeitura Municipal de Rio Claro, com sede à Avenida João Baptista Portugal, nº 230, Centro, Rio Claro/RJ, durante o expediente normal do órgão licitante, das 09h00min as 12h00min horas e das 13h30min as 17h00min horas.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8 – </w:t>
      </w:r>
      <w:r>
        <w:rPr>
          <w:rFonts w:cs="Arial" w:ascii="Arial" w:hAnsi="Arial"/>
          <w:b/>
          <w:sz w:val="20"/>
          <w:szCs w:val="20"/>
          <w:u w:val="single"/>
        </w:rPr>
        <w:t>DA IMPUGNAÇÃO DO EDITAL E DO PEDIDO DE ESCLARECIMENTO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8.1 – É facultada a qualquer interessado a apresentação de pedido de impugnação ao ato convocatório do PREGÃO e seus anexos, observado, para tanto, o prazo de até 03 (três) dias úteis anteriores à data fixada para abertura da sessão pública.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8.2 – A decisão sobre o pedido de providências ou de impugnação será proferida pela autoridade subscritora do ato convocatório do PREGÃO no prazo de até 02 (dois) dias úteis, a contar do recebimento da peça indicada por parte da autoridade referida, que, além de comportar divulgação, deverá também ser juntada aos autos do processo do pregão.</w:t>
      </w:r>
    </w:p>
    <w:p>
      <w:pPr>
        <w:pStyle w:val="NoSpacing"/>
        <w:ind w:firstLine="708"/>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8.3 – A concessão de efeito suspensivo à impugnação é medida excepcional e deverá ser motivada pelo pregoeiro, nos autos do processo de licitação.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8.4 – O acolhimento do pedido de providências ou de impugnação exige, desde que implique em modificação do ato convocatório do PREGÃO, além da alteração decorrente, divulgação pela mesma forma que se deu o texto original e designação de nova data para a realização do certame.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8.5 – Os pedidos de esclarecimentos referentes ao processo licitatório serão enviados ao pregoeiro, até 03 (três) dias úteis anteriores à data fixada para abertura da sessão pública, por meio eletrônico, na forma do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8.6 – O pregoeiro responderá os pedidos de esclarecimentos no prazo de até 02 (dois) dias úteis, contados da data de recebimento do pedido, e poderá requisitar subsídios formais aos responsáveis pela elaboração do edital e dos anexos.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8.7 – As respostas aos pedidos de esclarecimentos serão divulgadas pelo sistema e vincularão os participantes e a administração.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9 – </w:t>
      </w:r>
      <w:r>
        <w:rPr>
          <w:rFonts w:cs="Arial" w:ascii="Arial" w:hAnsi="Arial"/>
          <w:b/>
          <w:sz w:val="20"/>
          <w:szCs w:val="20"/>
          <w:u w:val="single"/>
        </w:rPr>
        <w:t>DAS CONDIÇÕES DE PARTICIPAÇÃO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9.1 – Poderão participar deste PREGÃO os interessados do ramo de atividade pertinente ao objeto da contratação, que atenderem a todas as exigências constantes deste Edital e seus Anexos.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9.2 – Não será permitida a participação de empresas estrangeiras que não funcionem no País, de interessados que se encontrem sob falência, concordata, concurso de credores, dissolução e liquidação, de consórcio de empresas, qualquer que seja sua forma de constituição, estando também abrangidos pela proibição aqueles que tenham sido punidos com suspensão do direito de licitar ou contratar com o Município de Rio Claro/RJ, ou declarados inidôneos para licitar ou contratar com a Administração Pública.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9.3 – Não poderá participar, direta ou indiretamente, da licitação, empresa ou pessoa jurídica que tenha em seu quadro social ou administrativo servidor ou dirigente deste Município de Rio Claro/RJ.</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9.4 – É vedada a participação de empresa em forma de consórcios ou grupos de empresas.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9.5 – Em cumprimento aos dispositivos previstos na Sessão I (Das Aquisições Públicas), do Capítulo V (Acesso aos Mercados) da Lei Complementar 123/2006 e suas alterações, concede-se para o presente edital tratamento diferenciado e favorecido as Microempresas (ME) e Empresas de Pequeno Porte (EPP).</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9.6 – Poderão participar deste Pregão Eletrônico as empresas que apresentarem toda a documentação exigida para o respectivo cadastramento junto a Bolsa de Licitações e Leilões do Brasil.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9.7 – A participação no Pregão Eletrônico se dará por meio da digitação da senha pessoal e intransferível do representante credenciado (operador direto, ou da corretora de mercadorias) e subsequente cadastramento para participar do pregão e encaminhamento da proposta de preços, exclusivamente por meio do sistema eletrônico, observados data e horário limite estabelecidos.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9.8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9.9 – Para participação na licitação, os interessados deverão credenciar-se diretamente ou através de uma corretora de mercadorias associada à Bolsa de Licitações e Leilões do Brasil, até horário fixado neste Edital para apresentação da proposta e início do pregão.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9.10 – A participação no pregão está condicionada obrigatoriamente a inscrição e credenciamento do licitante, até o limite de horário previsto, e deverá ser requerido acompanhado dos seguintes documentos: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9.10.1 – </w:t>
      </w:r>
      <w:r>
        <w:rPr>
          <w:rFonts w:cs="Arial" w:ascii="Arial" w:hAnsi="Arial"/>
          <w:b/>
          <w:sz w:val="20"/>
          <w:szCs w:val="20"/>
        </w:rPr>
        <w:t>Termo de Adesão</w:t>
      </w:r>
      <w:r>
        <w:rPr>
          <w:rFonts w:cs="Arial" w:ascii="Arial" w:hAnsi="Arial"/>
          <w:sz w:val="20"/>
          <w:szCs w:val="20"/>
        </w:rPr>
        <w:t>, declarando cumprir as exigências do Edital, bem como outorgando poderes específicos de sua representação (direta ou indireta) no pregão, conforme modelo do</w:t>
      </w:r>
      <w:r>
        <w:rPr>
          <w:rFonts w:cs="Arial" w:ascii="Arial" w:hAnsi="Arial"/>
          <w:color w:val="000000"/>
          <w:sz w:val="20"/>
          <w:szCs w:val="20"/>
        </w:rPr>
        <w:t xml:space="preserve"> </w:t>
      </w:r>
      <w:r>
        <w:rPr>
          <w:rFonts w:cs="Arial" w:ascii="Arial" w:hAnsi="Arial"/>
          <w:b/>
          <w:color w:val="000000"/>
          <w:sz w:val="20"/>
          <w:szCs w:val="20"/>
        </w:rPr>
        <w:t>ANEXO IV</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9.11 – Qualquer dúvida em relação ao acesso no sistema operacional poderá ser esclarecida pelo número (41) 3097-4600 ou pelo e-mail: contato@bll.org.br.</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10 – </w:t>
      </w:r>
      <w:r>
        <w:rPr>
          <w:rFonts w:cs="Arial" w:ascii="Arial" w:hAnsi="Arial"/>
          <w:b/>
          <w:sz w:val="20"/>
          <w:szCs w:val="20"/>
          <w:u w:val="single"/>
        </w:rPr>
        <w:t>DO CREDENCIAMENTO NO SISTEMA LICITAÇÕES DA BOLSA DE LICITAÇÕES E LEILÕES DO BRASIL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10.1 – As pessoas jurídicas ou firmas individuais interessadas deverão nomear através do instrumento de mandato previsto </w:t>
      </w:r>
      <w:r>
        <w:rPr>
          <w:rFonts w:cs="Arial" w:ascii="Arial" w:hAnsi="Arial"/>
          <w:color w:val="000000"/>
          <w:sz w:val="20"/>
          <w:szCs w:val="20"/>
        </w:rPr>
        <w:t xml:space="preserve">no </w:t>
      </w:r>
      <w:r>
        <w:rPr>
          <w:rFonts w:cs="Arial" w:ascii="Arial" w:hAnsi="Arial"/>
          <w:b/>
          <w:color w:val="000000"/>
          <w:sz w:val="20"/>
          <w:szCs w:val="20"/>
        </w:rPr>
        <w:t>item 9.10.1</w:t>
      </w:r>
      <w:r>
        <w:rPr>
          <w:rFonts w:cs="Arial" w:ascii="Arial" w:hAnsi="Arial"/>
          <w:color w:val="000000"/>
          <w:sz w:val="20"/>
          <w:szCs w:val="20"/>
        </w:rPr>
        <w:t>,</w:t>
      </w:r>
      <w:r>
        <w:rPr>
          <w:rFonts w:cs="Arial" w:ascii="Arial" w:hAnsi="Arial"/>
          <w:sz w:val="20"/>
          <w:szCs w:val="20"/>
        </w:rPr>
        <w:t xml:space="preserve"> </w:t>
      </w:r>
      <w:r>
        <w:rPr>
          <w:rFonts w:cs="Arial" w:ascii="Arial" w:hAnsi="Arial"/>
          <w:sz w:val="20"/>
          <w:szCs w:val="20"/>
          <w:u w:val="single"/>
        </w:rPr>
        <w:t>com firma reconhecida</w:t>
      </w:r>
      <w:r>
        <w:rPr>
          <w:rFonts w:cs="Arial" w:ascii="Arial" w:hAnsi="Arial"/>
          <w:sz w:val="20"/>
          <w:szCs w:val="20"/>
        </w:rPr>
        <w:t xml:space="preserve">, operador devidamente credenciado em qualquer corretora de mercadorias associada à Bolsa de Licitações e Leilões do Brasil - BLL, ou pela própria Bolsa de Licitações e Leilões do Brasil, atribuindo poderes para formular lances de preços e praticar todos os demais atos e operações no sistema de compras do site: </w:t>
      </w:r>
      <w:r>
        <w:rPr>
          <w:rFonts w:cs="Arial" w:ascii="Arial" w:hAnsi="Arial"/>
          <w:b/>
          <w:sz w:val="20"/>
          <w:szCs w:val="20"/>
        </w:rPr>
        <w:t>bllcompras.com</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10.2 – A participação do licitante no Pregão eletrônico se dará por meio de corretora contratada para representá-lo, ou diretamente pela BLL, que deverá manifestar em campo próprio do sistema, pleno conhecimento, aceitação e atendimento às exigências de habilitação previstas no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10.3 – O acesso do operador ao pregão, para efeito de encaminhamento de proposta de preço e lances sucessivos de preços, em nome do licitante, somente se dará mediante prévia definição de senha privativa.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10.4 – A chave de identificação e a senha dos operadores poderão ser utilizadas em qualquer pregão eletrônico, salvo quando canceladas por solicitação do credenciado ou por iniciativa da Bolsa de Licitações e Leilões do Brasil.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10.5 – É de exclusiva responsabilidade do usuário o sigilo da senha, bem como seu uso em qualquer transação efetuada diretamente ou por seu representante, não cabendo a Bolsa de Licitações e Leilões do Brasil a responsabilidade por eventuais danos decorrentes de uso indevido da senha, ainda que por terceiros.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10.6 – O credenciamento do fornecedor e de seu representante legal junto ao sistema eletrônico implica a responsabilidade legal pelos atos praticados e a presunção de capacidade técnica para realização das transações inerentes ao pregão eletrônico.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10.7 – O custo de operacionalização e uso do sistema ficará a cargo do licitante que pagará a Bolsa de Licitações e Leilões do Brasil, provedora do sistema eletrônico, o equivalente aos custos pela utilização dos recursos de tecnologia da informação, consoante tabela fornecida emitida pela entidade, nos termos do artigo 5º, inciso III, da Lei nº 10.520/2002.</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11 – </w:t>
      </w:r>
      <w:r>
        <w:rPr>
          <w:rFonts w:cs="Arial" w:ascii="Arial" w:hAnsi="Arial"/>
          <w:b/>
          <w:sz w:val="20"/>
          <w:szCs w:val="20"/>
          <w:u w:val="single"/>
        </w:rPr>
        <w:t>DA REGULAMENTO OPERACIONAL DO CERTAME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11.1 – O certame será conduzido pelo Pregoeiro, com o auxílio da equipe de apoio, que terá, em especial, as seguintes atribuições: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11.1.1 – Conduzir a sessão pública;</w:t>
      </w:r>
    </w:p>
    <w:p>
      <w:pPr>
        <w:pStyle w:val="NoSpacing"/>
        <w:jc w:val="both"/>
        <w:rPr>
          <w:rFonts w:ascii="Arial" w:hAnsi="Arial" w:cs="Arial"/>
          <w:sz w:val="20"/>
          <w:szCs w:val="20"/>
        </w:rPr>
      </w:pPr>
      <w:r>
        <w:rPr>
          <w:rFonts w:cs="Arial" w:ascii="Arial" w:hAnsi="Arial"/>
          <w:sz w:val="20"/>
          <w:szCs w:val="20"/>
        </w:rPr>
        <w:t>11.1.2 – Receber, examinar e decidir as impugnações e os pedidos de esclarecimentos ao edital e aos anexos, além de poder requisitar subsídios formais aos responsáveis pela elaboração desses documentos;</w:t>
      </w:r>
    </w:p>
    <w:p>
      <w:pPr>
        <w:pStyle w:val="NoSpacing"/>
        <w:jc w:val="both"/>
        <w:rPr>
          <w:rFonts w:ascii="Arial" w:hAnsi="Arial" w:cs="Arial"/>
          <w:sz w:val="20"/>
          <w:szCs w:val="20"/>
        </w:rPr>
      </w:pPr>
      <w:r>
        <w:rPr>
          <w:rFonts w:cs="Arial" w:ascii="Arial" w:hAnsi="Arial"/>
          <w:sz w:val="20"/>
          <w:szCs w:val="20"/>
        </w:rPr>
        <w:t>11.1.3 – Verificar a conformidade da proposta em relação aos requisitos estabelecidos no edital;</w:t>
      </w:r>
    </w:p>
    <w:p>
      <w:pPr>
        <w:pStyle w:val="NoSpacing"/>
        <w:jc w:val="both"/>
        <w:rPr>
          <w:rFonts w:ascii="Arial" w:hAnsi="Arial" w:cs="Arial"/>
          <w:sz w:val="20"/>
          <w:szCs w:val="20"/>
        </w:rPr>
      </w:pPr>
      <w:r>
        <w:rPr>
          <w:rFonts w:cs="Arial" w:ascii="Arial" w:hAnsi="Arial"/>
          <w:sz w:val="20"/>
          <w:szCs w:val="20"/>
        </w:rPr>
        <w:t>11.1.4 – Coordenar a sessão pública e o envio de lances;</w:t>
      </w:r>
    </w:p>
    <w:p>
      <w:pPr>
        <w:pStyle w:val="NoSpacing"/>
        <w:jc w:val="both"/>
        <w:rPr>
          <w:rFonts w:ascii="Arial" w:hAnsi="Arial" w:cs="Arial"/>
          <w:sz w:val="20"/>
          <w:szCs w:val="20"/>
        </w:rPr>
      </w:pPr>
      <w:r>
        <w:rPr>
          <w:rFonts w:cs="Arial" w:ascii="Arial" w:hAnsi="Arial"/>
          <w:sz w:val="20"/>
          <w:szCs w:val="20"/>
        </w:rPr>
        <w:t>11.1.5 – Verificar e julgar as condições de habilitação;</w:t>
      </w:r>
    </w:p>
    <w:p>
      <w:pPr>
        <w:pStyle w:val="NoSpacing"/>
        <w:jc w:val="both"/>
        <w:rPr>
          <w:rFonts w:ascii="Arial" w:hAnsi="Arial" w:cs="Arial"/>
          <w:sz w:val="20"/>
          <w:szCs w:val="20"/>
        </w:rPr>
      </w:pPr>
      <w:r>
        <w:rPr>
          <w:rFonts w:cs="Arial" w:ascii="Arial" w:hAnsi="Arial"/>
          <w:sz w:val="20"/>
          <w:szCs w:val="20"/>
        </w:rPr>
        <w:t>11.1.6 – Sanear erros ou falhas que não alterem a substância das propostas, dos documentos de habilitação e sua validade jurídica;</w:t>
      </w:r>
    </w:p>
    <w:p>
      <w:pPr>
        <w:pStyle w:val="NoSpacing"/>
        <w:jc w:val="both"/>
        <w:rPr>
          <w:rFonts w:ascii="Arial" w:hAnsi="Arial" w:cs="Arial"/>
          <w:sz w:val="20"/>
          <w:szCs w:val="20"/>
        </w:rPr>
      </w:pPr>
      <w:r>
        <w:rPr>
          <w:rFonts w:cs="Arial" w:ascii="Arial" w:hAnsi="Arial"/>
          <w:sz w:val="20"/>
          <w:szCs w:val="20"/>
        </w:rPr>
        <w:t>11.1.7 – Receber, examinar e decidir os recursos e encaminhá-los à autoridade competente quando mantiver sua decisão;</w:t>
      </w:r>
    </w:p>
    <w:p>
      <w:pPr>
        <w:pStyle w:val="NoSpacing"/>
        <w:jc w:val="both"/>
        <w:rPr>
          <w:rFonts w:ascii="Arial" w:hAnsi="Arial" w:cs="Arial"/>
          <w:sz w:val="20"/>
          <w:szCs w:val="20"/>
        </w:rPr>
      </w:pPr>
      <w:r>
        <w:rPr>
          <w:rFonts w:cs="Arial" w:ascii="Arial" w:hAnsi="Arial"/>
          <w:sz w:val="20"/>
          <w:szCs w:val="20"/>
        </w:rPr>
        <w:t>11.1.8 – Indicar o vencedor do certame;</w:t>
      </w:r>
    </w:p>
    <w:p>
      <w:pPr>
        <w:pStyle w:val="NoSpacing"/>
        <w:jc w:val="both"/>
        <w:rPr>
          <w:rFonts w:ascii="Arial" w:hAnsi="Arial" w:cs="Arial"/>
          <w:sz w:val="20"/>
          <w:szCs w:val="20"/>
        </w:rPr>
      </w:pPr>
      <w:r>
        <w:rPr>
          <w:rFonts w:cs="Arial" w:ascii="Arial" w:hAnsi="Arial"/>
          <w:sz w:val="20"/>
          <w:szCs w:val="20"/>
        </w:rPr>
        <w:t>11.1.9 – Adjudicar o objeto, quando não houver recurso;</w:t>
      </w:r>
    </w:p>
    <w:p>
      <w:pPr>
        <w:pStyle w:val="NoSpacing"/>
        <w:jc w:val="both"/>
        <w:rPr>
          <w:rFonts w:ascii="Arial" w:hAnsi="Arial" w:cs="Arial"/>
          <w:sz w:val="20"/>
          <w:szCs w:val="20"/>
        </w:rPr>
      </w:pPr>
      <w:r>
        <w:rPr>
          <w:rFonts w:cs="Arial" w:ascii="Arial" w:hAnsi="Arial"/>
          <w:sz w:val="20"/>
          <w:szCs w:val="20"/>
        </w:rPr>
        <w:t>11.1.10 – Conduzir os trabalhos da equipe de apoio; e</w:t>
      </w:r>
    </w:p>
    <w:p>
      <w:pPr>
        <w:pStyle w:val="NoSpacing"/>
        <w:jc w:val="both"/>
        <w:rPr>
          <w:rFonts w:ascii="Arial" w:hAnsi="Arial" w:cs="Arial"/>
          <w:sz w:val="20"/>
          <w:szCs w:val="20"/>
        </w:rPr>
      </w:pPr>
      <w:r>
        <w:rPr>
          <w:rFonts w:cs="Arial" w:ascii="Arial" w:hAnsi="Arial"/>
          <w:sz w:val="20"/>
          <w:szCs w:val="20"/>
        </w:rPr>
        <w:t>11.1.11 – Encaminhar o processo devidamente instruído à autoridade competente e propor a sua homologação.</w:t>
      </w:r>
    </w:p>
    <w:p>
      <w:pPr>
        <w:pStyle w:val="NoSpacing"/>
        <w:ind w:firstLine="708"/>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11.2 – O pregoeiro poderá solicitar manifestação técnica da assessoria jurídica ou de outros setores do órgão ou da entidade, a fim de subsidiar sua decisão.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12 – </w:t>
      </w:r>
      <w:r>
        <w:rPr>
          <w:rFonts w:cs="Arial" w:ascii="Arial" w:hAnsi="Arial"/>
          <w:b/>
          <w:sz w:val="20"/>
          <w:szCs w:val="20"/>
          <w:u w:val="single"/>
        </w:rPr>
        <w:t>DO CADASTRAMENTO DA PROPOSTA DE PREÇO E DOCUMENTOS DE HABILITAÇÃO NO SISTEMA ELETRÔNICO</w:t>
      </w:r>
    </w:p>
    <w:p>
      <w:pPr>
        <w:pStyle w:val="NoSpacing"/>
        <w:jc w:val="both"/>
        <w:rPr>
          <w:rFonts w:ascii="Arial" w:hAnsi="Arial" w:cs="Arial"/>
          <w:sz w:val="20"/>
          <w:szCs w:val="20"/>
        </w:rPr>
      </w:pPr>
      <w:r>
        <w:rPr>
          <w:rFonts w:cs="Arial" w:ascii="Arial" w:hAnsi="Arial"/>
          <w:sz w:val="20"/>
          <w:szCs w:val="20"/>
        </w:rPr>
      </w:r>
    </w:p>
    <w:p>
      <w:pPr>
        <w:pStyle w:val="NoSpacing"/>
        <w:shd w:val="clear" w:color="auto" w:fill="D9D9D9"/>
        <w:jc w:val="both"/>
        <w:rPr>
          <w:rFonts w:ascii="Arial" w:hAnsi="Arial" w:cs="Arial"/>
          <w:b/>
          <w:b/>
          <w:sz w:val="20"/>
          <w:szCs w:val="20"/>
        </w:rPr>
      </w:pPr>
      <w:r>
        <w:rPr>
          <w:rFonts w:cs="Arial" w:ascii="Arial" w:hAnsi="Arial"/>
          <w:b/>
          <w:sz w:val="20"/>
          <w:szCs w:val="20"/>
        </w:rPr>
        <w:t>12.1 – Os licitantes encaminharão, exclusivamente por meio do sistema, concomitantemente com os documentos de habilitação exigidos no edital, proposta com a descrição do objeto ofertado e o preço, até a data e o horário estabelecidos para o fim do recebimento das propostas (</w:t>
      </w:r>
      <w:r>
        <w:rPr>
          <w:rFonts w:cs="Arial" w:ascii="Arial" w:hAnsi="Arial"/>
          <w:b/>
          <w:sz w:val="20"/>
          <w:szCs w:val="20"/>
          <w:u w:val="single"/>
        </w:rPr>
        <w:t>até as 9h do dia 13/05/2024</w:t>
      </w:r>
      <w:r>
        <w:rPr>
          <w:rFonts w:cs="Arial" w:ascii="Arial" w:hAnsi="Arial"/>
          <w:b/>
          <w:sz w:val="20"/>
          <w:szCs w:val="20"/>
        </w:rPr>
        <w:t>), quando, então, encerrar-se-á automaticamente a etapa de envio dessa documentação.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12.2 – O envio da proposta, acompanhada dos documentos de habilitação exigidos neste Edital, ocorrerá por meio de chave de acesso e senha.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12.3 – As Microempresas e Empresas de Pequeno Porte deverão encaminhar a documentação de habilitação, ainda que haja alguma restrição de regularidade fiscal e trabalhista, nos termos do art. 43, § 1º da Lei Complementar nº 123, de 2006.</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12.4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12.5 – Até a abertura da sessão pública, os licitantes poderão retirar ou substituir a proposta e os documentos de habilitação anteriormente inseridos no sistema.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12.6 – Não será estabelecida, nessa etapa do certame, ordem de classificação entre as propostas apresentadas, o que somente ocorrerá após a realização dos procedimentos de negociação e julgamento da proposta.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12.7 – Os documentos que compõem a proposta e a habilitação do licitante melhor classificado somente serão disponibilizados para avaliação do pregoeiro e para acesso público após o encerramento do envio de lances.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 xml:space="preserve">13 – </w:t>
      </w:r>
      <w:r>
        <w:rPr>
          <w:rFonts w:cs="Arial" w:ascii="Arial" w:hAnsi="Arial"/>
          <w:b/>
          <w:color w:val="000000"/>
          <w:sz w:val="20"/>
          <w:szCs w:val="20"/>
          <w:u w:val="single"/>
        </w:rPr>
        <w:t>DO PREENCHIMENTO DA PROPOSTA</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sz w:val="20"/>
          <w:szCs w:val="20"/>
        </w:rPr>
      </w:pPr>
      <w:r>
        <w:rPr>
          <w:rFonts w:cs="Arial" w:ascii="Arial" w:hAnsi="Arial"/>
          <w:sz w:val="20"/>
          <w:szCs w:val="20"/>
        </w:rPr>
        <w:t>13.1 – O licitante deverá enviar sua proposta mediante o preenchimento, no sistema eletrônico, dos seguintes campos: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13.1.1 – Valor unitário.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13.1.1.1 – O valor unitário poderá ser apresentado com até 03 (três) casas decimais.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13.1.2 – Informar a marca do produto quando for o caso.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13.1.3 – Informar o modelo do produto quando for o caso.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13.2 – Todas as especificações do objeto contidas na proposta vinculam a Contratada.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13.3 – Todos os lotes deverão vir acompanhados de laudo analítico-laboratorial, expedido pela empresa produtora.</w:t>
      </w:r>
    </w:p>
    <w:p>
      <w:pPr>
        <w:pStyle w:val="NoSpacing"/>
        <w:jc w:val="both"/>
        <w:rPr>
          <w:rFonts w:ascii="Arial" w:hAnsi="Arial" w:cs="Arial"/>
          <w:sz w:val="20"/>
          <w:szCs w:val="20"/>
        </w:rPr>
      </w:pPr>
      <w:r>
        <w:rPr>
          <w:rFonts w:cs="Arial" w:ascii="Arial" w:hAnsi="Arial"/>
          <w:sz w:val="20"/>
          <w:szCs w:val="20"/>
        </w:rPr>
      </w:r>
    </w:p>
    <w:p>
      <w:pPr>
        <w:pStyle w:val="Normal"/>
        <w:ind w:firstLine="1"/>
        <w:jc w:val="both"/>
        <w:rPr>
          <w:rFonts w:ascii="Arial" w:hAnsi="Arial" w:cs="Arial"/>
          <w:bCs/>
          <w:color w:val="000000"/>
        </w:rPr>
      </w:pPr>
      <w:r>
        <w:rPr>
          <w:rFonts w:cs="Arial" w:ascii="Arial" w:hAnsi="Arial"/>
          <w:b/>
          <w:color w:val="000000"/>
        </w:rPr>
        <w:t>13.4 – A empresa licitante deverá apresentar REGISTRO dos produtos na Agência Nacional de Vigilância Sanitária do Ministério da Saúde – ANVISA</w:t>
      </w:r>
      <w:r>
        <w:rPr>
          <w:rFonts w:cs="Arial" w:ascii="Arial" w:hAnsi="Arial"/>
          <w:bCs/>
          <w:color w:val="000000"/>
        </w:rPr>
        <w:t>.</w:t>
      </w:r>
    </w:p>
    <w:p>
      <w:pPr>
        <w:pStyle w:val="Normal"/>
        <w:ind w:firstLine="1"/>
        <w:jc w:val="both"/>
        <w:rPr>
          <w:rFonts w:ascii="Arial" w:hAnsi="Arial" w:cs="Arial"/>
          <w:bCs/>
          <w:color w:val="000000"/>
        </w:rPr>
      </w:pPr>
      <w:r>
        <w:rPr>
          <w:rFonts w:cs="Arial" w:ascii="Arial" w:hAnsi="Arial"/>
          <w:bCs/>
          <w:color w:val="000000"/>
        </w:rPr>
      </w:r>
    </w:p>
    <w:p>
      <w:pPr>
        <w:pStyle w:val="NoSpacing"/>
        <w:jc w:val="both"/>
        <w:rPr>
          <w:rFonts w:ascii="Arial" w:hAnsi="Arial" w:cs="Arial"/>
          <w:sz w:val="20"/>
          <w:szCs w:val="20"/>
        </w:rPr>
      </w:pPr>
      <w:r>
        <w:rPr>
          <w:rFonts w:cs="Arial" w:ascii="Arial" w:hAnsi="Arial"/>
          <w:sz w:val="20"/>
          <w:szCs w:val="20"/>
        </w:rPr>
        <w:t>13.5 – Nos valores propostos estarão inclusos todos os custos operacionais, encargos previdenciários, trabalhistas, tributários, comerciais e quaisquer outros que incidam direta ou indiretamente no fornecimento dos bens.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13.6 – Os preços ofertados, tanto na proposta inicial, quanto na etapa de lances, serão de exclusiva responsabilidade do licitante, não lhe assistindo o direito de pleitear qualquer alteração, sob alegação de erro, omissão ou qualquer outro pretexto.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13.7 – O prazo de validade da proposta não será inferior a 60 (sessenta) dias, a contar da data de sua apresentação.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 xml:space="preserve">14 – </w:t>
      </w:r>
      <w:r>
        <w:rPr>
          <w:rFonts w:cs="Arial" w:ascii="Arial" w:hAnsi="Arial"/>
          <w:b/>
          <w:color w:val="000000"/>
          <w:sz w:val="20"/>
          <w:szCs w:val="20"/>
          <w:u w:val="single"/>
        </w:rPr>
        <w:t>DA ABERTURA DA SESSÃO, CLASSIFICAÇÃO DAS PROPOSTAS E FORMULAÇÃO DE LANCES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14.1 – A abertura da presente licitação dar-se-á em sessão pública, por meio de sistema eletrônico, na data, horário e local indicado neste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14.2 – O Pregoeiro verificará as propostas apresentadas, desclassificando desde logo aquelas que não estejam em conformidade com os requisitos estabelecidos neste Edital, contenham vícios insanáveis ou não apresentem as especificações técnicas exigidas no Edital e seus anexos.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14.2.1 – Também será desclassificada a proposta que identifique o licitante.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14.2.2 – A desclassificação será sempre fundamentada e registrada no sistema, com acompanhamento em tempo real por todos os participantes.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14.3 – O sistema ordenará automaticamente as propostas classificadas, sendo que somente estas participarão da fase de lances.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14.4 – O sistema disponibilizará campo próprio para troca de mensagens entre o Pregoeiro e os licitantes.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sz w:val="20"/>
          <w:szCs w:val="20"/>
        </w:rPr>
        <w:t xml:space="preserve">14.5 – </w:t>
      </w:r>
      <w:r>
        <w:rPr>
          <w:rFonts w:cs="Arial" w:ascii="Arial" w:hAnsi="Arial"/>
          <w:color w:val="000000"/>
          <w:sz w:val="20"/>
          <w:szCs w:val="20"/>
        </w:rPr>
        <w:t xml:space="preserve">Será adotado para o envio de lances no pregão eletrônico o modo de disputa </w:t>
      </w:r>
      <w:r>
        <w:rPr>
          <w:rFonts w:cs="Arial" w:ascii="Arial" w:hAnsi="Arial"/>
          <w:b/>
          <w:color w:val="000000"/>
          <w:sz w:val="20"/>
          <w:szCs w:val="20"/>
        </w:rPr>
        <w:t>“aberto e fechado”</w:t>
      </w:r>
      <w:r>
        <w:rPr>
          <w:rFonts w:cs="Arial" w:ascii="Arial" w:hAnsi="Arial"/>
          <w:color w:val="000000"/>
          <w:sz w:val="20"/>
          <w:szCs w:val="20"/>
        </w:rPr>
        <w:t>, em que os licitantes apresentarão lances públicos e sucessivos, com lance final e fechado (Decreto nº 10.024 de 20 de setembro de 2019).</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14.6 – Aberta a etapa competitiva, os representantes dos fornecedores deverão estar conectados ao sistema para participar da sessão de lances. A cada lance ofertado o participante será imediatamente informado de seu recebimento e respectivo horário de registro e valor.</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14.7 – Só serão aceitos lances cujos valores forem inferiores ao último lance que tenha sido anteriormente registrado no sistema.</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14.8 – Não serão aceitos dois ou mais lances de mesmo valor, prevalecendo aquele que for recebido e registrado em primeiro lugar.</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14.9 – As propostas não deverão estar com valores superiores ao máximo fixado no Edital (REFERENTE AO VALOR UNITÁRIO DO LOTE) e não havendo lances com valores iguais ou inferiores, serão desclassificados.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14.10 – Fica a critério do Pregoeiro a autorização da correção de lances com valores digitados errados ou situação semelhante, mesmo que antes do início da disputa de lances.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14.11 – Durante o transcurso da sessão pública os participantes serão informados, em tempo real, do valor do menor lance registrado. O sistema não identificará o autor dos lances aos demais participantes.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14.12 – 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14.13 – 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14.14 – A etapa de lances da sessão pública será no modo de disputa aberto, durante 10 minutos serão dados lances livres, abertos e sucessivos, sendo que havendo lances nos últimos 2 minutos da disputa, a etapa será automaticamente prorrogada por mais 2 min. Quando não houver novo lance, passados os 2 minutos últimos, o sistema encerrará a competição.</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14.15 – Face à imprevisão do tempo extra, as Empresas participantes deverão estimar o seu valor mínimo de lance a ser ofertado, evitando assim, cálculos de última hora, que poderá resultar em uma disputa frustrada por falta de tempo hábil.</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14.16 – 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14.17 – O sistema informará a proposta de menor preço imediatamente após o encerramento da etapa de lances ou, quando for o caso, após negociação e decisão pelo pregoeiro acerca da aceitação do lance de menor valor.</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14.18 –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14.19 – Caso não sejam apresentados lances, será verificada a conformidade entre a proposta de menor preço e valor estimado para a contratação.</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14.20 – Após a fase de HABILITAÇÃO, o pregoeiro conferirá a documentação do licitante vencedor encaminhada no ato de cadastro de sua proposta de participação. Caso não tenha problema com documentação do licitante vencedor o processo seguirá para as fases do sistema até que seja feita HOMOLOGAÇÃO pela AUTORIDADE COMPETENTE.</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14.21 – Constatando o atendimento das exigências fixadas no Edital e inexistindo interposição de recursos, o objeto será adjudicado ao autor da proposta ou lance de menor preço.</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14.22 – Quando for constatado o empate, conforme estabelece os artigos 44 e 45 da LC 123/2006, o Pregoeiro aplicará os critérios para o desempate em favor ME/EPP. Após o desempate, poderá o pregoeiro ainda negociar um melhor preço caso ela não atinja o valor de referência definido pela administração pública.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15 – </w:t>
      </w:r>
      <w:r>
        <w:rPr>
          <w:rFonts w:cs="Arial" w:ascii="Arial" w:hAnsi="Arial"/>
          <w:b/>
          <w:sz w:val="20"/>
          <w:szCs w:val="20"/>
          <w:u w:val="single"/>
        </w:rPr>
        <w:t>DA HABILITAÇÃO</w:t>
      </w:r>
    </w:p>
    <w:p>
      <w:pPr>
        <w:pStyle w:val="NoSpacing"/>
        <w:tabs>
          <w:tab w:val="clear" w:pos="708"/>
          <w:tab w:val="left" w:pos="2048" w:leader="none"/>
        </w:tabs>
        <w:jc w:val="both"/>
        <w:rPr>
          <w:rFonts w:ascii="Arial" w:hAnsi="Arial" w:cs="Arial"/>
          <w:sz w:val="20"/>
          <w:szCs w:val="20"/>
        </w:rPr>
      </w:pPr>
      <w:r>
        <w:rPr>
          <w:rFonts w:cs="Arial" w:ascii="Arial" w:hAnsi="Arial"/>
          <w:sz w:val="20"/>
          <w:szCs w:val="20"/>
        </w:rPr>
        <w:tab/>
      </w:r>
    </w:p>
    <w:p>
      <w:pPr>
        <w:pStyle w:val="NoSpacing"/>
        <w:jc w:val="both"/>
        <w:rPr>
          <w:rFonts w:ascii="Arial" w:hAnsi="Arial" w:cs="Arial"/>
          <w:b/>
          <w:b/>
          <w:sz w:val="20"/>
          <w:szCs w:val="20"/>
        </w:rPr>
      </w:pPr>
      <w:r>
        <w:rPr>
          <w:rFonts w:cs="Arial" w:ascii="Arial" w:hAnsi="Arial"/>
          <w:b/>
          <w:sz w:val="20"/>
          <w:szCs w:val="20"/>
        </w:rPr>
        <w:t>15.1 – DA HABILITAÇÃO JURÍDICA</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rPr>
      </w:pPr>
      <w:r>
        <w:rPr>
          <w:rFonts w:cs="Arial" w:ascii="Arial" w:hAnsi="Arial"/>
        </w:rPr>
        <w:t xml:space="preserve">15.1.1 – Registro comercial, no caso de empresa individual;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15.1.2 – Em se tratando de microempreendedor individual – MEI: Certificado da Condição de Microempreendedor Individual - CCMEI, cuja aceitação ficará condicionada à verificação da autenticidade no sítio </w:t>
      </w:r>
      <w:hyperlink r:id="rId2">
        <w:r>
          <w:rPr>
            <w:rStyle w:val="LinkdaInternet"/>
            <w:rFonts w:cs="Arial" w:ascii="Arial" w:hAnsi="Arial"/>
          </w:rPr>
          <w:t>www.portaldoempreendedor.gov.br</w:t>
        </w:r>
      </w:hyperlink>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15.1.3 – Ato constitutivo, estatuto ou contrato social em vigor, devidamente registrado, em se tratando de sociedades comerciais, e, no caso de sociedades por ações, acompanhado de documentos de eleição de seus administradores; </w:t>
      </w:r>
    </w:p>
    <w:p>
      <w:pPr>
        <w:pStyle w:val="Normal"/>
        <w:jc w:val="both"/>
        <w:rPr>
          <w:rFonts w:ascii="Arial" w:hAnsi="Arial" w:cs="Arial"/>
          <w:bCs/>
        </w:rPr>
      </w:pPr>
      <w:r>
        <w:rPr>
          <w:rFonts w:cs="Arial" w:ascii="Arial" w:hAnsi="Arial"/>
          <w:bCs/>
        </w:rPr>
      </w:r>
    </w:p>
    <w:p>
      <w:pPr>
        <w:pStyle w:val="Normal"/>
        <w:jc w:val="both"/>
        <w:rPr>
          <w:rFonts w:ascii="Arial" w:hAnsi="Arial" w:cs="Arial"/>
          <w:bCs/>
        </w:rPr>
      </w:pPr>
      <w:r>
        <w:rPr>
          <w:rFonts w:cs="Arial" w:ascii="Arial" w:hAnsi="Arial"/>
        </w:rPr>
        <w:t xml:space="preserve">15.1.4 – </w:t>
      </w:r>
      <w:r>
        <w:rPr>
          <w:rFonts w:cs="Arial" w:ascii="Arial" w:hAnsi="Arial"/>
          <w:bCs/>
        </w:rPr>
        <w:t>Inscrição do ato constitutivo, no caso de sociedade civil, acompanhada de prova da Diretoria em exercício;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15.1.5 – No caso de sociedades anônimas, cópia da ata da assembléia geral ou da reunião do Conselho de Administração atinente à eleição e ao mandato dos atuais administradores, evidenciando o devido registro na Junta Comercial pertinente ou a publicação prevista na Lei 6.404/76 e suas alterações; </w:t>
      </w:r>
    </w:p>
    <w:p>
      <w:pPr>
        <w:pStyle w:val="Normal"/>
        <w:jc w:val="both"/>
        <w:rPr>
          <w:rFonts w:ascii="Arial" w:hAnsi="Arial" w:cs="Arial"/>
        </w:rPr>
      </w:pPr>
      <w:r>
        <w:rPr>
          <w:rFonts w:cs="Arial" w:ascii="Arial" w:hAnsi="Arial"/>
        </w:rPr>
      </w:r>
    </w:p>
    <w:p>
      <w:pPr>
        <w:pStyle w:val="NoSpacing"/>
        <w:jc w:val="both"/>
        <w:rPr>
          <w:rFonts w:ascii="Arial" w:hAnsi="Arial" w:cs="Arial"/>
          <w:sz w:val="20"/>
          <w:szCs w:val="20"/>
        </w:rPr>
      </w:pPr>
      <w:r>
        <w:rPr>
          <w:rFonts w:cs="Arial" w:ascii="Arial" w:hAnsi="Arial"/>
          <w:sz w:val="20"/>
          <w:szCs w:val="20"/>
        </w:rPr>
        <w:t>15.1.6 – Cópia do Decreto de autorização para que se estabeleçam no País e ato de registro ou autorização para funcionamento expedido pelo órgão competente, no caso de empresas ou sociedades estrangeiras.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b/>
          <w:sz w:val="20"/>
          <w:szCs w:val="20"/>
        </w:rPr>
        <w:t>15.2 – DA REGULARIDADE FISCAL E TRABALHISTA</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rPr>
      </w:pPr>
      <w:r>
        <w:rPr>
          <w:rFonts w:cs="Arial" w:ascii="Arial" w:hAnsi="Arial"/>
        </w:rPr>
        <w:t xml:space="preserve">15.2.1 – Prova de inscrição no Cadastro Nacional de Pessoa Jurídica do Ministério da Fazenda </w:t>
      </w:r>
      <w:r>
        <w:rPr>
          <w:rFonts w:cs="Arial" w:ascii="Arial" w:hAnsi="Arial"/>
          <w:b/>
        </w:rPr>
        <w:t>(CNPJ/MF)</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15.2.2 – Prova de regularidade para com a </w:t>
      </w:r>
      <w:r>
        <w:rPr>
          <w:rFonts w:cs="Arial" w:ascii="Arial" w:hAnsi="Arial"/>
          <w:b/>
        </w:rPr>
        <w:t>Fazenda Federal</w:t>
      </w:r>
      <w:r>
        <w:rPr>
          <w:rFonts w:cs="Arial" w:ascii="Arial" w:hAnsi="Arial"/>
        </w:rPr>
        <w:t>, através da apresentação da Certidão Conjunta Negativa de Débitos Relativos a Tributos Federais e à Dívida Ativa da União, expedida pela Procuradoria-Geral da Fazenda Nacional em conjunto com a Secretaria da Receita Federal, comprovando a inexistência tanto de débitos inscritos quanto de não inscritos na Dívida Ativa da União, ou outra equivalente, tal como certidão positiva com efeitos de negativa, na forma da lei.</w:t>
      </w:r>
    </w:p>
    <w:p>
      <w:pPr>
        <w:pStyle w:val="Normal"/>
        <w:jc w:val="both"/>
        <w:rPr>
          <w:rFonts w:ascii="Arial" w:hAnsi="Arial" w:cs="Arial"/>
          <w:bCs/>
        </w:rPr>
      </w:pPr>
      <w:r>
        <w:rPr>
          <w:rFonts w:cs="Arial" w:ascii="Arial" w:hAnsi="Arial"/>
          <w:bCs/>
        </w:rPr>
      </w:r>
    </w:p>
    <w:p>
      <w:pPr>
        <w:pStyle w:val="Contedodatabela"/>
        <w:widowControl w:val="false"/>
        <w:tabs>
          <w:tab w:val="clear" w:pos="708"/>
          <w:tab w:val="left" w:pos="1985" w:leader="none"/>
        </w:tabs>
        <w:rPr>
          <w:sz w:val="20"/>
          <w:szCs w:val="20"/>
        </w:rPr>
      </w:pPr>
      <w:r>
        <w:rPr>
          <w:sz w:val="20"/>
          <w:szCs w:val="20"/>
        </w:rPr>
        <w:t xml:space="preserve">15.2.3 – Prova de regularidade para com a </w:t>
      </w:r>
      <w:r>
        <w:rPr>
          <w:b/>
          <w:sz w:val="20"/>
          <w:szCs w:val="20"/>
        </w:rPr>
        <w:t>Fazenda Estadual</w:t>
      </w:r>
      <w:r>
        <w:rPr>
          <w:sz w:val="20"/>
          <w:szCs w:val="20"/>
        </w:rPr>
        <w:t xml:space="preserve">, através da apresentação de Certidão de Regularidade de Tributos Estaduais, expedida pela Secretaria de Estado de Fazenda ou Distrito Federal, e da </w:t>
      </w:r>
      <w:r>
        <w:rPr>
          <w:b/>
          <w:sz w:val="20"/>
          <w:szCs w:val="20"/>
        </w:rPr>
        <w:t>Certidão da Dívida Ativa Estadual</w:t>
      </w:r>
      <w:r>
        <w:rPr>
          <w:sz w:val="20"/>
          <w:szCs w:val="20"/>
        </w:rPr>
        <w:t xml:space="preserve"> comprovando a inexistência de débitos inscritos, ou outra(s) equivalente(s), tal(tais) como certidão(ões) positiva(s) com efeito de negativa(s), na forma da lei.</w:t>
      </w:r>
    </w:p>
    <w:p>
      <w:pPr>
        <w:pStyle w:val="Contedodatabela"/>
        <w:widowControl w:val="false"/>
        <w:tabs>
          <w:tab w:val="clear" w:pos="708"/>
          <w:tab w:val="left" w:pos="1985" w:leader="none"/>
        </w:tabs>
        <w:rPr>
          <w:sz w:val="20"/>
          <w:szCs w:val="20"/>
        </w:rPr>
      </w:pPr>
      <w:r>
        <w:rPr>
          <w:sz w:val="20"/>
          <w:szCs w:val="20"/>
        </w:rPr>
      </w:r>
    </w:p>
    <w:p>
      <w:pPr>
        <w:pStyle w:val="Contedodatabela"/>
        <w:widowControl w:val="false"/>
        <w:tabs>
          <w:tab w:val="clear" w:pos="708"/>
          <w:tab w:val="left" w:pos="1985" w:leader="none"/>
        </w:tabs>
        <w:rPr>
          <w:sz w:val="20"/>
          <w:szCs w:val="20"/>
        </w:rPr>
      </w:pPr>
      <w:r>
        <w:rPr>
          <w:sz w:val="20"/>
          <w:szCs w:val="20"/>
        </w:rPr>
        <w:t xml:space="preserve">15.2.3.1 – Para as empresas sediadas no Estado do Rio de Janeiro, a </w:t>
      </w:r>
      <w:r>
        <w:rPr>
          <w:b/>
          <w:sz w:val="20"/>
          <w:szCs w:val="20"/>
        </w:rPr>
        <w:t>Certidão de Dívida Ativa Estadual</w:t>
      </w:r>
      <w:r>
        <w:rPr>
          <w:sz w:val="20"/>
          <w:szCs w:val="20"/>
        </w:rPr>
        <w:t xml:space="preserve"> deverá ser a expedida pela Procuradoria-Geral do Estado.</w:t>
      </w:r>
    </w:p>
    <w:p>
      <w:pPr>
        <w:pStyle w:val="Contedodatabela"/>
        <w:widowControl w:val="false"/>
        <w:tabs>
          <w:tab w:val="clear" w:pos="708"/>
          <w:tab w:val="left" w:pos="1985" w:leader="none"/>
        </w:tabs>
        <w:rPr>
          <w:sz w:val="20"/>
          <w:szCs w:val="20"/>
        </w:rPr>
      </w:pPr>
      <w:r>
        <w:rPr>
          <w:sz w:val="20"/>
          <w:szCs w:val="20"/>
        </w:rPr>
      </w:r>
    </w:p>
    <w:p>
      <w:pPr>
        <w:pStyle w:val="Contedodatabela"/>
        <w:widowControl w:val="false"/>
        <w:tabs>
          <w:tab w:val="clear" w:pos="708"/>
          <w:tab w:val="left" w:pos="1985" w:leader="none"/>
        </w:tabs>
        <w:rPr>
          <w:color w:val="000000"/>
          <w:sz w:val="20"/>
          <w:szCs w:val="20"/>
        </w:rPr>
      </w:pPr>
      <w:r>
        <w:rPr>
          <w:sz w:val="20"/>
          <w:szCs w:val="20"/>
        </w:rPr>
        <w:t xml:space="preserve">15.2.4 – </w:t>
      </w:r>
      <w:r>
        <w:rPr>
          <w:color w:val="000000"/>
          <w:sz w:val="20"/>
          <w:szCs w:val="20"/>
        </w:rPr>
        <w:t xml:space="preserve">Prova de regularidade para com a </w:t>
      </w:r>
      <w:r>
        <w:rPr>
          <w:b/>
          <w:color w:val="000000"/>
          <w:sz w:val="20"/>
          <w:szCs w:val="20"/>
        </w:rPr>
        <w:t>Fazenda Municipal</w:t>
      </w:r>
      <w:r>
        <w:rPr>
          <w:color w:val="000000"/>
          <w:sz w:val="20"/>
          <w:szCs w:val="20"/>
        </w:rPr>
        <w:t>, através da apresentação de Certidão de Regularidade de Tributos Municipais, expedida pela Secretaria Municipal de Fazenda, tal como certidão positiva com efeito de negativa, na forma da lei, devidamente comprovadas documentalmente pela licitante.</w:t>
      </w:r>
    </w:p>
    <w:p>
      <w:pPr>
        <w:pStyle w:val="Normal"/>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 xml:space="preserve">15.2.5 – Certificado de Regularidade de Situação perante o Fundo de Garantia por Tempo de Serviço – </w:t>
      </w:r>
      <w:r>
        <w:rPr>
          <w:rFonts w:cs="Arial" w:ascii="Arial" w:hAnsi="Arial"/>
          <w:b/>
        </w:rPr>
        <w:t>FGTS</w:t>
      </w:r>
      <w:r>
        <w:rPr>
          <w:rFonts w:cs="Arial" w:ascii="Arial" w:hAnsi="Arial"/>
        </w:rPr>
        <w:t>, expedido pela Caixa Econômica Federal – CEF.</w:t>
      </w:r>
    </w:p>
    <w:p>
      <w:pPr>
        <w:pStyle w:val="Normal"/>
        <w:jc w:val="both"/>
        <w:rPr>
          <w:rFonts w:ascii="Arial" w:hAnsi="Arial" w:cs="Arial"/>
        </w:rPr>
      </w:pPr>
      <w:r>
        <w:rPr>
          <w:rFonts w:cs="Arial" w:ascii="Arial" w:hAnsi="Arial"/>
        </w:rPr>
      </w:r>
    </w:p>
    <w:p>
      <w:pPr>
        <w:pStyle w:val="NoSpacing"/>
        <w:jc w:val="both"/>
        <w:rPr>
          <w:rFonts w:ascii="Arial" w:hAnsi="Arial" w:cs="Arial"/>
          <w:sz w:val="20"/>
          <w:szCs w:val="20"/>
        </w:rPr>
      </w:pPr>
      <w:r>
        <w:rPr>
          <w:rFonts w:cs="Arial" w:ascii="Arial" w:hAnsi="Arial"/>
          <w:sz w:val="20"/>
          <w:szCs w:val="20"/>
        </w:rPr>
        <w:t xml:space="preserve">15.2.6 – </w:t>
      </w:r>
      <w:r>
        <w:rPr>
          <w:rFonts w:cs="Arial" w:ascii="Arial" w:hAnsi="Arial"/>
          <w:color w:val="000000"/>
          <w:sz w:val="20"/>
          <w:szCs w:val="20"/>
        </w:rPr>
        <w:t xml:space="preserve">Prova de inexistência de débitos inadimplidos perante a Justiça do Trabalho, mediante a apresentação de </w:t>
      </w:r>
      <w:r>
        <w:rPr>
          <w:rFonts w:cs="Arial" w:ascii="Arial" w:hAnsi="Arial"/>
          <w:b/>
          <w:color w:val="000000"/>
          <w:sz w:val="20"/>
          <w:szCs w:val="20"/>
        </w:rPr>
        <w:t>Certidão Negativa</w:t>
      </w:r>
      <w:r>
        <w:rPr>
          <w:rFonts w:cs="Arial" w:ascii="Arial" w:hAnsi="Arial"/>
          <w:color w:val="000000"/>
          <w:sz w:val="20"/>
          <w:szCs w:val="20"/>
        </w:rPr>
        <w:t xml:space="preserve">, nos termos do </w:t>
      </w:r>
      <w:r>
        <w:rPr>
          <w:rFonts w:cs="Arial" w:ascii="Arial" w:hAnsi="Arial"/>
          <w:color w:val="000000"/>
          <w:sz w:val="20"/>
          <w:szCs w:val="20"/>
          <w:u w:val="single"/>
        </w:rPr>
        <w:t>Título VII-A da Consolidação das Leis do Trabalho, aprovada pelo Decreto-Lei nº 5.452, de 1º de maio de 1943</w:t>
      </w:r>
      <w:r>
        <w:rPr>
          <w:rFonts w:cs="Arial" w:ascii="Arial" w:hAnsi="Arial"/>
          <w:color w:val="000000"/>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15.2.7 – </w:t>
      </w:r>
      <w:r>
        <w:rPr>
          <w:rFonts w:cs="Arial" w:ascii="Arial" w:hAnsi="Arial"/>
          <w:b/>
          <w:sz w:val="20"/>
          <w:szCs w:val="20"/>
          <w:u w:val="single"/>
        </w:rPr>
        <w:t>Microempresas e empresas de pequeno porte</w:t>
      </w:r>
      <w:r>
        <w:rPr>
          <w:rFonts w:cs="Arial" w:ascii="Arial" w:hAnsi="Arial"/>
          <w:b/>
          <w:sz w:val="20"/>
          <w:szCs w:val="20"/>
        </w:rPr>
        <w:t xml:space="preserve"> </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15.2.7.1 – A microempresa ou empresa de pequeno porte deverá apresentar os documentos de regularidade fiscal, mesmo que apresentem alguma restrição, caso seja adjudicatária deste certame, nos termos do art. 43 da Lei Complementar n° 123/2006. </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15.2.7.2 – Havendo alguma restrição na comprovação da regularidade fiscal exigida neste edital, será assegurado à microempresa ou empresa de pequeno porte adjudicatária deste certame o prazo de 05 (cinco) dias úteis, contados do momento em que for declarada a vencedora, prorrogáveis por igual período, a critério da Administração, para a regularização da documentação, pagamento ou parcelamento do débito, e emissão de eventuais certidões negativas ou positivas com efeito de certidão negativa. </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15.2.7.3 – A falta de regularização da documentação no prazo previsto neste edital implicará a decadência do direito à contratação, sem prejuízo das sanções previstas no art. 81 da Lei n° 8.666, de 21 de junho de 1993, sendo facultado à Administração convocar as licitantes remanescentes para assinar a Ata de Registro de Preços, na ordem de classificação, ou revogar a licitação.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15.3 – DA QUALIFICAÇÃO TÉCNICA</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color w:val="000000"/>
        </w:rPr>
      </w:pPr>
      <w:r>
        <w:rPr>
          <w:rFonts w:cs="Arial" w:ascii="Arial" w:hAnsi="Arial"/>
          <w:color w:val="000000"/>
        </w:rPr>
        <w:t>15.3.1 – As empresas licitantes deverão apresentar:</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15.3.1.1 – Autorização de funcionamento junto à ANVISA (atualizada);</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15.3.1.2 – Licença sanitária junto à VISA (atualizada);</w:t>
      </w:r>
    </w:p>
    <w:p>
      <w:pPr>
        <w:pStyle w:val="Normal"/>
        <w:jc w:val="both"/>
        <w:rPr>
          <w:rFonts w:ascii="Arial" w:hAnsi="Arial" w:cs="Arial"/>
          <w:color w:val="000000"/>
        </w:rPr>
      </w:pPr>
      <w:r>
        <w:rPr>
          <w:rFonts w:cs="Arial" w:ascii="Arial" w:hAnsi="Arial"/>
          <w:color w:val="000000"/>
        </w:rPr>
      </w:r>
    </w:p>
    <w:p>
      <w:pPr>
        <w:pStyle w:val="NoSpacing"/>
        <w:jc w:val="both"/>
        <w:rPr>
          <w:rFonts w:ascii="Arial" w:hAnsi="Arial" w:cs="Arial"/>
          <w:color w:val="000000"/>
          <w:sz w:val="20"/>
          <w:szCs w:val="20"/>
        </w:rPr>
      </w:pPr>
      <w:r>
        <w:rPr>
          <w:rFonts w:cs="Arial" w:ascii="Arial" w:hAnsi="Arial"/>
          <w:color w:val="000000"/>
          <w:sz w:val="20"/>
          <w:szCs w:val="20"/>
        </w:rPr>
        <w:t>15.3.1.3 – Certificado de Regularidade Técnica expedido pelo Conselho Regional de Farmácia - CRF (atualizado).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15.4 – DA QUALIFICAÇÃO ECONÔMICO-FINANCEIRA</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rPr>
      </w:pPr>
      <w:r>
        <w:rPr>
          <w:rFonts w:cs="Arial" w:ascii="Arial" w:hAnsi="Arial"/>
        </w:rPr>
        <w:t xml:space="preserve">15.4.1 – Balanço patrimonial e demonstrações contábeis do último exercício social, já exigíveis e apresentados na forma da lei, vedada a sua substituição por balancetes ou balanços provisórios;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15.4.2 – Empresas recentemente constituídas deverão apresentar seu balanço patrimonial de abertura e último balancete;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15.4.3 – As sociedades anônimas deverão apresentar balanço publicado em jornal de grande circulação ou no Diário Oficial e ata da assembléia geral ordinária que o aprovou (Lei nº 6.404 de 15/12/76 e alterações);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15.4.4 – As sociedades cooperativas, de acordo com o inciso I do art. 44 da Lei n° 5.764, de 16/12/71, deverão apresentar a ata da assembléia ordinária que aprova o balanço patrimonial e as demonstrações contábeis do último exercício social.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15.4.5 – As peças contábeis deverão estar devidamente assinadas pelo representante legal da empresa e pelo contabilista responsável, este último com seu respectivo registro; </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bCs/>
        </w:rPr>
      </w:pPr>
      <w:r>
        <w:rPr>
          <w:rFonts w:cs="Arial" w:ascii="Arial" w:hAnsi="Arial"/>
        </w:rPr>
        <w:t xml:space="preserve">15.4.6 – </w:t>
      </w:r>
      <w:r>
        <w:rPr>
          <w:rFonts w:cs="Arial" w:ascii="Arial" w:hAnsi="Arial"/>
          <w:bCs/>
        </w:rPr>
        <w:t>Certidão negativa de falência e concordata, expedida pelo distribuidor da sede da pessoa jurídica, ou de execução patrimonial, expedida no domicílio da pessoa física.</w:t>
      </w:r>
    </w:p>
    <w:p>
      <w:pPr>
        <w:pStyle w:val="Normal"/>
        <w:jc w:val="both"/>
        <w:rPr>
          <w:rFonts w:ascii="Arial" w:hAnsi="Arial" w:cs="Arial"/>
          <w:bCs/>
        </w:rPr>
      </w:pPr>
      <w:r>
        <w:rPr>
          <w:rFonts w:cs="Arial" w:ascii="Arial" w:hAnsi="Arial"/>
          <w:bCs/>
        </w:rPr>
      </w:r>
    </w:p>
    <w:p>
      <w:pPr>
        <w:pStyle w:val="Normal"/>
        <w:jc w:val="both"/>
        <w:rPr>
          <w:rFonts w:ascii="Arial" w:hAnsi="Arial" w:cs="Arial"/>
          <w:bCs/>
        </w:rPr>
      </w:pPr>
      <w:r>
        <w:rPr>
          <w:rFonts w:cs="Arial" w:ascii="Arial" w:hAnsi="Arial"/>
          <w:bCs/>
        </w:rPr>
        <w:t>15.4.6.1 – As empresas localizadas no Município do Rio de Janeiro deverão apresentar as Certidões do 1°, 2°, 3° e 4° Distribuidor e 1° e 2° Cartório de Interdição e Tutela.</w:t>
      </w:r>
    </w:p>
    <w:p>
      <w:pPr>
        <w:pStyle w:val="Normal"/>
        <w:jc w:val="both"/>
        <w:rPr>
          <w:rFonts w:ascii="Arial" w:hAnsi="Arial" w:cs="Arial"/>
          <w:bCs/>
        </w:rPr>
      </w:pPr>
      <w:r>
        <w:rPr>
          <w:rFonts w:cs="Arial" w:ascii="Arial" w:hAnsi="Arial"/>
          <w:bCs/>
        </w:rPr>
      </w:r>
    </w:p>
    <w:p>
      <w:pPr>
        <w:pStyle w:val="NoSpacing"/>
        <w:jc w:val="both"/>
        <w:rPr>
          <w:rFonts w:ascii="Arial" w:hAnsi="Arial" w:cs="Arial"/>
          <w:bCs/>
          <w:sz w:val="20"/>
          <w:szCs w:val="20"/>
        </w:rPr>
      </w:pPr>
      <w:r>
        <w:rPr>
          <w:rFonts w:cs="Arial" w:ascii="Arial" w:hAnsi="Arial"/>
          <w:bCs/>
          <w:sz w:val="20"/>
          <w:szCs w:val="20"/>
        </w:rPr>
        <w:t xml:space="preserve">15.4.6.2 </w:t>
      </w:r>
      <w:r>
        <w:rPr>
          <w:rFonts w:cs="Arial" w:ascii="Arial" w:hAnsi="Arial"/>
          <w:bCs/>
        </w:rPr>
        <w:t xml:space="preserve">– </w:t>
      </w:r>
      <w:r>
        <w:rPr>
          <w:rFonts w:cs="Arial" w:ascii="Arial" w:hAnsi="Arial"/>
          <w:bCs/>
          <w:sz w:val="20"/>
          <w:szCs w:val="20"/>
        </w:rPr>
        <w:t>As empresas localizadas fora do Estado do Rio de Janeiro deverão apresentar certidão fornecida pelo Fórum da Comarca, declarando a existência de Cartório Único ou indicando, caso existam, os cartórios responsáveis pela emissão da Certidão de Falência e Concordata.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15.5 – OUTRAS COMPROVAÇÕES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15.5.1 – Declaração firmada pela licitante nos termos do modelo que integra </w:t>
      </w:r>
      <w:r>
        <w:rPr>
          <w:rFonts w:cs="Arial" w:ascii="Arial" w:hAnsi="Arial"/>
          <w:color w:val="000000"/>
          <w:sz w:val="20"/>
          <w:szCs w:val="20"/>
        </w:rPr>
        <w:t>o ANEXO V deste</w:t>
      </w:r>
      <w:r>
        <w:rPr>
          <w:rFonts w:cs="Arial" w:ascii="Arial" w:hAnsi="Arial"/>
          <w:sz w:val="20"/>
          <w:szCs w:val="20"/>
        </w:rPr>
        <w:t xml:space="preserve"> edital, expressando não empregar menor de dezoito anos em trabalho noturno, perigoso ou insalubre e menores de dezesseis anos, salvo a partir de quatorze anos, na condição de aprendiz, em cumprimento ao disposto no inciso XXXIII do art. 7º da Constituição Federal de 1988 e de acordo com o inciso V do art. 27 da Lei Federal n° 8.666/93.</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15.5.2 – Declaração de Atendimento aos Requisitos de </w:t>
      </w:r>
      <w:r>
        <w:rPr>
          <w:rFonts w:cs="Arial" w:ascii="Arial" w:hAnsi="Arial"/>
          <w:color w:val="000000"/>
          <w:sz w:val="20"/>
          <w:szCs w:val="20"/>
        </w:rPr>
        <w:t>Habilitação (ANEXO VI)</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15.5.3 – Declaração de ME ou EPP </w:t>
      </w:r>
      <w:r>
        <w:rPr>
          <w:rFonts w:cs="Arial" w:ascii="Arial" w:hAnsi="Arial"/>
          <w:color w:val="000000"/>
          <w:sz w:val="20"/>
          <w:szCs w:val="20"/>
        </w:rPr>
        <w:t>(ANEXO VII</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15.5.4 – Declaração de Inexistência de Fato Impeditivo (</w:t>
      </w:r>
      <w:r>
        <w:rPr>
          <w:rFonts w:cs="Arial" w:ascii="Arial" w:hAnsi="Arial"/>
          <w:color w:val="000000"/>
          <w:sz w:val="20"/>
          <w:szCs w:val="20"/>
        </w:rPr>
        <w:t>ANEXO VIII</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15.5.5 – Declaração de Inexistência de Vínculo (</w:t>
      </w:r>
      <w:r>
        <w:rPr>
          <w:rFonts w:cs="Arial" w:ascii="Arial" w:hAnsi="Arial"/>
          <w:color w:val="000000"/>
          <w:sz w:val="20"/>
          <w:szCs w:val="20"/>
        </w:rPr>
        <w:t>ANEXO IX</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15.5.6 – Declaração de Fornecimento de Dados da Empresa (</w:t>
      </w:r>
      <w:r>
        <w:rPr>
          <w:rFonts w:cs="Arial" w:ascii="Arial" w:hAnsi="Arial"/>
          <w:color w:val="000000"/>
          <w:sz w:val="20"/>
          <w:szCs w:val="20"/>
        </w:rPr>
        <w:t>ANEXO X</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15.5.7 – Termo de Consentimento p/ Tratamento de Dados Pessoais (ANEXO XII).</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15.6 - As certidões valerão nos prazos que lhes são próprios ou, inexistindo esse prazo, reputar-se-ão válidas por 90 (noventa) dias, contados de sua expedição.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15.7 – Será inabilitado o licitante que não comprovar sua habilitação, seja por não apresentar quaisquer dos documentos exigidos, ou apresentá-los em desacordo com o estabelecido neste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15.8 –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15.9 – Constatado o atendimento às exigências de habilitação fixadas no Edital, o licitante será declarado vencedor.</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16 – </w:t>
      </w:r>
      <w:r>
        <w:rPr>
          <w:rFonts w:cs="Arial" w:ascii="Arial" w:hAnsi="Arial"/>
          <w:b/>
          <w:sz w:val="20"/>
          <w:szCs w:val="20"/>
          <w:u w:val="single"/>
        </w:rPr>
        <w:t>DO ENCAMINHAMENTO DA PROPOSTA DE PREÇOS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16.1 – A proposta final do licitante declarado vencedor deverá ser encaminhada no prazo de até 02 (duas) horas, a contar da solicitação do Pregoeiro no sistema eletrônico e deverá:</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16.1.1 – ser redigida em língua portuguesa, digitada, em uma via, sem emendas, rasuras, entrelinhas ou ressalvas, devendo a última folha ser assinada e as demais rubricadas pelo licitante ou seu representante legal.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16.1.2 – conter a indicação do banco, número da conta e agência do licitante vencedor, para fins de pagamento.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16.2 – A proposta final deverá ser documentada nos autos e será levada em consideração no decorrer da execução do contrato e aplicação de eventual sanção à Contratada, se for o caso.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16.2.1 – Todas as especificações do objeto contidas na proposta, tais como marca, modelo, tipo, fabricante e procedência, vinculam a Contratada.</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16.3 – Os preços deverão ser expressos em moeda corrente nacional.</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sz w:val="20"/>
          <w:szCs w:val="20"/>
        </w:rPr>
      </w:pPr>
      <w:r>
        <w:rPr>
          <w:rFonts w:cs="Arial" w:ascii="Arial" w:hAnsi="Arial"/>
          <w:sz w:val="20"/>
          <w:szCs w:val="20"/>
        </w:rPr>
        <w:t>16.4 – Ocorrendo divergência entre os preços unitários e o preço global, prevalecerão os primeiros; no caso de divergência entre os valores numéricos e os valores expressos por extenso, prevalecerão estes últimos.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16.5 – A oferta deverá ser firme e precisa, limitada, rigorosamente, ao objeto deste Edital, sem conter alternativas de preço ou de qualquer outra condição que induza o julgamento a mais de um resultado, sob pena de desclassificação.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16.6 – A proposta deverá obedecer aos termos deste Edital e seus Anexos, não sendo considerada aquela que não corresponda às especificações ali contidas ou que estabeleça vínculo à proposta de outro licitante.</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tabs>
          <w:tab w:val="clear" w:pos="708"/>
          <w:tab w:val="left" w:pos="4161" w:leader="none"/>
        </w:tabs>
        <w:jc w:val="both"/>
        <w:rPr>
          <w:rFonts w:ascii="Arial" w:hAnsi="Arial" w:cs="Arial"/>
          <w:b/>
          <w:b/>
          <w:color w:val="000000"/>
          <w:sz w:val="20"/>
          <w:szCs w:val="20"/>
        </w:rPr>
      </w:pPr>
      <w:r>
        <w:rPr>
          <w:rFonts w:cs="Arial" w:ascii="Arial" w:hAnsi="Arial"/>
          <w:b/>
          <w:color w:val="000000"/>
          <w:sz w:val="20"/>
          <w:szCs w:val="20"/>
        </w:rPr>
        <w:t xml:space="preserve">17 – </w:t>
      </w:r>
      <w:r>
        <w:rPr>
          <w:rFonts w:cs="Arial" w:ascii="Arial" w:hAnsi="Arial"/>
          <w:b/>
          <w:color w:val="000000"/>
          <w:sz w:val="20"/>
          <w:szCs w:val="20"/>
          <w:u w:val="single"/>
        </w:rPr>
        <w:t>DOS CRITÉRIOS DE JULGAMENTO</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sz w:val="20"/>
          <w:szCs w:val="20"/>
        </w:rPr>
      </w:pPr>
      <w:r>
        <w:rPr>
          <w:rFonts w:cs="Arial" w:ascii="Arial" w:hAnsi="Arial"/>
          <w:sz w:val="20"/>
          <w:szCs w:val="20"/>
        </w:rPr>
        <w:t xml:space="preserve">17.1 – Para julgamento será adotado o critério de </w:t>
      </w:r>
      <w:r>
        <w:rPr>
          <w:rFonts w:cs="Arial" w:ascii="Arial" w:hAnsi="Arial"/>
          <w:b/>
          <w:sz w:val="20"/>
          <w:szCs w:val="20"/>
        </w:rPr>
        <w:t>MENOR PREÇO, em regime de MENOR VALOR UNITÁRIO</w:t>
      </w:r>
      <w:r>
        <w:rPr>
          <w:rFonts w:cs="Arial" w:ascii="Arial" w:hAnsi="Arial"/>
          <w:sz w:val="20"/>
          <w:szCs w:val="20"/>
        </w:rPr>
        <w:t>.</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17.2 – Não será considerada qualquer oferta de vantagem não prevista neste Edital, nem preços ou vantagens baseadas nas ofertas dos demais licitantes.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17.3 – EM ATENDIMENTO AO DISPOSTO NO CAPÍTULO V DA LEI COMPLEMENTAR Nº 123/2006, SERÃO OBSERVADOS OS SEGUINTES PROCEDIMENTOS ME/EPP:</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17.3.1 – 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a) a microempresa ou empresa de pequeno porte 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b) no caso de empate de propostas apresentadas por microempresas ou empresas de pequeno porte que se enquadrem no limite estabelecido no </w:t>
      </w:r>
      <w:r>
        <w:rPr>
          <w:rFonts w:cs="Arial" w:ascii="Arial" w:hAnsi="Arial"/>
          <w:color w:val="000000"/>
          <w:sz w:val="20"/>
          <w:szCs w:val="20"/>
        </w:rPr>
        <w:t>subitem 17.3.1, o</w:t>
      </w:r>
      <w:r>
        <w:rPr>
          <w:rFonts w:cs="Arial" w:ascii="Arial" w:hAnsi="Arial"/>
          <w:sz w:val="20"/>
          <w:szCs w:val="20"/>
        </w:rPr>
        <w:t xml:space="preserve"> sistema realizará um sorteio eletrônico entre elas para que se identifique aquela que primeiro será convocada para apresentar melhor oferta, na forma do disposto na alínea “a”.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c) não sendo vencedora a microempresa ou empresa de pequeno porte melhor classificada, na forma da alínea “a'” anterior, serão convocadas as remanescentes, quando houver, na ordem classificatória, para o exercício do mesmo direito.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17.3.2 – Na hipótese da não contratação nos termos previstos no </w:t>
      </w:r>
      <w:r>
        <w:rPr>
          <w:rFonts w:cs="Arial" w:ascii="Arial" w:hAnsi="Arial"/>
          <w:color w:val="000000"/>
          <w:sz w:val="20"/>
          <w:szCs w:val="20"/>
        </w:rPr>
        <w:t>subitem 17.3.1, o objeto</w:t>
      </w:r>
      <w:r>
        <w:rPr>
          <w:rFonts w:cs="Arial" w:ascii="Arial" w:hAnsi="Arial"/>
          <w:sz w:val="20"/>
          <w:szCs w:val="20"/>
        </w:rPr>
        <w:t xml:space="preserve"> licitado será adjudicado em favor da proposta originalmente vencedora do certame, desde que atenda aos requisitos de habilitação.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17.4 – O Pregoeiro anunciará o licitante detentor da proposta ou lance de menor valor, imediatamente após o encerramento da etapa de lances da sessão pública ou, quando for o caso, após negociação e decisão pelo Pregoeiro acerca da aceitação do lance de menor valor.</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17.5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17.6 – Ocorrendo a situação a que se referem os subitens 14.22 deste Edital, o Pregoeiro poderá negociar com a licitante para que seja obtido melhor preço.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17.7 – O sistema gerará ata circunstanciada da sessão, na qual estarão registrados todos os atos do procedimento e as ocorrências relevantes.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18 – </w:t>
      </w:r>
      <w:r>
        <w:rPr>
          <w:rFonts w:cs="Arial" w:ascii="Arial" w:hAnsi="Arial"/>
          <w:b/>
          <w:sz w:val="20"/>
          <w:szCs w:val="20"/>
          <w:u w:val="single"/>
        </w:rPr>
        <w:t>DOS RECURSOS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18.1 – Declarado o vencedor e decorrida a fase de regularização fiscal e trabalhista da licitante qualificada como microempresa ou empresa de pequeno porte, se for o caso, será concedido o prazo de no mínimo 1</w:t>
      </w:r>
      <w:r>
        <w:rPr>
          <w:rFonts w:cs="Arial" w:ascii="Arial" w:hAnsi="Arial"/>
          <w:sz w:val="20"/>
          <w:szCs w:val="20"/>
        </w:rPr>
        <w:t>0</w:t>
      </w:r>
      <w:r>
        <w:rPr>
          <w:rFonts w:cs="Arial" w:ascii="Arial" w:hAnsi="Arial"/>
          <w:sz w:val="20"/>
          <w:szCs w:val="20"/>
        </w:rPr>
        <w:t xml:space="preserve"> (</w:t>
      </w:r>
      <w:r>
        <w:rPr>
          <w:rFonts w:cs="Arial" w:ascii="Arial" w:hAnsi="Arial"/>
          <w:sz w:val="20"/>
          <w:szCs w:val="20"/>
        </w:rPr>
        <w:t>dez</w:t>
      </w:r>
      <w:r>
        <w:rPr>
          <w:rFonts w:cs="Arial" w:ascii="Arial" w:hAnsi="Arial"/>
          <w:sz w:val="20"/>
          <w:szCs w:val="20"/>
        </w:rPr>
        <w:t>) minutos, para que qualquer licitante manifeste a intenção de recorrer, de forma motivada, isto é, indicando contra qual(is) decisão(ões) pretende recorrer e por quais motivos, em campo próprio do sistema.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18.2 – Havendo quem se manifeste, caberá ao Pregoeiro verificar a tempestividade e a existência de motivação da intenção de recorrer, para decidir se admite ou não o recurso, fundamentadamente.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18.2.1 – Nesse momento o Pregoeiro não adentrará no mérito recursal, mas apenas verificará as condições de admissibilidade do recurso.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18.2.2 – A falta de manifestação motivada do licitante quanto à intenção de recorrer importará a decadência desse direito.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18.2.3 – Uma vez admitido o recurso, o recorrente terá, a partir de então, o prazo de 05 (cinco) dias úteis para apresentar as razões, pelo sistema eletrônico, ficando os demais licitantes, desde logo, intimados para, querendo, apresentarem contrarrazões também pelo sistema eletrônico, em outros 05 (cinco) dias úteis, que começarão a contar do término do prazo do recorrente, sendo-lhes assegurada vista imediata dos elementos indispensáveis à defesa de seus interesses.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18.3 – O acolhimento do recurso invalida tão somente os atos insuscetíveis de aproveitamento.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18.4 – Os autos do processo permanecerão com vista franqueada aos interessados, no endereço constante neste Edital.</w:t>
      </w:r>
    </w:p>
    <w:p>
      <w:pPr>
        <w:pStyle w:val="NoSpacing"/>
        <w:tabs>
          <w:tab w:val="clear" w:pos="708"/>
          <w:tab w:val="left" w:pos="2431" w:leader="none"/>
        </w:tabs>
        <w:jc w:val="both"/>
        <w:rPr>
          <w:rFonts w:ascii="Arial" w:hAnsi="Arial" w:cs="Arial"/>
          <w:sz w:val="20"/>
          <w:szCs w:val="20"/>
        </w:rPr>
      </w:pPr>
      <w:r>
        <w:rPr>
          <w:rFonts w:cs="Arial" w:ascii="Arial" w:hAnsi="Arial"/>
          <w:sz w:val="20"/>
          <w:szCs w:val="20"/>
        </w:rPr>
        <w:tab/>
      </w:r>
    </w:p>
    <w:p>
      <w:pPr>
        <w:pStyle w:val="NoSpacing"/>
        <w:jc w:val="both"/>
        <w:rPr>
          <w:rFonts w:ascii="Arial" w:hAnsi="Arial" w:cs="Arial"/>
          <w:b/>
          <w:b/>
          <w:sz w:val="20"/>
          <w:szCs w:val="20"/>
        </w:rPr>
      </w:pPr>
      <w:r>
        <w:rPr>
          <w:rFonts w:cs="Arial" w:ascii="Arial" w:hAnsi="Arial"/>
          <w:b/>
          <w:sz w:val="20"/>
          <w:szCs w:val="20"/>
        </w:rPr>
        <w:t xml:space="preserve">19 – </w:t>
      </w:r>
      <w:r>
        <w:rPr>
          <w:rFonts w:cs="Arial" w:ascii="Arial" w:hAnsi="Arial"/>
          <w:b/>
          <w:sz w:val="20"/>
          <w:szCs w:val="20"/>
          <w:u w:val="single"/>
        </w:rPr>
        <w:t>DA REABERTURA DA SESSÃO PÚBLICA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19.1 – A sessão pública poderá ser reaberta: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19.1.1 – 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19.1.2 –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19.2 – Todos os licitantes remanescentes deverão ser convocados para acompanhar a sessão reaberta.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19.3 – A convocação se dará por meio do sistema eletrônico “chat”, e-mail, ou, ainda, sítio eletrônico da Prefeitura do Município de Rio Claro/RJ, de acordo com a fase do procedimento licitatório.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19.3.1 – No caso da convocação feita por e-mail dar-se-á de acordo com os dados contidos no sistema do pregão eletrônico, sendo responsabilidade do licitante manter seus dados cadastrais atualizados.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19.4 – Da sessão pública do Pregão divulgar-se-á Ata no sistema eletrônico.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 xml:space="preserve">20 – </w:t>
      </w:r>
      <w:r>
        <w:rPr>
          <w:rFonts w:cs="Arial" w:ascii="Arial" w:hAnsi="Arial"/>
          <w:b/>
          <w:color w:val="000000"/>
          <w:sz w:val="20"/>
          <w:szCs w:val="20"/>
          <w:u w:val="single"/>
        </w:rPr>
        <w:t>DA FORMALIZAÇÃO DA ATA DE REGISTRO DE PREÇOS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sz w:val="20"/>
          <w:szCs w:val="20"/>
        </w:rPr>
      </w:pPr>
      <w:r>
        <w:rPr>
          <w:rFonts w:cs="Arial" w:ascii="Arial" w:hAnsi="Arial"/>
          <w:color w:val="000000"/>
          <w:sz w:val="20"/>
          <w:szCs w:val="20"/>
        </w:rPr>
        <w:t>20.</w:t>
      </w:r>
      <w:r>
        <w:rPr>
          <w:rFonts w:cs="Arial" w:ascii="Arial" w:hAnsi="Arial"/>
          <w:sz w:val="20"/>
          <w:szCs w:val="20"/>
        </w:rPr>
        <w:t>1 – Homologado o resultado da licitação pela autoridade competente, o Município de Rio Claro/RJ convocará o licitante classificado em 1º (primeiro) lugar, para no prazo de 05 (cinco) dias úteis, assinar a Ata de Registro de Preços, sob pena de decair do direito à contratação, sem prejuízo das sanções previstas neste Edital e das demais sanções legais aplicáveis.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20.2 – A existência de preços registrados não obriga o Município de Rio Claro/RJ a firmar as contratações que deles possam advir, facultada a realização de licitação específica para a aquisição pretendida, sendo assegurado ao beneficiário do registro preferência de fornecimento em igualdade de condições.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20.3 – A convocação para assinatura da Ata de Registro de Preço formalizar-se-á mediante notificação via endereço eletrônico informado junto a documentação da proponente.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20.4 – O prazo para assinar a Ata de Registro de Preço, poderá ser prorrogado uma vez, por igual período, quando solicitado pelo licitante vencedor durante o seu transcurso e desde que ocorra motivo justificado, aceito pelo Município de Rio Claro/RJ.</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20.5 – Decorrido o prazo máximo da convocação do órgão sem que o(s) licitante(s) tenha assinado e devolvido a Ata de Registro de Preços, caracterizar-se-á formal recusa à contratação, podendo a Administração, a seu exclusivo juízo, convocar os licitantes remanescentes, na ordem de classificação, para que manifestem interesse, em igual prazo, ou, então, revogar a licitação.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20.6 – Em caso de recusa injustificada do licitante em assinar a Ata de Registro de Preço ou aceitar o instrumento equivalente dentro do prazo anteriormente estabelecido, sujeitar-se-á as sanções previstas no subitem</w:t>
      </w:r>
      <w:r>
        <w:rPr>
          <w:rFonts w:cs="Arial" w:ascii="Arial" w:hAnsi="Arial"/>
          <w:color w:val="000000"/>
          <w:sz w:val="20"/>
          <w:szCs w:val="20"/>
        </w:rPr>
        <w:t xml:space="preserve"> 26.1 d</w:t>
      </w:r>
      <w:r>
        <w:rPr>
          <w:rFonts w:cs="Arial" w:ascii="Arial" w:hAnsi="Arial"/>
          <w:sz w:val="20"/>
          <w:szCs w:val="20"/>
        </w:rPr>
        <w:t>o presente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20.7 – A Ata de Registro de Preços vigorará por </w:t>
      </w:r>
      <w:r>
        <w:rPr>
          <w:rFonts w:cs="Arial" w:ascii="Arial" w:hAnsi="Arial"/>
          <w:b/>
          <w:sz w:val="20"/>
          <w:szCs w:val="20"/>
        </w:rPr>
        <w:t>12 (doze) meses</w:t>
      </w:r>
      <w:r>
        <w:rPr>
          <w:rFonts w:cs="Arial" w:ascii="Arial" w:hAnsi="Arial"/>
          <w:sz w:val="20"/>
          <w:szCs w:val="20"/>
        </w:rPr>
        <w:t>, contados a partir da sua assinatura.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20.8 – Ao assinar a Ata de Registro de Preços, o licitante obriga-se ao fornecimento pelos preços nela registrados.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20.9 – Farão parte integrante da Ata de Registro de Preços todos os elementos que tenham servido de base para o julgamento da licitação apresentados pelas empresas classificadas e com preços registrados, bem como, as condições estabelecidas neste Edital e seus Anexos, independentemente de transcrição.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color w:val="000000"/>
          <w:sz w:val="20"/>
          <w:szCs w:val="20"/>
        </w:rPr>
      </w:pPr>
      <w:r>
        <w:rPr>
          <w:rFonts w:cs="Arial" w:ascii="Arial" w:hAnsi="Arial"/>
          <w:sz w:val="20"/>
          <w:szCs w:val="20"/>
        </w:rPr>
        <w:t xml:space="preserve">20.10 – É vedado efetuar acréscimos nos quantitativos fixados na Ata de Registro de Preços, inclusive o acréscimo de que trata o § 1º do art. 65 da Lei nº 8.666, </w:t>
      </w:r>
      <w:r>
        <w:rPr>
          <w:rFonts w:cs="Arial" w:ascii="Arial" w:hAnsi="Arial"/>
          <w:color w:val="000000"/>
          <w:sz w:val="20"/>
          <w:szCs w:val="20"/>
        </w:rPr>
        <w:t>de 1993 e conforme o § 1º do art. 12 do Decreto Federal nº 7.892/2013.</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sz w:val="20"/>
          <w:szCs w:val="20"/>
        </w:rPr>
      </w:pPr>
      <w:r>
        <w:rPr>
          <w:rFonts w:cs="Arial" w:ascii="Arial" w:hAnsi="Arial"/>
          <w:sz w:val="20"/>
          <w:szCs w:val="20"/>
        </w:rPr>
        <w:t>20.11 – O registro de preços poderá ser cancelado por inidoneidade superveniente ou comportamento irregular do licitante beneficiário da Ata de Registro de Preços, ou, ainda, no caso de substancial alteração das condições do mercado.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20.12 – O licitante beneficiário da Ata de Registro de Preços não poderá transferir os direitos e obrigações dela decorrentes a outrem.</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21 – </w:t>
      </w:r>
      <w:r>
        <w:rPr>
          <w:rFonts w:cs="Arial" w:ascii="Arial" w:hAnsi="Arial"/>
          <w:b/>
          <w:sz w:val="20"/>
          <w:szCs w:val="20"/>
          <w:u w:val="single"/>
        </w:rPr>
        <w:t>DOS PRAZOS E CONDIÇÕES DE ENTREGA DO OBJETO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21.1 – A Secretaria Municipal de Saúde solicitará, durante a vigência da respectiva Ata de Registro de Preços, o fornecimento do material registrado, na quantidade que for preciso, mediante Autorização de Fornecimento e a respectiva Nota de Empenho.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21.2 – Os produtos a serem entregues deverão estar em conformidade com o que foi solicitado no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21.3 – As quantidades serão descritas na Autozição de Fernecimento / Nota de Empenho de acordo com as necessidades da Secretaria Municipal de Saúde.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 xml:space="preserve">21.4 – O prazo de entrega dos produtos licitados será de até </w:t>
      </w:r>
      <w:r>
        <w:rPr>
          <w:rFonts w:cs="Arial" w:ascii="Arial" w:hAnsi="Arial"/>
          <w:b/>
          <w:sz w:val="20"/>
          <w:szCs w:val="20"/>
        </w:rPr>
        <w:t>15 (quinze) dias</w:t>
      </w:r>
      <w:r>
        <w:rPr>
          <w:rFonts w:cs="Arial" w:ascii="Arial" w:hAnsi="Arial"/>
          <w:sz w:val="20"/>
          <w:szCs w:val="20"/>
        </w:rPr>
        <w:t xml:space="preserve"> após a emissão da Autorização de Fornecimento e da respectiva Nota de Empenho.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21.5 – As entregas deverão ser realizadas no Almoxarifado da Prefeitura Municipal, que está localizado na Rodovia Francisco Saturnino Braga, nº 9831, Guarita, Rio Claro/RJ, durante o horário de expediente, das 8 horas às 12 horas e 13 horas às 17 horas, de segunda a sexta-feira, exceto nos feriados nacionais, municipais e do Estado do Rio de Janeiro.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21.6 – A Autorização de Fornecimento será enviada via e-mail ao fornecedor, o qual deverá confirmar o recebimento no prazo de 01 (um) dia.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21.7 – A entrega dos materiais deverá ser acompanhada das Notas Fiscais, no prazo estipulado neste Registro de Preços e nas suas respectivas quantidades.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21.8 – A empresa adjudicatária responsabilizar-se-á pela qualidade do material cotado e entregue, especialmente para efeito de substituição, no prazo de 03 (três) dias, no caso de não atendimento ao solicitado.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21.9 –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w:t>
      </w:r>
    </w:p>
    <w:p>
      <w:pPr>
        <w:pStyle w:val="NoSpacing"/>
        <w:jc w:val="both"/>
        <w:rPr>
          <w:rFonts w:ascii="Arial" w:hAnsi="Arial" w:cs="Arial"/>
          <w:color w:val="000000"/>
          <w:sz w:val="20"/>
          <w:szCs w:val="20"/>
        </w:rPr>
      </w:pPr>
      <w:r>
        <w:rPr>
          <w:rFonts w:cs="Arial" w:ascii="Arial" w:hAnsi="Arial"/>
          <w:color w:val="000000"/>
          <w:sz w:val="20"/>
          <w:szCs w:val="20"/>
        </w:rPr>
      </w:r>
    </w:p>
    <w:p>
      <w:pPr>
        <w:pStyle w:val="Normal"/>
        <w:jc w:val="both"/>
        <w:rPr>
          <w:rFonts w:ascii="Arial" w:hAnsi="Arial" w:cs="Arial"/>
          <w:color w:val="000000"/>
        </w:rPr>
      </w:pPr>
      <w:r>
        <w:rPr>
          <w:rFonts w:cs="Arial" w:ascii="Arial" w:hAnsi="Arial"/>
          <w:b/>
          <w:bCs/>
          <w:color w:val="000000"/>
        </w:rPr>
        <w:t xml:space="preserve">22 – </w:t>
      </w:r>
      <w:r>
        <w:rPr>
          <w:rFonts w:cs="Arial" w:ascii="Arial" w:hAnsi="Arial"/>
          <w:b/>
          <w:bCs/>
          <w:color w:val="000000"/>
          <w:u w:val="single"/>
        </w:rPr>
        <w:t>DO ACOMPANHAMENTO E FISCALIZAÇÃO DA CONTRATAÇÃO</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 xml:space="preserve">22.1 – O acompanhamento e fiscalização da execução do objeto contratado ficará a cargo da servidora </w:t>
      </w:r>
      <w:r>
        <w:rPr>
          <w:rFonts w:cs="Arial" w:ascii="Arial" w:hAnsi="Arial"/>
          <w:b/>
          <w:color w:val="000000"/>
        </w:rPr>
        <w:t>Cláudia Teresinha Cunha da Silva, matrícula nº 21312</w:t>
      </w:r>
      <w:r>
        <w:rPr>
          <w:rFonts w:cs="Arial" w:ascii="Arial" w:hAnsi="Arial"/>
          <w:color w:val="000000"/>
        </w:rPr>
        <w:t>, que determinará o que for necessário para regularização de faltas ou defeitos, nos termos do art. 67 da Lei Federal n° 8.666/93 e, na sua falta ou impedimento, ao seu substituto.</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22.2 – Ficam reservados à fiscalização o direito e a autoridade para resolver todo e qualquer caso singular, omisso ou duvidoso não previsto no processo administrativo e tudo o mais que se relacione com o objeto licitado, desde que não acarrete ônus para o Município ou modificação da contratação.</w:t>
      </w:r>
    </w:p>
    <w:p>
      <w:pPr>
        <w:pStyle w:val="Normal"/>
        <w:jc w:val="both"/>
        <w:rPr>
          <w:rFonts w:ascii="Arial" w:hAnsi="Arial" w:cs="Arial"/>
          <w:color w:val="000000"/>
        </w:rPr>
      </w:pPr>
      <w:r>
        <w:rPr>
          <w:rFonts w:cs="Arial" w:ascii="Arial" w:hAnsi="Arial"/>
          <w:color w:val="000000"/>
        </w:rPr>
        <w:t xml:space="preserve"> </w:t>
      </w:r>
    </w:p>
    <w:p>
      <w:pPr>
        <w:pStyle w:val="Normal"/>
        <w:jc w:val="both"/>
        <w:rPr>
          <w:rFonts w:ascii="Arial" w:hAnsi="Arial" w:cs="Arial"/>
          <w:color w:val="000000"/>
        </w:rPr>
      </w:pPr>
      <w:r>
        <w:rPr>
          <w:rFonts w:cs="Arial" w:ascii="Arial" w:hAnsi="Arial"/>
          <w:color w:val="000000"/>
        </w:rPr>
        <w:t>22.3 – As decisões que ultrapassarem a competência da fiscalização da CONTRATANTE deverão ser solicitadas formalmente pela CONTRATADA à autoridade administrativa imediatamente superior à fiscalização, através dele, em tempo hábil para a adoção de medidas convenientes.</w:t>
      </w:r>
    </w:p>
    <w:p>
      <w:pPr>
        <w:pStyle w:val="Normal"/>
        <w:jc w:val="both"/>
        <w:rPr>
          <w:rFonts w:ascii="Arial" w:hAnsi="Arial" w:cs="Arial"/>
          <w:color w:val="000000"/>
        </w:rPr>
      </w:pPr>
      <w:r>
        <w:rPr>
          <w:rFonts w:cs="Arial" w:ascii="Arial" w:hAnsi="Arial"/>
          <w:color w:val="000000"/>
        </w:rPr>
        <w:t xml:space="preserve"> </w:t>
      </w:r>
    </w:p>
    <w:p>
      <w:pPr>
        <w:pStyle w:val="Normal"/>
        <w:jc w:val="both"/>
        <w:rPr>
          <w:rFonts w:ascii="Arial" w:hAnsi="Arial" w:cs="Arial"/>
          <w:color w:val="000000"/>
        </w:rPr>
      </w:pPr>
      <w:r>
        <w:rPr>
          <w:rFonts w:cs="Arial" w:ascii="Arial" w:hAnsi="Arial"/>
          <w:color w:val="000000"/>
        </w:rPr>
        <w:t xml:space="preserve">22.4 – A CONTRATADA deverá aceitar, antecipadamente, todos os métodos de inspeção, verificação e controle a serem adotados pela fiscalização, obrigando-se a fornecer todos os dados, elementos, explicações, esclarecimentos, soluções e comunicações necessários ao desenvolvimento de sua atividade. </w:t>
      </w:r>
    </w:p>
    <w:p>
      <w:pPr>
        <w:pStyle w:val="Normal"/>
        <w:jc w:val="both"/>
        <w:rPr>
          <w:rFonts w:ascii="Arial" w:hAnsi="Arial" w:cs="Arial"/>
          <w:color w:val="000000"/>
        </w:rPr>
      </w:pPr>
      <w:r>
        <w:rPr>
          <w:rFonts w:cs="Arial" w:ascii="Arial" w:hAnsi="Arial"/>
          <w:color w:val="000000"/>
        </w:rPr>
        <w:t xml:space="preserve"> </w:t>
      </w:r>
    </w:p>
    <w:p>
      <w:pPr>
        <w:pStyle w:val="NoSpacing"/>
        <w:jc w:val="both"/>
        <w:rPr>
          <w:rFonts w:ascii="Arial" w:hAnsi="Arial" w:cs="Arial"/>
          <w:sz w:val="20"/>
          <w:szCs w:val="20"/>
        </w:rPr>
      </w:pPr>
      <w:r>
        <w:rPr>
          <w:rFonts w:cs="Arial" w:ascii="Arial" w:hAnsi="Arial"/>
          <w:color w:val="000000"/>
          <w:sz w:val="20"/>
          <w:szCs w:val="20"/>
        </w:rPr>
        <w:t>22.5 – A existência e a atuação da fiscalização em nada restringem a responsabilidade única, integral e exclusiva da CONTRATADA, no que concerne ao objeto da contratação, às implicações próximas e remotas perante ao Município ou perante terceiros, do mesmo modo que a ocorrência de irregularidades decorrentes da execução contratual não implicará co-responsabilidade do Município ou de seus prepostos, devendo, ainda, a CONTRATADA, sem prejuízo das penalidades previstas, proceder ao ressarcimento imediato ao Fundo Municipal de Saúde dos prejuízos apurados e imputados a falhas em suas atividades.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 xml:space="preserve">23 – </w:t>
      </w:r>
      <w:r>
        <w:rPr>
          <w:rFonts w:cs="Arial" w:ascii="Arial" w:hAnsi="Arial"/>
          <w:b/>
          <w:color w:val="000000"/>
          <w:sz w:val="20"/>
          <w:szCs w:val="20"/>
          <w:u w:val="single"/>
        </w:rPr>
        <w:t>DO PAGAMENTO</w:t>
      </w:r>
    </w:p>
    <w:p>
      <w:pPr>
        <w:pStyle w:val="NoSpacing"/>
        <w:jc w:val="both"/>
        <w:rPr>
          <w:rFonts w:ascii="Arial" w:hAnsi="Arial" w:cs="Arial"/>
          <w:color w:val="000000"/>
          <w:sz w:val="20"/>
          <w:szCs w:val="20"/>
        </w:rPr>
      </w:pPr>
      <w:r>
        <w:rPr>
          <w:rFonts w:cs="Arial" w:ascii="Arial" w:hAnsi="Arial"/>
          <w:color w:val="000000"/>
          <w:sz w:val="20"/>
          <w:szCs w:val="20"/>
        </w:rPr>
      </w:r>
    </w:p>
    <w:p>
      <w:pPr>
        <w:pStyle w:val="Normal"/>
        <w:ind w:firstLine="1"/>
        <w:jc w:val="both"/>
        <w:rPr>
          <w:rFonts w:ascii="Arial" w:hAnsi="Arial" w:cs="Arial"/>
        </w:rPr>
      </w:pPr>
      <w:r>
        <w:rPr>
          <w:rFonts w:cs="Arial" w:ascii="Arial" w:hAnsi="Arial"/>
        </w:rPr>
        <w:t xml:space="preserve">23.1 – A licitante contratada deverá apresentar a documentação para a cobrança à </w:t>
      </w:r>
      <w:r>
        <w:rPr>
          <w:rFonts w:cs="Arial" w:ascii="Arial" w:hAnsi="Arial"/>
          <w:b/>
        </w:rPr>
        <w:t>Divisão de Almoxarifado do Fundo Municipal de Saúde</w:t>
      </w:r>
      <w:r>
        <w:rPr>
          <w:rFonts w:cs="Arial" w:ascii="Arial" w:hAnsi="Arial"/>
        </w:rPr>
        <w:t xml:space="preserve">. </w:t>
      </w:r>
    </w:p>
    <w:p>
      <w:pPr>
        <w:pStyle w:val="Normal"/>
        <w:ind w:firstLine="1"/>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 xml:space="preserve">23.2 – Os documentos fiscais de cobrança deverão ser emitidos contra a </w:t>
      </w:r>
      <w:r>
        <w:rPr>
          <w:rFonts w:cs="Arial" w:ascii="Arial" w:hAnsi="Arial"/>
          <w:b/>
        </w:rPr>
        <w:t>PREFEITURA MUNICIPAL DE RIO CLARO/FUNDO MUNICIPAL DE SAÚDE DE RIO CLARO</w:t>
      </w:r>
      <w:r>
        <w:rPr>
          <w:rFonts w:cs="Arial" w:ascii="Arial" w:hAnsi="Arial"/>
        </w:rPr>
        <w:t xml:space="preserve">, CNPJ/MF n° 29.051.216/0001-68, situado na Avenida João Baptista Portugal, n° 289, Centro, Rio Claro, RJ. </w:t>
      </w:r>
    </w:p>
    <w:p>
      <w:pPr>
        <w:pStyle w:val="Normal"/>
        <w:jc w:val="both"/>
        <w:rPr>
          <w:rFonts w:ascii="Arial" w:hAnsi="Arial" w:cs="Arial"/>
          <w:color w:val="FF0000"/>
        </w:rPr>
      </w:pPr>
      <w:r>
        <w:rPr>
          <w:rFonts w:cs="Arial" w:ascii="Arial" w:hAnsi="Arial"/>
          <w:color w:val="FF0000"/>
        </w:rPr>
      </w:r>
    </w:p>
    <w:p>
      <w:pPr>
        <w:pStyle w:val="Normal"/>
        <w:ind w:firstLine="1"/>
        <w:jc w:val="both"/>
        <w:rPr>
          <w:rFonts w:ascii="Arial" w:hAnsi="Arial" w:cs="Arial"/>
        </w:rPr>
      </w:pPr>
      <w:r>
        <w:rPr>
          <w:rFonts w:cs="Arial" w:ascii="Arial" w:hAnsi="Arial"/>
        </w:rPr>
        <w:t xml:space="preserve">23.3 – O pagamento será efetuado pelo </w:t>
      </w:r>
      <w:r>
        <w:rPr>
          <w:rFonts w:cs="Arial" w:ascii="Arial" w:hAnsi="Arial"/>
          <w:b/>
        </w:rPr>
        <w:t>Fundo Municipal de Saúde</w:t>
      </w:r>
      <w:r>
        <w:rPr>
          <w:rFonts w:cs="Arial" w:ascii="Arial" w:hAnsi="Arial"/>
        </w:rPr>
        <w:t xml:space="preserve"> de Rio Claro, à medida que os fornecimentos sejam realizados,</w:t>
      </w:r>
      <w:r>
        <w:rPr>
          <w:rFonts w:cs="Arial" w:ascii="Arial" w:hAnsi="Arial"/>
          <w:bCs/>
        </w:rPr>
        <w:t xml:space="preserve"> em até</w:t>
      </w:r>
      <w:r>
        <w:rPr>
          <w:rFonts w:cs="Arial" w:ascii="Arial" w:hAnsi="Arial"/>
          <w:b/>
          <w:bCs/>
        </w:rPr>
        <w:t xml:space="preserve"> </w:t>
      </w:r>
      <w:r>
        <w:rPr>
          <w:rFonts w:cs="Arial" w:ascii="Arial" w:hAnsi="Arial"/>
        </w:rPr>
        <w:t xml:space="preserve">15 (quinze) dias corridos, a contar da data final do período de adimplemento da obrigação, cumpridas as formalidades legais e contratuais previstas, exclusivamente mediante crédito em conta-corrente da contratada. </w:t>
      </w:r>
    </w:p>
    <w:p>
      <w:pPr>
        <w:pStyle w:val="Normal"/>
        <w:ind w:firstLine="1"/>
        <w:jc w:val="both"/>
        <w:rPr>
          <w:rFonts w:ascii="Arial" w:hAnsi="Arial" w:cs="Arial"/>
          <w:color w:val="FF0000"/>
        </w:rPr>
      </w:pPr>
      <w:r>
        <w:rPr>
          <w:rFonts w:cs="Arial" w:ascii="Arial" w:hAnsi="Arial"/>
          <w:color w:val="FF0000"/>
        </w:rPr>
      </w:r>
    </w:p>
    <w:p>
      <w:pPr>
        <w:pStyle w:val="Normal"/>
        <w:jc w:val="both"/>
        <w:rPr>
          <w:rFonts w:ascii="Arial" w:hAnsi="Arial" w:cs="Arial"/>
        </w:rPr>
      </w:pPr>
      <w:r>
        <w:rPr>
          <w:rFonts w:cs="Arial" w:ascii="Arial" w:hAnsi="Arial"/>
        </w:rPr>
        <w:t>23.4 – A contratada apresentará ao gestor do contrato, a cada fornecimento, documento fiscal especifico referente aos materiais efetivamente fornecidos;</w:t>
      </w:r>
    </w:p>
    <w:p>
      <w:pPr>
        <w:pStyle w:val="Normal"/>
        <w:jc w:val="both"/>
        <w:rPr>
          <w:rFonts w:ascii="Arial" w:hAnsi="Arial" w:cs="Arial"/>
        </w:rPr>
      </w:pPr>
      <w:r>
        <w:rPr>
          <w:rFonts w:cs="Arial" w:ascii="Arial" w:hAnsi="Arial"/>
        </w:rPr>
      </w:r>
    </w:p>
    <w:p>
      <w:pPr>
        <w:pStyle w:val="Corpodotexto"/>
        <w:widowControl w:val="false"/>
        <w:tabs>
          <w:tab w:val="clear" w:pos="708"/>
          <w:tab w:val="left" w:pos="720" w:leader="none"/>
        </w:tabs>
        <w:rPr>
          <w:rFonts w:ascii="Arial" w:hAnsi="Arial" w:cs="Arial"/>
          <w:sz w:val="20"/>
        </w:rPr>
      </w:pPr>
      <w:r>
        <w:rPr>
          <w:rFonts w:cs="Arial" w:ascii="Arial" w:hAnsi="Arial"/>
          <w:sz w:val="20"/>
        </w:rPr>
        <w:t>23.5 – O gestor terá o prazo de 10 (dez) dias úteis, a contar da apresentação do documento fiscal, para aprová-lo ou rejeitá-lo;</w:t>
      </w:r>
    </w:p>
    <w:p>
      <w:pPr>
        <w:pStyle w:val="Corpodotexto"/>
        <w:widowControl w:val="false"/>
        <w:tabs>
          <w:tab w:val="clear" w:pos="708"/>
          <w:tab w:val="left" w:pos="720" w:leader="none"/>
        </w:tabs>
        <w:rPr>
          <w:rFonts w:ascii="Arial" w:hAnsi="Arial" w:cs="Arial"/>
          <w:sz w:val="20"/>
        </w:rPr>
      </w:pPr>
      <w:r>
        <w:rPr>
          <w:rFonts w:cs="Arial" w:ascii="Arial" w:hAnsi="Arial"/>
          <w:sz w:val="20"/>
        </w:rPr>
      </w:r>
    </w:p>
    <w:p>
      <w:pPr>
        <w:pStyle w:val="Corpodotexto"/>
        <w:widowControl w:val="false"/>
        <w:tabs>
          <w:tab w:val="clear" w:pos="708"/>
          <w:tab w:val="left" w:pos="720" w:leader="none"/>
        </w:tabs>
        <w:rPr>
          <w:rFonts w:ascii="Arial" w:hAnsi="Arial" w:cs="Arial"/>
          <w:sz w:val="20"/>
        </w:rPr>
      </w:pPr>
      <w:r>
        <w:rPr>
          <w:rFonts w:cs="Arial" w:ascii="Arial" w:hAnsi="Arial"/>
          <w:sz w:val="20"/>
        </w:rPr>
        <w:t>23.6 – O documento fiscal não aprovado pelo GESTOR será devolvido á contratada para as necessárias correções, com as informações que motivaram sua rejeição, contando-se o prazo estabelecido para pagamento a partir da data de sua reapresentação.</w:t>
      </w:r>
    </w:p>
    <w:p>
      <w:pPr>
        <w:pStyle w:val="Corpodotexto"/>
        <w:widowControl w:val="false"/>
        <w:tabs>
          <w:tab w:val="clear" w:pos="708"/>
          <w:tab w:val="left" w:pos="720" w:leader="none"/>
        </w:tabs>
        <w:rPr>
          <w:rFonts w:ascii="Arial" w:hAnsi="Arial" w:cs="Arial"/>
          <w:sz w:val="20"/>
        </w:rPr>
      </w:pPr>
      <w:r>
        <w:rPr>
          <w:rFonts w:cs="Arial" w:ascii="Arial" w:hAnsi="Arial"/>
          <w:sz w:val="20"/>
        </w:rPr>
      </w:r>
    </w:p>
    <w:p>
      <w:pPr>
        <w:pStyle w:val="Normal"/>
        <w:ind w:firstLine="1"/>
        <w:jc w:val="both"/>
        <w:rPr>
          <w:rFonts w:ascii="Arial" w:hAnsi="Arial" w:cs="Arial"/>
        </w:rPr>
      </w:pPr>
      <w:r>
        <w:rPr>
          <w:rFonts w:cs="Arial" w:ascii="Arial" w:hAnsi="Arial"/>
        </w:rPr>
        <w:t xml:space="preserve">23.7 – Ocorrendo atraso no pagamento das obrigações e desde que este atraso decorra de culpa do </w:t>
      </w:r>
      <w:r>
        <w:rPr>
          <w:rFonts w:cs="Arial" w:ascii="Arial" w:hAnsi="Arial"/>
          <w:b/>
        </w:rPr>
        <w:t>Fundo Municipal de Saúde</w:t>
      </w:r>
      <w:r>
        <w:rPr>
          <w:rFonts w:cs="Arial" w:ascii="Arial" w:hAnsi="Arial"/>
        </w:rPr>
        <w:t xml:space="preserve">, o valor devido será acrescido de 0,1% (um décimo por cento) a título de multa, além de 0,033% (trinta e três milésimos por cento) por dia de atraso, a título de compensação financeira, a serem calculados sobre a parcela devida. </w:t>
      </w:r>
    </w:p>
    <w:p>
      <w:pPr>
        <w:pStyle w:val="Normal"/>
        <w:ind w:firstLine="1"/>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23.8 – O pagamento da multa e da compensação financeira a que se refere o subitem anterior será efetivado mediante autorização expressa da Secretária de Saúde, em processo próprio, que se iniciará com o requerimento da licitante contratada dirigido à Secretária de Saúde.</w:t>
      </w:r>
    </w:p>
    <w:p>
      <w:pPr>
        <w:pStyle w:val="Normal"/>
        <w:ind w:firstLine="1"/>
        <w:jc w:val="both"/>
        <w:rPr>
          <w:rFonts w:ascii="Arial" w:hAnsi="Arial" w:cs="Arial"/>
          <w:color w:val="FF0000"/>
        </w:rPr>
      </w:pPr>
      <w:r>
        <w:rPr>
          <w:rFonts w:cs="Arial" w:ascii="Arial" w:hAnsi="Arial"/>
          <w:color w:val="FF0000"/>
        </w:rPr>
      </w:r>
    </w:p>
    <w:p>
      <w:pPr>
        <w:pStyle w:val="Corpodotexto"/>
        <w:widowControl w:val="false"/>
        <w:tabs>
          <w:tab w:val="clear" w:pos="708"/>
          <w:tab w:val="left" w:pos="720" w:leader="none"/>
        </w:tabs>
        <w:rPr>
          <w:rFonts w:ascii="Arial" w:hAnsi="Arial" w:cs="Arial"/>
          <w:sz w:val="20"/>
        </w:rPr>
      </w:pPr>
      <w:r>
        <w:rPr>
          <w:rFonts w:cs="Arial" w:ascii="Arial" w:hAnsi="Arial"/>
          <w:sz w:val="20"/>
        </w:rPr>
        <w:t xml:space="preserve">23.9 – Caso o </w:t>
      </w:r>
      <w:r>
        <w:rPr>
          <w:rFonts w:cs="Arial" w:ascii="Arial" w:hAnsi="Arial"/>
          <w:b/>
          <w:sz w:val="20"/>
        </w:rPr>
        <w:t>Fundo Municipal de Saúde</w:t>
      </w:r>
      <w:r>
        <w:rPr>
          <w:rFonts w:cs="Arial" w:ascii="Arial" w:hAnsi="Arial"/>
          <w:sz w:val="20"/>
        </w:rPr>
        <w:t xml:space="preserve"> efetue o pagamento devido à contratada em prazo inferior a 15 (quinze) dias, será descontado da importância o valor correspondente a 0,033% (trinta e três milésimos por cento) por dia de antecipação.</w:t>
      </w:r>
    </w:p>
    <w:p>
      <w:pPr>
        <w:pStyle w:val="Corpodotexto"/>
        <w:widowControl w:val="false"/>
        <w:tabs>
          <w:tab w:val="clear" w:pos="708"/>
          <w:tab w:val="left" w:pos="720" w:leader="none"/>
        </w:tabs>
        <w:rPr>
          <w:rFonts w:ascii="Arial" w:hAnsi="Arial" w:cs="Arial"/>
          <w:sz w:val="20"/>
        </w:rPr>
      </w:pPr>
      <w:r>
        <w:rPr>
          <w:rFonts w:cs="Arial" w:ascii="Arial" w:hAnsi="Arial"/>
          <w:sz w:val="20"/>
        </w:rPr>
      </w:r>
    </w:p>
    <w:p>
      <w:pPr>
        <w:pStyle w:val="NoSpacing"/>
        <w:jc w:val="both"/>
        <w:rPr>
          <w:rFonts w:ascii="Arial" w:hAnsi="Arial" w:cs="Arial"/>
          <w:sz w:val="20"/>
          <w:szCs w:val="20"/>
        </w:rPr>
      </w:pPr>
      <w:r>
        <w:rPr>
          <w:rFonts w:cs="Arial" w:ascii="Arial" w:hAnsi="Arial"/>
          <w:sz w:val="20"/>
          <w:szCs w:val="20"/>
        </w:rPr>
        <w:t xml:space="preserve">23.10 – </w:t>
      </w:r>
      <w:r>
        <w:rPr>
          <w:rFonts w:cs="Arial" w:ascii="Arial" w:hAnsi="Arial"/>
          <w:color w:val="000000"/>
          <w:sz w:val="20"/>
          <w:szCs w:val="20"/>
        </w:rPr>
        <w:t>Na hipótese de o documento de cobrança apresentar erros, fica suspenso o prazo para o pagamento respectivo, prosseguindo-se a contagem somente após a apresentação da nova documentação isenta de erros.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24 – </w:t>
      </w:r>
      <w:r>
        <w:rPr>
          <w:rFonts w:cs="Arial" w:ascii="Arial" w:hAnsi="Arial"/>
          <w:b/>
          <w:sz w:val="20"/>
          <w:szCs w:val="20"/>
          <w:u w:val="single"/>
        </w:rPr>
        <w:t>DO REAJUSTAMENTO</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rPr>
      </w:pPr>
      <w:r>
        <w:rPr>
          <w:rFonts w:cs="Arial" w:ascii="Arial" w:hAnsi="Arial"/>
        </w:rPr>
        <w:t xml:space="preserve">24.1 – Durante a sua vigência, os preços registrados serão fixos e irreajustáveis, exceto nas hipóteses, devidamente comprovadas, de quebra do equilíbrio econômico-financeiro, situação prevista na alínea “d” do inciso II do art. 65 da Lei n º 8.666/93 ou de redução dos preços praticados no mercado. </w:t>
      </w:r>
    </w:p>
    <w:p>
      <w:pPr>
        <w:pStyle w:val="Normal"/>
        <w:jc w:val="both"/>
        <w:rPr>
          <w:rFonts w:ascii="Arial" w:hAnsi="Arial" w:cs="Arial"/>
        </w:rPr>
      </w:pPr>
      <w:r>
        <w:rPr>
          <w:rFonts w:cs="Arial" w:ascii="Arial" w:hAnsi="Arial"/>
        </w:rPr>
      </w:r>
    </w:p>
    <w:p>
      <w:pPr>
        <w:pStyle w:val="NoSpacing"/>
        <w:jc w:val="both"/>
        <w:rPr>
          <w:rFonts w:ascii="Arial" w:hAnsi="Arial" w:cs="Arial"/>
          <w:sz w:val="20"/>
          <w:szCs w:val="20"/>
        </w:rPr>
      </w:pPr>
      <w:r>
        <w:rPr>
          <w:rFonts w:cs="Arial" w:ascii="Arial" w:hAnsi="Arial"/>
          <w:sz w:val="20"/>
          <w:szCs w:val="20"/>
        </w:rPr>
        <w:t xml:space="preserve">24.2 – Comprovada a redução dos preços praticados no mercado, a Administração convocará a empresa vencedora para, após negociação, redefinir os preços e alterar a </w:t>
      </w:r>
      <w:r>
        <w:rPr>
          <w:rFonts w:cs="Arial" w:ascii="Arial" w:hAnsi="Arial"/>
          <w:b/>
          <w:sz w:val="20"/>
          <w:szCs w:val="20"/>
        </w:rPr>
        <w:t>ATA DE REGISTRO DE PREÇOS –</w:t>
      </w:r>
      <w:r>
        <w:rPr>
          <w:rFonts w:cs="Arial" w:ascii="Arial" w:hAnsi="Arial"/>
          <w:b/>
          <w:color w:val="000000"/>
          <w:sz w:val="20"/>
          <w:szCs w:val="20"/>
        </w:rPr>
        <w:t xml:space="preserve"> ANEXO XI</w:t>
      </w:r>
      <w:r>
        <w:rPr>
          <w:rFonts w:cs="Arial" w:ascii="Arial" w:hAnsi="Arial"/>
          <w:sz w:val="20"/>
          <w:szCs w:val="20"/>
        </w:rPr>
        <w:t>.</w:t>
      </w:r>
    </w:p>
    <w:p>
      <w:pPr>
        <w:pStyle w:val="NoSpacing"/>
        <w:jc w:val="both"/>
        <w:rPr>
          <w:rFonts w:ascii="Arial" w:hAnsi="Arial" w:cs="Arial"/>
          <w:b/>
          <w:b/>
          <w:sz w:val="20"/>
          <w:szCs w:val="20"/>
        </w:rPr>
      </w:pPr>
      <w:r>
        <w:rPr>
          <w:rFonts w:cs="Arial" w:ascii="Arial" w:hAnsi="Arial"/>
          <w:b/>
          <w:sz w:val="20"/>
          <w:szCs w:val="20"/>
        </w:rPr>
      </w:r>
    </w:p>
    <w:p>
      <w:pPr>
        <w:pStyle w:val="NoSpacing"/>
        <w:jc w:val="both"/>
        <w:rPr>
          <w:rFonts w:ascii="Arial" w:hAnsi="Arial" w:cs="Arial"/>
          <w:b/>
          <w:b/>
          <w:sz w:val="20"/>
          <w:szCs w:val="20"/>
        </w:rPr>
      </w:pPr>
      <w:r>
        <w:rPr>
          <w:rFonts w:cs="Arial" w:ascii="Arial" w:hAnsi="Arial"/>
          <w:b/>
          <w:sz w:val="20"/>
          <w:szCs w:val="20"/>
        </w:rPr>
        <w:t xml:space="preserve">25 – </w:t>
      </w:r>
      <w:r>
        <w:rPr>
          <w:rFonts w:cs="Arial" w:ascii="Arial" w:hAnsi="Arial"/>
          <w:b/>
          <w:sz w:val="20"/>
          <w:szCs w:val="20"/>
          <w:u w:val="single"/>
        </w:rPr>
        <w:t>DAS OBRIGAÇÕES DA CONTRATANTE E DA CONTRATADA</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i/>
          <w:i/>
          <w:iCs/>
          <w:color w:val="000000"/>
        </w:rPr>
      </w:pPr>
      <w:r>
        <w:rPr>
          <w:rFonts w:cs="Arial" w:ascii="Arial" w:hAnsi="Arial"/>
          <w:b/>
          <w:bCs/>
          <w:color w:val="000000"/>
        </w:rPr>
        <w:t>25.1 – DAS OBRIGAÇÕES E RESPONSABILIDADES DA CONTRATADA</w:t>
      </w:r>
      <w:r>
        <w:rPr>
          <w:rFonts w:cs="Arial" w:ascii="Arial" w:hAnsi="Arial"/>
          <w:i/>
          <w:iCs/>
          <w:color w:val="000000"/>
        </w:rPr>
        <w:t xml:space="preserve"> </w:t>
      </w:r>
    </w:p>
    <w:p>
      <w:pPr>
        <w:pStyle w:val="Normal"/>
        <w:jc w:val="both"/>
        <w:rPr>
          <w:rFonts w:ascii="Arial" w:hAnsi="Arial" w:cs="Arial"/>
          <w:iCs/>
          <w:color w:val="000000"/>
        </w:rPr>
      </w:pPr>
      <w:r>
        <w:rPr>
          <w:rFonts w:cs="Arial" w:ascii="Arial" w:hAnsi="Arial"/>
          <w:iCs/>
          <w:color w:val="000000"/>
        </w:rPr>
      </w:r>
    </w:p>
    <w:p>
      <w:pPr>
        <w:pStyle w:val="Normal"/>
        <w:jc w:val="both"/>
        <w:rPr>
          <w:rFonts w:ascii="Arial" w:hAnsi="Arial" w:cs="Arial"/>
        </w:rPr>
      </w:pPr>
      <w:r>
        <w:rPr>
          <w:rFonts w:cs="Arial" w:ascii="Arial" w:hAnsi="Arial"/>
        </w:rPr>
        <w:t xml:space="preserve">25.1.1 – Fornecer endereço(s) eletrônico(s) oficial(ais) no ato do credenciamento em conformidade com o </w:t>
      </w:r>
      <w:r>
        <w:rPr>
          <w:rFonts w:cs="Arial" w:ascii="Arial" w:hAnsi="Arial"/>
          <w:b/>
          <w:color w:val="000000"/>
        </w:rPr>
        <w:t>ANEXO X</w:t>
      </w:r>
      <w:r>
        <w:rPr>
          <w:rFonts w:cs="Arial" w:ascii="Arial" w:hAnsi="Arial"/>
        </w:rPr>
        <w:t>, fora dos envelopes, a fim de que seja realizada toda e qualquer comunicação entre a CONTRATANTE e CONTRATADA, tais como convocações, ordens de início de fornecimento, envio de empenhos, notificações, atas de registro de preços, contratos, dentre outros.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25.1.1.1 – Acusar recebimento das correspondências eletrônicos emitidas pela CONTRATANTE no prazo de 24 (vinte e quatro) horas após o envio, sob pena de ser considerada como efetivamente recebida para efeito de contagem de prazos de fornecimento, comparecimento, assinaturas, notificações, apresentação de recursos, etc...</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25.1.2 – Assinar a ata de registro de preços e manter, durante toda a vigência da mesma, compatibilidade com as obrigações por ela assumidas e todas as condições de habilitação e qualificação exigidas no edital.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25.1.3 – Fornecer o(s) produto(s) no prazo, condições e local de entrega previsto no Projeto Básico.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25.1.4 – Fornecer o(s) produtos(s) com validade superior a 80% (oitenta por cento) do prazo total constante na embalagem.</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25.1.5 – Entregar os produtos separados por lote e data de validade, com os respectivos quantitativos impressos na nota fiscal.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25.1.6 – Todos os lotes deverão vir acompanhados de laudo analítico-laboratorial, expedido pela empresa produtora.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25.1.7 – Deverá vir impresso nas embalagens a expressão: </w:t>
      </w:r>
      <w:r>
        <w:rPr>
          <w:rFonts w:cs="Arial" w:ascii="Arial" w:hAnsi="Arial"/>
          <w:i/>
        </w:rPr>
        <w:t>“proibido a venda pelo comércio”</w:t>
      </w:r>
      <w:r>
        <w:rPr>
          <w:rFonts w:cs="Arial" w:ascii="Arial" w:hAnsi="Arial"/>
        </w:rPr>
        <w:t xml:space="preserve"> (port. 2.814/gm de 29 de maio de 1998).</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25.1.8 – Fornecer o objeto licitado conforme especificações, marcas e preços indicados na licitação supracitada e registrados nesta ata.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25.1.9 – Cumprir todas as demais obrigações impostas pelo edital e seus anexos.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25.1.10 – </w:t>
      </w:r>
      <w:r>
        <w:rPr>
          <w:rFonts w:cs="Arial" w:ascii="Arial" w:hAnsi="Arial"/>
          <w:color w:val="000000"/>
        </w:rPr>
        <w:t xml:space="preserve">Credenciar junto ao </w:t>
      </w:r>
      <w:r>
        <w:rPr>
          <w:rFonts w:cs="Arial" w:ascii="Arial" w:hAnsi="Arial"/>
          <w:b/>
          <w:color w:val="000000"/>
        </w:rPr>
        <w:t>Fundo Municipal de Saúde de Rio Claro</w:t>
      </w:r>
      <w:r>
        <w:rPr>
          <w:rFonts w:cs="Arial" w:ascii="Arial" w:hAnsi="Arial"/>
          <w:color w:val="000000"/>
        </w:rPr>
        <w:t xml:space="preserve"> funcionário que atenderá às requisições efetuadas pelo gestor da Ata de Registro de Preços.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25.1.11 – Manter durante a execução da Ata de Registro de Preços, todas as condições de habilitação e qualificação exigidas na licitação.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25.1.12 – Providenciar a imediata correção das deficiências, falhas ou irregularidades constatadas referentes à forma de fornecimento do objeto licitado e ao cumprimento das demais obrigações assumidas nesta ata.</w:t>
      </w:r>
    </w:p>
    <w:p>
      <w:pPr>
        <w:pStyle w:val="Normal"/>
        <w:jc w:val="both"/>
        <w:rPr>
          <w:rFonts w:ascii="Arial" w:hAnsi="Arial" w:cs="Arial"/>
        </w:rPr>
      </w:pPr>
      <w:r>
        <w:rPr>
          <w:rFonts w:cs="Arial" w:ascii="Arial" w:hAnsi="Arial"/>
        </w:rPr>
      </w:r>
    </w:p>
    <w:p>
      <w:pPr>
        <w:pStyle w:val="Normal"/>
        <w:jc w:val="both"/>
        <w:rPr>
          <w:rFonts w:ascii="Arial" w:hAnsi="Arial" w:cs="Arial"/>
          <w:bCs/>
        </w:rPr>
      </w:pPr>
      <w:r>
        <w:rPr>
          <w:rFonts w:cs="Arial" w:ascii="Arial" w:hAnsi="Arial"/>
          <w:bCs/>
        </w:rPr>
        <w:t>25.1.13 – Responsabilizar-se pelos danos porventura causados diretamente à Administração ou a terceiros, decorrentes de sua culpa ou dolo, até a entrega dos medicamentos, incluindo o transporte e o frete.</w:t>
      </w:r>
    </w:p>
    <w:p>
      <w:pPr>
        <w:pStyle w:val="Normal"/>
        <w:jc w:val="both"/>
        <w:rPr>
          <w:rFonts w:ascii="Arial" w:hAnsi="Arial" w:cs="Arial"/>
          <w:bCs/>
        </w:rPr>
      </w:pPr>
      <w:r>
        <w:rPr>
          <w:rFonts w:cs="Arial" w:ascii="Arial" w:hAnsi="Arial"/>
          <w:bCs/>
        </w:rPr>
      </w:r>
    </w:p>
    <w:p>
      <w:pPr>
        <w:pStyle w:val="Normal"/>
        <w:jc w:val="both"/>
        <w:rPr>
          <w:rFonts w:ascii="Arial" w:hAnsi="Arial" w:cs="Arial"/>
          <w:bCs/>
        </w:rPr>
      </w:pPr>
      <w:r>
        <w:rPr>
          <w:rFonts w:cs="Arial" w:ascii="Arial" w:hAnsi="Arial"/>
          <w:bCs/>
        </w:rPr>
        <w:t>25.1.14 – Promover por sua conta, através de seguros, a cobertura dos riscos a que se julgar exposta, em vista das responsabilidades que lhe cabem na execução no projeto básico.</w:t>
      </w:r>
    </w:p>
    <w:p>
      <w:pPr>
        <w:pStyle w:val="Normal"/>
        <w:jc w:val="both"/>
        <w:rPr>
          <w:rFonts w:ascii="Arial" w:hAnsi="Arial" w:cs="Arial"/>
          <w:bCs/>
        </w:rPr>
      </w:pPr>
      <w:r>
        <w:rPr>
          <w:rFonts w:cs="Arial" w:ascii="Arial" w:hAnsi="Arial"/>
          <w:bCs/>
        </w:rPr>
      </w:r>
    </w:p>
    <w:p>
      <w:pPr>
        <w:pStyle w:val="Normal"/>
        <w:jc w:val="both"/>
        <w:rPr>
          <w:rFonts w:ascii="Arial" w:hAnsi="Arial" w:cs="Arial"/>
          <w:bCs/>
        </w:rPr>
      </w:pPr>
      <w:r>
        <w:rPr>
          <w:rFonts w:cs="Arial" w:ascii="Arial" w:hAnsi="Arial"/>
          <w:bCs/>
        </w:rPr>
        <w:t>25.1.15 – Arcar com todas as despesas, diretas ou indiretas, decorrentes do cumprimento das obrigações assumidas, sem qualquer ônus para a CONTRATANTE.</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25.1.16 – Ressarcir os eventuais prejuízos causados a Administração e/ou a terceiros, provocados por ineficiência ou irregularidades cometidas na execução das obrigações assumidas na presente ARP.</w:t>
      </w:r>
    </w:p>
    <w:p>
      <w:pPr>
        <w:pStyle w:val="Normal"/>
        <w:jc w:val="both"/>
        <w:rPr>
          <w:rFonts w:ascii="Arial" w:hAnsi="Arial" w:cs="Arial"/>
        </w:rPr>
      </w:pPr>
      <w:r>
        <w:rPr>
          <w:rFonts w:cs="Arial" w:ascii="Arial" w:hAnsi="Arial"/>
        </w:rPr>
      </w:r>
    </w:p>
    <w:p>
      <w:pPr>
        <w:pStyle w:val="Normal"/>
        <w:jc w:val="both"/>
        <w:rPr>
          <w:rFonts w:ascii="Arial" w:hAnsi="Arial" w:cs="Arial"/>
          <w:b/>
          <w:b/>
          <w:bCs/>
          <w:color w:val="FF0000"/>
          <w:u w:val="single"/>
        </w:rPr>
      </w:pPr>
      <w:r>
        <w:rPr>
          <w:rFonts w:cs="Arial" w:ascii="Arial" w:hAnsi="Arial"/>
          <w:b/>
          <w:bCs/>
        </w:rPr>
        <w:t>25.2 –</w:t>
      </w:r>
      <w:r>
        <w:rPr>
          <w:rFonts w:cs="Arial" w:ascii="Arial" w:hAnsi="Arial"/>
          <w:b/>
          <w:bCs/>
          <w:color w:val="FF0000"/>
        </w:rPr>
        <w:t xml:space="preserve"> </w:t>
      </w:r>
      <w:r>
        <w:rPr>
          <w:rFonts w:cs="Arial" w:ascii="Arial" w:hAnsi="Arial"/>
          <w:b/>
          <w:bCs/>
          <w:color w:val="000000"/>
        </w:rPr>
        <w:t>DAS OBRIGAÇÕES E RESPONSABILIDADES DA CONTRATANTE</w:t>
      </w:r>
      <w:r>
        <w:rPr>
          <w:rFonts w:cs="Arial" w:ascii="Arial" w:hAnsi="Arial"/>
          <w:b/>
          <w:bCs/>
          <w:color w:val="FF0000"/>
          <w:u w:val="single"/>
        </w:rPr>
        <w:t xml:space="preserve"> </w:t>
      </w:r>
    </w:p>
    <w:p>
      <w:pPr>
        <w:pStyle w:val="Normal"/>
        <w:jc w:val="both"/>
        <w:rPr>
          <w:rFonts w:ascii="Arial" w:hAnsi="Arial" w:cs="Arial"/>
          <w:color w:val="FF0000"/>
        </w:rPr>
      </w:pPr>
      <w:r>
        <w:rPr>
          <w:rFonts w:cs="Arial" w:ascii="Arial" w:hAnsi="Arial"/>
          <w:color w:val="FF0000"/>
        </w:rPr>
      </w:r>
    </w:p>
    <w:p>
      <w:pPr>
        <w:pStyle w:val="Normal"/>
        <w:jc w:val="both"/>
        <w:rPr>
          <w:rFonts w:ascii="Arial" w:hAnsi="Arial" w:cs="Arial"/>
        </w:rPr>
      </w:pPr>
      <w:r>
        <w:rPr>
          <w:rFonts w:eastAsia="Verdana-Bold" w:cs="Arial" w:ascii="Arial" w:hAnsi="Arial"/>
          <w:bCs/>
        </w:rPr>
        <w:t xml:space="preserve">25.2.1 – </w:t>
      </w:r>
      <w:r>
        <w:rPr>
          <w:rFonts w:cs="Arial" w:ascii="Arial" w:hAnsi="Arial"/>
        </w:rPr>
        <w:t>Solicitar, na data da abertura dos envelopes da licitação, se julgar necessária, a presença do responsável técnico do Fundo Municipal de Saúde que terá a atribuição de sanar, durante a realização do certame, qualquer dúvida que vier a ser questionada pelo Pregoeiro e pelos licitantes presentes, quanto às especificações técnicas e quantitativas dos veículos.</w:t>
      </w:r>
    </w:p>
    <w:p>
      <w:pPr>
        <w:pStyle w:val="Normal"/>
        <w:jc w:val="both"/>
        <w:rPr>
          <w:rFonts w:ascii="Arial" w:hAnsi="Arial" w:cs="Arial"/>
        </w:rPr>
      </w:pPr>
      <w:r>
        <w:rPr>
          <w:rFonts w:cs="Arial" w:ascii="Arial" w:hAnsi="Arial"/>
        </w:rPr>
      </w:r>
    </w:p>
    <w:p>
      <w:pPr>
        <w:pStyle w:val="Normal"/>
        <w:jc w:val="both"/>
        <w:rPr>
          <w:rFonts w:ascii="Arial" w:hAnsi="Arial" w:cs="Arial"/>
          <w:color w:val="000000"/>
        </w:rPr>
      </w:pPr>
      <w:r>
        <w:rPr>
          <w:rFonts w:cs="Arial" w:ascii="Arial" w:hAnsi="Arial"/>
        </w:rPr>
        <w:t xml:space="preserve">25.2.2 – </w:t>
      </w:r>
      <w:r>
        <w:rPr>
          <w:rFonts w:cs="Arial" w:ascii="Arial" w:hAnsi="Arial"/>
          <w:color w:val="000000"/>
        </w:rPr>
        <w:t>Efetuar o registro do licitante fornecedor e firmar a correspondente Ata de Registro de Preços.</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25.2.3 – E</w:t>
      </w:r>
      <w:r>
        <w:rPr>
          <w:rFonts w:cs="Arial" w:ascii="Arial" w:hAnsi="Arial"/>
        </w:rPr>
        <w:t>mitir nota de empenho a crédito do fornecedor no valor total correspondente ao objeto solicitado.</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bCs/>
        </w:rPr>
        <w:t>25.2.4 – Proporcionar todas as facilidades indispensáveis à boa execução das obrigações assumidas, inclusive, permitir o acesso de representantes, prepostos ou empregados da contratada às dependências da CONTRATANTE, desde que devidamente identificados.</w:t>
      </w:r>
    </w:p>
    <w:p>
      <w:pPr>
        <w:pStyle w:val="Normal"/>
        <w:jc w:val="both"/>
        <w:rPr>
          <w:rFonts w:ascii="Arial" w:hAnsi="Arial" w:cs="Arial"/>
          <w:color w:val="000000"/>
        </w:rPr>
      </w:pPr>
      <w:r>
        <w:rPr>
          <w:rFonts w:cs="Arial" w:ascii="Arial" w:hAnsi="Arial"/>
          <w:color w:val="000000"/>
        </w:rPr>
      </w:r>
    </w:p>
    <w:p>
      <w:pPr>
        <w:pStyle w:val="Normal"/>
        <w:widowControl w:val="false"/>
        <w:spacing w:lineRule="auto" w:line="360"/>
        <w:jc w:val="both"/>
        <w:rPr>
          <w:rFonts w:ascii="Arial" w:hAnsi="Arial" w:cs="Arial"/>
          <w:bCs/>
        </w:rPr>
      </w:pPr>
      <w:r>
        <w:rPr>
          <w:rFonts w:cs="Arial" w:ascii="Arial" w:hAnsi="Arial"/>
          <w:bCs/>
        </w:rPr>
        <w:t>25.2.5 – Rejeitar, no todo ou em parte, o material a ser entregue em desacordo com as especificações e obrigações assumidas pelo fornecedor.</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rPr>
      </w:pPr>
      <w:r>
        <w:rPr>
          <w:rFonts w:cs="Arial" w:ascii="Arial" w:hAnsi="Arial"/>
          <w:color w:val="000000"/>
        </w:rPr>
        <w:t>25.2.6 – E</w:t>
      </w:r>
      <w:r>
        <w:rPr>
          <w:rFonts w:cs="Arial" w:ascii="Arial" w:hAnsi="Arial"/>
        </w:rPr>
        <w:t>fetuar o pagamento ao licitante fornecedor, de acordo com as condições de preço e prazo estabelecidos no edital.</w:t>
      </w:r>
    </w:p>
    <w:p>
      <w:pPr>
        <w:pStyle w:val="Normal"/>
        <w:jc w:val="both"/>
        <w:rPr>
          <w:rFonts w:ascii="Arial" w:hAnsi="Arial" w:cs="Arial"/>
        </w:rPr>
      </w:pPr>
      <w:r>
        <w:rPr>
          <w:rFonts w:cs="Arial" w:ascii="Arial" w:hAnsi="Arial"/>
        </w:rPr>
      </w:r>
    </w:p>
    <w:p>
      <w:pPr>
        <w:pStyle w:val="Normal"/>
        <w:jc w:val="both"/>
        <w:rPr>
          <w:rFonts w:ascii="Arial" w:hAnsi="Arial" w:cs="Arial"/>
          <w:color w:val="000000"/>
        </w:rPr>
      </w:pPr>
      <w:r>
        <w:rPr>
          <w:rFonts w:cs="Arial" w:ascii="Arial" w:hAnsi="Arial"/>
        </w:rPr>
        <w:t xml:space="preserve">25.2.7 – </w:t>
      </w:r>
      <w:r>
        <w:rPr>
          <w:rFonts w:cs="Arial" w:ascii="Arial" w:hAnsi="Arial"/>
          <w:color w:val="000000"/>
        </w:rPr>
        <w:t>Conduzir os procedimentos relativos a eventuais renegociações dos preços registrados.</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25.2.8 – Promover o acompanhamento e fiscalização da execução do objeto contratado, de forma que sejam mantidas as condições de habilitação e qualificação exigidas na licitação.</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bCs/>
        </w:rPr>
      </w:pPr>
      <w:r>
        <w:rPr>
          <w:rFonts w:cs="Arial" w:ascii="Arial" w:hAnsi="Arial"/>
          <w:bCs/>
        </w:rPr>
        <w:t>25.2.9 – Nomear um Gestor para realizar o controle da ATA DE REGISTRO DE PREÇOS. Devendo o Gestor da presente Ata de Registro de Preços, manter atualizado o saldo da Ata, publicando a cada 3 (três) meses, conforme dispõe o Art. 15, § 2º da Lei Federal 8.666/93;</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25.2.10 – Aplicar as penalidades por descumprimento do pactuado no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color w:val="000000"/>
          <w:sz w:val="20"/>
          <w:szCs w:val="20"/>
        </w:rPr>
      </w:pPr>
      <w:r>
        <w:rPr>
          <w:rFonts w:cs="Arial" w:ascii="Arial" w:hAnsi="Arial"/>
          <w:b/>
          <w:color w:val="000000"/>
          <w:sz w:val="20"/>
          <w:szCs w:val="20"/>
        </w:rPr>
        <w:t xml:space="preserve">26 – </w:t>
      </w:r>
      <w:r>
        <w:rPr>
          <w:rFonts w:cs="Arial" w:ascii="Arial" w:hAnsi="Arial"/>
          <w:b/>
          <w:color w:val="000000"/>
          <w:sz w:val="20"/>
          <w:szCs w:val="20"/>
          <w:u w:val="single"/>
        </w:rPr>
        <w:t>DAS MULTAS E SANÇÕES ADMINISTRATIVAS</w:t>
      </w:r>
    </w:p>
    <w:p>
      <w:pPr>
        <w:pStyle w:val="NoSpacing"/>
        <w:jc w:val="both"/>
        <w:rPr>
          <w:rFonts w:ascii="Arial" w:hAnsi="Arial" w:cs="Arial"/>
          <w:sz w:val="20"/>
          <w:szCs w:val="20"/>
        </w:rPr>
      </w:pPr>
      <w:r>
        <w:rPr>
          <w:rFonts w:cs="Arial" w:ascii="Arial" w:hAnsi="Arial"/>
          <w:sz w:val="20"/>
          <w:szCs w:val="20"/>
        </w:rPr>
      </w:r>
    </w:p>
    <w:p>
      <w:pPr>
        <w:pStyle w:val="Normal"/>
        <w:ind w:firstLine="1"/>
        <w:jc w:val="both"/>
        <w:rPr>
          <w:rFonts w:ascii="Arial" w:hAnsi="Arial" w:cs="Arial"/>
        </w:rPr>
      </w:pPr>
      <w:r>
        <w:rPr>
          <w:rFonts w:cs="Arial" w:ascii="Arial" w:hAnsi="Arial"/>
        </w:rPr>
        <w:t xml:space="preserve">26.1 – No caso de descumprimento total ou parcial das condições deste edital, a Administração, sem prejuízo das perdas e danos e das multas cabíveis, nos termos da lei civil, aplicará à contratada, conforme o caso, as penalidades previstas nos art. 86, 87 e 88 da Lei Federal n° 8.666/93, em especial, as seguintes sanções: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26.1.1 – multa moratória de 1% (um por cento) ao dia, por dia útil que exceder o prazo de fornecimento, sobre o valor do saldo não atendido, respeitados os limites da lei civil;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26.1.2 – multa administrativa de até 20% (vinte por cento) sobre o valor da nota de empenho, nas demais hipóteses de inadimplemento ou infração de qualquer natureza, seja contratual ou legal. </w:t>
      </w:r>
    </w:p>
    <w:p>
      <w:pPr>
        <w:pStyle w:val="Normal"/>
        <w:ind w:firstLine="1"/>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26.1.3 – As multas moratórias e administrativas poderão ser aplicadas cumulativamente ou individualmente, não impedindo que a Administração</w:t>
      </w:r>
      <w:r>
        <w:rPr>
          <w:rFonts w:cs="Arial" w:ascii="Arial" w:hAnsi="Arial"/>
          <w:b/>
          <w:bCs/>
        </w:rPr>
        <w:t xml:space="preserve"> </w:t>
      </w:r>
      <w:r>
        <w:rPr>
          <w:rFonts w:cs="Arial" w:ascii="Arial" w:hAnsi="Arial"/>
        </w:rPr>
        <w:t xml:space="preserve">rescinda, unilateralmente, a Ata de Registro de Preço e aplique as demais sanções legais cabíveis.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26.1.4 – As multas administrativas e moratórias aplicadas serão descontadas dos pagamentos eventualmente devidos pela Administração à contratada ou, ainda, quando for o caso, cobrada judicialmente, em consonância com os parágrafos 2º e 3º do art. 86 da Lei Federal n° 8.666/93.</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26.1.5 – A aplicação de multas não elidirá, em face do descumprimento do pactuado, o direito da Administração</w:t>
      </w:r>
      <w:r>
        <w:rPr>
          <w:rFonts w:cs="Arial" w:ascii="Arial" w:hAnsi="Arial"/>
          <w:b/>
          <w:bCs/>
        </w:rPr>
        <w:t xml:space="preserve"> </w:t>
      </w:r>
      <w:r>
        <w:rPr>
          <w:rFonts w:cs="Arial" w:ascii="Arial" w:hAnsi="Arial"/>
        </w:rPr>
        <w:t xml:space="preserve">de rescindir de pleno direito o contrato, independente de ação, notificação ou interpelação judicial ou extrajudicial, sem prejuízo das demais cominações legais e contratuais cabíveis, assegurados o contraditório e a ampla defesa.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26.1.6 – A licitante que não retirar o empenho dentro do prazo de validade da sua proposta, deixar de entregar a documentação exigida para a contratação, retardar a execução, descumprir, injustificadamente, qualquer cláusula contratual, comportar-se de modo inidôneo ou cometer fraude fiscal poderá, nos termos do art. 7º da Lei Federal n° 10.520/02, ser impedida de contratar com a Administração Pública pelo prazo de até 05 (cinco) anos, sem prejuízo da aplicação das demais cominações legais, tudo proporcionalmente ao grau de culpabilidade da conduta apenada.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b/>
          <w:b/>
          <w:sz w:val="20"/>
          <w:szCs w:val="20"/>
        </w:rPr>
      </w:pPr>
      <w:r>
        <w:rPr>
          <w:rFonts w:cs="Arial" w:ascii="Arial" w:hAnsi="Arial"/>
          <w:b/>
          <w:sz w:val="20"/>
          <w:szCs w:val="20"/>
        </w:rPr>
        <w:t xml:space="preserve">27 – </w:t>
      </w:r>
      <w:r>
        <w:rPr>
          <w:rFonts w:cs="Arial" w:ascii="Arial" w:hAnsi="Arial"/>
          <w:b/>
          <w:sz w:val="20"/>
          <w:szCs w:val="20"/>
          <w:u w:val="single"/>
        </w:rPr>
        <w:t>DO CANCELAMENTO DO REGISTRO DE PREÇOS</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rPr>
      </w:pPr>
      <w:r>
        <w:rPr>
          <w:rFonts w:cs="Arial" w:ascii="Arial" w:hAnsi="Arial"/>
          <w:color w:val="000000"/>
        </w:rPr>
        <w:t>27.1 – O</w:t>
      </w:r>
      <w:r>
        <w:rPr>
          <w:rFonts w:cs="Arial" w:ascii="Arial" w:hAnsi="Arial"/>
        </w:rPr>
        <w:t xml:space="preserve"> fornecedor registrado poderá ter o seu registro de preços cancelado, por intermédio de processo administrativo específico, assegurado o contraditório e ampla defesa.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27.2 – O cancelamento do seu registro poderá ser: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27.2.1 – A pedido do próprio, quando comprovar estar impossibilitado de cumprir as exigências da Ata, pela ocorrência de fato superveniente que venha comprometer a perfeita execução contratual, decorrente de caso fortuito ou de força maior devidamente comprovado. </w:t>
      </w:r>
    </w:p>
    <w:p>
      <w:pPr>
        <w:pStyle w:val="Normal"/>
        <w:ind w:firstLine="1"/>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 xml:space="preserve">27.2.2 – Por iniciativa da Administração: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27.2.2.1 – Quando o fornecedor registrado: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a) não aceitar reduzir o preço registrado, na hipótese deste se tornar superior àqueles praticados no mercado; </w:t>
      </w:r>
    </w:p>
    <w:p>
      <w:pPr>
        <w:pStyle w:val="Normal"/>
        <w:jc w:val="both"/>
        <w:rPr>
          <w:rFonts w:ascii="Arial" w:hAnsi="Arial" w:cs="Arial"/>
        </w:rPr>
      </w:pPr>
      <w:r>
        <w:rPr>
          <w:rFonts w:cs="Arial" w:ascii="Arial" w:hAnsi="Arial"/>
        </w:rPr>
        <w:t xml:space="preserve">b) perder qualquer condição de habilitação ou qualificação técnica exigida no processo licitatório; </w:t>
      </w:r>
    </w:p>
    <w:p>
      <w:pPr>
        <w:pStyle w:val="Normal"/>
        <w:jc w:val="both"/>
        <w:rPr>
          <w:rFonts w:ascii="Arial" w:hAnsi="Arial" w:cs="Arial"/>
        </w:rPr>
      </w:pPr>
      <w:r>
        <w:rPr>
          <w:rFonts w:cs="Arial" w:ascii="Arial" w:hAnsi="Arial"/>
        </w:rPr>
        <w:t xml:space="preserve">c) descumprir as obrigações decorrentes da Ata de Registro de Preços; </w:t>
      </w:r>
    </w:p>
    <w:p>
      <w:pPr>
        <w:pStyle w:val="Normal"/>
        <w:ind w:firstLine="1"/>
        <w:jc w:val="both"/>
        <w:rPr>
          <w:rFonts w:ascii="Arial" w:hAnsi="Arial" w:cs="Arial"/>
        </w:rPr>
      </w:pPr>
      <w:r>
        <w:rPr>
          <w:rFonts w:cs="Arial" w:ascii="Arial" w:hAnsi="Arial"/>
        </w:rPr>
        <w:t>d) não retirar a nota de empenho no prazo estabelecido pela Administração</w:t>
      </w:r>
      <w:r>
        <w:rPr>
          <w:rFonts w:cs="Arial" w:ascii="Arial" w:hAnsi="Arial"/>
          <w:b/>
          <w:bCs/>
        </w:rPr>
        <w:t xml:space="preserve">, </w:t>
      </w:r>
      <w:r>
        <w:rPr>
          <w:rFonts w:cs="Arial" w:ascii="Arial" w:hAnsi="Arial"/>
        </w:rPr>
        <w:t>sem justificativa aceitável.</w:t>
      </w:r>
    </w:p>
    <w:p>
      <w:pPr>
        <w:pStyle w:val="Normal"/>
        <w:ind w:firstLine="1"/>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27.2.2.2 – Pela superveniência de razões de interesse público, devidamente motivadas e justificadas.</w:t>
      </w:r>
    </w:p>
    <w:p>
      <w:pPr>
        <w:pStyle w:val="Normal"/>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 xml:space="preserve">27.3 – Em qualquer das hipóteses acima, concluído o processo, a Administração fará o devido apostilamento na Ata de Registro de Preços e informará aos proponentes a nova ordem de registro. </w:t>
      </w:r>
    </w:p>
    <w:p>
      <w:pPr>
        <w:pStyle w:val="Normal"/>
        <w:ind w:firstLine="1"/>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b/>
        </w:rPr>
        <w:t xml:space="preserve">28 – </w:t>
      </w:r>
      <w:r>
        <w:rPr>
          <w:rFonts w:cs="Arial" w:ascii="Arial" w:hAnsi="Arial"/>
          <w:b/>
          <w:u w:val="single"/>
        </w:rPr>
        <w:t>DA REVOGAÇÃO DA ATA REGISTRO DE PREÇOS</w:t>
      </w:r>
    </w:p>
    <w:p>
      <w:pPr>
        <w:pStyle w:val="NoSpacing"/>
        <w:jc w:val="both"/>
        <w:rPr>
          <w:rFonts w:ascii="Arial" w:hAnsi="Arial" w:cs="Arial"/>
          <w:sz w:val="20"/>
          <w:szCs w:val="20"/>
        </w:rPr>
      </w:pPr>
      <w:r>
        <w:rPr>
          <w:rFonts w:cs="Arial" w:ascii="Arial" w:hAnsi="Arial"/>
          <w:sz w:val="20"/>
          <w:szCs w:val="20"/>
        </w:rPr>
      </w:r>
    </w:p>
    <w:p>
      <w:pPr>
        <w:pStyle w:val="Normal"/>
        <w:jc w:val="both"/>
        <w:rPr>
          <w:rFonts w:ascii="Arial" w:hAnsi="Arial" w:cs="Arial"/>
        </w:rPr>
      </w:pPr>
      <w:r>
        <w:rPr>
          <w:rFonts w:cs="Arial" w:ascii="Arial" w:hAnsi="Arial"/>
        </w:rPr>
        <w:t xml:space="preserve">28.1 – A Ata de Registro de Preços poderá ser revogada pela Administração: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28.2 – Automaticamente: </w:t>
      </w:r>
    </w:p>
    <w:p>
      <w:pPr>
        <w:pStyle w:val="Normal"/>
        <w:jc w:val="both"/>
        <w:rPr>
          <w:rFonts w:ascii="Arial" w:hAnsi="Arial" w:cs="Arial"/>
        </w:rPr>
      </w:pPr>
      <w:r>
        <w:rPr>
          <w:rFonts w:cs="Arial" w:ascii="Arial" w:hAnsi="Arial"/>
        </w:rPr>
        <w:t xml:space="preserve">28.2.1 – por decurso de prazo de vigência; </w:t>
      </w:r>
    </w:p>
    <w:p>
      <w:pPr>
        <w:pStyle w:val="Normal"/>
        <w:jc w:val="both"/>
        <w:rPr>
          <w:rFonts w:ascii="Arial" w:hAnsi="Arial" w:cs="Arial"/>
        </w:rPr>
      </w:pPr>
      <w:r>
        <w:rPr>
          <w:rFonts w:cs="Arial" w:ascii="Arial" w:hAnsi="Arial"/>
        </w:rPr>
        <w:t xml:space="preserve">28.2.2 – quando não restarem fornecedores registrados. </w:t>
      </w:r>
    </w:p>
    <w:p>
      <w:pPr>
        <w:pStyle w:val="Normal"/>
        <w:ind w:firstLine="1"/>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28.3 – Pela Secretaria Municipal de Saúde, quando caracterizado o interesse público.</w:t>
      </w:r>
    </w:p>
    <w:p>
      <w:pPr>
        <w:pStyle w:val="Normal"/>
        <w:ind w:firstLine="1"/>
        <w:jc w:val="both"/>
        <w:rPr>
          <w:rFonts w:ascii="Arial" w:hAnsi="Arial" w:cs="Arial"/>
        </w:rPr>
      </w:pPr>
      <w:r>
        <w:rPr>
          <w:rFonts w:cs="Arial" w:ascii="Arial" w:hAnsi="Arial"/>
        </w:rPr>
      </w:r>
    </w:p>
    <w:p>
      <w:pPr>
        <w:pStyle w:val="Normal"/>
        <w:jc w:val="both"/>
        <w:rPr>
          <w:rFonts w:ascii="Arial" w:hAnsi="Arial" w:cs="Arial"/>
          <w:color w:val="000000"/>
        </w:rPr>
      </w:pPr>
      <w:r>
        <w:rPr>
          <w:rFonts w:cs="Arial" w:ascii="Arial" w:hAnsi="Arial"/>
          <w:b/>
          <w:bCs/>
        </w:rPr>
        <w:t xml:space="preserve">29 – </w:t>
      </w:r>
      <w:r>
        <w:rPr>
          <w:rFonts w:cs="Arial" w:ascii="Arial" w:hAnsi="Arial"/>
          <w:b/>
          <w:u w:val="single"/>
        </w:rPr>
        <w:t>DO CUMPRIMENTO DA LEI GERAL DE PROTEÇÃO DE DADOS - LEI N. 13.709/2018</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rPr>
      </w:pPr>
      <w:r>
        <w:rPr>
          <w:rFonts w:cs="Arial" w:ascii="Arial" w:hAnsi="Arial"/>
        </w:rPr>
        <w:t>29.1 - Para a efetiva participação da LICITANTE no certame, o MUNICÍPIO DE RIO CLARO fará o tratamento dos dados pessoais definidos neste edital, dos representantes legais e outros, e zelará e responsabilizar-se-á pela proteção de dados e privacidade.</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29.2 - A LICITANTE obriga-se, durante a participação em todas as fases do certame, a atuar em conformidade com a legislação vigente sobre Proteção de Dados Pessoais e dados pessoais sensíveis, especialmente a regulamentação municipal e a Lei nº 13.709/2018, empenhando-se em proceder a todo tratamento de dados pessoais que venha a mostrar-se necessário, em conformidade com este edital.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29.3 - O MUNICÍPIO DE RIO CLARO e a LICITANTE, ao realizar o tratamento de dados pessoais, o farão de acordo com as bases legais previstas nas hipóteses dos arts. 7º, 11 e/ou 14 da Lei 13.709/2018, e para propósitos legítimos, específicos, explícitos e informados ao titular.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29.4 - A LICITANTE declara ter ciência da existência da Lei Geral de Proteção de Dados (LGPD) e deverá garantir, por seu representante legal e/ou pelo seu procurador, a confidencialidade dos dados pessoais a que tem acesso, zelando e responsabilizando-se pela proteção dos dados e privacidade, respondendo pelos danos que possa causar.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29.5 - É vedada à LICITANTE a utilização de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29.6 - A LICITANTE fica obrigada a notificar o MUNICÍPIO DE RIO CLARO,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LGPD.</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29.7 - As partes, em razão das infrações cometidas às normas previstas, ficam sujeitas às sanções administrativas, cíveis e criminais aplicáveis, por qualquer ação ilícita, que causar danos patrimoniais, morais, individuais ou coletivos, aos titulares de dados pessoais.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29.8 - A LICITANTE será integralmente responsável pelo pagamento de perdas e danos de ordem moral e material, bem como pelo ressarcimento do pagamento de qualquer multa ou penalidade imposta ao MUNICÍPIO DE RIO CLARO e/ou a terceiros, diretamente resultantes do descumprimento pela LICITANTE de qualquer das cláusulas previstas neste edital quanto à proteção e uso dos dados pessoais.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29.9 - As partes cooperarão entre si no cumprimento das obrigações referentes ao exercício dos direitos dos Titulares previstos na LGPD e nas Leis e Regulamentos de Proteção de Dados em vigor, e também no atendimento de requisições e determinações do Poder Judiciário, Ministério Público, Tribunal de Contas e Órgãos de controle administrativo.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29.10 - As cláusulas de proteção de dados deste edital permanecem durante toda a execução do objeto ora licitado, sem prejuízo de novas cláusulas definidas no instrumento contratual resultante deste certame, na medida de abrangência dentro de seu escopo. Mesmo que encerrada a vigência do instrumento contratual, os deveres previstos devem ser observados pelas partes, por prazo indeterminado, sob pena de responsabilização.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29.11 - Por ocasião da assinatura do contrato, a(s) LICITANTE(S) vencedora(s) do certame deverão seguir um conjunto de premissas, políticas e especificações técnicas, devendo estar alinhadas com a legislação vigente e as melhores práticas de mercado, a fim de assegurar adequado nível de segurança em relação aos possíveis riscos gerados pelo tratamento de dados pessoais em sua estrutura organizacional.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29.12 - Por ocasião da assinatura do contrato, o MUNICÍPIO DE RIO CLARO poderá solicitar à(s) LICITANTE(S) vencedora(s) do certame os dados de contato do seu respectivo encarregado de dados, conforme exigido nos documentos de habilitação jurídica.</w:t>
      </w:r>
    </w:p>
    <w:p>
      <w:pPr>
        <w:pStyle w:val="Normal"/>
        <w:jc w:val="both"/>
        <w:rPr>
          <w:rFonts w:ascii="Arial" w:hAnsi="Arial" w:cs="Arial"/>
        </w:rPr>
      </w:pPr>
      <w:r>
        <w:rPr>
          <w:rFonts w:cs="Arial" w:ascii="Arial" w:hAnsi="Arial"/>
        </w:rPr>
      </w:r>
    </w:p>
    <w:p>
      <w:pPr>
        <w:pStyle w:val="Normal"/>
        <w:ind w:firstLine="1"/>
        <w:jc w:val="both"/>
        <w:rPr>
          <w:rFonts w:ascii="Arial" w:hAnsi="Arial" w:cs="Arial"/>
        </w:rPr>
      </w:pPr>
      <w:r>
        <w:rPr>
          <w:rFonts w:cs="Arial" w:ascii="Arial" w:hAnsi="Arial"/>
        </w:rPr>
        <w:t>29.13 - A LICITANTE, para ter conhecimento da política de privacidade do MUNICÍPIO DE RIO CLARO, deverá acessar o link www.rioclaro.rj.gov.br e, para maiores informações, poderá entrar em contato com o Encarregado de Dados por meio do endereço eletrônico de e-mail lgpd@rioclaro.rj.gov.br.</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b/>
          <w:b/>
          <w:bCs/>
          <w:u w:val="single"/>
        </w:rPr>
      </w:pPr>
      <w:r>
        <w:rPr>
          <w:rFonts w:cs="Arial" w:ascii="Arial" w:hAnsi="Arial"/>
          <w:b/>
          <w:bCs/>
        </w:rPr>
        <w:t xml:space="preserve">30 - </w:t>
      </w:r>
      <w:r>
        <w:rPr>
          <w:rFonts w:cs="Arial" w:ascii="Arial" w:hAnsi="Arial"/>
          <w:b/>
          <w:bCs/>
          <w:u w:val="single"/>
        </w:rPr>
        <w:t>DOS ANEXOS QUE INTEGRAM ESTE EDITAL</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30.1 – Anexo I – Termo de Referência.</w:t>
      </w:r>
    </w:p>
    <w:p>
      <w:pPr>
        <w:pStyle w:val="Normal"/>
        <w:jc w:val="both"/>
        <w:rPr>
          <w:rFonts w:ascii="Arial" w:hAnsi="Arial" w:cs="Arial"/>
          <w:color w:val="000000"/>
        </w:rPr>
      </w:pPr>
      <w:r>
        <w:rPr>
          <w:rFonts w:cs="Arial" w:ascii="Arial" w:hAnsi="Arial"/>
          <w:color w:val="000000"/>
        </w:rPr>
        <w:t>30.1.1 – Anexo “A” – Planilha de Quantitativos e Preços Unitários.</w:t>
      </w:r>
    </w:p>
    <w:p>
      <w:pPr>
        <w:pStyle w:val="Normal"/>
        <w:jc w:val="both"/>
        <w:rPr>
          <w:rFonts w:ascii="Arial" w:hAnsi="Arial" w:cs="Arial"/>
          <w:color w:val="000000"/>
        </w:rPr>
      </w:pPr>
      <w:r>
        <w:rPr>
          <w:rFonts w:cs="Arial" w:ascii="Arial" w:hAnsi="Arial"/>
          <w:color w:val="000000"/>
        </w:rPr>
        <w:t>30.2 – Anexo II – Projeto Básico.</w:t>
      </w:r>
    </w:p>
    <w:p>
      <w:pPr>
        <w:pStyle w:val="Normal"/>
        <w:jc w:val="both"/>
        <w:rPr>
          <w:rFonts w:ascii="Arial" w:hAnsi="Arial" w:cs="Arial"/>
          <w:color w:val="000000"/>
        </w:rPr>
      </w:pPr>
      <w:r>
        <w:rPr>
          <w:rFonts w:cs="Arial" w:ascii="Arial" w:hAnsi="Arial"/>
          <w:color w:val="000000"/>
        </w:rPr>
        <w:t>30.3 – Anexo III – Modelo de Carta Proposta.</w:t>
      </w:r>
    </w:p>
    <w:p>
      <w:pPr>
        <w:pStyle w:val="Normal"/>
        <w:jc w:val="both"/>
        <w:rPr>
          <w:rFonts w:ascii="Arial" w:hAnsi="Arial" w:cs="Arial"/>
          <w:color w:val="000000"/>
        </w:rPr>
      </w:pPr>
      <w:r>
        <w:rPr>
          <w:rFonts w:cs="Arial" w:ascii="Arial" w:hAnsi="Arial"/>
          <w:color w:val="000000"/>
        </w:rPr>
        <w:t>30.4 – Anexo IV – Termo de Adesão ao Sistema de Pregão Eletrônico da BLL.</w:t>
      </w:r>
    </w:p>
    <w:p>
      <w:pPr>
        <w:pStyle w:val="Normal"/>
        <w:jc w:val="both"/>
        <w:rPr>
          <w:rFonts w:ascii="Arial" w:hAnsi="Arial" w:cs="Arial"/>
          <w:color w:val="000000"/>
        </w:rPr>
      </w:pPr>
      <w:r>
        <w:rPr>
          <w:rFonts w:cs="Arial" w:ascii="Arial" w:hAnsi="Arial"/>
          <w:color w:val="000000"/>
        </w:rPr>
        <w:t>30.5 – Anexo V – Declaração de cumprimento do disposto no inciso XXXIII do artigo 7º da Constituição Federal de 1988.</w:t>
      </w:r>
    </w:p>
    <w:p>
      <w:pPr>
        <w:pStyle w:val="Normal"/>
        <w:jc w:val="both"/>
        <w:rPr>
          <w:rFonts w:ascii="Arial" w:hAnsi="Arial" w:cs="Arial"/>
          <w:color w:val="000000"/>
        </w:rPr>
      </w:pPr>
      <w:r>
        <w:rPr>
          <w:rFonts w:cs="Arial" w:ascii="Arial" w:hAnsi="Arial"/>
          <w:color w:val="000000"/>
        </w:rPr>
        <w:t>30.6 – Anexo VI – Modelo de Declaração de Atendimento aos Requisitos de Habilitação.</w:t>
      </w:r>
    </w:p>
    <w:p>
      <w:pPr>
        <w:pStyle w:val="Normal"/>
        <w:jc w:val="both"/>
        <w:rPr>
          <w:rFonts w:ascii="Arial" w:hAnsi="Arial" w:cs="Arial"/>
          <w:color w:val="000000"/>
        </w:rPr>
      </w:pPr>
      <w:r>
        <w:rPr>
          <w:rFonts w:cs="Arial" w:ascii="Arial" w:hAnsi="Arial"/>
          <w:color w:val="000000"/>
        </w:rPr>
        <w:t>30.7 – Anexo VII – Modelo de Declaração de ME ou EPP.</w:t>
      </w:r>
    </w:p>
    <w:p>
      <w:pPr>
        <w:pStyle w:val="Normal"/>
        <w:jc w:val="both"/>
        <w:rPr>
          <w:rFonts w:ascii="Arial" w:hAnsi="Arial" w:cs="Arial"/>
          <w:color w:val="000000"/>
        </w:rPr>
      </w:pPr>
      <w:r>
        <w:rPr>
          <w:rFonts w:cs="Arial" w:ascii="Arial" w:hAnsi="Arial"/>
          <w:color w:val="000000"/>
        </w:rPr>
        <w:t>30.8 – Anexo VIII – Modelo de Declaração de Inexistência de Fato Impeditivo.</w:t>
      </w:r>
    </w:p>
    <w:p>
      <w:pPr>
        <w:pStyle w:val="Normal"/>
        <w:jc w:val="both"/>
        <w:rPr>
          <w:rFonts w:ascii="Arial" w:hAnsi="Arial" w:cs="Arial"/>
          <w:color w:val="000000"/>
        </w:rPr>
      </w:pPr>
      <w:r>
        <w:rPr>
          <w:rFonts w:cs="Arial" w:ascii="Arial" w:hAnsi="Arial"/>
          <w:color w:val="000000"/>
        </w:rPr>
        <w:t>30.9 – Anexo IX – Modelo de Declaração de Inexistência de Vínculo.</w:t>
      </w:r>
    </w:p>
    <w:p>
      <w:pPr>
        <w:pStyle w:val="Normal"/>
        <w:jc w:val="both"/>
        <w:rPr>
          <w:rFonts w:ascii="Arial" w:hAnsi="Arial" w:cs="Arial"/>
          <w:color w:val="000000"/>
        </w:rPr>
      </w:pPr>
      <w:r>
        <w:rPr>
          <w:rFonts w:cs="Arial" w:ascii="Arial" w:hAnsi="Arial"/>
          <w:color w:val="000000"/>
        </w:rPr>
        <w:t>30.10 – Anexo X – Modelo de Declaração de Fornecimento de Dados da Empresa.</w:t>
      </w:r>
    </w:p>
    <w:p>
      <w:pPr>
        <w:pStyle w:val="Normal"/>
        <w:jc w:val="both"/>
        <w:rPr>
          <w:rFonts w:ascii="Arial" w:hAnsi="Arial" w:cs="Arial"/>
          <w:color w:val="000000"/>
        </w:rPr>
      </w:pPr>
      <w:r>
        <w:rPr>
          <w:rFonts w:cs="Arial" w:ascii="Arial" w:hAnsi="Arial"/>
          <w:color w:val="000000"/>
        </w:rPr>
        <w:t>30.11 – Anexo XI – Minuta da Ata de Registro de Preços.</w:t>
      </w:r>
    </w:p>
    <w:p>
      <w:pPr>
        <w:pStyle w:val="Normal"/>
        <w:jc w:val="both"/>
        <w:rPr>
          <w:rFonts w:ascii="Arial" w:hAnsi="Arial" w:cs="Arial"/>
          <w:color w:val="000000"/>
        </w:rPr>
      </w:pPr>
      <w:r>
        <w:rPr>
          <w:rFonts w:cs="Arial" w:ascii="Arial" w:hAnsi="Arial"/>
          <w:color w:val="000000"/>
        </w:rPr>
        <w:t xml:space="preserve">30.12 – Anexo XII – </w:t>
      </w:r>
      <w:r>
        <w:rPr>
          <w:rFonts w:cs="Arial" w:ascii="Arial" w:hAnsi="Arial"/>
        </w:rPr>
        <w:t>Termo de Consentimento para Tratamento de Dados Pessoais.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b/>
          <w:b/>
          <w:sz w:val="20"/>
          <w:szCs w:val="20"/>
        </w:rPr>
      </w:pPr>
      <w:r>
        <w:rPr>
          <w:rFonts w:cs="Arial" w:ascii="Arial" w:hAnsi="Arial"/>
          <w:b/>
          <w:sz w:val="20"/>
          <w:szCs w:val="20"/>
        </w:rPr>
        <w:t xml:space="preserve">31 – </w:t>
      </w:r>
      <w:r>
        <w:rPr>
          <w:rFonts w:cs="Arial" w:ascii="Arial" w:hAnsi="Arial"/>
          <w:b/>
          <w:sz w:val="20"/>
          <w:szCs w:val="20"/>
          <w:u w:val="single"/>
        </w:rPr>
        <w:t>DAS CONSIDERAÇÕES DE CARÁTER GERAL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31.1 – A presente licitação não importa necessariamente em contratação, podendo o Município de Rio Claro/RJ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Município de Rio Claro/RJ poderá, ainda, prorrogar, a qualquer tempo, os prazos para recebimento das propostas ou para sua abertura.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31.2 –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31.3 – É facultado ao Pregoeiro, ou à autoridade a ele superior, em qualquer fase da licitação, promover diligências com vistas a esclarecer ou a complementar a instrução do processo.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31.4 – Os proponentes intimados para prestar quaisquer esclarecimentos adicionais deverão fazê-lo no prazo determinado pelo Pregoeiro, sob pena de desclassificação/inabilitação.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31.5 – O desatendimento de exigências formais não essenciais não importará no afastamento do proponente, desde que seja possível a aferição da sua qualificação e a exata compreensão da sua proposta.</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31.6 – Na contagem dos prazos estabelecidos neste Edital e seus Anexos, excluir-se-á o dia do início e incluir-se-á o do vencimento. Só se iniciam e vencem os prazos em dias de expediente na Administração.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31.7 – As normas que disciplinam este Pregão serão sempre interpretadas em favor da ampliação da disputa entre os proponentes, desde que não comprometam o interesse da Administração, a finalidade e a segurança da contratação.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31.8 – As decisões referentes a este processo licitatório poderão ser comunicadas aos proponentes por qualquer meio de comunicação que comprove o recebimento ou, ainda, mediante publicação no portal eletrônico do Município e/ou Diário Oficial do Município.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31.9 – Os casos não previstos neste Edital serão decididos pelo Pregoeiro.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31.10 – A participação do proponente nesta licitação implica em aceitação de todos os termos deste Edital.</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31.11 – Não cabe à Bolsa de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color w:val="000000"/>
          <w:sz w:val="20"/>
          <w:szCs w:val="20"/>
        </w:rPr>
      </w:pPr>
      <w:r>
        <w:rPr>
          <w:rFonts w:cs="Arial" w:ascii="Arial" w:hAnsi="Arial"/>
          <w:color w:val="000000"/>
          <w:sz w:val="20"/>
          <w:szCs w:val="20"/>
        </w:rPr>
        <w:t>31.12 – O Pregoeiro e sua Equipe de Apoio atenderão aos interessados no horário das 9h00min. as 12h00min. e das 13h30min. às 17h00min, de segunda a sexta-feira, exceto feriados/ponto facultativos, através dos telefones (24) 3332-1292 e (24) 3332-1717 ou na Sala de Licitações, situada na Avenida João Baptista Portugal, nº 230, Centro, Rio Claro/RJ, para melhores esclarecimentos.</w:t>
      </w:r>
    </w:p>
    <w:p>
      <w:pPr>
        <w:pStyle w:val="NoSpacing"/>
        <w:jc w:val="both"/>
        <w:rPr>
          <w:rFonts w:ascii="Arial" w:hAnsi="Arial" w:cs="Arial"/>
          <w:color w:val="000000"/>
          <w:sz w:val="20"/>
          <w:szCs w:val="20"/>
        </w:rPr>
      </w:pPr>
      <w:r>
        <w:rPr>
          <w:rFonts w:cs="Arial" w:ascii="Arial" w:hAnsi="Arial"/>
          <w:color w:val="000000"/>
          <w:sz w:val="20"/>
          <w:szCs w:val="20"/>
        </w:rPr>
      </w:r>
    </w:p>
    <w:p>
      <w:pPr>
        <w:pStyle w:val="NoSpacing"/>
        <w:jc w:val="both"/>
        <w:rPr>
          <w:rFonts w:ascii="Arial" w:hAnsi="Arial" w:cs="Arial"/>
          <w:sz w:val="20"/>
          <w:szCs w:val="20"/>
        </w:rPr>
      </w:pPr>
      <w:r>
        <w:rPr>
          <w:rFonts w:cs="Arial" w:ascii="Arial" w:hAnsi="Arial"/>
          <w:color w:val="000000"/>
          <w:sz w:val="20"/>
          <w:szCs w:val="20"/>
        </w:rPr>
        <w:t>31.13 – Não havendo expediente ou ocorrendo qualquer fato superveniente que impeça a realização do certame na data marcada, a sessão será automaticamente transferida para o primeiro dia útil subsequente</w:t>
      </w:r>
      <w:r>
        <w:rPr>
          <w:rFonts w:cs="Arial" w:ascii="Arial" w:hAnsi="Arial"/>
          <w:sz w:val="20"/>
          <w:szCs w:val="20"/>
        </w:rPr>
        <w:t>, no mesmo horário e local anteriormente estabelecidos, desde que não haja comunicação do Pregoeiro em contrário.</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31.14 – Os casos omissos neste Edital serão resolvidos pelo Pregoeiro, nos termos da legislação pertinente.</w:t>
      </w:r>
    </w:p>
    <w:p>
      <w:pPr>
        <w:pStyle w:val="NoSpacing"/>
        <w:jc w:val="both"/>
        <w:rPr>
          <w:rFonts w:ascii="Arial" w:hAnsi="Arial" w:cs="Arial"/>
          <w:sz w:val="20"/>
          <w:szCs w:val="20"/>
        </w:rPr>
      </w:pPr>
      <w:r>
        <w:rPr>
          <w:rFonts w:cs="Arial" w:ascii="Arial" w:hAnsi="Arial"/>
          <w:sz w:val="20"/>
          <w:szCs w:val="20"/>
        </w:rPr>
      </w:r>
    </w:p>
    <w:p>
      <w:pPr>
        <w:pStyle w:val="NoSpacing"/>
        <w:jc w:val="both"/>
        <w:rPr>
          <w:rFonts w:ascii="Arial" w:hAnsi="Arial" w:cs="Arial"/>
          <w:sz w:val="20"/>
          <w:szCs w:val="20"/>
        </w:rPr>
      </w:pPr>
      <w:r>
        <w:rPr>
          <w:rFonts w:cs="Arial" w:ascii="Arial" w:hAnsi="Arial"/>
          <w:sz w:val="20"/>
          <w:szCs w:val="20"/>
        </w:rPr>
        <w:t>31.15 – Fica eleito o foro do Município de Rio Claro/RJ, para dirimir qualquer questão controversa relacionada com o presente edital.</w:t>
      </w:r>
    </w:p>
    <w:p>
      <w:pPr>
        <w:pStyle w:val="NoSpacing"/>
        <w:jc w:val="both"/>
        <w:rPr>
          <w:rFonts w:ascii="Arial" w:hAnsi="Arial" w:cs="Arial"/>
          <w:sz w:val="20"/>
          <w:szCs w:val="20"/>
        </w:rPr>
      </w:pPr>
      <w:r>
        <w:rPr>
          <w:rFonts w:cs="Arial" w:ascii="Arial" w:hAnsi="Arial"/>
          <w:sz w:val="20"/>
          <w:szCs w:val="20"/>
        </w:rPr>
      </w:r>
    </w:p>
    <w:p>
      <w:pPr>
        <w:pStyle w:val="NoSpacing"/>
        <w:jc w:val="right"/>
        <w:rPr>
          <w:rFonts w:ascii="Arial" w:hAnsi="Arial" w:cs="Arial"/>
          <w:sz w:val="20"/>
          <w:szCs w:val="20"/>
        </w:rPr>
      </w:pPr>
      <w:r>
        <w:rPr>
          <w:rFonts w:cs="Arial" w:ascii="Arial" w:hAnsi="Arial"/>
          <w:sz w:val="20"/>
          <w:szCs w:val="20"/>
        </w:rPr>
        <w:t>Rio Claro/RJ, 26 de abril de 2024.</w:t>
      </w:r>
    </w:p>
    <w:p>
      <w:pPr>
        <w:pStyle w:val="NoSpacing"/>
        <w:jc w:val="right"/>
        <w:rPr>
          <w:rFonts w:ascii="Arial" w:hAnsi="Arial" w:cs="Arial"/>
          <w:sz w:val="20"/>
          <w:szCs w:val="20"/>
        </w:rPr>
      </w:pPr>
      <w:r>
        <w:rPr>
          <w:rFonts w:cs="Arial" w:ascii="Arial" w:hAnsi="Arial"/>
          <w:sz w:val="20"/>
          <w:szCs w:val="20"/>
        </w:rPr>
      </w:r>
    </w:p>
    <w:p>
      <w:pPr>
        <w:pStyle w:val="NoSpacing"/>
        <w:jc w:val="right"/>
        <w:rPr>
          <w:rFonts w:ascii="Arial" w:hAnsi="Arial" w:cs="Arial"/>
          <w:sz w:val="20"/>
          <w:szCs w:val="20"/>
        </w:rPr>
      </w:pPr>
      <w:r>
        <w:rPr>
          <w:rFonts w:cs="Arial" w:ascii="Arial" w:hAnsi="Arial"/>
          <w:sz w:val="20"/>
          <w:szCs w:val="20"/>
        </w:rPr>
      </w:r>
    </w:p>
    <w:p>
      <w:pPr>
        <w:pStyle w:val="NoSpacing"/>
        <w:jc w:val="right"/>
        <w:rPr>
          <w:rFonts w:ascii="Arial" w:hAnsi="Arial" w:cs="Arial"/>
          <w:sz w:val="20"/>
          <w:szCs w:val="20"/>
        </w:rPr>
      </w:pPr>
      <w:r>
        <w:rPr>
          <w:rFonts w:cs="Arial" w:ascii="Arial" w:hAnsi="Arial"/>
          <w:sz w:val="20"/>
          <w:szCs w:val="20"/>
        </w:rPr>
      </w:r>
    </w:p>
    <w:p>
      <w:pPr>
        <w:pStyle w:val="NoSpacing"/>
        <w:jc w:val="right"/>
        <w:rPr>
          <w:rFonts w:ascii="Arial" w:hAnsi="Arial" w:cs="Arial"/>
          <w:sz w:val="20"/>
          <w:szCs w:val="20"/>
        </w:rPr>
      </w:pPr>
      <w:r>
        <w:rPr>
          <w:rFonts w:cs="Arial" w:ascii="Arial" w:hAnsi="Arial"/>
          <w:sz w:val="20"/>
          <w:szCs w:val="20"/>
        </w:rPr>
      </w:r>
    </w:p>
    <w:p>
      <w:pPr>
        <w:pStyle w:val="NoSpacing"/>
        <w:jc w:val="right"/>
        <w:rPr>
          <w:rFonts w:ascii="Arial" w:hAnsi="Arial" w:cs="Arial"/>
          <w:sz w:val="20"/>
          <w:szCs w:val="20"/>
        </w:rPr>
      </w:pPr>
      <w:r>
        <w:rPr>
          <w:rFonts w:cs="Arial" w:ascii="Arial" w:hAnsi="Arial"/>
          <w:sz w:val="20"/>
          <w:szCs w:val="20"/>
        </w:rPr>
      </w:r>
    </w:p>
    <w:p>
      <w:pPr>
        <w:pStyle w:val="NoSpacing"/>
        <w:jc w:val="center"/>
        <w:rPr>
          <w:rFonts w:ascii="Arial" w:hAnsi="Arial" w:cs="Arial"/>
          <w:sz w:val="20"/>
          <w:szCs w:val="20"/>
        </w:rPr>
      </w:pPr>
      <w:r>
        <w:rPr>
          <w:rFonts w:cs="Arial" w:ascii="Arial" w:hAnsi="Arial"/>
          <w:sz w:val="20"/>
          <w:szCs w:val="20"/>
        </w:rPr>
        <w:t>_________________________________</w:t>
      </w:r>
    </w:p>
    <w:p>
      <w:pPr>
        <w:pStyle w:val="NoSpacing"/>
        <w:jc w:val="center"/>
        <w:rPr>
          <w:rFonts w:ascii="Arial" w:hAnsi="Arial" w:cs="Arial"/>
          <w:sz w:val="20"/>
          <w:szCs w:val="20"/>
        </w:rPr>
      </w:pPr>
      <w:r>
        <w:rPr>
          <w:rFonts w:cs="Arial" w:ascii="Arial" w:hAnsi="Arial"/>
          <w:sz w:val="20"/>
          <w:szCs w:val="20"/>
        </w:rPr>
        <w:t>Maria Augusta Monteiro Ferreira</w:t>
      </w:r>
    </w:p>
    <w:p>
      <w:pPr>
        <w:pStyle w:val="NoSpacing"/>
        <w:jc w:val="center"/>
        <w:rPr>
          <w:rFonts w:ascii="Arial" w:hAnsi="Arial" w:cs="Arial"/>
          <w:sz w:val="20"/>
          <w:szCs w:val="20"/>
        </w:rPr>
      </w:pPr>
      <w:r>
        <w:rPr>
          <w:rFonts w:cs="Arial" w:ascii="Arial" w:hAnsi="Arial"/>
          <w:sz w:val="20"/>
          <w:szCs w:val="20"/>
        </w:rPr>
        <w:t>Secretária Municipal de Saúde</w:t>
      </w:r>
    </w:p>
    <w:sectPr>
      <w:headerReference w:type="default" r:id="rId3"/>
      <w:footerReference w:type="default" r:id="rId4"/>
      <w:type w:val="nextPage"/>
      <w:pgSz w:w="11906" w:h="16838"/>
      <w:pgMar w:left="1418" w:right="848" w:gutter="0" w:header="720" w:top="1418" w:footer="720" w:bottom="777"/>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Arial">
    <w:charset w:val="01"/>
    <w:family w:val="swiss"/>
    <w:pitch w:val="default"/>
  </w:font>
  <w:font w:name="Courier New">
    <w:charset w:val="01"/>
    <w:family w:val="swiss"/>
    <w:pitch w:val="default"/>
  </w:font>
  <w:font w:name="Wingdings">
    <w:charset w:val="01"/>
    <w:family w:val="swiss"/>
    <w:pitch w:val="default"/>
  </w:font>
  <w:font w:name="Symbol">
    <w:charset w:val="01"/>
    <w:family w:val="swiss"/>
    <w:pitch w:val="default"/>
  </w:font>
  <w:font w:name="Nimbus Sans L">
    <w:altName w:val="Arial"/>
    <w:charset w:val="01"/>
    <w:family w:val="swiss"/>
    <w:pitch w:val="default"/>
  </w:font>
  <w:font w:name="Albany">
    <w:altName w:val="Arial"/>
    <w:charset w:val="01"/>
    <w:family w:val="swiss"/>
    <w:pitch w:val="default"/>
  </w:font>
  <w:font w:name="Trebuchet MS">
    <w:charset w:val="01"/>
    <w:family w:val="swiss"/>
    <w:pitch w:val="default"/>
  </w:font>
  <w:font w:name="Tahoma">
    <w:charset w:val="01"/>
    <w:family w:val="swiss"/>
    <w:pitch w:val="default"/>
  </w:font>
  <w:font w:name="Nimbus Roman No9 L">
    <w:altName w:val="Times New Roman"/>
    <w:charset w:val="01"/>
    <w:family w:val="swiss"/>
    <w:pitch w:val="default"/>
  </w:font>
  <w:font w:name="Calibri">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w:r>
    <w:r>
      <mc:AlternateContent>
        <mc:Choice Requires="wps">
          <w:drawing>
            <wp:anchor behindDoc="0" distT="0" distB="0" distL="0" distR="0" simplePos="0" locked="0" layoutInCell="0" allowOverlap="1" relativeHeight="23">
              <wp:simplePos x="0" y="0"/>
              <wp:positionH relativeFrom="page">
                <wp:posOffset>6648450</wp:posOffset>
              </wp:positionH>
              <wp:positionV relativeFrom="paragraph">
                <wp:posOffset>-15240</wp:posOffset>
              </wp:positionV>
              <wp:extent cx="182245" cy="160020"/>
              <wp:effectExtent l="0" t="0" r="0" b="0"/>
              <wp:wrapSquare wrapText="bothSides"/>
              <wp:docPr id="2" name=""/>
              <a:graphic xmlns:a="http://schemas.openxmlformats.org/drawingml/2006/main">
                <a:graphicData uri="http://schemas.microsoft.com/office/word/2010/wordprocessingShape">
                  <wps:wsp>
                    <wps:cNvSpPr txBox="1"/>
                    <wps:spPr>
                      <a:xfrm>
                        <a:off x="0" y="0"/>
                        <a:ext cx="182245" cy="160020"/>
                      </a:xfrm>
                      <a:prstGeom prst="rect"/>
                      <a:solidFill>
                        <a:srgbClr val="FFFFFF">
                          <a:alpha val="0"/>
                        </a:srgbClr>
                      </a:solidFill>
                    </wps:spPr>
                    <wps:txbx>
                      <w:txbxContent>
                        <w:p>
                          <w:pPr>
                            <w:pStyle w:val="Rodap"/>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txbxContent>
                    </wps:txbx>
                    <wps:bodyPr anchor="t" lIns="0" tIns="0" rIns="0" bIns="0">
                      <a:noAutofit/>
                    </wps:bodyPr>
                  </wps:wsp>
                </a:graphicData>
              </a:graphic>
            </wp:anchor>
          </w:drawing>
        </mc:Choice>
        <mc:Fallback>
          <w:pict>
            <v:rect fillcolor="#FFFFFF" stroked="f" strokeweight="0pt" style="position:absolute;rotation:-0;width:14.35pt;height:12.6pt;mso-wrap-distance-left:0pt;mso-wrap-distance-right:0pt;mso-wrap-distance-top:0pt;mso-wrap-distance-bottom:0pt;margin-top:-1.2pt;mso-position-vertical-relative:text;margin-left:523.5pt;mso-position-horizontal-relative:page">
              <v:fill opacity="0f"/>
              <v:textbox inset="0in,0in,0in,0in">
                <w:txbxContent>
                  <w:p>
                    <w:pPr>
                      <w:pStyle w:val="Rodap"/>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txbxContent>
              </v:textbox>
              <w10:wrap type="squar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right="-287" w:hanging="0"/>
      <w:rPr/>
    </w:pPr>
    <w:r>
      <w:drawing>
        <wp:anchor behindDoc="1" distT="0" distB="0" distL="114935" distR="114935" simplePos="0" locked="0" layoutInCell="0" allowOverlap="1" relativeHeight="45">
          <wp:simplePos x="0" y="0"/>
          <wp:positionH relativeFrom="column">
            <wp:posOffset>108585</wp:posOffset>
          </wp:positionH>
          <wp:positionV relativeFrom="paragraph">
            <wp:posOffset>98425</wp:posOffset>
          </wp:positionV>
          <wp:extent cx="700405" cy="890905"/>
          <wp:effectExtent l="0" t="0" r="0" b="0"/>
          <wp:wrapTopAndBottom/>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700405" cy="890905"/>
                  </a:xfrm>
                  <a:prstGeom prst="rect">
                    <a:avLst/>
                  </a:prstGeom>
                </pic:spPr>
              </pic:pic>
            </a:graphicData>
          </a:graphic>
        </wp:anchor>
      </w:drawing>
    </w:r>
    <w:r>
      <w:rPr/>
      <w:t xml:space="preserve">                          </w:t>
    </w:r>
  </w:p>
  <w:p>
    <w:pPr>
      <w:pStyle w:val="Cabealho"/>
      <w:rPr/>
    </w:pPr>
    <w:r>
      <w:rPr/>
      <w:t xml:space="preserve">                           </w:t>
    </w:r>
  </w:p>
  <w:p>
    <w:pPr>
      <w:pStyle w:val="Cabealho"/>
      <w:rPr>
        <w:b/>
        <w:b/>
      </w:rPr>
    </w:pPr>
    <w:r>
      <w:rPr/>
      <w:t xml:space="preserve">                                      </w:t>
    </w:r>
    <w:r>
      <w:rPr>
        <w:b/>
      </w:rPr>
      <w:t>ESTADO DO RIO DE JANEIRO</w:t>
    </w:r>
  </w:p>
  <w:p>
    <w:pPr>
      <w:pStyle w:val="Cabealho"/>
      <w:rPr>
        <w:b/>
        <w:b/>
      </w:rPr>
    </w:pPr>
    <w:r>
      <w:rPr>
        <w:b/>
      </w:rPr>
      <w:t xml:space="preserve">                                      </w:t>
    </w:r>
    <w:r>
      <w:rPr>
        <w:b/>
      </w:rPr>
      <w:t>PREFEITURA MUNICIPAL DE RIO CLARO</w:t>
    </w:r>
  </w:p>
  <w:p>
    <w:pPr>
      <w:pStyle w:val="Cabealho"/>
      <w:rPr>
        <w:b/>
        <w:b/>
      </w:rPr>
    </w:pPr>
    <w:r>
      <w:rPr>
        <w:b/>
      </w:rPr>
      <w:t xml:space="preserve">                                      </w:t>
    </w:r>
    <w:r>
      <w:rPr>
        <w:b/>
      </w:rPr>
      <w:t>SECRETARIA MUNICIPAL DE ADMINISTRAÇÃO</w:t>
    </w:r>
  </w:p>
  <w:tbl>
    <w:tblPr>
      <w:tblpPr w:vertAnchor="page" w:horzAnchor="page" w:leftFromText="141" w:rightFromText="141" w:tblpX="8771" w:tblpY="427"/>
      <w:tblW w:w="2779" w:type="dxa"/>
      <w:jc w:val="left"/>
      <w:tblInd w:w="108" w:type="dxa"/>
      <w:tblLayout w:type="fixed"/>
      <w:tblCellMar>
        <w:top w:w="0" w:type="dxa"/>
        <w:left w:w="108" w:type="dxa"/>
        <w:bottom w:w="0" w:type="dxa"/>
        <w:right w:w="108" w:type="dxa"/>
      </w:tblCellMar>
      <w:tblLook w:val="01e0"/>
    </w:tblPr>
    <w:tblGrid>
      <w:gridCol w:w="2779"/>
    </w:tblGrid>
    <w:tr>
      <w:trPr>
        <w:trHeight w:val="1069" w:hRule="atLeast"/>
      </w:trPr>
      <w:tc>
        <w:tcPr>
          <w:tcW w:w="27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480"/>
            <w:ind w:right="-108" w:hanging="0"/>
            <w:rPr/>
          </w:pPr>
          <w:r>
            <w:rPr/>
          </w:r>
        </w:p>
        <w:p>
          <w:pPr>
            <w:pStyle w:val="Normal"/>
            <w:widowControl w:val="false"/>
            <w:spacing w:lineRule="auto" w:line="480"/>
            <w:ind w:right="-108" w:hanging="0"/>
            <w:rPr>
              <w:rFonts w:ascii="Arial" w:hAnsi="Arial" w:cs="Arial"/>
              <w:sz w:val="18"/>
              <w:szCs w:val="18"/>
            </w:rPr>
          </w:pPr>
          <w:r>
            <w:rPr>
              <w:rFonts w:cs="Arial" w:ascii="Arial" w:hAnsi="Arial"/>
              <w:sz w:val="18"/>
              <w:szCs w:val="18"/>
            </w:rPr>
            <w:t xml:space="preserve">PROCESSO N°: </w:t>
          </w:r>
          <w:r>
            <w:rPr>
              <w:rFonts w:cs="Arial" w:ascii="Arial" w:hAnsi="Arial"/>
              <w:b/>
              <w:sz w:val="18"/>
              <w:szCs w:val="18"/>
            </w:rPr>
            <w:t>0793/2023</w:t>
          </w:r>
        </w:p>
        <w:p>
          <w:pPr>
            <w:pStyle w:val="Normal"/>
            <w:widowControl w:val="false"/>
            <w:tabs>
              <w:tab w:val="clear" w:pos="708"/>
              <w:tab w:val="left" w:pos="2592" w:leader="none"/>
            </w:tabs>
            <w:spacing w:lineRule="auto" w:line="480"/>
            <w:ind w:right="-108" w:hanging="0"/>
            <w:rPr>
              <w:rFonts w:ascii="Arial" w:hAnsi="Arial" w:cs="Arial"/>
              <w:sz w:val="18"/>
              <w:szCs w:val="18"/>
            </w:rPr>
          </w:pPr>
          <w:r>
            <w:rPr>
              <w:rFonts w:cs="Arial" w:ascii="Arial" w:hAnsi="Arial"/>
              <w:sz w:val="18"/>
              <w:szCs w:val="18"/>
            </w:rPr>
            <w:t>FL. N°: __________________</w:t>
          </w:r>
        </w:p>
        <w:p>
          <w:pPr>
            <w:pStyle w:val="Normal"/>
            <w:widowControl w:val="false"/>
            <w:spacing w:lineRule="auto" w:line="480"/>
            <w:ind w:right="-108" w:hanging="0"/>
            <w:rPr/>
          </w:pPr>
          <w:r>
            <w:rPr>
              <w:rFonts w:cs="Arial" w:ascii="Arial" w:hAnsi="Arial"/>
              <w:sz w:val="18"/>
              <w:szCs w:val="18"/>
            </w:rPr>
            <w:t>ASS.: ___________________</w:t>
          </w:r>
        </w:p>
      </w:tc>
    </w:tr>
  </w:tbl>
  <w:p>
    <w:pPr>
      <w:pStyle w:val="Cabealho"/>
      <w:rPr>
        <w:b/>
        <w:b/>
      </w:rPr>
    </w:pPr>
    <w:r>
      <w:rPr>
        <w:b/>
      </w:rPr>
    </w:r>
  </w:p>
  <w:p>
    <w:pPr>
      <w:pStyle w:val="Cabealho"/>
      <w:rPr>
        <w:b/>
        <w:b/>
      </w:rPr>
    </w:pPr>
    <w:r>
      <w:rPr>
        <w:b/>
      </w:rPr>
    </w:r>
  </w:p>
  <w:p>
    <w:pPr>
      <w:pStyle w:val="Cabealho"/>
      <w:rPr>
        <w:b/>
        <w:b/>
      </w:rPr>
    </w:pPr>
    <w:r>
      <w:rPr>
        <w:b/>
      </w:rPr>
      <w:t xml:space="preserve">                                      </w:t>
    </w:r>
  </w:p>
  <w:p>
    <w:pPr>
      <w:pStyle w:val="Cabealho"/>
      <w:rPr/>
    </w:pPr>
    <w:r>
      <w:rPr/>
    </w:r>
  </w:p>
  <w:p>
    <w:pPr>
      <w:pStyle w:val="Cabealho"/>
      <w:rPr/>
    </w:pPr>
    <w:r>
      <w:rPr/>
      <w:t xml:space="preserve">                            </w:t>
    </w:r>
  </w:p>
</w:hdr>
</file>

<file path=word/settings.xml><?xml version="1.0" encoding="utf-8"?>
<w:settings xmlns:w="http://schemas.openxmlformats.org/wordprocessingml/2006/main">
  <w:zoom w:percent="100"/>
  <w:displayBackgroundShape/>
  <w:embedSystemFonts/>
  <w:defaultTabStop w:val="708"/>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dc32a8"/>
    <w:pPr>
      <w:widowControl/>
      <w:suppressAutoHyphens w:val="true"/>
      <w:bidi w:val="0"/>
      <w:spacing w:before="0" w:after="0"/>
      <w:jc w:val="left"/>
    </w:pPr>
    <w:rPr>
      <w:rFonts w:ascii="Times New Roman" w:hAnsi="Times New Roman" w:eastAsia="Times New Roman" w:cs="Times New Roman"/>
      <w:color w:val="auto"/>
      <w:kern w:val="0"/>
      <w:sz w:val="20"/>
      <w:szCs w:val="20"/>
      <w:lang w:eastAsia="ar-SA" w:val="pt-BR" w:bidi="ar-SA"/>
    </w:rPr>
  </w:style>
  <w:style w:type="paragraph" w:styleId="Ttulo1">
    <w:name w:val="Heading 1"/>
    <w:basedOn w:val="Normal"/>
    <w:next w:val="Normal"/>
    <w:qFormat/>
    <w:rsid w:val="00dc32a8"/>
    <w:pPr>
      <w:keepNext w:val="true"/>
      <w:tabs>
        <w:tab w:val="clear" w:pos="708"/>
        <w:tab w:val="left" w:pos="432" w:leader="none"/>
      </w:tabs>
      <w:ind w:left="432" w:hanging="432"/>
      <w:outlineLvl w:val="0"/>
    </w:pPr>
    <w:rPr>
      <w:sz w:val="28"/>
    </w:rPr>
  </w:style>
  <w:style w:type="paragraph" w:styleId="Ttulo3">
    <w:name w:val="Heading 3"/>
    <w:basedOn w:val="Normal"/>
    <w:next w:val="Normal"/>
    <w:qFormat/>
    <w:rsid w:val="00dc32a8"/>
    <w:pPr>
      <w:keepNext w:val="true"/>
      <w:tabs>
        <w:tab w:val="clear" w:pos="708"/>
        <w:tab w:val="left" w:pos="720" w:leader="none"/>
      </w:tabs>
      <w:spacing w:before="240" w:after="60"/>
      <w:ind w:left="720" w:hanging="720"/>
      <w:outlineLvl w:val="2"/>
    </w:pPr>
    <w:rPr>
      <w:rFonts w:ascii="Arial" w:hAnsi="Arial" w:cs="Arial"/>
      <w:b/>
      <w:bCs/>
      <w:sz w:val="26"/>
      <w:szCs w:val="26"/>
    </w:rPr>
  </w:style>
  <w:style w:type="paragraph" w:styleId="Ttulo4">
    <w:name w:val="Heading 4"/>
    <w:basedOn w:val="Normal"/>
    <w:next w:val="Normal"/>
    <w:qFormat/>
    <w:rsid w:val="00667ba3"/>
    <w:pPr>
      <w:keepNext w:val="true"/>
      <w:spacing w:before="240" w:after="60"/>
      <w:outlineLvl w:val="3"/>
    </w:pPr>
    <w:rPr>
      <w:b/>
      <w:bCs/>
      <w:sz w:val="28"/>
      <w:szCs w:val="28"/>
    </w:rPr>
  </w:style>
  <w:style w:type="character" w:styleId="DefaultParagraphFont" w:default="1">
    <w:name w:val="Default Paragraph Font"/>
    <w:uiPriority w:val="1"/>
    <w:semiHidden/>
    <w:unhideWhenUsed/>
    <w:qFormat/>
    <w:rPr/>
  </w:style>
  <w:style w:type="character" w:styleId="AbsatzStandardschriftart" w:customStyle="1">
    <w:name w:val="Absatz-Standardschriftart"/>
    <w:qFormat/>
    <w:rsid w:val="00dc32a8"/>
    <w:rPr/>
  </w:style>
  <w:style w:type="character" w:styleId="WW8Num1z0" w:customStyle="1">
    <w:name w:val="WW8Num1z0"/>
    <w:qFormat/>
    <w:rsid w:val="00dc32a8"/>
    <w:rPr>
      <w:rFonts w:ascii="Times New Roman" w:hAnsi="Times New Roman" w:eastAsia="Times New Roman" w:cs="Times New Roman"/>
    </w:rPr>
  </w:style>
  <w:style w:type="character" w:styleId="WW8Num1z1" w:customStyle="1">
    <w:name w:val="WW8Num1z1"/>
    <w:qFormat/>
    <w:rsid w:val="00dc32a8"/>
    <w:rPr>
      <w:rFonts w:ascii="Courier New" w:hAnsi="Courier New"/>
    </w:rPr>
  </w:style>
  <w:style w:type="character" w:styleId="WW8Num1z2" w:customStyle="1">
    <w:name w:val="WW8Num1z2"/>
    <w:qFormat/>
    <w:rsid w:val="00dc32a8"/>
    <w:rPr>
      <w:rFonts w:ascii="Wingdings" w:hAnsi="Wingdings"/>
    </w:rPr>
  </w:style>
  <w:style w:type="character" w:styleId="WW8Num1z3" w:customStyle="1">
    <w:name w:val="WW8Num1z3"/>
    <w:qFormat/>
    <w:rsid w:val="00dc32a8"/>
    <w:rPr>
      <w:rFonts w:ascii="Symbol" w:hAnsi="Symbol"/>
    </w:rPr>
  </w:style>
  <w:style w:type="character" w:styleId="WW8Num2z0" w:customStyle="1">
    <w:name w:val="WW8Num2z0"/>
    <w:qFormat/>
    <w:rsid w:val="00dc32a8"/>
    <w:rPr>
      <w:rFonts w:ascii="Symbol" w:hAnsi="Symbol"/>
    </w:rPr>
  </w:style>
  <w:style w:type="character" w:styleId="WW8Num3z0" w:customStyle="1">
    <w:name w:val="WW8Num3z0"/>
    <w:qFormat/>
    <w:rsid w:val="00dc32a8"/>
    <w:rPr>
      <w:rFonts w:ascii="Times New Roman" w:hAnsi="Times New Roman" w:eastAsia="Times New Roman" w:cs="Times New Roman"/>
    </w:rPr>
  </w:style>
  <w:style w:type="character" w:styleId="WW8Num3z1" w:customStyle="1">
    <w:name w:val="WW8Num3z1"/>
    <w:qFormat/>
    <w:rsid w:val="00dc32a8"/>
    <w:rPr>
      <w:rFonts w:ascii="Courier New" w:hAnsi="Courier New"/>
    </w:rPr>
  </w:style>
  <w:style w:type="character" w:styleId="WW8Num3z2" w:customStyle="1">
    <w:name w:val="WW8Num3z2"/>
    <w:qFormat/>
    <w:rsid w:val="00dc32a8"/>
    <w:rPr>
      <w:rFonts w:ascii="Wingdings" w:hAnsi="Wingdings"/>
    </w:rPr>
  </w:style>
  <w:style w:type="character" w:styleId="WW8Num3z3" w:customStyle="1">
    <w:name w:val="WW8Num3z3"/>
    <w:qFormat/>
    <w:rsid w:val="00dc32a8"/>
    <w:rPr>
      <w:rFonts w:ascii="Symbol" w:hAnsi="Symbol"/>
    </w:rPr>
  </w:style>
  <w:style w:type="character" w:styleId="Fontepargpadro1" w:customStyle="1">
    <w:name w:val="Fonte parág. padrão1"/>
    <w:qFormat/>
    <w:rsid w:val="00dc32a8"/>
    <w:rPr/>
  </w:style>
  <w:style w:type="character" w:styleId="LinkdaInternet">
    <w:name w:val="Link da Internet"/>
    <w:rsid w:val="00dc32a8"/>
    <w:rPr>
      <w:color w:val="0000FF"/>
      <w:u w:val="single"/>
    </w:rPr>
  </w:style>
  <w:style w:type="character" w:styleId="Pagenumber">
    <w:name w:val="page number"/>
    <w:basedOn w:val="Fontepargpadro1"/>
    <w:qFormat/>
    <w:rsid w:val="00dc32a8"/>
    <w:rPr/>
  </w:style>
  <w:style w:type="paragraph" w:styleId="Ttulo">
    <w:name w:val="Título"/>
    <w:basedOn w:val="Normal"/>
    <w:next w:val="Corpodotexto"/>
    <w:qFormat/>
    <w:pPr>
      <w:keepNext w:val="true"/>
      <w:spacing w:before="240" w:after="120"/>
    </w:pPr>
    <w:rPr>
      <w:rFonts w:ascii="Arial" w:hAnsi="Arial" w:eastAsia="Microsoft YaHei" w:cs="Lucida Sans"/>
      <w:sz w:val="28"/>
      <w:szCs w:val="28"/>
    </w:rPr>
  </w:style>
  <w:style w:type="paragraph" w:styleId="Corpodotexto">
    <w:name w:val="Body Text"/>
    <w:basedOn w:val="Normal"/>
    <w:rsid w:val="00dc32a8"/>
    <w:pPr>
      <w:jc w:val="both"/>
    </w:pPr>
    <w:rPr>
      <w:sz w:val="24"/>
    </w:rPr>
  </w:style>
  <w:style w:type="paragraph" w:styleId="Lista">
    <w:name w:val="List"/>
    <w:basedOn w:val="Corpodotexto"/>
    <w:rsid w:val="00dc32a8"/>
    <w:pPr/>
    <w:rPr/>
  </w:style>
  <w:style w:type="paragraph" w:styleId="Legenda">
    <w:name w:val="Caption"/>
    <w:basedOn w:val="Normal"/>
    <w:qFormat/>
    <w:pPr>
      <w:suppressLineNumbers/>
      <w:spacing w:before="120" w:after="120"/>
    </w:pPr>
    <w:rPr>
      <w:rFonts w:ascii="Arial" w:hAnsi="Arial" w:cs="Lucida Sans"/>
      <w:i/>
      <w:iCs/>
      <w:sz w:val="24"/>
      <w:szCs w:val="24"/>
    </w:rPr>
  </w:style>
  <w:style w:type="paragraph" w:styleId="Ndice" w:customStyle="1">
    <w:name w:val="Índice"/>
    <w:basedOn w:val="Normal"/>
    <w:qFormat/>
    <w:rsid w:val="00dc32a8"/>
    <w:pPr>
      <w:suppressLineNumbers/>
    </w:pPr>
    <w:rPr/>
  </w:style>
  <w:style w:type="paragraph" w:styleId="Ttulo11" w:customStyle="1">
    <w:name w:val="Título1"/>
    <w:basedOn w:val="Normal"/>
    <w:next w:val="Corpodotexto"/>
    <w:qFormat/>
    <w:rsid w:val="00dc32a8"/>
    <w:pPr>
      <w:keepNext w:val="true"/>
      <w:spacing w:before="240" w:after="120"/>
    </w:pPr>
    <w:rPr>
      <w:rFonts w:ascii="Nimbus Sans L" w:hAnsi="Nimbus Sans L" w:eastAsia="DejaVu Sans" w:cs="DejaVu Sans"/>
      <w:sz w:val="28"/>
      <w:szCs w:val="28"/>
    </w:rPr>
  </w:style>
  <w:style w:type="paragraph" w:styleId="Legenda1" w:customStyle="1">
    <w:name w:val="Legenda1"/>
    <w:basedOn w:val="Normal"/>
    <w:qFormat/>
    <w:rsid w:val="00dc32a8"/>
    <w:pPr>
      <w:suppressLineNumbers/>
      <w:spacing w:before="120" w:after="120"/>
    </w:pPr>
    <w:rPr>
      <w:i/>
      <w:iCs/>
      <w:sz w:val="24"/>
      <w:szCs w:val="24"/>
    </w:rPr>
  </w:style>
  <w:style w:type="paragraph" w:styleId="CabealhoeRodap">
    <w:name w:val="Cabeçalho e Rodapé"/>
    <w:basedOn w:val="Normal"/>
    <w:qFormat/>
    <w:pPr/>
    <w:rPr/>
  </w:style>
  <w:style w:type="paragraph" w:styleId="Cabealho">
    <w:name w:val="Header"/>
    <w:basedOn w:val="Normal"/>
    <w:rsid w:val="00dc32a8"/>
    <w:pPr/>
    <w:rPr/>
  </w:style>
  <w:style w:type="paragraph" w:styleId="Rodap">
    <w:name w:val="Footer"/>
    <w:basedOn w:val="Normal"/>
    <w:rsid w:val="00dc32a8"/>
    <w:pPr/>
    <w:rPr/>
  </w:style>
  <w:style w:type="paragraph" w:styleId="Corpodotextorecuado">
    <w:name w:val="Body Text Indent"/>
    <w:basedOn w:val="Normal"/>
    <w:rsid w:val="00dc32a8"/>
    <w:pPr>
      <w:ind w:firstLine="2124"/>
      <w:jc w:val="both"/>
    </w:pPr>
    <w:rPr>
      <w:sz w:val="28"/>
    </w:rPr>
  </w:style>
  <w:style w:type="paragraph" w:styleId="Recuodecorpodetexto21" w:customStyle="1">
    <w:name w:val="Recuo de corpo de texto 21"/>
    <w:basedOn w:val="Normal"/>
    <w:qFormat/>
    <w:rsid w:val="00dc32a8"/>
    <w:pPr>
      <w:ind w:firstLine="2127"/>
      <w:jc w:val="both"/>
    </w:pPr>
    <w:rPr>
      <w:sz w:val="28"/>
    </w:rPr>
  </w:style>
  <w:style w:type="paragraph" w:styleId="Corpodetexto21" w:customStyle="1">
    <w:name w:val="Corpo de texto 21"/>
    <w:basedOn w:val="Normal"/>
    <w:qFormat/>
    <w:rsid w:val="00dc32a8"/>
    <w:pPr>
      <w:jc w:val="both"/>
    </w:pPr>
    <w:rPr>
      <w:sz w:val="28"/>
    </w:rPr>
  </w:style>
  <w:style w:type="paragraph" w:styleId="Recuodecorpodetexto31" w:customStyle="1">
    <w:name w:val="Recuo de corpo de texto 31"/>
    <w:basedOn w:val="Normal"/>
    <w:qFormat/>
    <w:rsid w:val="00dc32a8"/>
    <w:pPr>
      <w:ind w:left="705" w:hanging="0"/>
      <w:jc w:val="both"/>
    </w:pPr>
    <w:rPr>
      <w:sz w:val="28"/>
    </w:rPr>
  </w:style>
  <w:style w:type="paragraph" w:styleId="Ttulododocumento">
    <w:name w:val="Title"/>
    <w:basedOn w:val="Normal"/>
    <w:next w:val="Corpodotexto"/>
    <w:qFormat/>
    <w:rsid w:val="00dc32a8"/>
    <w:pPr>
      <w:keepNext w:val="true"/>
      <w:spacing w:before="240" w:after="120"/>
    </w:pPr>
    <w:rPr>
      <w:rFonts w:ascii="Albany" w:hAnsi="Albany" w:eastAsia="HG Mincho Light J"/>
      <w:sz w:val="28"/>
    </w:rPr>
  </w:style>
  <w:style w:type="paragraph" w:styleId="Subttulo">
    <w:name w:val="Subtitle"/>
    <w:basedOn w:val="Normal"/>
    <w:next w:val="Corpodotexto"/>
    <w:qFormat/>
    <w:rsid w:val="00dc32a8"/>
    <w:pPr>
      <w:widowControl w:val="false"/>
      <w:jc w:val="center"/>
    </w:pPr>
    <w:rPr>
      <w:rFonts w:ascii="Arial" w:hAnsi="Arial" w:cs="Arial"/>
      <w:b/>
      <w:sz w:val="22"/>
    </w:rPr>
  </w:style>
  <w:style w:type="paragraph" w:styleId="Contedodetabela" w:customStyle="1">
    <w:name w:val="Conteúdo de tabela"/>
    <w:basedOn w:val="Corpodotexto"/>
    <w:qFormat/>
    <w:rsid w:val="00dc32a8"/>
    <w:pPr/>
    <w:rPr>
      <w:rFonts w:ascii="Arial" w:hAnsi="Arial"/>
      <w:sz w:val="22"/>
    </w:rPr>
  </w:style>
  <w:style w:type="paragraph" w:styleId="Contedodatabela" w:customStyle="1">
    <w:name w:val="Conteúdo da tabela"/>
    <w:basedOn w:val="Corpodotexto"/>
    <w:qFormat/>
    <w:rsid w:val="00dc32a8"/>
    <w:pPr>
      <w:suppressLineNumbers/>
    </w:pPr>
    <w:rPr>
      <w:rFonts w:ascii="Arial" w:hAnsi="Arial" w:cs="Arial"/>
      <w:sz w:val="22"/>
      <w:szCs w:val="22"/>
    </w:rPr>
  </w:style>
  <w:style w:type="paragraph" w:styleId="WWCorpodetexto31" w:customStyle="1">
    <w:name w:val="WW-Corpo de texto 31"/>
    <w:basedOn w:val="Normal"/>
    <w:qFormat/>
    <w:rsid w:val="00dc32a8"/>
    <w:pPr>
      <w:widowControl w:val="false"/>
      <w:spacing w:lineRule="atLeast" w:line="240"/>
      <w:jc w:val="center"/>
    </w:pPr>
    <w:rPr>
      <w:rFonts w:ascii="Arial" w:hAnsi="Arial"/>
      <w:sz w:val="22"/>
    </w:rPr>
  </w:style>
  <w:style w:type="paragraph" w:styleId="Corpodetexto31" w:customStyle="1">
    <w:name w:val="Corpo de texto 31"/>
    <w:basedOn w:val="Normal"/>
    <w:qFormat/>
    <w:rsid w:val="00dc32a8"/>
    <w:pPr>
      <w:spacing w:before="0" w:after="120"/>
    </w:pPr>
    <w:rPr>
      <w:sz w:val="16"/>
      <w:szCs w:val="16"/>
    </w:rPr>
  </w:style>
  <w:style w:type="paragraph" w:styleId="Default" w:customStyle="1">
    <w:name w:val="Default"/>
    <w:qFormat/>
    <w:rsid w:val="00dc32a8"/>
    <w:pPr>
      <w:widowControl/>
      <w:suppressAutoHyphens w:val="true"/>
      <w:bidi w:val="0"/>
      <w:spacing w:before="0" w:after="0"/>
      <w:jc w:val="left"/>
    </w:pPr>
    <w:rPr>
      <w:rFonts w:ascii="Trebuchet MS" w:hAnsi="Trebuchet MS" w:eastAsia="Arial" w:cs="Trebuchet MS"/>
      <w:color w:val="000000"/>
      <w:kern w:val="0"/>
      <w:sz w:val="24"/>
      <w:szCs w:val="24"/>
      <w:lang w:eastAsia="ar-SA" w:val="pt-BR" w:bidi="ar-SA"/>
    </w:rPr>
  </w:style>
  <w:style w:type="paragraph" w:styleId="Contedodequadro" w:customStyle="1">
    <w:name w:val="Conteúdo de quadro"/>
    <w:basedOn w:val="Corpodotexto"/>
    <w:qFormat/>
    <w:rsid w:val="00dc32a8"/>
    <w:pPr/>
    <w:rPr/>
  </w:style>
  <w:style w:type="paragraph" w:styleId="BalloonText">
    <w:name w:val="Balloon Text"/>
    <w:basedOn w:val="Normal"/>
    <w:semiHidden/>
    <w:qFormat/>
    <w:rsid w:val="00bb65d2"/>
    <w:pPr/>
    <w:rPr>
      <w:rFonts w:ascii="Tahoma" w:hAnsi="Tahoma" w:cs="Tahoma"/>
      <w:sz w:val="16"/>
      <w:szCs w:val="16"/>
    </w:rPr>
  </w:style>
  <w:style w:type="paragraph" w:styleId="Standard" w:customStyle="1">
    <w:name w:val="Standard"/>
    <w:qFormat/>
    <w:rsid w:val="00db6b11"/>
    <w:pPr>
      <w:widowControl w:val="false"/>
      <w:suppressAutoHyphens w:val="true"/>
      <w:bidi w:val="0"/>
      <w:spacing w:before="0" w:after="0"/>
      <w:jc w:val="left"/>
      <w:textAlignment w:val="baseline"/>
    </w:pPr>
    <w:rPr>
      <w:rFonts w:ascii="Nimbus Roman No9 L" w:hAnsi="Nimbus Roman No9 L" w:eastAsia="DejaVu Sans" w:cs="Nimbus Roman No9 L"/>
      <w:color w:val="auto"/>
      <w:kern w:val="2"/>
      <w:sz w:val="24"/>
      <w:szCs w:val="24"/>
      <w:lang w:eastAsia="ar-SA" w:val="pt-BR" w:bidi="ar-SA"/>
    </w:rPr>
  </w:style>
  <w:style w:type="paragraph" w:styleId="NoSpacing">
    <w:name w:val="No Spacing"/>
    <w:uiPriority w:val="1"/>
    <w:qFormat/>
    <w:rsid w:val="00cd6c98"/>
    <w:pPr>
      <w:widowControl/>
      <w:bidi w:val="0"/>
      <w:spacing w:before="0" w:after="0"/>
      <w:jc w:val="left"/>
    </w:pPr>
    <w:rPr>
      <w:rFonts w:ascii="Calibri" w:hAnsi="Calibri" w:eastAsia="Calibri" w:cs="Times New Roman"/>
      <w:color w:val="auto"/>
      <w:kern w:val="0"/>
      <w:sz w:val="22"/>
      <w:szCs w:val="22"/>
      <w:lang w:eastAsia="en-US" w:val="pt-BR" w:bidi="ar-SA"/>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basedOn w:val="Tabelanormal"/>
    <w:rsid w:val="00c9314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oempreendedor.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F2EF3-0791-4AFE-BD51-5A4356ED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Application>LibreOffice/7.3.4.2$Windows_X86_64 LibreOffice_project/728fec16bd5f605073805c3c9e7c4212a0120dc5</Application>
  <AppVersion>15.0000</AppVersion>
  <Pages>22</Pages>
  <Words>9834</Words>
  <Characters>55230</Characters>
  <CharactersWithSpaces>65316</CharactersWithSpaces>
  <Paragraphs>398</Paragraphs>
  <Company>RP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2022-03-09T14:31:00Z</dcterms:created>
  <dc:creator>windows</dc:creator>
  <dc:description/>
  <dc:language>pt-BR</dc:language>
  <cp:lastModifiedBy/>
  <cp:lastPrinted>2017-11-17T14:15:00Z</cp:lastPrinted>
  <dcterms:modified xsi:type="dcterms:W3CDTF">2024-04-30T10:35:49Z</dcterms:modified>
  <cp:revision>100</cp:revision>
  <dc:subject/>
  <dc:title>Memorando Interno n</dc:title>
</cp:coreProperties>
</file>

<file path=docProps/custom.xml><?xml version="1.0" encoding="utf-8"?>
<Properties xmlns="http://schemas.openxmlformats.org/officeDocument/2006/custom-properties" xmlns:vt="http://schemas.openxmlformats.org/officeDocument/2006/docPropsVTypes"/>
</file>