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375B">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 xml:space="preserve"> EDITAL DE PREGÃO ELETRÔNICO (AQUISIÇÃO DE BENS) </w:t>
      </w:r>
    </w:p>
    <w:p w14:paraId="5D5C98DD">
      <w:pPr>
        <w:pStyle w:val="71"/>
        <w:spacing w:line="360" w:lineRule="auto"/>
        <w:ind w:right="-285" w:firstLine="142"/>
        <w:jc w:val="center"/>
        <w:rPr>
          <w:rFonts w:ascii="Times New Roman" w:hAnsi="Times New Roman" w:cs="Times New Roman"/>
          <w:b/>
          <w:sz w:val="24"/>
          <w:szCs w:val="24"/>
        </w:rPr>
      </w:pPr>
      <w:r>
        <w:rPr>
          <w:rFonts w:ascii="Times New Roman" w:hAnsi="Times New Roman" w:cs="Times New Roman"/>
          <w:b/>
          <w:sz w:val="24"/>
          <w:szCs w:val="24"/>
        </w:rPr>
        <w:t>PREGÃO ELETRÔNICO PE – Nº 900</w:t>
      </w:r>
      <w:r>
        <w:rPr>
          <w:rFonts w:hint="default" w:ascii="Times New Roman" w:hAnsi="Times New Roman" w:cs="Times New Roman"/>
          <w:b/>
          <w:sz w:val="24"/>
          <w:szCs w:val="24"/>
          <w:lang w:val="pt-BR"/>
        </w:rPr>
        <w:t>40/</w:t>
      </w:r>
      <w:r>
        <w:rPr>
          <w:rFonts w:ascii="Times New Roman" w:hAnsi="Times New Roman" w:cs="Times New Roman"/>
          <w:b/>
          <w:sz w:val="24"/>
          <w:szCs w:val="24"/>
        </w:rPr>
        <w:t xml:space="preserve">2026/FMS – </w:t>
      </w:r>
      <w:r>
        <w:rPr>
          <w:rFonts w:ascii="Times New Roman" w:hAnsi="Times New Roman" w:cs="Times New Roman"/>
          <w:b/>
          <w:sz w:val="24"/>
          <w:szCs w:val="24"/>
          <w:highlight w:val="yellow"/>
        </w:rPr>
        <w:t>Registro de Preços</w:t>
      </w:r>
    </w:p>
    <w:p w14:paraId="44614B66">
      <w:pPr>
        <w:spacing w:line="288" w:lineRule="auto"/>
        <w:contextualSpacing/>
        <w:jc w:val="both"/>
        <w:rPr>
          <w:color w:val="405CA1"/>
          <w:sz w:val="24"/>
          <w:szCs w:val="24"/>
        </w:rPr>
      </w:pPr>
      <w:r>
        <w:rPr>
          <w:sz w:val="24"/>
          <w:szCs w:val="24"/>
        </w:rPr>
        <w:t xml:space="preserve">                                              </w:t>
      </w:r>
    </w:p>
    <w:p w14:paraId="63965E38">
      <w:pPr>
        <w:spacing w:line="288" w:lineRule="auto"/>
        <w:contextualSpacing/>
        <w:jc w:val="both"/>
        <w:rPr>
          <w:b/>
          <w:bCs/>
          <w:color w:val="405CA1"/>
          <w:sz w:val="24"/>
          <w:szCs w:val="24"/>
        </w:rPr>
      </w:pPr>
    </w:p>
    <w:p w14:paraId="1AA98634">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ÓRGÃO/ENTIDADE GERENCIADORA - Unidade Gestora – UG: 985921(PMV)</w:t>
      </w:r>
    </w:p>
    <w:p w14:paraId="748E3607">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0EBBB324">
      <w:pPr>
        <w:spacing w:line="288" w:lineRule="auto"/>
        <w:contextualSpacing/>
        <w:jc w:val="both"/>
        <w:rPr>
          <w:color w:val="000000" w:themeColor="text1"/>
          <w:sz w:val="24"/>
          <w:szCs w:val="24"/>
          <w14:textFill>
            <w14:solidFill>
              <w14:schemeClr w14:val="tx1"/>
            </w14:solidFill>
          </w14:textFill>
        </w:rPr>
      </w:pPr>
    </w:p>
    <w:p w14:paraId="51D424A6">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OBJETO</w:t>
      </w:r>
    </w:p>
    <w:p w14:paraId="0B2DE50E">
      <w:pPr>
        <w:pStyle w:val="77"/>
        <w:spacing w:line="360" w:lineRule="auto"/>
        <w:jc w:val="both"/>
        <w:rPr>
          <w:rFonts w:ascii="Times New Roman" w:hAnsi="Times New Roman" w:cs="Times New Roman"/>
          <w:sz w:val="24"/>
          <w:szCs w:val="24"/>
        </w:rPr>
      </w:pPr>
      <w:r>
        <w:rPr>
          <w:rFonts w:ascii="Times New Roman" w:hAnsi="Times New Roman" w:eastAsia="Helvetica" w:cs="Times New Roman"/>
          <w:sz w:val="24"/>
          <w:szCs w:val="24"/>
          <w:shd w:val="clear" w:color="auto" w:fill="FFFFFF"/>
          <w:lang w:eastAsia="zh-CN" w:bidi="ar"/>
        </w:rPr>
        <w:t xml:space="preserve">Aquisição de cateteres uretrais destinados a atender pacientes </w:t>
      </w:r>
      <w:r>
        <w:rPr>
          <w:rFonts w:ascii="Times New Roman" w:hAnsi="Times New Roman" w:cs="Times New Roman"/>
          <w:sz w:val="24"/>
          <w:szCs w:val="24"/>
        </w:rPr>
        <w:t>assistidos pelo Município de Valença – RJ, por meio do Centro Assistencial e de Mandados por vias administrativas e judiciais.</w:t>
      </w:r>
    </w:p>
    <w:p w14:paraId="0D5656C5">
      <w:pPr>
        <w:spacing w:line="288" w:lineRule="auto"/>
        <w:contextualSpacing/>
        <w:jc w:val="both"/>
        <w:rPr>
          <w:b/>
          <w:bCs/>
          <w:color w:val="000000" w:themeColor="text1"/>
          <w:sz w:val="24"/>
          <w:szCs w:val="24"/>
          <w14:textFill>
            <w14:solidFill>
              <w14:schemeClr w14:val="tx1"/>
            </w14:solidFill>
          </w14:textFill>
        </w:rPr>
      </w:pPr>
    </w:p>
    <w:p w14:paraId="3248172A">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VALOR TOTAL ESTIMADO DA CONTRATAÇÃO</w:t>
      </w:r>
    </w:p>
    <w:p w14:paraId="12AD68B9">
      <w:pPr>
        <w:rPr>
          <w:color w:val="000000" w:themeColor="text1"/>
          <w:sz w:val="24"/>
          <w:szCs w:val="24"/>
          <w14:textFill>
            <w14:solidFill>
              <w14:schemeClr w14:val="tx1"/>
            </w14:solidFill>
          </w14:textFill>
        </w:rPr>
      </w:pPr>
    </w:p>
    <w:p w14:paraId="2197391B">
      <w:pPr>
        <w:spacing w:line="288" w:lineRule="auto"/>
        <w:contextualSpacing/>
        <w:jc w:val="both"/>
        <w:rPr>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 xml:space="preserve">R$ </w:t>
      </w:r>
      <w:r>
        <w:rPr>
          <w:rFonts w:eastAsia="SimSun"/>
          <w:b/>
          <w:color w:val="000000"/>
          <w:sz w:val="24"/>
          <w:szCs w:val="24"/>
          <w:lang w:eastAsia="zh-CN" w:bidi="ar"/>
        </w:rPr>
        <w:t>688.680,00</w:t>
      </w:r>
      <w:r>
        <w:rPr>
          <w:b/>
          <w:bCs/>
          <w:color w:val="000000" w:themeColor="text1"/>
          <w:sz w:val="24"/>
          <w:szCs w:val="24"/>
          <w14:textFill>
            <w14:solidFill>
              <w14:schemeClr w14:val="tx1"/>
            </w14:solidFill>
          </w14:textFill>
        </w:rPr>
        <w:t xml:space="preserve"> (seiscentos e oitenta e oito mil, seiscentos e oitenta reais)</w:t>
      </w:r>
    </w:p>
    <w:p w14:paraId="4176879E">
      <w:pPr>
        <w:spacing w:line="288" w:lineRule="auto"/>
        <w:contextualSpacing/>
        <w:jc w:val="both"/>
        <w:rPr>
          <w:color w:val="000000" w:themeColor="text1"/>
          <w:sz w:val="24"/>
          <w:szCs w:val="24"/>
          <w14:textFill>
            <w14:solidFill>
              <w14:schemeClr w14:val="tx1"/>
            </w14:solidFill>
          </w14:textFill>
        </w:rPr>
      </w:pPr>
    </w:p>
    <w:p w14:paraId="7B3D84D2">
      <w:pPr>
        <w:spacing w:line="288" w:lineRule="auto"/>
        <w:contextualSpacing/>
        <w:jc w:val="both"/>
        <w:rPr>
          <w:b/>
          <w:bCs/>
          <w:color w:val="558ED5" w:themeColor="text2" w:themeTint="99"/>
          <w:sz w:val="24"/>
          <w:szCs w:val="24"/>
          <w14:textFill>
            <w14:solidFill>
              <w14:schemeClr w14:val="tx2">
                <w14:lumMod w14:val="60000"/>
                <w14:lumOff w14:val="40000"/>
              </w14:schemeClr>
            </w14:solidFill>
          </w14:textFill>
        </w:rPr>
      </w:pPr>
      <w:r>
        <w:rPr>
          <w:b/>
          <w:bCs/>
          <w:color w:val="558ED5" w:themeColor="text2" w:themeTint="99"/>
          <w:sz w:val="24"/>
          <w:szCs w:val="24"/>
          <w14:textFill>
            <w14:solidFill>
              <w14:schemeClr w14:val="tx2">
                <w14:lumMod w14:val="60000"/>
                <w14:lumOff w14:val="40000"/>
              </w14:schemeClr>
            </w14:solidFill>
          </w14:textFill>
        </w:rPr>
        <w:t>DATA DA SESSÃO PÚBLICA</w:t>
      </w:r>
    </w:p>
    <w:p w14:paraId="021D76FC">
      <w:pPr>
        <w:spacing w:line="288" w:lineRule="auto"/>
        <w:contextualSpacing/>
        <w:jc w:val="both"/>
        <w:rPr>
          <w:b/>
          <w:bCs/>
          <w:color w:val="000000" w:themeColor="text1"/>
          <w:sz w:val="24"/>
          <w:szCs w:val="24"/>
          <w14:textFill>
            <w14:solidFill>
              <w14:schemeClr w14:val="tx1"/>
            </w14:solidFill>
          </w14:textFill>
        </w:rPr>
      </w:pPr>
    </w:p>
    <w:p w14:paraId="3F6A5D6A">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Dia </w:t>
      </w:r>
      <w:r>
        <w:rPr>
          <w:rFonts w:hint="default"/>
          <w:color w:val="000000" w:themeColor="text1"/>
          <w:sz w:val="24"/>
          <w:szCs w:val="24"/>
          <w:lang w:val="pt-BR"/>
          <w14:textFill>
            <w14:solidFill>
              <w14:schemeClr w14:val="tx1"/>
            </w14:solidFill>
          </w14:textFill>
        </w:rPr>
        <w:t>16</w:t>
      </w:r>
      <w:r>
        <w:rPr>
          <w:color w:val="000000" w:themeColor="text1"/>
          <w:sz w:val="24"/>
          <w:szCs w:val="24"/>
          <w14:textFill>
            <w14:solidFill>
              <w14:schemeClr w14:val="tx1"/>
            </w14:solidFill>
          </w14:textFill>
        </w:rPr>
        <w:t>/</w:t>
      </w:r>
      <w:r>
        <w:rPr>
          <w:rFonts w:hint="default"/>
          <w:color w:val="000000" w:themeColor="text1"/>
          <w:sz w:val="24"/>
          <w:szCs w:val="24"/>
          <w:lang w:val="pt-BR"/>
          <w14:textFill>
            <w14:solidFill>
              <w14:schemeClr w14:val="tx1"/>
            </w14:solidFill>
          </w14:textFill>
        </w:rPr>
        <w:t>06</w:t>
      </w:r>
      <w:r>
        <w:rPr>
          <w:color w:val="000000" w:themeColor="text1"/>
          <w:sz w:val="24"/>
          <w:szCs w:val="24"/>
          <w14:textFill>
            <w14:solidFill>
              <w14:schemeClr w14:val="tx1"/>
            </w14:solidFill>
          </w14:textFill>
        </w:rPr>
        <w:t xml:space="preserve">/2026 às </w:t>
      </w:r>
      <w:r>
        <w:rPr>
          <w:rFonts w:hint="default"/>
          <w:color w:val="000000" w:themeColor="text1"/>
          <w:sz w:val="24"/>
          <w:szCs w:val="24"/>
          <w:lang w:val="pt-BR"/>
          <w14:textFill>
            <w14:solidFill>
              <w14:schemeClr w14:val="tx1"/>
            </w14:solidFill>
          </w14:textFill>
        </w:rPr>
        <w:t>10</w:t>
      </w:r>
      <w:r>
        <w:rPr>
          <w:color w:val="000000" w:themeColor="text1"/>
          <w:sz w:val="24"/>
          <w:szCs w:val="24"/>
          <w14:textFill>
            <w14:solidFill>
              <w14:schemeClr w14:val="tx1"/>
            </w14:solidFill>
          </w14:textFill>
        </w:rPr>
        <w:t xml:space="preserve"> (horário de Brasília)</w:t>
      </w:r>
    </w:p>
    <w:p w14:paraId="6E8E8A5E">
      <w:pPr>
        <w:spacing w:line="288" w:lineRule="auto"/>
        <w:contextualSpacing/>
        <w:jc w:val="both"/>
        <w:rPr>
          <w:color w:val="000000" w:themeColor="text1"/>
          <w:sz w:val="24"/>
          <w:szCs w:val="24"/>
          <w14:textFill>
            <w14:solidFill>
              <w14:schemeClr w14:val="tx1"/>
            </w14:solidFill>
          </w14:textFill>
        </w:rPr>
      </w:pPr>
    </w:p>
    <w:p w14:paraId="6D5F275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Critério de Julgamento:</w:t>
      </w:r>
    </w:p>
    <w:p w14:paraId="767523B9">
      <w:pPr>
        <w:spacing w:line="288" w:lineRule="auto"/>
        <w:contextualSpacing/>
        <w:jc w:val="both"/>
        <w:rPr>
          <w:sz w:val="24"/>
          <w:szCs w:val="24"/>
        </w:rPr>
      </w:pPr>
      <w:r>
        <w:rPr>
          <w:sz w:val="24"/>
          <w:szCs w:val="24"/>
        </w:rPr>
        <w:t>MENOR PREÇO POR ITEM</w:t>
      </w:r>
    </w:p>
    <w:p w14:paraId="06E85870">
      <w:pPr>
        <w:spacing w:line="288" w:lineRule="auto"/>
        <w:contextualSpacing/>
        <w:jc w:val="both"/>
        <w:rPr>
          <w:color w:val="000000" w:themeColor="text1"/>
          <w:sz w:val="24"/>
          <w:szCs w:val="24"/>
          <w14:textFill>
            <w14:solidFill>
              <w14:schemeClr w14:val="tx1"/>
            </w14:solidFill>
          </w14:textFill>
        </w:rPr>
      </w:pPr>
    </w:p>
    <w:p w14:paraId="1A956747">
      <w:pPr>
        <w:spacing w:line="288" w:lineRule="auto"/>
        <w:contextualSpacing/>
        <w:jc w:val="both"/>
        <w:rPr>
          <w:caps/>
          <w:color w:val="558ED5" w:themeColor="text2" w:themeTint="99"/>
          <w:sz w:val="24"/>
          <w:szCs w:val="24"/>
          <w14:textFill>
            <w14:solidFill>
              <w14:schemeClr w14:val="tx2">
                <w14:lumMod w14:val="60000"/>
                <w14:lumOff w14:val="40000"/>
              </w14:schemeClr>
            </w14:solidFill>
          </w14:textFill>
        </w:rPr>
      </w:pPr>
      <w:r>
        <w:rPr>
          <w:b/>
          <w:bCs/>
          <w:caps/>
          <w:color w:val="558ED5" w:themeColor="text2" w:themeTint="99"/>
          <w:sz w:val="24"/>
          <w:szCs w:val="24"/>
          <w14:textFill>
            <w14:solidFill>
              <w14:schemeClr w14:val="tx2">
                <w14:lumMod w14:val="60000"/>
                <w14:lumOff w14:val="40000"/>
              </w14:schemeClr>
            </w14:solidFill>
          </w14:textFill>
        </w:rPr>
        <w:t>Modo de disputa:</w:t>
      </w:r>
    </w:p>
    <w:p w14:paraId="70A7D72C">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ABERTO E FECHADO</w:t>
      </w:r>
    </w:p>
    <w:p w14:paraId="71F69EA7">
      <w:pPr>
        <w:pStyle w:val="97"/>
        <w:spacing w:before="0" w:beforeAutospacing="0" w:after="0" w:afterAutospacing="0" w:line="288" w:lineRule="auto"/>
        <w:ind w:right="-1"/>
        <w:contextualSpacing/>
        <w:jc w:val="both"/>
        <w:rPr>
          <w:rFonts w:eastAsia="Calibri"/>
          <w:b/>
          <w:bCs/>
          <w:color w:val="000000" w:themeColor="text1"/>
          <w:lang w:eastAsia="en-US"/>
          <w14:textFill>
            <w14:solidFill>
              <w14:schemeClr w14:val="tx1"/>
            </w14:solidFill>
          </w14:textFill>
        </w:rPr>
      </w:pPr>
    </w:p>
    <w:p w14:paraId="1D316D9F">
      <w:pPr>
        <w:spacing w:line="288" w:lineRule="auto"/>
        <w:ind w:firstLine="567"/>
        <w:contextualSpacing/>
        <w:jc w:val="center"/>
        <w:rPr>
          <w:b/>
          <w:i/>
          <w:color w:val="000000" w:themeColor="text1"/>
          <w:sz w:val="24"/>
          <w:szCs w:val="24"/>
          <w14:textFill>
            <w14:solidFill>
              <w14:schemeClr w14:val="tx1"/>
            </w14:solidFill>
          </w14:textFill>
        </w:rPr>
      </w:pPr>
    </w:p>
    <w:p w14:paraId="0C473778">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MUNICÍPIO DE VALENÇA RJ, PELA SECRETARIA MUNICIPAL DE SAÚDE</w:t>
      </w:r>
    </w:p>
    <w:p w14:paraId="2327ADBE">
      <w:pPr>
        <w:spacing w:before="288" w:beforeLines="120" w:after="288" w:afterLines="120" w:line="288" w:lineRule="auto"/>
        <w:ind w:firstLine="567"/>
        <w:contextualSpacing/>
        <w:jc w:val="center"/>
        <w:rPr>
          <w:b/>
          <w:color w:val="000000" w:themeColor="text1"/>
          <w:sz w:val="24"/>
          <w:szCs w:val="24"/>
          <w14:textFill>
            <w14:solidFill>
              <w14:schemeClr w14:val="tx1"/>
            </w14:solidFill>
          </w14:textFill>
        </w:rPr>
      </w:pPr>
    </w:p>
    <w:p w14:paraId="44411FE0">
      <w:pPr>
        <w:spacing w:before="288" w:beforeLines="120" w:after="288" w:afterLines="120" w:line="288" w:lineRule="auto"/>
        <w:contextualSpacing/>
        <w:rPr>
          <w:b/>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PREGÃO ELETRÔNICO Nº 900</w:t>
      </w:r>
      <w:r>
        <w:rPr>
          <w:rFonts w:hint="default"/>
          <w:b/>
          <w:color w:val="000000" w:themeColor="text1"/>
          <w:sz w:val="24"/>
          <w:szCs w:val="24"/>
          <w:lang w:val="pt-BR"/>
          <w14:textFill>
            <w14:solidFill>
              <w14:schemeClr w14:val="tx1"/>
            </w14:solidFill>
          </w14:textFill>
        </w:rPr>
        <w:t>40</w:t>
      </w:r>
      <w:r>
        <w:rPr>
          <w:b/>
          <w:color w:val="000000" w:themeColor="text1"/>
          <w:sz w:val="24"/>
          <w:szCs w:val="24"/>
          <w14:textFill>
            <w14:solidFill>
              <w14:schemeClr w14:val="tx1"/>
            </w14:solidFill>
          </w14:textFill>
        </w:rPr>
        <w:t>/2026/FMS</w:t>
      </w:r>
    </w:p>
    <w:p w14:paraId="1170A3A7">
      <w:pPr>
        <w:spacing w:before="288" w:beforeLines="120" w:after="288" w:afterLines="120" w:line="288" w:lineRule="auto"/>
        <w:ind w:firstLine="567"/>
        <w:contextualSpacing/>
        <w:jc w:val="center"/>
        <w:rPr>
          <w:bCs/>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w:t>
      </w:r>
    </w:p>
    <w:p w14:paraId="2942F7E4">
      <w:pPr>
        <w:spacing w:line="288" w:lineRule="auto"/>
        <w:contextualSpacing/>
        <w:jc w:val="both"/>
        <w:rPr>
          <w:rFonts w:asciiTheme="minorHAnsi" w:hAnsiTheme="minorHAnsi" w:cstheme="minorHAnsi"/>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Torna-se público que o </w:t>
      </w:r>
      <w:r>
        <w:rPr>
          <w:iCs/>
          <w:color w:val="000000" w:themeColor="text1"/>
          <w:sz w:val="24"/>
          <w:szCs w:val="24"/>
          <w14:textFill>
            <w14:solidFill>
              <w14:schemeClr w14:val="tx1"/>
            </w14:solidFill>
          </w14:textFill>
        </w:rPr>
        <w:t>MUNICÍPIO DE VALENÇA</w:t>
      </w:r>
      <w:r>
        <w:rPr>
          <w:color w:val="000000" w:themeColor="text1"/>
          <w:sz w:val="24"/>
          <w:szCs w:val="24"/>
          <w14:textFill>
            <w14:solidFill>
              <w14:schemeClr w14:val="tx1"/>
            </w14:solidFill>
          </w14:textFill>
        </w:rPr>
        <w:t>, PELA SECRETARIA MUNICIPAL DE SAÚDE</w:t>
      </w:r>
      <w:r>
        <w:rPr>
          <w:iCs/>
          <w:color w:val="000000" w:themeColor="text1"/>
          <w:sz w:val="24"/>
          <w:szCs w:val="24"/>
          <w14:textFill>
            <w14:solidFill>
              <w14:schemeClr w14:val="tx1"/>
            </w14:solidFill>
          </w14:textFill>
        </w:rPr>
        <w:t xml:space="preserve">, sediada Rua Dr. Figueiredo n° 320, Centro, Valença, RJ, </w:t>
      </w:r>
      <w:r>
        <w:rPr>
          <w:color w:val="000000" w:themeColor="text1"/>
          <w:sz w:val="24"/>
          <w:szCs w:val="24"/>
          <w14:textFill>
            <w14:solidFill>
              <w14:schemeClr w14:val="tx1"/>
            </w14:solidFill>
          </w14:textFill>
        </w:rPr>
        <w:t xml:space="preserve"> realizará licitação, na modalidade PREGÃO, na forma ELETRÔNICA, nos termos do processo nº VLC-020508/000458/2026, da </w:t>
      </w:r>
      <w:r>
        <w:fldChar w:fldCharType="begin"/>
      </w:r>
      <w:r>
        <w:instrText xml:space="preserve"> HYPERLINK "http://www.planalto.gov.br/ccivil_03/_ato2019-2022/2021/lei/L14133.htm" </w:instrText>
      </w:r>
      <w:r>
        <w:fldChar w:fldCharType="separate"/>
      </w:r>
      <w:r>
        <w:rPr>
          <w:rStyle w:val="16"/>
          <w:rFonts w:eastAsiaTheme="minorHAnsi"/>
          <w:color w:val="000000" w:themeColor="text1"/>
          <w:sz w:val="24"/>
          <w:szCs w:val="24"/>
          <w14:textFill>
            <w14:solidFill>
              <w14:schemeClr w14:val="tx1"/>
            </w14:solidFill>
          </w14:textFill>
        </w:rPr>
        <w:t>Lei nº 14.133, de 1º de abril de 2021</w:t>
      </w:r>
      <w:r>
        <w:rPr>
          <w:rStyle w:val="16"/>
          <w:rFonts w:eastAsiaTheme="minorHAnsi"/>
          <w:color w:val="000000" w:themeColor="text1"/>
          <w:sz w:val="24"/>
          <w:szCs w:val="24"/>
          <w14:textFill>
            <w14:solidFill>
              <w14:schemeClr w14:val="tx1"/>
            </w14:solidFill>
          </w14:textFill>
        </w:rPr>
        <w:fldChar w:fldCharType="end"/>
      </w:r>
      <w:r>
        <w:rPr>
          <w:color w:val="000000" w:themeColor="text1"/>
          <w:sz w:val="24"/>
          <w:szCs w:val="24"/>
          <w14:textFill>
            <w14:solidFill>
              <w14:schemeClr w14:val="tx1"/>
            </w14:solidFill>
          </w14:textFill>
        </w:rPr>
        <w:t xml:space="preserve">, do Decreto nº 46 de 25 de fevereiro de 2025, </w:t>
      </w:r>
      <w:r>
        <w:rPr>
          <w:rFonts w:eastAsia="Arial"/>
          <w:color w:val="000000" w:themeColor="text1"/>
          <w:sz w:val="24"/>
          <w:szCs w:val="24"/>
          <w14:textFill>
            <w14:solidFill>
              <w14:schemeClr w14:val="tx1"/>
            </w14:solidFill>
          </w14:textFill>
        </w:rPr>
        <w:t xml:space="preserve">e dos demais normativos municipais aplicáveis, todos disponíveis </w:t>
      </w:r>
      <w:r>
        <w:rPr>
          <w:color w:val="000000" w:themeColor="text1"/>
          <w:sz w:val="24"/>
          <w:szCs w:val="24"/>
          <w14:textFill>
            <w14:solidFill>
              <w14:schemeClr w14:val="tx1"/>
            </w14:solidFill>
          </w14:textFill>
        </w:rPr>
        <w:t>no endereço eletrônico www.valenca.rj.gov.br, e, ainda, de acordo com as condições estabelecidas neste Edital.</w:t>
      </w:r>
    </w:p>
    <w:p w14:paraId="092C9E7A">
      <w:pPr>
        <w:pStyle w:val="97"/>
        <w:spacing w:before="0" w:beforeAutospacing="0" w:after="0" w:afterAutospacing="0" w:line="288" w:lineRule="auto"/>
        <w:ind w:right="-1"/>
        <w:contextualSpacing/>
        <w:jc w:val="both"/>
        <w:rPr>
          <w:rFonts w:eastAsia="Calibri" w:asciiTheme="minorHAnsi" w:hAnsiTheme="minorHAnsi" w:cstheme="minorHAnsi"/>
          <w:b/>
          <w:bCs/>
          <w:lang w:eastAsia="en-US"/>
        </w:rPr>
      </w:pPr>
    </w:p>
    <w:p w14:paraId="0FC86E16">
      <w:pPr>
        <w:pStyle w:val="97"/>
        <w:numPr>
          <w:ilvl w:val="0"/>
          <w:numId w:val="5"/>
        </w:numPr>
        <w:spacing w:before="0" w:beforeAutospacing="0" w:after="0" w:afterAutospacing="0" w:line="288" w:lineRule="auto"/>
        <w:ind w:right="-1"/>
        <w:contextualSpacing/>
        <w:jc w:val="both"/>
        <w:rPr>
          <w:rFonts w:eastAsia="Calibri"/>
          <w:b/>
          <w:bCs/>
          <w:lang w:eastAsia="en-US"/>
        </w:rPr>
      </w:pPr>
      <w:r>
        <w:rPr>
          <w:rFonts w:eastAsia="Calibri"/>
          <w:b/>
          <w:bCs/>
          <w:lang w:eastAsia="en-US"/>
        </w:rPr>
        <w:t>OBJETO</w:t>
      </w:r>
    </w:p>
    <w:p w14:paraId="6486E96D">
      <w:pPr>
        <w:pStyle w:val="97"/>
        <w:spacing w:before="0" w:beforeAutospacing="0" w:after="0" w:afterAutospacing="0" w:line="288" w:lineRule="auto"/>
        <w:ind w:right="-1"/>
        <w:contextualSpacing/>
        <w:jc w:val="both"/>
        <w:rPr>
          <w:rFonts w:eastAsia="Calibri"/>
          <w:b/>
          <w:bCs/>
          <w:lang w:eastAsia="en-US"/>
        </w:rPr>
      </w:pPr>
    </w:p>
    <w:p w14:paraId="37C53E88">
      <w:pPr>
        <w:pStyle w:val="77"/>
        <w:spacing w:line="360" w:lineRule="auto"/>
        <w:jc w:val="both"/>
        <w:rPr>
          <w:rFonts w:ascii="Times New Roman" w:hAnsi="Times New Roman" w:cs="Times New Roman"/>
          <w:sz w:val="24"/>
          <w:szCs w:val="24"/>
        </w:rPr>
      </w:pPr>
      <w:r>
        <w:rPr>
          <w:rFonts w:ascii="Times New Roman" w:hAnsi="Times New Roman" w:eastAsia="Cambria Math" w:cs="Times New Roman"/>
          <w:sz w:val="24"/>
          <w:szCs w:val="24"/>
        </w:rPr>
        <w:t xml:space="preserve">1.1 </w:t>
      </w:r>
      <w:r>
        <w:rPr>
          <w:rFonts w:ascii="Times New Roman" w:hAnsi="Times New Roman" w:eastAsia="Helvetica" w:cs="Times New Roman"/>
          <w:sz w:val="24"/>
          <w:szCs w:val="24"/>
          <w:shd w:val="clear" w:color="auto" w:fill="FFFFFF"/>
          <w:lang w:eastAsia="zh-CN" w:bidi="ar"/>
        </w:rPr>
        <w:t xml:space="preserve">Aquisição de cateteres uretrais destinados a atender pacientes </w:t>
      </w:r>
      <w:r>
        <w:rPr>
          <w:rFonts w:ascii="Times New Roman" w:hAnsi="Times New Roman" w:cs="Times New Roman"/>
          <w:sz w:val="24"/>
          <w:szCs w:val="24"/>
        </w:rPr>
        <w:t>assistidos pelo Município de Valença – RJ, por meio do Centro Assistencial e de Mandados por vias administrativas e judiciais.</w:t>
      </w:r>
    </w:p>
    <w:p w14:paraId="6AFEC966">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1.2 </w:t>
      </w:r>
      <w:r>
        <w:rPr>
          <w:rFonts w:ascii="Times New Roman" w:hAnsi="Times New Roman" w:cs="Times New Roman"/>
          <w:color w:val="auto"/>
          <w:sz w:val="24"/>
          <w:szCs w:val="24"/>
        </w:rPr>
        <w:t>A licitação será dividida em um único item, conforme tabela abaixo.</w:t>
      </w:r>
    </w:p>
    <w:tbl>
      <w:tblPr>
        <w:tblStyle w:val="10"/>
        <w:tblW w:w="10916" w:type="dxa"/>
        <w:tblInd w:w="-998" w:type="dxa"/>
        <w:tblLayout w:type="fixed"/>
        <w:tblCellMar>
          <w:top w:w="0" w:type="dxa"/>
          <w:left w:w="10" w:type="dxa"/>
          <w:bottom w:w="0" w:type="dxa"/>
          <w:right w:w="10" w:type="dxa"/>
        </w:tblCellMar>
      </w:tblPr>
      <w:tblGrid>
        <w:gridCol w:w="851"/>
        <w:gridCol w:w="5387"/>
        <w:gridCol w:w="992"/>
        <w:gridCol w:w="1134"/>
        <w:gridCol w:w="993"/>
        <w:gridCol w:w="1559"/>
      </w:tblGrid>
      <w:tr w14:paraId="54710A0B">
        <w:tblPrEx>
          <w:tblCellMar>
            <w:top w:w="0" w:type="dxa"/>
            <w:left w:w="10" w:type="dxa"/>
            <w:bottom w:w="0" w:type="dxa"/>
            <w:right w:w="10" w:type="dxa"/>
          </w:tblCellMar>
        </w:tblPrEx>
        <w:trPr>
          <w:trHeight w:val="370"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03EDB4A">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b/>
                <w:sz w:val="22"/>
              </w:rPr>
            </w:pPr>
            <w:r>
              <w:rPr>
                <w:rFonts w:ascii="Times New Roman" w:hAnsi="Times New Roman" w:cs="Times New Roman"/>
                <w:b/>
                <w:color w:val="auto"/>
                <w:sz w:val="22"/>
              </w:rPr>
              <w:t>Item</w:t>
            </w:r>
          </w:p>
        </w:tc>
        <w:tc>
          <w:tcPr>
            <w:tcW w:w="538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66F6F17">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b/>
                <w:sz w:val="22"/>
              </w:rPr>
            </w:pPr>
            <w:r>
              <w:rPr>
                <w:rFonts w:ascii="Times New Roman" w:hAnsi="Times New Roman" w:cs="Times New Roman"/>
                <w:b/>
                <w:color w:val="auto"/>
                <w:sz w:val="22"/>
              </w:rPr>
              <w:t>Descrição</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C058A97">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b/>
                <w:sz w:val="22"/>
              </w:rPr>
            </w:pPr>
            <w:r>
              <w:rPr>
                <w:rFonts w:ascii="Times New Roman" w:hAnsi="Times New Roman" w:cs="Times New Roman"/>
                <w:b/>
                <w:color w:val="auto"/>
                <w:sz w:val="22"/>
              </w:rPr>
              <w:t>Qtde.</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BA29667">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b/>
                <w:sz w:val="22"/>
              </w:rPr>
            </w:pPr>
            <w:r>
              <w:rPr>
                <w:rFonts w:ascii="Times New Roman" w:hAnsi="Times New Roman" w:cs="Times New Roman"/>
                <w:b/>
                <w:color w:val="auto"/>
                <w:sz w:val="22"/>
              </w:rPr>
              <w:t>Catmat</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770B53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b/>
                <w:sz w:val="22"/>
              </w:rPr>
            </w:pPr>
            <w:r>
              <w:rPr>
                <w:rFonts w:ascii="Times New Roman" w:hAnsi="Times New Roman" w:cs="Times New Roman"/>
                <w:b/>
                <w:color w:val="auto"/>
                <w:sz w:val="22"/>
              </w:rPr>
              <w:t>Valor Unit.</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9E43FD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b/>
                <w:sz w:val="22"/>
              </w:rPr>
            </w:pPr>
            <w:r>
              <w:rPr>
                <w:rFonts w:ascii="Times New Roman" w:hAnsi="Times New Roman" w:cs="Times New Roman"/>
                <w:b/>
                <w:color w:val="auto"/>
                <w:sz w:val="22"/>
              </w:rPr>
              <w:t>Valor total</w:t>
            </w:r>
          </w:p>
        </w:tc>
      </w:tr>
      <w:tr w14:paraId="61097604">
        <w:tblPrEx>
          <w:tblCellMar>
            <w:top w:w="0" w:type="dxa"/>
            <w:left w:w="10" w:type="dxa"/>
            <w:bottom w:w="0" w:type="dxa"/>
            <w:right w:w="10" w:type="dxa"/>
          </w:tblCellMar>
        </w:tblPrEx>
        <w:trPr>
          <w:trHeight w:val="376"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F9B2F07">
            <w:pPr>
              <w:jc w:val="center"/>
              <w:rPr>
                <w:rFonts w:eastAsia="SimSun"/>
                <w:kern w:val="3"/>
                <w:sz w:val="22"/>
                <w:szCs w:val="22"/>
                <w:lang w:eastAsia="hi-IN" w:bidi="hi-IN"/>
              </w:rPr>
            </w:pPr>
            <w:r>
              <w:rPr>
                <w:rFonts w:eastAsia="SimSun"/>
                <w:kern w:val="3"/>
                <w:sz w:val="22"/>
                <w:szCs w:val="22"/>
                <w:lang w:eastAsia="hi-IN" w:bidi="hi-IN"/>
              </w:rPr>
              <w:t>1</w:t>
            </w:r>
          </w:p>
        </w:tc>
        <w:tc>
          <w:tcPr>
            <w:tcW w:w="538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F67C9A7">
            <w:pPr>
              <w:jc w:val="both"/>
              <w:rPr>
                <w:rFonts w:eastAsia="SimSun"/>
                <w:sz w:val="22"/>
                <w:szCs w:val="22"/>
                <w:lang w:eastAsia="zh-CN" w:bidi="ar"/>
              </w:rPr>
            </w:pPr>
            <w:r>
              <w:rPr>
                <w:rFonts w:eastAsia="SimSun"/>
                <w:sz w:val="22"/>
                <w:szCs w:val="22"/>
                <w:lang w:val="en-US" w:eastAsia="zh-CN" w:bidi="ar"/>
              </w:rPr>
              <w:t xml:space="preserve">CATÉTER URETRAL COM </w:t>
            </w:r>
            <w:r>
              <w:rPr>
                <w:rFonts w:eastAsia="SimSun"/>
                <w:sz w:val="22"/>
                <w:szCs w:val="22"/>
                <w:lang w:eastAsia="zh-CN" w:bidi="ar"/>
              </w:rPr>
              <w:t xml:space="preserve"> </w:t>
            </w:r>
            <w:r>
              <w:rPr>
                <w:rFonts w:eastAsia="SimSun"/>
                <w:sz w:val="22"/>
                <w:szCs w:val="22"/>
                <w:lang w:val="en-US" w:eastAsia="zh-CN" w:bidi="ar"/>
              </w:rPr>
              <w:t xml:space="preserve">REVESTIMENTO HIDROFÍLICO </w:t>
            </w:r>
            <w:r>
              <w:rPr>
                <w:rFonts w:eastAsia="SimSun"/>
                <w:sz w:val="22"/>
                <w:szCs w:val="22"/>
                <w:lang w:eastAsia="zh-CN" w:bidi="ar"/>
              </w:rPr>
              <w:t xml:space="preserve"> </w:t>
            </w:r>
            <w:r>
              <w:rPr>
                <w:rFonts w:eastAsia="SimSun"/>
                <w:sz w:val="22"/>
                <w:szCs w:val="22"/>
                <w:lang w:val="en-US" w:eastAsia="zh-CN" w:bidi="ar"/>
              </w:rPr>
              <w:t>MASCULINO</w:t>
            </w:r>
            <w:r>
              <w:rPr>
                <w:rFonts w:eastAsia="SimSun"/>
                <w:sz w:val="22"/>
                <w:szCs w:val="22"/>
                <w:lang w:eastAsia="zh-CN" w:bidi="ar"/>
              </w:rPr>
              <w:t xml:space="preserve"> (</w:t>
            </w:r>
            <w:r>
              <w:rPr>
                <w:rFonts w:eastAsia="SimSun"/>
                <w:sz w:val="22"/>
                <w:szCs w:val="22"/>
                <w:lang w:val="en-US" w:eastAsia="zh-CN" w:bidi="ar"/>
              </w:rPr>
              <w:t>Calibre 08 ao 14</w:t>
            </w:r>
            <w:r>
              <w:rPr>
                <w:rFonts w:eastAsia="SimSun"/>
                <w:sz w:val="22"/>
                <w:szCs w:val="22"/>
                <w:lang w:eastAsia="zh-CN" w:bidi="ar"/>
              </w:rPr>
              <w:t>)</w:t>
            </w:r>
            <w:r>
              <w:rPr>
                <w:rFonts w:eastAsia="SimSun"/>
                <w:sz w:val="22"/>
                <w:szCs w:val="22"/>
                <w:lang w:val="en-US" w:eastAsia="zh-CN" w:bidi="ar"/>
              </w:rPr>
              <w:t xml:space="preserve"> APROVADO </w:t>
            </w:r>
            <w:r>
              <w:rPr>
                <w:rFonts w:eastAsia="SimSun"/>
                <w:sz w:val="22"/>
                <w:szCs w:val="22"/>
                <w:lang w:eastAsia="zh-CN" w:bidi="ar"/>
              </w:rPr>
              <w:t xml:space="preserve"> </w:t>
            </w:r>
            <w:r>
              <w:rPr>
                <w:rFonts w:eastAsia="SimSun"/>
                <w:sz w:val="22"/>
                <w:szCs w:val="22"/>
                <w:lang w:val="en-US" w:eastAsia="zh-CN" w:bidi="ar"/>
              </w:rPr>
              <w:t xml:space="preserve">PELA CONITEC. EMBALADO EM </w:t>
            </w:r>
            <w:r>
              <w:rPr>
                <w:rFonts w:eastAsia="SimSun"/>
                <w:sz w:val="22"/>
                <w:szCs w:val="22"/>
                <w:lang w:eastAsia="zh-CN" w:bidi="ar"/>
              </w:rPr>
              <w:t xml:space="preserve"> </w:t>
            </w:r>
            <w:r>
              <w:rPr>
                <w:rFonts w:eastAsia="SimSun"/>
                <w:sz w:val="22"/>
                <w:szCs w:val="22"/>
                <w:lang w:val="en-US" w:eastAsia="zh-CN" w:bidi="ar"/>
              </w:rPr>
              <w:t xml:space="preserve">ALUMÍNIO PARA PROMOVER BARREIRA </w:t>
            </w:r>
            <w:r>
              <w:rPr>
                <w:rFonts w:eastAsia="SimSun"/>
                <w:sz w:val="22"/>
                <w:szCs w:val="22"/>
                <w:lang w:eastAsia="zh-CN" w:bidi="ar"/>
              </w:rPr>
              <w:t xml:space="preserve"> </w:t>
            </w:r>
            <w:r>
              <w:rPr>
                <w:rFonts w:eastAsia="SimSun"/>
                <w:sz w:val="22"/>
                <w:szCs w:val="22"/>
                <w:lang w:val="en-US" w:eastAsia="zh-CN" w:bidi="ar"/>
              </w:rPr>
              <w:t>MICROBIANA E ABERTURA ASSÉPTICA.</w:t>
            </w:r>
            <w:r>
              <w:rPr>
                <w:rFonts w:eastAsia="SimSun"/>
                <w:sz w:val="22"/>
                <w:szCs w:val="22"/>
                <w:lang w:eastAsia="zh-CN" w:bidi="ar"/>
              </w:rPr>
              <w:t xml:space="preserve"> </w:t>
            </w:r>
            <w:r>
              <w:rPr>
                <w:rFonts w:eastAsia="SimSun"/>
                <w:sz w:val="22"/>
                <w:szCs w:val="22"/>
                <w:lang w:val="en-US" w:eastAsia="zh-CN" w:bidi="ar"/>
              </w:rPr>
              <w:t xml:space="preserve">O PRODUTO DEVERÁ TER REGISTRO </w:t>
            </w:r>
            <w:r>
              <w:rPr>
                <w:rFonts w:eastAsia="SimSun"/>
                <w:sz w:val="22"/>
                <w:szCs w:val="22"/>
                <w:lang w:eastAsia="zh-CN" w:bidi="ar"/>
              </w:rPr>
              <w:t xml:space="preserve"> </w:t>
            </w:r>
            <w:r>
              <w:rPr>
                <w:rFonts w:eastAsia="SimSun"/>
                <w:sz w:val="22"/>
                <w:szCs w:val="22"/>
                <w:lang w:val="en-US" w:eastAsia="zh-CN" w:bidi="ar"/>
              </w:rPr>
              <w:t xml:space="preserve">COMO PRODUTO MÉDICO PARA SAÚDE, </w:t>
            </w:r>
            <w:r>
              <w:rPr>
                <w:rFonts w:eastAsia="SimSun"/>
                <w:sz w:val="22"/>
                <w:szCs w:val="22"/>
                <w:lang w:eastAsia="zh-CN" w:bidi="ar"/>
              </w:rPr>
              <w:t xml:space="preserve"> </w:t>
            </w:r>
            <w:r>
              <w:rPr>
                <w:rFonts w:eastAsia="SimSun"/>
                <w:sz w:val="22"/>
                <w:szCs w:val="22"/>
                <w:lang w:val="en-US" w:eastAsia="zh-CN" w:bidi="ar"/>
              </w:rPr>
              <w:t xml:space="preserve">APRESENTANDO BOAS PRÁTICAS DE FABRICAÇÃO E CARTA DE </w:t>
            </w:r>
            <w:r>
              <w:rPr>
                <w:rFonts w:eastAsia="SimSun"/>
                <w:sz w:val="22"/>
                <w:szCs w:val="22"/>
                <w:lang w:eastAsia="zh-CN" w:bidi="ar"/>
              </w:rPr>
              <w:t xml:space="preserve"> </w:t>
            </w:r>
            <w:r>
              <w:rPr>
                <w:rFonts w:eastAsia="SimSun"/>
                <w:sz w:val="22"/>
                <w:szCs w:val="22"/>
                <w:lang w:val="en-US" w:eastAsia="zh-CN" w:bidi="ar"/>
              </w:rPr>
              <w:t>RECOMENDAÇÃO</w:t>
            </w:r>
            <w:r>
              <w:rPr>
                <w:rFonts w:eastAsia="SimSun"/>
                <w:sz w:val="22"/>
                <w:szCs w:val="22"/>
                <w:lang w:eastAsia="zh-CN" w:bidi="ar"/>
              </w:rPr>
              <w:t>.</w:t>
            </w:r>
          </w:p>
          <w:p w14:paraId="5BAFE8A7">
            <w:pPr>
              <w:jc w:val="both"/>
              <w:rPr>
                <w:rFonts w:eastAsia="SimSun"/>
                <w:sz w:val="22"/>
                <w:szCs w:val="22"/>
                <w:lang w:eastAsia="zh-CN" w:bidi="ar"/>
              </w:rPr>
            </w:pPr>
            <w:r>
              <w:rPr>
                <w:rFonts w:eastAsia="SimSun"/>
                <w:sz w:val="22"/>
                <w:szCs w:val="22"/>
                <w:lang w:val="en-US" w:eastAsia="zh-CN" w:bidi="ar"/>
              </w:rPr>
              <w:t xml:space="preserve">CATÉTER URETRAL COM </w:t>
            </w:r>
            <w:r>
              <w:rPr>
                <w:rFonts w:eastAsia="SimSun"/>
                <w:sz w:val="22"/>
                <w:szCs w:val="22"/>
                <w:lang w:eastAsia="zh-CN" w:bidi="ar"/>
              </w:rPr>
              <w:t xml:space="preserve"> </w:t>
            </w:r>
            <w:r>
              <w:rPr>
                <w:rFonts w:eastAsia="SimSun"/>
                <w:sz w:val="22"/>
                <w:szCs w:val="22"/>
                <w:lang w:val="en-US" w:eastAsia="zh-CN" w:bidi="ar"/>
              </w:rPr>
              <w:t xml:space="preserve">REVESTIMENTO HIDROFÍLICO </w:t>
            </w:r>
            <w:r>
              <w:rPr>
                <w:rFonts w:eastAsia="SimSun"/>
                <w:sz w:val="22"/>
                <w:szCs w:val="22"/>
                <w:lang w:eastAsia="zh-CN" w:bidi="ar"/>
              </w:rPr>
              <w:t xml:space="preserve"> FEMININO (</w:t>
            </w:r>
            <w:r>
              <w:rPr>
                <w:rFonts w:eastAsia="SimSun"/>
                <w:sz w:val="22"/>
                <w:szCs w:val="22"/>
                <w:lang w:val="en-US" w:eastAsia="zh-CN" w:bidi="ar"/>
              </w:rPr>
              <w:t>Calibre 0</w:t>
            </w:r>
            <w:r>
              <w:rPr>
                <w:rFonts w:eastAsia="SimSun"/>
                <w:sz w:val="22"/>
                <w:szCs w:val="22"/>
                <w:lang w:eastAsia="zh-CN" w:bidi="ar"/>
              </w:rPr>
              <w:t>6</w:t>
            </w:r>
            <w:r>
              <w:rPr>
                <w:rFonts w:eastAsia="SimSun"/>
                <w:sz w:val="22"/>
                <w:szCs w:val="22"/>
                <w:lang w:val="en-US" w:eastAsia="zh-CN" w:bidi="ar"/>
              </w:rPr>
              <w:t xml:space="preserve"> ao 1</w:t>
            </w:r>
            <w:r>
              <w:rPr>
                <w:rFonts w:eastAsia="SimSun"/>
                <w:sz w:val="22"/>
                <w:szCs w:val="22"/>
                <w:lang w:eastAsia="zh-CN" w:bidi="ar"/>
              </w:rPr>
              <w:t>2)</w:t>
            </w:r>
            <w:r>
              <w:rPr>
                <w:rFonts w:eastAsia="SimSun"/>
                <w:sz w:val="22"/>
                <w:szCs w:val="22"/>
                <w:lang w:val="en-US" w:eastAsia="zh-CN" w:bidi="ar"/>
              </w:rPr>
              <w:t xml:space="preserve"> APROVADO </w:t>
            </w:r>
            <w:r>
              <w:rPr>
                <w:rFonts w:eastAsia="SimSun"/>
                <w:sz w:val="22"/>
                <w:szCs w:val="22"/>
                <w:lang w:eastAsia="zh-CN" w:bidi="ar"/>
              </w:rPr>
              <w:t xml:space="preserve"> </w:t>
            </w:r>
            <w:r>
              <w:rPr>
                <w:rFonts w:eastAsia="SimSun"/>
                <w:sz w:val="22"/>
                <w:szCs w:val="22"/>
                <w:lang w:val="en-US" w:eastAsia="zh-CN" w:bidi="ar"/>
              </w:rPr>
              <w:t xml:space="preserve">PELA CONITEC. EMBALADO EM </w:t>
            </w:r>
            <w:r>
              <w:rPr>
                <w:rFonts w:eastAsia="SimSun"/>
                <w:sz w:val="22"/>
                <w:szCs w:val="22"/>
                <w:lang w:eastAsia="zh-CN" w:bidi="ar"/>
              </w:rPr>
              <w:t xml:space="preserve"> </w:t>
            </w:r>
            <w:r>
              <w:rPr>
                <w:rFonts w:eastAsia="SimSun"/>
                <w:sz w:val="22"/>
                <w:szCs w:val="22"/>
                <w:lang w:val="en-US" w:eastAsia="zh-CN" w:bidi="ar"/>
              </w:rPr>
              <w:t xml:space="preserve">ALUMÍNIO PARA PROMOVER BARREIRA </w:t>
            </w:r>
            <w:r>
              <w:rPr>
                <w:rFonts w:eastAsia="SimSun"/>
                <w:sz w:val="22"/>
                <w:szCs w:val="22"/>
                <w:lang w:eastAsia="zh-CN" w:bidi="ar"/>
              </w:rPr>
              <w:t xml:space="preserve"> </w:t>
            </w:r>
            <w:r>
              <w:rPr>
                <w:rFonts w:eastAsia="SimSun"/>
                <w:sz w:val="22"/>
                <w:szCs w:val="22"/>
                <w:lang w:val="en-US" w:eastAsia="zh-CN" w:bidi="ar"/>
              </w:rPr>
              <w:t>MICROBIANA E ABERTURA ASSÉPTICA.</w:t>
            </w:r>
            <w:r>
              <w:rPr>
                <w:rFonts w:eastAsia="SimSun"/>
                <w:sz w:val="22"/>
                <w:szCs w:val="22"/>
                <w:lang w:eastAsia="zh-CN" w:bidi="ar"/>
              </w:rPr>
              <w:t xml:space="preserve"> </w:t>
            </w:r>
            <w:r>
              <w:rPr>
                <w:rFonts w:eastAsia="SimSun"/>
                <w:sz w:val="22"/>
                <w:szCs w:val="22"/>
                <w:lang w:val="en-US" w:eastAsia="zh-CN" w:bidi="ar"/>
              </w:rPr>
              <w:t xml:space="preserve">O PRODUTO DEVERÁ TER REGISTRO </w:t>
            </w:r>
            <w:r>
              <w:rPr>
                <w:rFonts w:eastAsia="SimSun"/>
                <w:sz w:val="22"/>
                <w:szCs w:val="22"/>
                <w:lang w:eastAsia="zh-CN" w:bidi="ar"/>
              </w:rPr>
              <w:t xml:space="preserve"> </w:t>
            </w:r>
            <w:r>
              <w:rPr>
                <w:rFonts w:eastAsia="SimSun"/>
                <w:sz w:val="22"/>
                <w:szCs w:val="22"/>
                <w:lang w:val="en-US" w:eastAsia="zh-CN" w:bidi="ar"/>
              </w:rPr>
              <w:t xml:space="preserve">COMO PRODUTO MÉDICO PARA SAÚDE, </w:t>
            </w:r>
            <w:r>
              <w:rPr>
                <w:rFonts w:eastAsia="SimSun"/>
                <w:sz w:val="22"/>
                <w:szCs w:val="22"/>
                <w:lang w:eastAsia="zh-CN" w:bidi="ar"/>
              </w:rPr>
              <w:t xml:space="preserve"> </w:t>
            </w:r>
            <w:r>
              <w:rPr>
                <w:rFonts w:eastAsia="SimSun"/>
                <w:sz w:val="22"/>
                <w:szCs w:val="22"/>
                <w:lang w:val="en-US" w:eastAsia="zh-CN" w:bidi="ar"/>
              </w:rPr>
              <w:t xml:space="preserve">APRESENTANDO BOAS PRÁTICAS DE FABRICAÇÃO E CARTA DE </w:t>
            </w:r>
            <w:r>
              <w:rPr>
                <w:rFonts w:eastAsia="SimSun"/>
                <w:sz w:val="22"/>
                <w:szCs w:val="22"/>
                <w:lang w:eastAsia="zh-CN" w:bidi="ar"/>
              </w:rPr>
              <w:t xml:space="preserve"> </w:t>
            </w:r>
            <w:r>
              <w:rPr>
                <w:rFonts w:eastAsia="SimSun"/>
                <w:sz w:val="22"/>
                <w:szCs w:val="22"/>
                <w:lang w:val="en-US" w:eastAsia="zh-CN" w:bidi="ar"/>
              </w:rPr>
              <w:t>RECOMENDAÇÃO</w:t>
            </w:r>
            <w:r>
              <w:rPr>
                <w:rFonts w:eastAsia="SimSun"/>
                <w:sz w:val="22"/>
                <w:szCs w:val="22"/>
                <w:lang w:eastAsia="zh-CN" w:bidi="ar"/>
              </w:rPr>
              <w:t>.</w:t>
            </w:r>
          </w:p>
          <w:p w14:paraId="067D3878">
            <w:pPr>
              <w:jc w:val="both"/>
              <w:rPr>
                <w:sz w:val="22"/>
                <w:szCs w:val="22"/>
              </w:rPr>
            </w:pPr>
            <w:r>
              <w:rPr>
                <w:rFonts w:eastAsia="SimSun"/>
                <w:sz w:val="22"/>
                <w:szCs w:val="22"/>
                <w:lang w:val="en-US" w:eastAsia="zh-CN" w:bidi="ar"/>
              </w:rPr>
              <w:t xml:space="preserve">COM </w:t>
            </w:r>
            <w:r>
              <w:rPr>
                <w:rFonts w:eastAsia="SimSun"/>
                <w:sz w:val="22"/>
                <w:szCs w:val="22"/>
                <w:lang w:eastAsia="zh-CN" w:bidi="ar"/>
              </w:rPr>
              <w:t xml:space="preserve"> </w:t>
            </w:r>
            <w:r>
              <w:rPr>
                <w:rFonts w:eastAsia="SimSun"/>
                <w:sz w:val="22"/>
                <w:szCs w:val="22"/>
                <w:lang w:val="en-US" w:eastAsia="zh-CN" w:bidi="ar"/>
              </w:rPr>
              <w:t xml:space="preserve">REVESTIMENTO HIDROFÍLICO </w:t>
            </w:r>
            <w:r>
              <w:rPr>
                <w:rFonts w:eastAsia="SimSun"/>
                <w:sz w:val="22"/>
                <w:szCs w:val="22"/>
                <w:lang w:eastAsia="zh-CN" w:bidi="ar"/>
              </w:rPr>
              <w:t xml:space="preserve"> </w:t>
            </w:r>
            <w:r>
              <w:rPr>
                <w:rFonts w:eastAsia="SimSun"/>
                <w:sz w:val="22"/>
                <w:szCs w:val="22"/>
                <w:lang w:val="en-US" w:eastAsia="zh-CN" w:bidi="ar"/>
              </w:rPr>
              <w:t xml:space="preserve">COMPOSTO POR POLIVILPIRROLIDONA </w:t>
            </w:r>
            <w:r>
              <w:rPr>
                <w:rFonts w:eastAsia="SimSun"/>
                <w:sz w:val="22"/>
                <w:szCs w:val="22"/>
                <w:lang w:eastAsia="zh-CN" w:bidi="ar"/>
              </w:rPr>
              <w:t xml:space="preserve"> </w:t>
            </w:r>
            <w:r>
              <w:rPr>
                <w:rFonts w:eastAsia="SimSun"/>
                <w:sz w:val="22"/>
                <w:szCs w:val="22"/>
                <w:lang w:val="en-US" w:eastAsia="zh-CN" w:bidi="ar"/>
              </w:rPr>
              <w:t xml:space="preserve">(PVP) E SOLUÇÃO SALINA (NACL 0,9%), MASCULINO, ESTÉRIL, DO TIPO </w:t>
            </w:r>
            <w:r>
              <w:rPr>
                <w:rFonts w:eastAsia="SimSun"/>
                <w:sz w:val="22"/>
                <w:szCs w:val="22"/>
                <w:lang w:eastAsia="zh-CN" w:bidi="ar"/>
              </w:rPr>
              <w:t xml:space="preserve"> </w:t>
            </w:r>
            <w:r>
              <w:rPr>
                <w:rFonts w:eastAsia="SimSun"/>
                <w:sz w:val="22"/>
                <w:szCs w:val="22"/>
                <w:lang w:val="en-US" w:eastAsia="zh-CN" w:bidi="ar"/>
              </w:rPr>
              <w:t xml:space="preserve">INTERMITENTE, CONFECCIONADO EM </w:t>
            </w:r>
          </w:p>
          <w:p w14:paraId="0CEC195B">
            <w:pPr>
              <w:jc w:val="both"/>
              <w:rPr>
                <w:sz w:val="22"/>
                <w:szCs w:val="22"/>
              </w:rPr>
            </w:pPr>
            <w:r>
              <w:rPr>
                <w:rFonts w:eastAsia="SimSun"/>
                <w:sz w:val="22"/>
                <w:szCs w:val="22"/>
                <w:lang w:val="en-US" w:eastAsia="zh-CN" w:bidi="ar"/>
              </w:rPr>
              <w:t xml:space="preserve">POLIURETANO, ATÓXICO, HIPOALERGÊNICO. ISENTO DE PVC E </w:t>
            </w:r>
            <w:r>
              <w:rPr>
                <w:rFonts w:eastAsia="SimSun"/>
                <w:sz w:val="22"/>
                <w:szCs w:val="22"/>
                <w:lang w:eastAsia="zh-CN" w:bidi="ar"/>
              </w:rPr>
              <w:t xml:space="preserve"> </w:t>
            </w:r>
            <w:r>
              <w:rPr>
                <w:rFonts w:eastAsia="SimSun"/>
                <w:sz w:val="22"/>
                <w:szCs w:val="22"/>
                <w:lang w:val="en-US" w:eastAsia="zh-CN" w:bidi="ar"/>
              </w:rPr>
              <w:t xml:space="preserve">FTALATO. APRESENTANDO ORIFÍCIOS DE DRENAGEM RADIAIS, POLIDOS E LUBRIFICADOS. PRONTO PARA USO, </w:t>
            </w:r>
          </w:p>
          <w:p w14:paraId="58956FA7">
            <w:pPr>
              <w:jc w:val="both"/>
              <w:rPr>
                <w:sz w:val="22"/>
                <w:szCs w:val="22"/>
              </w:rPr>
            </w:pPr>
            <w:r>
              <w:rPr>
                <w:rFonts w:eastAsia="SimSun"/>
                <w:sz w:val="22"/>
                <w:szCs w:val="22"/>
                <w:lang w:val="en-US" w:eastAsia="zh-CN" w:bidi="ar"/>
              </w:rPr>
              <w:t xml:space="preserve">SEM NECESSIDADE DE ADIÇÃO DE ÁGUA PARA DILUIR SUBSTÂNCIA </w:t>
            </w:r>
            <w:r>
              <w:rPr>
                <w:rFonts w:eastAsia="SimSun"/>
                <w:sz w:val="22"/>
                <w:szCs w:val="22"/>
                <w:lang w:eastAsia="zh-CN" w:bidi="ar"/>
              </w:rPr>
              <w:t xml:space="preserve"> </w:t>
            </w:r>
            <w:r>
              <w:rPr>
                <w:rFonts w:eastAsia="SimSun"/>
                <w:sz w:val="22"/>
                <w:szCs w:val="22"/>
                <w:lang w:val="en-US" w:eastAsia="zh-CN" w:bidi="ar"/>
              </w:rPr>
              <w:t xml:space="preserve">LUBRIFICANTE E ACIONAR OU ROMPER </w:t>
            </w:r>
            <w:r>
              <w:rPr>
                <w:rFonts w:eastAsia="SimSun"/>
                <w:sz w:val="22"/>
                <w:szCs w:val="22"/>
                <w:lang w:eastAsia="zh-CN" w:bidi="ar"/>
              </w:rPr>
              <w:t xml:space="preserve"> </w:t>
            </w:r>
            <w:r>
              <w:rPr>
                <w:rFonts w:eastAsia="SimSun"/>
                <w:sz w:val="22"/>
                <w:szCs w:val="22"/>
                <w:lang w:val="en-US" w:eastAsia="zh-CN" w:bidi="ar"/>
              </w:rPr>
              <w:t xml:space="preserve">QUALQUER TIPO DE DISPOSITIVO COM </w:t>
            </w:r>
            <w:r>
              <w:rPr>
                <w:rFonts w:eastAsia="SimSun"/>
                <w:sz w:val="22"/>
                <w:szCs w:val="22"/>
                <w:lang w:eastAsia="zh-CN" w:bidi="ar"/>
              </w:rPr>
              <w:t xml:space="preserve"> </w:t>
            </w:r>
            <w:r>
              <w:rPr>
                <w:rFonts w:eastAsia="SimSun"/>
                <w:sz w:val="22"/>
                <w:szCs w:val="22"/>
                <w:lang w:val="en-US" w:eastAsia="zh-CN" w:bidi="ar"/>
              </w:rPr>
              <w:t xml:space="preserve">SUBSTÂNCIA LUBRIFICANTE E DE USO </w:t>
            </w:r>
            <w:r>
              <w:rPr>
                <w:rFonts w:eastAsia="SimSun"/>
                <w:sz w:val="22"/>
                <w:szCs w:val="22"/>
                <w:lang w:eastAsia="zh-CN" w:bidi="ar"/>
              </w:rPr>
              <w:t xml:space="preserve"> </w:t>
            </w:r>
            <w:r>
              <w:rPr>
                <w:rFonts w:eastAsia="SimSun"/>
                <w:sz w:val="22"/>
                <w:szCs w:val="22"/>
                <w:lang w:val="en-US" w:eastAsia="zh-CN" w:bidi="ar"/>
              </w:rPr>
              <w:t xml:space="preserve">ÚNICO. </w:t>
            </w:r>
          </w:p>
          <w:p w14:paraId="77E95153">
            <w:pPr>
              <w:jc w:val="both"/>
              <w:rPr>
                <w:sz w:val="22"/>
                <w:szCs w:val="22"/>
                <w:lang w:eastAsia="hi-IN"/>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CE1E06D">
            <w:pPr>
              <w:jc w:val="center"/>
              <w:rPr>
                <w:sz w:val="22"/>
                <w:szCs w:val="22"/>
                <w:lang w:eastAsia="hi-IN"/>
              </w:rPr>
            </w:pPr>
          </w:p>
          <w:p w14:paraId="106B986E">
            <w:pPr>
              <w:jc w:val="center"/>
              <w:rPr>
                <w:sz w:val="22"/>
                <w:szCs w:val="22"/>
                <w:lang w:eastAsia="hi-IN"/>
              </w:rPr>
            </w:pPr>
          </w:p>
          <w:p w14:paraId="0AC37DD8">
            <w:pPr>
              <w:jc w:val="center"/>
              <w:rPr>
                <w:sz w:val="22"/>
                <w:szCs w:val="22"/>
                <w:lang w:eastAsia="hi-IN"/>
              </w:rPr>
            </w:pPr>
          </w:p>
          <w:p w14:paraId="08BF7EB2">
            <w:pPr>
              <w:jc w:val="center"/>
              <w:rPr>
                <w:sz w:val="22"/>
                <w:szCs w:val="22"/>
                <w:lang w:eastAsia="hi-IN"/>
              </w:rPr>
            </w:pPr>
          </w:p>
          <w:p w14:paraId="356C211F">
            <w:pPr>
              <w:jc w:val="center"/>
              <w:rPr>
                <w:sz w:val="22"/>
                <w:szCs w:val="22"/>
                <w:lang w:eastAsia="hi-IN"/>
              </w:rPr>
            </w:pPr>
          </w:p>
          <w:p w14:paraId="103F6D6B">
            <w:pPr>
              <w:jc w:val="center"/>
              <w:rPr>
                <w:sz w:val="22"/>
                <w:szCs w:val="22"/>
                <w:lang w:eastAsia="hi-IN"/>
              </w:rPr>
            </w:pPr>
          </w:p>
          <w:p w14:paraId="6C555C76">
            <w:pPr>
              <w:jc w:val="center"/>
              <w:rPr>
                <w:sz w:val="22"/>
                <w:szCs w:val="22"/>
                <w:lang w:eastAsia="hi-IN"/>
              </w:rPr>
            </w:pPr>
          </w:p>
          <w:p w14:paraId="21C91CB8">
            <w:pPr>
              <w:jc w:val="center"/>
              <w:rPr>
                <w:sz w:val="22"/>
                <w:szCs w:val="22"/>
                <w:lang w:eastAsia="hi-IN"/>
              </w:rPr>
            </w:pPr>
          </w:p>
          <w:p w14:paraId="3B5F9071">
            <w:pPr>
              <w:jc w:val="center"/>
              <w:rPr>
                <w:sz w:val="22"/>
                <w:szCs w:val="22"/>
                <w:lang w:eastAsia="hi-IN"/>
              </w:rPr>
            </w:pPr>
          </w:p>
          <w:p w14:paraId="5C351178">
            <w:pPr>
              <w:jc w:val="center"/>
              <w:rPr>
                <w:sz w:val="22"/>
                <w:szCs w:val="22"/>
                <w:lang w:eastAsia="hi-IN"/>
              </w:rPr>
            </w:pPr>
          </w:p>
          <w:p w14:paraId="7AEC214D">
            <w:pPr>
              <w:jc w:val="center"/>
              <w:rPr>
                <w:sz w:val="22"/>
                <w:szCs w:val="22"/>
                <w:lang w:eastAsia="hi-IN"/>
              </w:rPr>
            </w:pPr>
          </w:p>
          <w:p w14:paraId="4FC678B7">
            <w:pPr>
              <w:jc w:val="center"/>
              <w:rPr>
                <w:sz w:val="22"/>
                <w:szCs w:val="22"/>
                <w:lang w:eastAsia="hi-IN"/>
              </w:rPr>
            </w:pPr>
          </w:p>
          <w:p w14:paraId="0C11D422">
            <w:pPr>
              <w:jc w:val="center"/>
              <w:rPr>
                <w:sz w:val="22"/>
                <w:szCs w:val="22"/>
                <w:lang w:eastAsia="hi-IN"/>
              </w:rPr>
            </w:pPr>
            <w:r>
              <w:rPr>
                <w:sz w:val="22"/>
                <w:szCs w:val="22"/>
                <w:lang w:eastAsia="hi-IN"/>
              </w:rPr>
              <w:t>36.000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2303D30D">
            <w:pPr>
              <w:jc w:val="center"/>
              <w:textAlignment w:val="bottom"/>
              <w:rPr>
                <w:rFonts w:eastAsia="SimSun"/>
                <w:sz w:val="22"/>
                <w:szCs w:val="22"/>
                <w:lang w:eastAsia="zh-CN" w:bidi="ar"/>
              </w:rPr>
            </w:pPr>
          </w:p>
          <w:p w14:paraId="64C46420">
            <w:pPr>
              <w:jc w:val="center"/>
              <w:textAlignment w:val="bottom"/>
              <w:rPr>
                <w:rFonts w:eastAsia="SimSun"/>
                <w:sz w:val="22"/>
                <w:szCs w:val="22"/>
                <w:lang w:eastAsia="zh-CN" w:bidi="ar"/>
              </w:rPr>
            </w:pPr>
          </w:p>
          <w:p w14:paraId="5D4207A0">
            <w:pPr>
              <w:jc w:val="center"/>
              <w:textAlignment w:val="bottom"/>
              <w:rPr>
                <w:rFonts w:eastAsia="SimSun"/>
                <w:sz w:val="22"/>
                <w:szCs w:val="22"/>
                <w:lang w:eastAsia="zh-CN" w:bidi="ar"/>
              </w:rPr>
            </w:pPr>
          </w:p>
          <w:p w14:paraId="45AEDA97">
            <w:pPr>
              <w:textAlignment w:val="bottom"/>
              <w:rPr>
                <w:rFonts w:eastAsia="SimSun"/>
                <w:sz w:val="22"/>
                <w:szCs w:val="22"/>
                <w:lang w:eastAsia="zh-CN" w:bidi="ar"/>
              </w:rPr>
            </w:pPr>
          </w:p>
          <w:p w14:paraId="6004B17D">
            <w:pPr>
              <w:jc w:val="center"/>
              <w:textAlignment w:val="bottom"/>
              <w:rPr>
                <w:rFonts w:eastAsia="SimSun"/>
                <w:sz w:val="22"/>
                <w:szCs w:val="22"/>
                <w:lang w:eastAsia="zh-CN" w:bidi="ar"/>
              </w:rPr>
            </w:pPr>
          </w:p>
          <w:p w14:paraId="2F19F20F">
            <w:pPr>
              <w:jc w:val="center"/>
              <w:textAlignment w:val="bottom"/>
              <w:rPr>
                <w:rFonts w:eastAsia="SimSun"/>
                <w:sz w:val="22"/>
                <w:szCs w:val="22"/>
                <w:lang w:eastAsia="zh-CN" w:bidi="ar"/>
              </w:rPr>
            </w:pPr>
          </w:p>
          <w:p w14:paraId="116807A3">
            <w:pPr>
              <w:jc w:val="center"/>
              <w:textAlignment w:val="bottom"/>
              <w:rPr>
                <w:rFonts w:eastAsia="SimSun"/>
                <w:sz w:val="22"/>
                <w:szCs w:val="22"/>
                <w:lang w:eastAsia="zh-CN" w:bidi="ar"/>
              </w:rPr>
            </w:pPr>
          </w:p>
          <w:p w14:paraId="2E428F84">
            <w:pPr>
              <w:jc w:val="center"/>
              <w:textAlignment w:val="bottom"/>
              <w:rPr>
                <w:rFonts w:eastAsia="SimSun"/>
                <w:sz w:val="22"/>
                <w:szCs w:val="22"/>
                <w:lang w:eastAsia="zh-CN" w:bidi="ar"/>
              </w:rPr>
            </w:pPr>
            <w:r>
              <w:rPr>
                <w:rFonts w:eastAsia="SimSun"/>
                <w:sz w:val="22"/>
                <w:szCs w:val="22"/>
                <w:lang w:eastAsia="zh-CN" w:bidi="ar"/>
              </w:rPr>
              <w:t>469441</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A888116">
            <w:pPr>
              <w:jc w:val="center"/>
              <w:textAlignment w:val="bottom"/>
              <w:rPr>
                <w:rFonts w:eastAsia="SimSun"/>
                <w:sz w:val="22"/>
                <w:szCs w:val="22"/>
                <w:lang w:eastAsia="zh-CN" w:bidi="ar"/>
              </w:rPr>
            </w:pPr>
            <w:r>
              <w:rPr>
                <w:rFonts w:eastAsia="SimSun"/>
                <w:sz w:val="22"/>
                <w:szCs w:val="22"/>
                <w:lang w:eastAsia="zh-CN" w:bidi="ar"/>
              </w:rPr>
              <w:t>R$19,13</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71CD036E">
            <w:pPr>
              <w:jc w:val="center"/>
              <w:textAlignment w:val="bottom"/>
              <w:rPr>
                <w:rFonts w:eastAsia="SimSun"/>
                <w:sz w:val="22"/>
                <w:szCs w:val="22"/>
                <w:lang w:eastAsia="zh-CN" w:bidi="ar"/>
              </w:rPr>
            </w:pPr>
            <w:r>
              <w:rPr>
                <w:rFonts w:eastAsia="SimSun"/>
                <w:sz w:val="22"/>
                <w:szCs w:val="22"/>
                <w:lang w:eastAsia="zh-CN" w:bidi="ar"/>
              </w:rPr>
              <w:t>R$688.680,00</w:t>
            </w:r>
          </w:p>
        </w:tc>
      </w:tr>
      <w:tr w14:paraId="7A7AF338">
        <w:tblPrEx>
          <w:tblCellMar>
            <w:top w:w="0" w:type="dxa"/>
            <w:left w:w="10" w:type="dxa"/>
            <w:bottom w:w="0" w:type="dxa"/>
            <w:right w:w="10" w:type="dxa"/>
          </w:tblCellMar>
        </w:tblPrEx>
        <w:trPr>
          <w:trHeight w:val="376" w:hRule="atLeast"/>
        </w:trPr>
        <w:tc>
          <w:tcPr>
            <w:tcW w:w="85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301566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2"/>
              </w:rPr>
            </w:pPr>
          </w:p>
        </w:tc>
        <w:tc>
          <w:tcPr>
            <w:tcW w:w="5387"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55BF320">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rPr>
                <w:rFonts w:cs="Times New Roman"/>
                <w:sz w:val="22"/>
              </w:rPr>
            </w:pPr>
            <w:r>
              <w:rPr>
                <w:rFonts w:ascii="Times New Roman" w:hAnsi="Times New Roman" w:cs="Times New Roman"/>
                <w:color w:val="auto"/>
                <w:sz w:val="22"/>
              </w:rPr>
              <w:t>TOTAL:</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38AE05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2"/>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1CCB7D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2"/>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5B60F0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22"/>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46B1113">
            <w:pPr>
              <w:jc w:val="center"/>
              <w:textAlignment w:val="center"/>
              <w:rPr>
                <w:sz w:val="22"/>
                <w:szCs w:val="22"/>
              </w:rPr>
            </w:pPr>
            <w:r>
              <w:rPr>
                <w:rFonts w:eastAsia="SimSun"/>
                <w:sz w:val="22"/>
                <w:szCs w:val="22"/>
                <w:lang w:eastAsia="zh-CN" w:bidi="ar"/>
              </w:rPr>
              <w:t>R$688.680,00</w:t>
            </w:r>
          </w:p>
        </w:tc>
      </w:tr>
    </w:tbl>
    <w:p w14:paraId="38806CF5">
      <w:pPr>
        <w:pStyle w:val="99"/>
        <w:spacing w:before="288" w:beforeLines="120" w:after="288" w:afterLines="120" w:line="288" w:lineRule="auto"/>
        <w:ind w:left="0" w:firstLine="0"/>
        <w:contextualSpacing/>
        <w:rPr>
          <w:rFonts w:asciiTheme="minorHAnsi" w:hAnsiTheme="minorHAnsi" w:cstheme="minorHAnsi"/>
          <w:b/>
          <w:bCs/>
          <w:color w:val="auto"/>
          <w:sz w:val="24"/>
          <w:szCs w:val="24"/>
        </w:rPr>
      </w:pPr>
    </w:p>
    <w:p w14:paraId="195CD4CB">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2. DO REGISTRO DE PREÇOS</w:t>
      </w:r>
    </w:p>
    <w:p w14:paraId="195C3A74">
      <w:pPr>
        <w:pStyle w:val="24"/>
        <w:spacing w:before="0" w:beforeAutospacing="0" w:after="0" w:afterAutospacing="0" w:line="288" w:lineRule="auto"/>
        <w:contextualSpacing/>
        <w:jc w:val="both"/>
        <w:rPr>
          <w:color w:val="000000"/>
        </w:rPr>
      </w:pPr>
      <w:r>
        <w:rPr>
          <w:color w:val="000000"/>
        </w:rPr>
        <w:t>2.1 O órgão/entidade gerenciador(a) e o(s) órgão(s)/entidade(s) participante(s), ora em diante, serão denominados gerenciador e participantes, respectivamente.</w:t>
      </w:r>
    </w:p>
    <w:p w14:paraId="023B2B4B">
      <w:pPr>
        <w:pStyle w:val="24"/>
        <w:spacing w:before="0" w:beforeAutospacing="0" w:after="0" w:afterAutospacing="0" w:line="288" w:lineRule="auto"/>
        <w:contextualSpacing/>
        <w:jc w:val="both"/>
        <w:rPr>
          <w:color w:val="000000"/>
        </w:rPr>
      </w:pPr>
      <w:r>
        <w:rPr>
          <w:color w:val="000000"/>
        </w:rPr>
        <w:t> </w:t>
      </w:r>
    </w:p>
    <w:p w14:paraId="32F883BC">
      <w:pPr>
        <w:pStyle w:val="24"/>
        <w:spacing w:before="0" w:beforeAutospacing="0" w:after="0" w:afterAutospacing="0" w:line="288" w:lineRule="auto"/>
        <w:contextualSpacing/>
        <w:jc w:val="both"/>
        <w:rPr>
          <w:color w:val="000000"/>
        </w:rPr>
      </w:pPr>
      <w:r>
        <w:rPr>
          <w:color w:val="000000"/>
        </w:rPr>
        <w:t>2.1.2 Aplicam-se ao gerenciador e aos participantes, quando houver, as regras estabelecidas no Termo de Referência, na Ata de Registro de Preços e nos demais anexos a este Edital, que devem ser observadas, também, no que se refere às quantidades, prazos e locais de entrega e demais obrigações. ​</w:t>
      </w:r>
    </w:p>
    <w:p w14:paraId="02E29294">
      <w:pPr>
        <w:autoSpaceDE w:val="0"/>
        <w:autoSpaceDN w:val="0"/>
        <w:adjustRightInd w:val="0"/>
        <w:spacing w:line="288" w:lineRule="auto"/>
        <w:contextualSpacing/>
        <w:jc w:val="both"/>
        <w:rPr>
          <w:b/>
          <w:color w:val="FF0000"/>
          <w:sz w:val="24"/>
          <w:szCs w:val="24"/>
        </w:rPr>
      </w:pPr>
    </w:p>
    <w:p w14:paraId="491DE2A0">
      <w:pPr>
        <w:autoSpaceDE w:val="0"/>
        <w:autoSpaceDN w:val="0"/>
        <w:adjustRightInd w:val="0"/>
        <w:spacing w:line="288" w:lineRule="auto"/>
        <w:contextualSpacing/>
        <w:jc w:val="both"/>
        <w:rPr>
          <w:bCs/>
          <w:sz w:val="24"/>
          <w:szCs w:val="24"/>
        </w:rPr>
      </w:pPr>
      <w:r>
        <w:rPr>
          <w:bCs/>
          <w:sz w:val="24"/>
          <w:szCs w:val="24"/>
        </w:rPr>
        <w:t xml:space="preserve">2.2 A Ata de Registro de Preços conforme Anexo VI, poderá ser aderida por quaisquer órgãos ou entidades do Município que não tenham participado do certame licitatório, ora denominados não-participantes.  </w:t>
      </w:r>
    </w:p>
    <w:p w14:paraId="1A8BEA13">
      <w:pPr>
        <w:autoSpaceDE w:val="0"/>
        <w:autoSpaceDN w:val="0"/>
        <w:adjustRightInd w:val="0"/>
        <w:spacing w:line="288" w:lineRule="auto"/>
        <w:contextualSpacing/>
        <w:jc w:val="both"/>
        <w:rPr>
          <w:bCs/>
          <w:sz w:val="24"/>
          <w:szCs w:val="24"/>
        </w:rPr>
      </w:pPr>
    </w:p>
    <w:p w14:paraId="049F8C22">
      <w:pPr>
        <w:autoSpaceDE w:val="0"/>
        <w:autoSpaceDN w:val="0"/>
        <w:adjustRightInd w:val="0"/>
        <w:spacing w:line="288" w:lineRule="auto"/>
        <w:contextualSpacing/>
        <w:jc w:val="both"/>
        <w:rPr>
          <w:bCs/>
          <w:sz w:val="24"/>
          <w:szCs w:val="24"/>
        </w:rPr>
      </w:pPr>
      <w:r>
        <w:rPr>
          <w:bCs/>
          <w:sz w:val="24"/>
          <w:szCs w:val="24"/>
        </w:rPr>
        <w:t xml:space="preserve">2.2.1 Podem também ser considerados não-participantes os órgãos ou entidades municipais, distritais, de outros Estados e federais, resguardadas as disposições de cada ente, desde que atendidas as condições do presente Edital e da Ata de Registro de Preços. </w:t>
      </w:r>
    </w:p>
    <w:p w14:paraId="77CFB4C9">
      <w:pPr>
        <w:autoSpaceDE w:val="0"/>
        <w:autoSpaceDN w:val="0"/>
        <w:adjustRightInd w:val="0"/>
        <w:spacing w:line="288" w:lineRule="auto"/>
        <w:contextualSpacing/>
        <w:jc w:val="both"/>
        <w:rPr>
          <w:bCs/>
          <w:color w:val="231F20"/>
          <w:sz w:val="24"/>
          <w:szCs w:val="24"/>
        </w:rPr>
      </w:pPr>
    </w:p>
    <w:p w14:paraId="76578B50">
      <w:pPr>
        <w:autoSpaceDE w:val="0"/>
        <w:autoSpaceDN w:val="0"/>
        <w:adjustRightInd w:val="0"/>
        <w:spacing w:line="288" w:lineRule="auto"/>
        <w:contextualSpacing/>
        <w:jc w:val="both"/>
        <w:rPr>
          <w:bCs/>
          <w:sz w:val="24"/>
          <w:szCs w:val="24"/>
        </w:rPr>
      </w:pPr>
      <w:r>
        <w:rPr>
          <w:bCs/>
          <w:color w:val="231F20"/>
          <w:sz w:val="24"/>
          <w:szCs w:val="24"/>
        </w:rPr>
        <w:t>2.3 S</w:t>
      </w:r>
      <w:r>
        <w:rPr>
          <w:bCs/>
          <w:sz w:val="24"/>
          <w:szCs w:val="24"/>
        </w:rPr>
        <w:t xml:space="preserve">ão as seguintes as quantidades estimadas para a contratação, conforme descrição no Termo de Referência:  </w:t>
      </w:r>
    </w:p>
    <w:p w14:paraId="1788657D">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2.3.2.1 As contratações adicionais pelos não-participantes não poderão exceder, por órgão ou entidade, a 200 % (duzentos por cento) dos quantitativos dos itens registrados na Ata de Registro de Preços para o gerenciador e para os participantes, quando houver. </w:t>
      </w:r>
    </w:p>
    <w:p w14:paraId="66AA35C3">
      <w:pPr>
        <w:pStyle w:val="99"/>
        <w:spacing w:before="288" w:beforeLines="120" w:after="288" w:afterLines="120" w:line="288" w:lineRule="auto"/>
        <w:ind w:left="0" w:hanging="7"/>
        <w:contextualSpacing/>
        <w:rPr>
          <w:rFonts w:ascii="Times New Roman" w:hAnsi="Times New Roman" w:cs="Times New Roman"/>
          <w:bCs/>
          <w:color w:val="auto"/>
          <w:sz w:val="24"/>
          <w:szCs w:val="24"/>
        </w:rPr>
      </w:pPr>
    </w:p>
    <w:p w14:paraId="2ADD7360">
      <w:pPr>
        <w:pStyle w:val="99"/>
        <w:spacing w:before="288" w:beforeLines="120" w:after="288" w:afterLines="120" w:line="288" w:lineRule="auto"/>
        <w:ind w:left="0" w:hanging="7"/>
        <w:contextualSpacing/>
        <w:rPr>
          <w:rFonts w:ascii="Times New Roman" w:hAnsi="Times New Roman" w:cs="Times New Roman"/>
          <w:bCs/>
          <w:color w:val="auto"/>
          <w:sz w:val="24"/>
          <w:szCs w:val="24"/>
        </w:rPr>
      </w:pPr>
      <w:r>
        <w:rPr>
          <w:rFonts w:ascii="Times New Roman" w:hAnsi="Times New Roman" w:cs="Times New Roman"/>
          <w:bCs/>
          <w:color w:val="auto"/>
          <w:sz w:val="24"/>
          <w:szCs w:val="24"/>
        </w:rPr>
        <w:t>2.3.2.2 O quantitativo decorrente das adesões à Ata de Registro de Preços não poderá exceder, na totalidade, ao limite de 200 % ( duzentos</w:t>
      </w:r>
      <w:r>
        <w:rPr>
          <w:rFonts w:ascii="Times New Roman" w:hAnsi="Times New Roman" w:cs="Times New Roman"/>
          <w:bCs/>
          <w:color w:val="FF0000"/>
          <w:sz w:val="24"/>
          <w:szCs w:val="24"/>
        </w:rPr>
        <w:t xml:space="preserve"> </w:t>
      </w:r>
      <w:r>
        <w:rPr>
          <w:rFonts w:ascii="Times New Roman" w:hAnsi="Times New Roman" w:cs="Times New Roman"/>
          <w:bCs/>
          <w:color w:val="auto"/>
          <w:sz w:val="24"/>
          <w:szCs w:val="24"/>
        </w:rPr>
        <w:t>por cento) do quantitativo de cada item registrado na Ata para o gerenciador e para os participantes, quando houver, independentemente do número de órgãos ou entidades não-participantes que aderirem.</w:t>
      </w:r>
    </w:p>
    <w:p w14:paraId="0C9FF52E">
      <w:pPr>
        <w:pStyle w:val="99"/>
        <w:spacing w:before="288" w:beforeLines="120" w:after="288" w:afterLines="120" w:line="288" w:lineRule="auto"/>
        <w:ind w:left="0" w:firstLine="0"/>
        <w:contextualSpacing/>
        <w:rPr>
          <w:rFonts w:ascii="Times New Roman" w:hAnsi="Times New Roman" w:cs="Times New Roman"/>
          <w:bCs/>
          <w:color w:val="auto"/>
          <w:sz w:val="24"/>
          <w:szCs w:val="24"/>
        </w:rPr>
      </w:pPr>
    </w:p>
    <w:p w14:paraId="6F8DAE3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2.4 É vedada a participação do órgão ou da entidade em mais de uma Ata de Registro de Preços com o mesmo objeto no prazo de validade daquela de que já tiver participado, salvo na ocorrência de ata que tenha registrado quantitativo inferior ao máximo previsto no edital da licitação.</w:t>
      </w:r>
    </w:p>
    <w:p w14:paraId="296253C5">
      <w:pPr>
        <w:pStyle w:val="99"/>
        <w:spacing w:before="288" w:beforeLines="120" w:after="288" w:afterLines="120" w:line="288" w:lineRule="auto"/>
        <w:ind w:left="0" w:firstLine="0"/>
        <w:contextualSpacing/>
        <w:rPr>
          <w:rFonts w:ascii="Times New Roman" w:hAnsi="Times New Roman" w:cs="Times New Roman"/>
          <w:sz w:val="24"/>
          <w:szCs w:val="24"/>
        </w:rPr>
      </w:pPr>
    </w:p>
    <w:p w14:paraId="3C347EEA">
      <w:pPr>
        <w:pStyle w:val="99"/>
        <w:spacing w:before="288" w:beforeLines="120" w:after="288" w:afterLines="12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b/>
          <w:bCs/>
          <w:color w:val="auto"/>
          <w:sz w:val="24"/>
          <w:szCs w:val="24"/>
        </w:rPr>
        <w:t>3. DA PARTICIPAÇÃO NA LICITAÇÃO</w:t>
      </w:r>
    </w:p>
    <w:p w14:paraId="44F5A263">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 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6"/>
          <w:rFonts w:ascii="Times New Roman" w:hAnsi="Times New Roman" w:cs="Times New Roman" w:eastAsiaTheme="minorHAnsi"/>
          <w:color w:val="auto"/>
          <w:sz w:val="24"/>
          <w:szCs w:val="24"/>
        </w:rPr>
        <w:t>www.gov.br/compras</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por meio de Certificado Digital conferido pela Infraestrutura de Chaves Públicas Brasileira – ICP – Brasil.</w:t>
      </w:r>
    </w:p>
    <w:p w14:paraId="1E637F77">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p>
    <w:p w14:paraId="6A1DC75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3.1.1 Os interessados deverão atender às condições exigidas no cadastramento no SICAF até o terceiro dia útil anterior à data prevista para recebimento das propostas.</w:t>
      </w:r>
    </w:p>
    <w:p w14:paraId="1375C0B5">
      <w:pPr>
        <w:pStyle w:val="103"/>
        <w:spacing w:before="288" w:beforeLines="120" w:after="288" w:afterLines="120" w:line="288" w:lineRule="auto"/>
        <w:ind w:left="567" w:right="565" w:firstLine="0"/>
        <w:contextualSpacing/>
        <w:rPr>
          <w:rFonts w:ascii="Times New Roman" w:hAnsi="Times New Roman" w:eastAsia="Calibri" w:cs="Times New Roman"/>
          <w:sz w:val="24"/>
          <w:szCs w:val="24"/>
          <w:lang w:eastAsia="en-US"/>
        </w:rPr>
      </w:pPr>
    </w:p>
    <w:p w14:paraId="276EA0A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eastAsia="Calibri" w:cs="Times New Roman"/>
          <w:sz w:val="24"/>
          <w:szCs w:val="24"/>
          <w:lang w:eastAsia="en-US"/>
        </w:rPr>
        <w:t xml:space="preserve">3.1.2 </w:t>
      </w:r>
      <w:r>
        <w:rPr>
          <w:rFonts w:ascii="Times New Roman" w:hAnsi="Times New Roman" w:cs="Times New Roman"/>
          <w:sz w:val="24"/>
          <w:szCs w:val="24"/>
        </w:rPr>
        <w:t xml:space="preserve">O procedimento será divulgado </w:t>
      </w:r>
      <w:r>
        <w:rPr>
          <w:rFonts w:ascii="Times New Roman" w:hAnsi="Times New Roman" w:cs="Times New Roman"/>
          <w:color w:val="auto"/>
          <w:sz w:val="24"/>
          <w:szCs w:val="24"/>
        </w:rPr>
        <w:t>no sítio eletrônico mencionado no item 3.1</w:t>
      </w:r>
      <w:r>
        <w:rPr>
          <w:rFonts w:ascii="Times New Roman" w:hAnsi="Times New Roman" w:cs="Times New Roman"/>
          <w:color w:val="FF0000"/>
          <w:sz w:val="24"/>
          <w:szCs w:val="24"/>
        </w:rPr>
        <w:t xml:space="preserve"> </w:t>
      </w:r>
      <w:r>
        <w:rPr>
          <w:rFonts w:ascii="Times New Roman" w:hAnsi="Times New Roman" w:cs="Times New Roman"/>
          <w:sz w:val="24"/>
          <w:szCs w:val="24"/>
        </w:rPr>
        <w:t>e no Portal Nacional de Contratações Públicas – PNCP.</w:t>
      </w:r>
      <w:r>
        <w:rPr>
          <w:rFonts w:ascii="Times New Roman" w:hAnsi="Times New Roman" w:cs="Times New Roman"/>
          <w:strike/>
          <w:sz w:val="24"/>
          <w:szCs w:val="24"/>
        </w:rPr>
        <w:t xml:space="preserve"> </w:t>
      </w:r>
    </w:p>
    <w:p w14:paraId="5A1598F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999BFA1">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6A59480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sz w:val="24"/>
          <w:szCs w:val="24"/>
          <w:lang w:eastAsia="en-US"/>
        </w:rPr>
        <w:t xml:space="preserve">3.3 </w:t>
      </w:r>
      <w:r>
        <w:rPr>
          <w:rFonts w:ascii="Times New Roman" w:hAnsi="Times New Roman" w:cs="Times New Roman"/>
          <w:color w:val="auto"/>
          <w:sz w:val="24"/>
          <w:szCs w:val="24"/>
        </w:rPr>
        <w:t>É de responsabilidade do cadastrado conferir a exatidão dos seus dados cadastrais nos Sistemas relacionados neste item 3 e mantê-los atualizados junto aos órgãos responsáveis pela informação, devendo proceder, imediatamente, à correção ou à alteração dos registros tão logo identifique incorreção ou aqueles se tornem desatualizados.</w:t>
      </w:r>
    </w:p>
    <w:p w14:paraId="7E2DD5E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3F745EE1">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3.4 A não observância do disposto no item anterior poderá ensejar desclassificação no momento da habilitação.</w:t>
      </w:r>
    </w:p>
    <w:p w14:paraId="6E68B4B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A3F5A">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3.5 Será reservada cota de 25% (vinte e cinco por cento) para microempresas e empresas de pequeno porte, na forma do art. 48, III, da Lei Complementar n° 123/2006, e do art. 8º do Decreto n.º 42.063, de 06 de outubro de 2009.</w:t>
      </w:r>
    </w:p>
    <w:p w14:paraId="528D3C3B">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0F4C89CA">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3.5.1 Na hipótese de não haver vencedor para a cota reservada, esta poderá ser adjudicada ao vencedor da cota principal ou, diante de sua recusa, aos licitantes remanescentes, desde que pratiquem o preço do primeiro colocado da cota principal.</w:t>
      </w:r>
    </w:p>
    <w:p w14:paraId="064EC282">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688AA94">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r>
        <w:rPr>
          <w:rFonts w:ascii="Times New Roman" w:hAnsi="Times New Roman" w:eastAsia="Calibri" w:cs="Times New Roman"/>
          <w:color w:val="000000" w:themeColor="text1"/>
          <w:sz w:val="24"/>
          <w:szCs w:val="24"/>
          <w:lang w:eastAsia="en-US"/>
          <w14:textFill>
            <w14:solidFill>
              <w14:schemeClr w14:val="tx1"/>
            </w14:solidFill>
          </w14:textFill>
        </w:rPr>
        <w:t>3.5.2 Se a mesma empresa vencer a cota reservada e a cota principal, a contratação das cotas deverá ocorrer pelo menor preço.</w:t>
      </w:r>
    </w:p>
    <w:p w14:paraId="1404AFD5">
      <w:pPr>
        <w:pStyle w:val="99"/>
        <w:spacing w:before="288" w:beforeLines="120" w:after="288" w:afterLines="120" w:line="288" w:lineRule="auto"/>
        <w:ind w:left="0" w:right="-2" w:firstLine="0"/>
        <w:contextualSpacing/>
        <w:rPr>
          <w:rFonts w:ascii="Times New Roman" w:hAnsi="Times New Roman" w:eastAsia="Calibri" w:cs="Times New Roman"/>
          <w:color w:val="000000" w:themeColor="text1"/>
          <w:sz w:val="24"/>
          <w:szCs w:val="24"/>
          <w:lang w:eastAsia="en-US"/>
          <w14:textFill>
            <w14:solidFill>
              <w14:schemeClr w14:val="tx1"/>
            </w14:solidFill>
          </w14:textFill>
        </w:rPr>
      </w:pPr>
    </w:p>
    <w:p w14:paraId="12DA3D79">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3.5.3 </w:t>
      </w:r>
      <w:r>
        <w:rPr>
          <w:rFonts w:ascii="Times New Roman" w:hAnsi="Times New Roman" w:eastAsia="Calibri" w:cs="Times New Roman"/>
          <w:color w:val="auto"/>
          <w:sz w:val="24"/>
          <w:szCs w:val="24"/>
          <w:lang w:eastAsia="en-US"/>
        </w:rPr>
        <w:tab/>
      </w:r>
      <w:r>
        <w:rPr>
          <w:rFonts w:ascii="Times New Roman" w:hAnsi="Times New Roman" w:eastAsia="Calibri" w:cs="Times New Roman"/>
          <w:color w:val="auto"/>
          <w:sz w:val="24"/>
          <w:szCs w:val="24"/>
          <w:lang w:eastAsia="en-US"/>
        </w:rPr>
        <w:t>Será dada prioridade de aquisição aos produtos das cotas reservadas quando forem adjudicados aos licitantes qualificados como microempresas ou empresas de pequeno porte, ressalvados os casos em que a cota reservada for inadequada para atender as quantidades ou as condições do pedido, nos termos Lei Municipal nº 2367 /2007  e Lei complementar Municipal nº 122/2009.</w:t>
      </w:r>
    </w:p>
    <w:p w14:paraId="5974FC2F">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77FB7DDF">
      <w:pPr>
        <w:pStyle w:val="99"/>
        <w:spacing w:before="288" w:beforeLines="120" w:after="288" w:afterLines="120" w:line="288" w:lineRule="auto"/>
        <w:ind w:left="0" w:right="-2" w:firstLine="0"/>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sz w:val="24"/>
          <w:szCs w:val="24"/>
          <w:lang w:eastAsia="en-US"/>
        </w:rPr>
        <w:t xml:space="preserve">3.6 </w:t>
      </w:r>
      <w:r>
        <w:rPr>
          <w:rFonts w:ascii="Times New Roman" w:hAnsi="Times New Roman" w:cs="Times New Roman"/>
          <w:color w:val="auto"/>
          <w:sz w:val="24"/>
          <w:szCs w:val="24"/>
        </w:rPr>
        <w:t xml:space="preserve">Será concedido o tratamento favorecido previsto nos arts. 42 a 49 da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Lei Municipal n° 2367/2027</w:t>
      </w:r>
      <w:r>
        <w:rPr>
          <w:rFonts w:ascii="Times New Roman" w:hAnsi="Times New Roman" w:eastAsia="Calibri" w:cs="Times New Roman"/>
          <w:color w:val="auto"/>
          <w:sz w:val="24"/>
          <w:szCs w:val="24"/>
          <w:lang w:eastAsia="en-US"/>
        </w:rPr>
        <w:t xml:space="preserve"> e Lei complementar Municipal nº 122/2009.</w:t>
      </w:r>
    </w:p>
    <w:p w14:paraId="0618DC4F">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para as microempresas e empresas de pequeno porte, para o agricultor familiar, o produtor rural pessoa física e para o microempreendedor individual - MEI.</w:t>
      </w:r>
      <w:bookmarkStart w:id="0" w:name="_Ref117015508"/>
    </w:p>
    <w:p w14:paraId="02C885C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1C0531E">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3.6.1 A obtenção dos benefícios a que se referem os arts. 42 a 49 da Lei Complementar nº 123/2006,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A419878">
      <w:pPr>
        <w:tabs>
          <w:tab w:val="left" w:pos="1440"/>
        </w:tabs>
        <w:autoSpaceDE w:val="0"/>
        <w:snapToGrid w:val="0"/>
        <w:spacing w:before="288" w:beforeLines="120" w:after="288" w:afterLines="120" w:line="288" w:lineRule="auto"/>
        <w:contextualSpacing/>
        <w:jc w:val="both"/>
        <w:rPr>
          <w:sz w:val="24"/>
          <w:szCs w:val="24"/>
        </w:rPr>
      </w:pPr>
      <w:r>
        <w:rPr>
          <w:sz w:val="24"/>
          <w:szCs w:val="24"/>
        </w:rPr>
        <w:t>3.6.2 Nas contratações com prazo de vigência superior a 1 (um) ano, será considerado o valor anual do contrato.</w:t>
      </w:r>
    </w:p>
    <w:p w14:paraId="3182F3A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 w:name="_Ref117000692"/>
      <w:r>
        <w:rPr>
          <w:rFonts w:ascii="Times New Roman" w:hAnsi="Times New Roman" w:cs="Times New Roman"/>
          <w:color w:val="auto"/>
          <w:sz w:val="24"/>
          <w:szCs w:val="24"/>
        </w:rPr>
        <w:t>3.7 Não poderão disputar esta licitação:</w:t>
      </w:r>
      <w:bookmarkEnd w:id="1"/>
    </w:p>
    <w:p w14:paraId="07CA597D">
      <w:pPr>
        <w:tabs>
          <w:tab w:val="left" w:pos="1440"/>
        </w:tabs>
        <w:autoSpaceDE w:val="0"/>
        <w:snapToGrid w:val="0"/>
        <w:spacing w:before="288" w:beforeLines="120" w:after="288" w:afterLines="120" w:line="288" w:lineRule="auto"/>
        <w:contextualSpacing/>
        <w:jc w:val="both"/>
        <w:rPr>
          <w:sz w:val="24"/>
          <w:szCs w:val="24"/>
        </w:rPr>
      </w:pPr>
      <w:bookmarkStart w:id="2" w:name="_Ref113883338"/>
      <w:r>
        <w:rPr>
          <w:sz w:val="24"/>
          <w:szCs w:val="24"/>
        </w:rPr>
        <w:t>3.7.1 aquele que não atenda às condições deste Edital e seu(s) anexo(s);</w:t>
      </w:r>
    </w:p>
    <w:p w14:paraId="78D7C1A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3" w:name="_Ref113883003"/>
      <w:bookmarkStart w:id="4" w:name="_Ref114659912"/>
      <w:r>
        <w:rPr>
          <w:rFonts w:ascii="Times New Roman" w:hAnsi="Times New Roman" w:cs="Times New Roman"/>
          <w:color w:val="auto"/>
          <w:sz w:val="24"/>
          <w:szCs w:val="24"/>
        </w:rPr>
        <w:t>3.</w:t>
      </w:r>
      <w:r>
        <w:rPr>
          <w:rFonts w:ascii="Times New Roman" w:hAnsi="Times New Roman" w:cs="Times New Roman"/>
          <w:sz w:val="24"/>
          <w:szCs w:val="24"/>
        </w:rPr>
        <w:t>7</w:t>
      </w:r>
      <w:r>
        <w:rPr>
          <w:rFonts w:ascii="Times New Roman" w:hAnsi="Times New Roman" w:cs="Times New Roman"/>
          <w:color w:val="auto"/>
          <w:sz w:val="24"/>
          <w:szCs w:val="24"/>
        </w:rPr>
        <w:t>.2 pessoa física ou jurídica que se encontre, ao tempo da licitação, impossibilitada de participar da licitação em decorrência de sanção que lhe foi imposta;</w:t>
      </w:r>
      <w:bookmarkEnd w:id="3"/>
    </w:p>
    <w:p w14:paraId="082C7105">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F88863">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3.7.3 autor do anteprojeto, do projeto básico ou do projeto executivo, pessoa física ou jurídica, quando a licitação versar sobre serviços ou fornecimento de bens a ele relacionados;</w:t>
      </w:r>
      <w:bookmarkEnd w:id="2"/>
      <w:bookmarkEnd w:id="4"/>
    </w:p>
    <w:p w14:paraId="789500F3">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5" w:name="_Ref114659913"/>
      <w:bookmarkStart w:id="6" w:name="_Ref113883339"/>
    </w:p>
    <w:p w14:paraId="075252F5">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Pr>
          <w:rFonts w:ascii="Times New Roman" w:hAnsi="Times New Roman" w:cs="Times New Roman"/>
          <w:color w:val="auto"/>
          <w:sz w:val="24"/>
          <w:szCs w:val="24"/>
        </w:rPr>
        <w:t xml:space="preserve"> </w:t>
      </w:r>
      <w:bookmarkEnd w:id="6"/>
    </w:p>
    <w:p w14:paraId="7C452B0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490F4A8">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067239">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7" w:name="_Ref113883579"/>
    </w:p>
    <w:p w14:paraId="3A58E074">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3.7.6 empresas controladoras, controladas ou coligadas, nos termos da Lei nº 6.404, de 15 de dezembro de 1976, concorrendo entre si;</w:t>
      </w:r>
      <w:bookmarkEnd w:id="7"/>
    </w:p>
    <w:p w14:paraId="7EA7A39E">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03CF0AB">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CE984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8" w:name="_Ref113962336"/>
    </w:p>
    <w:p w14:paraId="6598542F">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3.7.8 agente público do órgão ou entidade licitante, na qualidade de pessoa física ou de representante de pessoa jurídica;</w:t>
      </w:r>
      <w:bookmarkEnd w:id="8"/>
    </w:p>
    <w:p w14:paraId="1FE281A4">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4F944000">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3.7.9 </w:t>
      </w:r>
      <w:r>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6"/>
          <w:rFonts w:ascii="Times New Roman" w:hAnsi="Times New Roman" w:cs="Times New Roman" w:eastAsiaTheme="minorHAnsi"/>
          <w:color w:val="auto"/>
          <w:sz w:val="24"/>
          <w:szCs w:val="24"/>
        </w:rPr>
        <w:t>§ 1º do art. 9º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5682E86">
      <w:pPr>
        <w:pStyle w:val="103"/>
        <w:spacing w:before="288" w:beforeLines="120" w:after="288" w:afterLines="120" w:line="288" w:lineRule="auto"/>
        <w:ind w:left="567" w:right="565" w:firstLine="0"/>
        <w:contextualSpacing/>
        <w:rPr>
          <w:rFonts w:ascii="Times New Roman" w:hAnsi="Times New Roman" w:cs="Times New Roman"/>
          <w:color w:val="FF0000"/>
          <w:sz w:val="24"/>
          <w:szCs w:val="24"/>
        </w:rPr>
      </w:pPr>
      <w:bookmarkStart w:id="9" w:name="_Hlk154223269"/>
    </w:p>
    <w:bookmarkEnd w:id="9"/>
    <w:p w14:paraId="08CD7B1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3.8 </w:t>
      </w:r>
      <w:r>
        <w:rPr>
          <w:rFonts w:ascii="Times New Roman" w:hAnsi="Times New Roman" w:cs="Times New Roman"/>
          <w:sz w:val="24"/>
          <w:szCs w:val="24"/>
        </w:rPr>
        <w:t>O impedimento de que trata o item 3.7.2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DF7BB8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0" w:name="art14§2"/>
      <w:bookmarkEnd w:id="10"/>
    </w:p>
    <w:p w14:paraId="33E12C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 A critério da Administração e exclusivamente a seu serviço, o autor dos projetos e a empresa a que se referem os itens 3.7.3 e 3.7.4 poderão participar no apoio das atividades de planejamento da contratação, de execução da licitação ou de gestão do contrato, desde que sob supervisão exclusiva de agentes públicos do órgão ou entidade.</w:t>
      </w:r>
    </w:p>
    <w:p w14:paraId="607F1A11">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1" w:name="art14§3"/>
      <w:bookmarkEnd w:id="11"/>
    </w:p>
    <w:p w14:paraId="0717E7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3.9.1 Equiparam-se aos autores do projeto as empresas integrantes do mesmo grupo econômico.</w:t>
      </w:r>
    </w:p>
    <w:p w14:paraId="3B0E68DF">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2" w:name="art14§4"/>
      <w:bookmarkEnd w:id="12"/>
    </w:p>
    <w:p w14:paraId="32DA13D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3.9.2 O disposto nos itens 3.7.3 e 3.7.4 não impede a licitação ou a contratação de serviço que inclua como encargo do contratado a elaboração do projeto básico e do projeto executivo, nas contratações integradas, e do projeto executivo, nos demais regimes de execução.</w:t>
      </w:r>
    </w:p>
    <w:p w14:paraId="73372CD6">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3" w:name="art14§5"/>
      <w:bookmarkEnd w:id="13"/>
    </w:p>
    <w:p w14:paraId="26C00DD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30E0EEDE">
      <w:pPr>
        <w:pStyle w:val="99"/>
        <w:spacing w:before="288" w:beforeLines="120" w:after="288" w:afterLines="120" w:line="288" w:lineRule="auto"/>
        <w:ind w:left="0" w:firstLine="0"/>
        <w:contextualSpacing/>
        <w:rPr>
          <w:rFonts w:ascii="Times New Roman" w:hAnsi="Times New Roman" w:eastAsia="Calibri" w:cs="Times New Roman"/>
          <w:sz w:val="24"/>
          <w:szCs w:val="24"/>
          <w:lang w:eastAsia="en-US"/>
        </w:rPr>
      </w:pPr>
    </w:p>
    <w:p w14:paraId="40387F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3.11 A vedação de que trata o item </w:t>
      </w:r>
      <w:r>
        <w:rPr>
          <w:rFonts w:ascii="Times New Roman" w:hAnsi="Times New Roman" w:cs="Times New Roman"/>
          <w:color w:val="auto"/>
          <w:sz w:val="24"/>
          <w:szCs w:val="24"/>
        </w:rPr>
        <w:t xml:space="preserve">3.7.8 </w:t>
      </w:r>
      <w:r>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528914E8">
      <w:pPr>
        <w:pStyle w:val="99"/>
        <w:spacing w:before="288" w:beforeLines="120" w:after="288" w:afterLines="120" w:line="288" w:lineRule="auto"/>
        <w:ind w:left="0" w:firstLine="0"/>
        <w:contextualSpacing/>
        <w:rPr>
          <w:rFonts w:ascii="Times New Roman" w:hAnsi="Times New Roman" w:cs="Times New Roman"/>
          <w:sz w:val="24"/>
          <w:szCs w:val="24"/>
        </w:rPr>
      </w:pPr>
    </w:p>
    <w:p w14:paraId="6FF3D84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 Será permitida a participação de pessoas jurídicas reunidas em consórcio, observadas as seguintes regras:</w:t>
      </w:r>
    </w:p>
    <w:p w14:paraId="78BE01DF">
      <w:pPr>
        <w:pStyle w:val="99"/>
        <w:spacing w:before="288" w:beforeLines="120" w:after="288" w:afterLines="120" w:line="288" w:lineRule="auto"/>
        <w:ind w:left="0" w:firstLine="0"/>
        <w:contextualSpacing/>
        <w:rPr>
          <w:rFonts w:ascii="Times New Roman" w:hAnsi="Times New Roman" w:cs="Times New Roman"/>
          <w:sz w:val="24"/>
          <w:szCs w:val="24"/>
        </w:rPr>
      </w:pPr>
    </w:p>
    <w:p w14:paraId="2C5ACA9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3.12.1 as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321BB397">
      <w:pPr>
        <w:tabs>
          <w:tab w:val="left" w:pos="1440"/>
        </w:tabs>
        <w:autoSpaceDE w:val="0"/>
        <w:snapToGrid w:val="0"/>
        <w:spacing w:before="288" w:beforeLines="120" w:after="288" w:afterLines="120" w:line="288" w:lineRule="auto"/>
        <w:contextualSpacing/>
        <w:jc w:val="both"/>
        <w:rPr>
          <w:sz w:val="24"/>
          <w:szCs w:val="24"/>
        </w:rPr>
      </w:pPr>
      <w:r>
        <w:rPr>
          <w:sz w:val="24"/>
          <w:szCs w:val="24"/>
        </w:rPr>
        <w:t>3.12.2 impedimento de a empresa consorciada participar, na mesma licitação, de mais de um consórcio ou de forma isolada;</w:t>
      </w:r>
    </w:p>
    <w:p w14:paraId="6BC5776D">
      <w:pPr>
        <w:tabs>
          <w:tab w:val="left" w:pos="1440"/>
        </w:tabs>
        <w:autoSpaceDE w:val="0"/>
        <w:snapToGrid w:val="0"/>
        <w:spacing w:before="288" w:beforeLines="120" w:after="288" w:afterLines="120" w:line="288" w:lineRule="auto"/>
        <w:contextualSpacing/>
        <w:jc w:val="both"/>
        <w:rPr>
          <w:sz w:val="24"/>
          <w:szCs w:val="24"/>
        </w:rPr>
      </w:pPr>
    </w:p>
    <w:p w14:paraId="11838D0F">
      <w:pPr>
        <w:tabs>
          <w:tab w:val="left" w:pos="1440"/>
        </w:tabs>
        <w:autoSpaceDE w:val="0"/>
        <w:snapToGrid w:val="0"/>
        <w:spacing w:before="288" w:beforeLines="120" w:after="288" w:afterLines="120" w:line="288" w:lineRule="auto"/>
        <w:contextualSpacing/>
        <w:jc w:val="both"/>
        <w:rPr>
          <w:sz w:val="24"/>
          <w:szCs w:val="24"/>
        </w:rPr>
      </w:pPr>
      <w:r>
        <w:rPr>
          <w:sz w:val="24"/>
          <w:szCs w:val="24"/>
        </w:rPr>
        <w:t>3.12.3 o consórcio vencedor, quando for o caso, ficará obrigado a promover a sua constituição e registro antes da celebração do Contrato, nos termos do compromisso firmado conforme item 3.12.1;</w:t>
      </w:r>
    </w:p>
    <w:p w14:paraId="7EC720AF">
      <w:pPr>
        <w:tabs>
          <w:tab w:val="left" w:pos="1440"/>
        </w:tabs>
        <w:autoSpaceDE w:val="0"/>
        <w:snapToGrid w:val="0"/>
        <w:spacing w:before="288" w:beforeLines="120" w:after="288" w:afterLines="120" w:line="288" w:lineRule="auto"/>
        <w:contextualSpacing/>
        <w:jc w:val="both"/>
        <w:rPr>
          <w:sz w:val="24"/>
          <w:szCs w:val="24"/>
        </w:rPr>
      </w:pPr>
    </w:p>
    <w:p w14:paraId="383DC82B">
      <w:pPr>
        <w:tabs>
          <w:tab w:val="left" w:pos="1440"/>
        </w:tabs>
        <w:autoSpaceDE w:val="0"/>
        <w:snapToGrid w:val="0"/>
        <w:spacing w:before="288" w:beforeLines="120" w:after="288" w:afterLines="120" w:line="288" w:lineRule="auto"/>
        <w:contextualSpacing/>
        <w:jc w:val="both"/>
        <w:rPr>
          <w:sz w:val="24"/>
          <w:szCs w:val="24"/>
        </w:rPr>
      </w:pPr>
      <w:r>
        <w:rPr>
          <w:sz w:val="24"/>
          <w:szCs w:val="24"/>
        </w:rPr>
        <w:t>3.12.4 as empresas consorciadas responderão solidariamente pelos atos praticados em consórcio, tanto na fase da licitação quanto na da execução do Contrato;</w:t>
      </w:r>
    </w:p>
    <w:p w14:paraId="3534F75B">
      <w:pPr>
        <w:tabs>
          <w:tab w:val="left" w:pos="1440"/>
        </w:tabs>
        <w:autoSpaceDE w:val="0"/>
        <w:snapToGrid w:val="0"/>
        <w:spacing w:before="288" w:beforeLines="120" w:after="288" w:afterLines="120" w:line="288" w:lineRule="auto"/>
        <w:contextualSpacing/>
        <w:jc w:val="both"/>
        <w:rPr>
          <w:sz w:val="24"/>
          <w:szCs w:val="24"/>
        </w:rPr>
      </w:pPr>
    </w:p>
    <w:p w14:paraId="4C0240D0">
      <w:pPr>
        <w:tabs>
          <w:tab w:val="left" w:pos="1440"/>
        </w:tabs>
        <w:autoSpaceDE w:val="0"/>
        <w:snapToGrid w:val="0"/>
        <w:spacing w:before="288" w:beforeLines="120" w:after="288" w:afterLines="120" w:line="288" w:lineRule="auto"/>
        <w:contextualSpacing/>
        <w:jc w:val="both"/>
        <w:rPr>
          <w:sz w:val="24"/>
          <w:szCs w:val="24"/>
        </w:rPr>
      </w:pPr>
      <w:r>
        <w:rPr>
          <w:sz w:val="24"/>
          <w:szCs w:val="24"/>
        </w:rPr>
        <w:t>3.12.5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D7D54D7">
      <w:pPr>
        <w:pStyle w:val="97"/>
        <w:spacing w:before="0" w:beforeAutospacing="0" w:after="0" w:afterAutospacing="0" w:line="288" w:lineRule="auto"/>
        <w:contextualSpacing/>
        <w:jc w:val="both"/>
        <w:rPr>
          <w:rFonts w:eastAsia="Calibri"/>
          <w:b/>
          <w:bCs/>
          <w:lang w:eastAsia="en-US"/>
        </w:rPr>
      </w:pPr>
      <w:r>
        <w:rPr>
          <w:rFonts w:eastAsia="Calibri"/>
          <w:b/>
          <w:bCs/>
          <w:lang w:eastAsia="en-US"/>
        </w:rPr>
        <w:t>4. DAS DECLARAÇÕES E DA APRESENTAÇÃO DA PROPOSTA</w:t>
      </w:r>
    </w:p>
    <w:p w14:paraId="1C2C7774">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Na presente licitação, a fase de habilitação será realizada após as fases de apresentação de propostas e lances e de julgamento.</w:t>
      </w:r>
    </w:p>
    <w:p w14:paraId="70EF4B38">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14" w:name="_Ref113886867"/>
    </w:p>
    <w:p w14:paraId="2725986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bookmarkStart w:id="15" w:name="_Ref113968921"/>
    </w:p>
    <w:p w14:paraId="6853B6F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6E9E6FD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 No cadastramento da proposta inicial, o licitante declarará, em campo próprio do sistema, que:</w:t>
      </w:r>
      <w:bookmarkEnd w:id="15"/>
    </w:p>
    <w:p w14:paraId="4F34F2E7">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4.3.1 está ciente e concorda com as condições contidas no Edital e seus anexos</w:t>
      </w:r>
      <w:bookmarkStart w:id="16" w:name="_Hlk154224613"/>
      <w:r>
        <w:rPr>
          <w:rFonts w:ascii="Times New Roman" w:hAnsi="Times New Roman" w:cs="Times New Roman"/>
          <w:color w:val="auto"/>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6"/>
    <w:p w14:paraId="3D576E7F">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5E36CB29">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6"/>
          <w:rFonts w:ascii="Times New Roman" w:hAnsi="Times New Roman" w:cs="Times New Roman" w:eastAsiaTheme="minorHAnsi"/>
          <w:color w:val="auto"/>
          <w:sz w:val="24"/>
          <w:szCs w:val="24"/>
        </w:rPr>
        <w:t>art. 7°, XXXIII,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771CD99B">
      <w:pPr>
        <w:pStyle w:val="103"/>
        <w:spacing w:before="288" w:beforeLines="120" w:after="288" w:afterLines="120" w:line="288" w:lineRule="auto"/>
        <w:ind w:left="0" w:firstLine="0"/>
        <w:contextualSpacing/>
        <w:rPr>
          <w:rFonts w:ascii="Times New Roman" w:hAnsi="Times New Roman" w:cs="Times New Roman"/>
          <w:sz w:val="24"/>
          <w:szCs w:val="24"/>
        </w:rPr>
      </w:pPr>
      <w:bookmarkStart w:id="17" w:name="_Hlk154224321"/>
    </w:p>
    <w:p w14:paraId="28D4F6D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4.3.3 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incisos III e IV do art. 1º e no inciso III do art. 5º da Constituição Federal</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bookmarkEnd w:id="17"/>
    <w:p w14:paraId="0D0F30F7">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1AD61B7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4.3.4 cumpre as exigências de reserva de cargos para pessoa com deficiência e para reabilitado da Previdência Social, previstas em lei e em outras normas específicas;</w:t>
      </w:r>
    </w:p>
    <w:p w14:paraId="22E7A23B">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2B4785A8">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8" w:name="_Hlk154224365"/>
      <w:r>
        <w:rPr>
          <w:rFonts w:ascii="Times New Roman" w:hAnsi="Times New Roman" w:cs="Times New Roman"/>
          <w:color w:val="auto"/>
          <w:sz w:val="24"/>
          <w:szCs w:val="24"/>
        </w:rPr>
        <w:t>4.3.5 está ciente da obrigação de cumprimento de cota de aprendiz, na forma dos artigos 429 e seguintes da Consolidação das Leis do Trabalho, e da necessidade de comprovar o cumprimento dessa exigência, por meio de certidão, no momento de assinatura do contrato;</w:t>
      </w:r>
    </w:p>
    <w:bookmarkEnd w:id="18"/>
    <w:p w14:paraId="71DF37CC">
      <w:pPr>
        <w:pStyle w:val="103"/>
        <w:spacing w:before="288" w:beforeLines="120" w:after="288" w:afterLines="120" w:line="288" w:lineRule="auto"/>
        <w:ind w:left="0" w:firstLine="0"/>
        <w:contextualSpacing/>
        <w:rPr>
          <w:rFonts w:ascii="Times New Roman" w:hAnsi="Times New Roman" w:cs="Times New Roman"/>
          <w:color w:val="auto"/>
          <w:sz w:val="24"/>
          <w:szCs w:val="24"/>
        </w:rPr>
      </w:pPr>
      <w:bookmarkStart w:id="19" w:name="_Hlk154224840"/>
    </w:p>
    <w:p w14:paraId="1B6C8F0A">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4.3.6 não foram aplicadas penalidades de suspensão temporária da participação em licitação, impedimento de contratar ou declaração de inidoneidade para licitar e contratar cujos efeitos ainda vigorem e sejam aplicáveis no âmbito do Município de Valença RJ.</w:t>
      </w:r>
    </w:p>
    <w:bookmarkEnd w:id="19"/>
    <w:p w14:paraId="2EB824E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4.4 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w:instrText>
      </w:r>
      <w:r>
        <w:fldChar w:fldCharType="separate"/>
      </w:r>
      <w:r>
        <w:rPr>
          <w:rStyle w:val="16"/>
          <w:rFonts w:ascii="Times New Roman" w:hAnsi="Times New Roman" w:cs="Times New Roman" w:eastAsiaTheme="minorHAnsi"/>
          <w:color w:val="auto"/>
          <w:sz w:val="24"/>
          <w:szCs w:val="24"/>
        </w:rPr>
        <w:t>art. 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696CD3E9">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20" w:name="_Ref117000019"/>
    </w:p>
    <w:p w14:paraId="0F0A869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4.5 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16"/>
          <w:rFonts w:ascii="Times New Roman" w:hAnsi="Times New Roman" w:cs="Times New Roman" w:eastAsiaTheme="minorHAnsi"/>
          <w:color w:val="auto"/>
          <w:sz w:val="24"/>
          <w:szCs w:val="24"/>
        </w:rPr>
        <w:t>art. 3° da 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estando apto a usufruir do tratamento favorecido estabelecido em seus </w:t>
      </w:r>
      <w:bookmarkEnd w:id="20"/>
      <w:r>
        <w:fldChar w:fldCharType="begin"/>
      </w:r>
      <w:r>
        <w:rPr>
          <w:rFonts w:ascii="Times New Roman" w:hAnsi="Times New Roman" w:cs="Times New Roman"/>
          <w:color w:val="auto"/>
          <w:sz w:val="24"/>
          <w:szCs w:val="24"/>
        </w:rPr>
        <w:instrText xml:space="preserve">HYPERLINK "https://www.planalto.gov.br/ccivil_03/leis/lcp/lcp123.htm" \l "art42"</w:instrText>
      </w:r>
      <w:r>
        <w:fldChar w:fldCharType="separate"/>
      </w:r>
      <w:r>
        <w:rPr>
          <w:rStyle w:val="16"/>
          <w:rFonts w:ascii="Times New Roman" w:hAnsi="Times New Roman" w:cs="Times New Roman" w:eastAsiaTheme="minorHAnsi"/>
          <w:color w:val="auto"/>
          <w:sz w:val="24"/>
          <w:szCs w:val="24"/>
        </w:rPr>
        <w:t>arts. 42 a 49</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6"/>
          <w:rFonts w:ascii="Times New Roman" w:hAnsi="Times New Roman" w:cs="Times New Roman" w:eastAsiaTheme="minorHAnsi"/>
          <w:color w:val="auto"/>
          <w:sz w:val="24"/>
          <w:szCs w:val="24"/>
        </w:rPr>
        <w:t>§§ 1º ao 3º do art. 4º da Lei n.º 14.133/2021.</w:t>
      </w:r>
      <w:r>
        <w:rPr>
          <w:rStyle w:val="16"/>
          <w:rFonts w:ascii="Times New Roman" w:hAnsi="Times New Roman" w:cs="Times New Roman" w:eastAsiaTheme="minorHAnsi"/>
          <w:color w:val="auto"/>
          <w:sz w:val="24"/>
          <w:szCs w:val="24"/>
        </w:rPr>
        <w:fldChar w:fldCharType="end"/>
      </w:r>
    </w:p>
    <w:p w14:paraId="21DAD6E8">
      <w:pPr>
        <w:pStyle w:val="103"/>
        <w:spacing w:before="288" w:beforeLines="120" w:after="288" w:afterLines="120" w:line="288" w:lineRule="auto"/>
        <w:ind w:left="0" w:firstLine="0"/>
        <w:contextualSpacing/>
        <w:rPr>
          <w:rFonts w:ascii="Times New Roman" w:hAnsi="Times New Roman" w:cs="Times New Roman"/>
          <w:sz w:val="24"/>
          <w:szCs w:val="24"/>
        </w:rPr>
      </w:pPr>
      <w:bookmarkStart w:id="21" w:name="_Hlk154225179"/>
      <w:r>
        <w:rPr>
          <w:rFonts w:ascii="Times New Roman" w:hAnsi="Times New Roman" w:cs="Times New Roman"/>
          <w:sz w:val="24"/>
          <w:szCs w:val="24"/>
        </w:rPr>
        <w:t>4.5.1 no item exclusivo para participação de microempresas e empresas de pequeno porte, a ausência de declaração na forma do item anterior impedirá o prosseguimento no certame, para aquele item;</w:t>
      </w:r>
    </w:p>
    <w:p w14:paraId="637339A7">
      <w:pPr>
        <w:pStyle w:val="103"/>
        <w:spacing w:before="288" w:beforeLines="120" w:after="288" w:afterLines="120" w:line="288" w:lineRule="auto"/>
        <w:ind w:left="0" w:firstLine="0"/>
        <w:contextualSpacing/>
        <w:rPr>
          <w:rFonts w:ascii="Times New Roman" w:hAnsi="Times New Roman" w:cs="Times New Roman"/>
          <w:sz w:val="24"/>
          <w:szCs w:val="24"/>
        </w:rPr>
      </w:pPr>
    </w:p>
    <w:p w14:paraId="56779E6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4.5.2 nos itens em que a participação não for exclusiva para microempresas e empresas de pequeno porte, a ausência de declaração na forma do item 4.5 apenas produzirá o efeito de o licitante não ter direito ao tratamento favorecido previsto </w:t>
      </w:r>
      <w:r>
        <w:rPr>
          <w:rFonts w:ascii="Times New Roman" w:hAnsi="Times New Roman" w:cs="Times New Roman"/>
          <w:color w:val="auto"/>
          <w:sz w:val="24"/>
          <w:szCs w:val="24"/>
        </w:rPr>
        <w:t xml:space="preserve">na </w:t>
      </w:r>
      <w:r>
        <w:fldChar w:fldCharType="begin"/>
      </w:r>
      <w:r>
        <w:instrText xml:space="preserve"> HYPERLINK "https://www.planalto.gov.br/ccivil_03/leis/lcp/lcp123.htm" </w:instrText>
      </w:r>
      <w:r>
        <w:fldChar w:fldCharType="separate"/>
      </w:r>
      <w:r>
        <w:rPr>
          <w:rStyle w:val="16"/>
          <w:rFonts w:ascii="Times New Roman" w:hAnsi="Times New Roman" w:cs="Times New Roman" w:eastAsiaTheme="minorHAnsi"/>
          <w:color w:val="auto"/>
          <w:sz w:val="24"/>
          <w:szCs w:val="24"/>
        </w:rPr>
        <w:t>Lei Complementar nº 123/2006</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mesmo que microempresa, empresa de pequeno porte ou sociedade cooperativa.</w:t>
      </w:r>
    </w:p>
    <w:p w14:paraId="46057E82">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4.6 A falsidade das declarações de que tratam os itens 4.3 a 4.5 sujeitará o licitante às sanções previstas na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neste Edital.</w:t>
      </w:r>
    </w:p>
    <w:bookmarkEnd w:id="21"/>
    <w:p w14:paraId="5BD322E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DEFFF4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4.7 Os licitantes poderão retirar ou substituir a proposta ou, </w:t>
      </w:r>
      <w:r>
        <w:rPr>
          <w:rFonts w:ascii="Times New Roman" w:hAnsi="Times New Roman" w:cs="Times New Roman"/>
          <w:sz w:val="24"/>
          <w:szCs w:val="24"/>
        </w:rPr>
        <w:t xml:space="preserve">na hipótese de a fase de habilitação anteceder as fases de apresentação de propostas e lances e de julgamento, </w:t>
      </w:r>
      <w:r>
        <w:rPr>
          <w:rFonts w:ascii="Times New Roman" w:hAnsi="Times New Roman" w:cs="Times New Roman"/>
          <w:color w:val="auto"/>
          <w:sz w:val="24"/>
          <w:szCs w:val="24"/>
        </w:rPr>
        <w:t>os documentos de habilitação anteriormente inseridos no sistema, até a abertura da sessão pública.</w:t>
      </w:r>
    </w:p>
    <w:p w14:paraId="0B20C8B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03C1F03A">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4.8 Não haverá ordem de classificação na etapa de apresentação da proposta e das declarações pelo licitante, o que ocorrerá somente após os procedimentos de abertura da sessão pública e da fase de envio de lances.</w:t>
      </w:r>
    </w:p>
    <w:p w14:paraId="4229945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2BF0E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4.9 Após a fase de envio de lances, serão disponibilizados para acesso público os documentos que compõem a proposta dos licitantes convocados para apresentação de propostas.</w:t>
      </w:r>
    </w:p>
    <w:p w14:paraId="40C64D20">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28991B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A862E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0E681E5">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4.11 O licitante deverá comunicar imediatamente ao provedor do sistema qualquer acontecimento que possa comprometer o sigilo ou a segurança, para imediato bloqueio de acesso.</w:t>
      </w:r>
    </w:p>
    <w:p w14:paraId="36120974">
      <w:pPr>
        <w:pStyle w:val="99"/>
        <w:spacing w:before="288" w:beforeLines="120" w:after="288" w:afterLines="120" w:line="288" w:lineRule="auto"/>
        <w:ind w:left="567" w:right="565" w:firstLine="0"/>
        <w:contextualSpacing/>
        <w:rPr>
          <w:rFonts w:ascii="Times New Roman" w:hAnsi="Times New Roman" w:cs="Times New Roman"/>
          <w:color w:val="FF0000"/>
          <w:sz w:val="24"/>
          <w:szCs w:val="24"/>
        </w:rPr>
      </w:pPr>
    </w:p>
    <w:p w14:paraId="6D018A1E">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 Desde que disponibilizada a funcionalidade no sistema, o licitante poderá parametrizar o seu valor final mínimo ou o seu percentual de desconto máximo quando do cadastramento da proposta e obedecerá às seguintes regras:</w:t>
      </w:r>
    </w:p>
    <w:p w14:paraId="6F1C9F13">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4.12.1 a aplicação do intervalo mínimo de diferença de valores ou de percentuais entre os lances, conforme disposto no item 6.8, que incidirá tanto em relação aos lances intermediários quanto em relação ao lance que cobrir a melhor oferta;  </w:t>
      </w:r>
    </w:p>
    <w:p w14:paraId="380F979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p>
    <w:p w14:paraId="49381151">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4.12.2 os lances serão de envio automático pelo sistema, respeitado o valor final mínimo, caso estabelecido, e o intervalo de que trata o subitem acima.</w:t>
      </w:r>
    </w:p>
    <w:p w14:paraId="06FD1B8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 O valor final mínimo ou o percentual de desconto final máximo parametrizado no sistema poderá ser alterado pelo fornecedor durante a fase de disputa, sendo vedado:</w:t>
      </w:r>
    </w:p>
    <w:p w14:paraId="3714FDDA">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4.13.1 valor superior a lance já registrado pelo fornecedor no sistema, quando adotado o critério de julgamento por menor preço; e</w:t>
      </w:r>
    </w:p>
    <w:p w14:paraId="3B5B73CE">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3E7676FC">
      <w:pPr>
        <w:pStyle w:val="103"/>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4.13.2 percentual de desconto inferior a lance já registrado pelo fornecedor no sistema, quando adotado o critério de julgamento por maior desconto.</w:t>
      </w:r>
    </w:p>
    <w:p w14:paraId="61BF7085">
      <w:pPr>
        <w:pStyle w:val="99"/>
        <w:spacing w:before="288" w:beforeLines="120" w:after="288" w:afterLines="120"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4.14 O valor final mínimo ou o percentual de desconto final máximo parametrizado na forma do item 4.12 possuirá caráter sigiloso para os demais fornecedores e para o órgão ou entidade promotora da licitação, podendo ser disponibilizado estrita e permanentemente aos órgãos de controle externo e interno.</w:t>
      </w:r>
    </w:p>
    <w:p w14:paraId="084C8965">
      <w:pPr>
        <w:pStyle w:val="97"/>
        <w:spacing w:before="0" w:beforeAutospacing="0" w:after="0" w:afterAutospacing="0" w:line="288" w:lineRule="auto"/>
        <w:contextualSpacing/>
        <w:jc w:val="both"/>
        <w:rPr>
          <w:rFonts w:eastAsia="Calibri"/>
          <w:b/>
          <w:bCs/>
          <w:lang w:eastAsia="en-US"/>
        </w:rPr>
      </w:pPr>
      <w:r>
        <w:rPr>
          <w:rFonts w:eastAsia="Calibri"/>
          <w:b/>
          <w:bCs/>
          <w:lang w:eastAsia="en-US"/>
        </w:rPr>
        <w:t>5. DO PREENCHIMENTO DA PROPOSTA</w:t>
      </w:r>
    </w:p>
    <w:p w14:paraId="7B3F8A7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 O licitante deverá enviar sua proposta mediante o preenchimento, no sistema eletrônico, dos seguintes campos:</w:t>
      </w:r>
    </w:p>
    <w:p w14:paraId="4FAF8F22">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5.1.1 Valor unitário do item;</w:t>
      </w:r>
    </w:p>
    <w:p w14:paraId="1D12E318">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789EDE17">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5.1.2 </w:t>
      </w:r>
      <w:r>
        <w:rPr>
          <w:rFonts w:ascii="Times New Roman" w:hAnsi="Times New Roman" w:cs="Times New Roman"/>
          <w:sz w:val="24"/>
          <w:szCs w:val="24"/>
        </w:rPr>
        <w:t xml:space="preserve">Serão aceitos marcas e fabricantes que comprovem o atendimento a essas especificações. A apresentação de ficha técnica e certificados de qualidade é obrigatória. </w:t>
      </w:r>
    </w:p>
    <w:p w14:paraId="01BB1869">
      <w:pPr>
        <w:pStyle w:val="103"/>
        <w:spacing w:before="288" w:beforeLines="120" w:after="288" w:afterLines="120" w:line="288" w:lineRule="auto"/>
        <w:ind w:left="0" w:firstLine="0"/>
        <w:contextualSpacing/>
        <w:rPr>
          <w:rFonts w:ascii="Times New Roman" w:hAnsi="Times New Roman" w:cs="Times New Roman"/>
          <w:color w:val="auto"/>
          <w:sz w:val="24"/>
          <w:szCs w:val="24"/>
        </w:rPr>
      </w:pPr>
    </w:p>
    <w:p w14:paraId="01A437F5">
      <w:pPr>
        <w:pStyle w:val="103"/>
        <w:spacing w:before="288" w:beforeLines="120" w:after="288" w:afterLines="120" w:line="288" w:lineRule="auto"/>
        <w:ind w:left="0" w:firstLine="0"/>
        <w:contextualSpacing/>
        <w:rPr>
          <w:rFonts w:ascii="Times New Roman" w:hAnsi="Times New Roman" w:cs="Times New Roman"/>
          <w:iCs/>
          <w:color w:val="auto"/>
          <w:sz w:val="24"/>
          <w:szCs w:val="24"/>
        </w:rPr>
      </w:pPr>
      <w:r>
        <w:rPr>
          <w:rFonts w:ascii="Times New Roman" w:hAnsi="Times New Roman" w:cs="Times New Roman"/>
          <w:color w:val="auto"/>
          <w:sz w:val="24"/>
          <w:szCs w:val="24"/>
        </w:rPr>
        <w:t xml:space="preserve">5.1.3 </w:t>
      </w:r>
      <w:r>
        <w:rPr>
          <w:rFonts w:ascii="Times New Roman" w:hAnsi="Times New Roman" w:cs="Times New Roman"/>
          <w:sz w:val="24"/>
          <w:szCs w:val="24"/>
        </w:rPr>
        <w:t>Descrição do objeto, contendo as informações similares à especificação do Termo de Referência</w:t>
      </w:r>
      <w:r>
        <w:rPr>
          <w:rFonts w:ascii="Times New Roman" w:hAnsi="Times New Roman" w:cs="Times New Roman"/>
          <w:iCs/>
          <w:color w:val="auto"/>
          <w:sz w:val="24"/>
          <w:szCs w:val="24"/>
        </w:rPr>
        <w:t xml:space="preserve">; </w:t>
      </w:r>
    </w:p>
    <w:p w14:paraId="1403743F">
      <w:pPr>
        <w:pStyle w:val="103"/>
        <w:spacing w:before="288" w:beforeLines="120" w:after="288" w:afterLines="120" w:line="288" w:lineRule="auto"/>
        <w:ind w:left="0" w:right="565" w:firstLine="0"/>
        <w:contextualSpacing/>
        <w:rPr>
          <w:rFonts w:ascii="Times New Roman" w:hAnsi="Times New Roman" w:cs="Times New Roman"/>
          <w:color w:val="auto"/>
          <w:sz w:val="24"/>
          <w:szCs w:val="24"/>
        </w:rPr>
      </w:pPr>
    </w:p>
    <w:p w14:paraId="638F4EE0">
      <w:pPr>
        <w:pStyle w:val="103"/>
        <w:spacing w:before="288" w:beforeLines="120" w:after="288" w:afterLines="120" w:line="288" w:lineRule="auto"/>
        <w:ind w:left="0" w:right="565" w:firstLine="0"/>
        <w:contextualSpacing/>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5.1.4 Quantidade cotada, que não poderá ser inferior ao quantitativo máximo de cada item que poderá ser adquirido.</w:t>
      </w:r>
    </w:p>
    <w:p w14:paraId="0BD1C4B8">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 Todas as especificações do objeto contidas na proposta vinculam o licitante.</w:t>
      </w:r>
    </w:p>
    <w:p w14:paraId="09748EA1">
      <w:pPr>
        <w:pStyle w:val="103"/>
        <w:spacing w:line="288" w:lineRule="auto"/>
        <w:ind w:left="0" w:right="565"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5.2.1 O licitante não poderá oferecer proposta em quantitativo inferior ao máximo previsto para contratação.</w:t>
      </w:r>
    </w:p>
    <w:p w14:paraId="57906A6A">
      <w:pPr>
        <w:pStyle w:val="103"/>
        <w:spacing w:line="288" w:lineRule="auto"/>
        <w:ind w:left="0" w:firstLine="0"/>
        <w:contextualSpacing/>
        <w:rPr>
          <w:rFonts w:ascii="Times New Roman" w:hAnsi="Times New Roman" w:cs="Times New Roman"/>
          <w:color w:val="auto"/>
          <w:sz w:val="24"/>
          <w:szCs w:val="24"/>
        </w:rPr>
      </w:pPr>
    </w:p>
    <w:p w14:paraId="5A4F39A0">
      <w:pPr>
        <w:pStyle w:val="103"/>
        <w:spacing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5.3 Nos valores propostos estarão inclusos todos os custos operacionais, encargos previdenciários, trabalhistas, tributários, comerciais e quaisquer outros que incidam direta ou indiretamente na execução do objeto.</w:t>
      </w:r>
    </w:p>
    <w:p w14:paraId="2C629627">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5.4 Os preços ofertados, tanto na proposta inicial, quanto na etapa de lances, serão de exclusiva responsabilidade do licitante, não lhe assistindo o direito de pleitear qualquer alteração, sob alegação de erro, omissão ou qualquer outro pretexto.</w:t>
      </w:r>
    </w:p>
    <w:p w14:paraId="5D2726A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2023E90">
      <w:pPr>
        <w:pStyle w:val="99"/>
        <w:spacing w:before="288" w:beforeLines="120" w:after="288" w:afterLines="120" w:line="288" w:lineRule="auto"/>
        <w:ind w:left="0" w:firstLine="0"/>
        <w:contextualSpacing/>
        <w:rPr>
          <w:rFonts w:ascii="Times New Roman" w:hAnsi="Times New Roman" w:cs="Times New Roman"/>
          <w:color w:val="FF66FF"/>
          <w:sz w:val="24"/>
          <w:szCs w:val="24"/>
        </w:rPr>
      </w:pPr>
      <w:r>
        <w:rPr>
          <w:rFonts w:ascii="Times New Roman" w:hAnsi="Times New Roman" w:cs="Times New Roman"/>
          <w:color w:val="auto"/>
          <w:sz w:val="24"/>
          <w:szCs w:val="24"/>
        </w:rPr>
        <w:t xml:space="preserve">5.5 Se o regime tributário da empresa implicar o recolhimento de tributos em percentuais variáveis, a cotação adequada será a que corresponde à média dos efetivos recolhimentos da empresa nos últimos doze meses. </w:t>
      </w:r>
    </w:p>
    <w:p w14:paraId="6B27041C">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2D592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5.6 Independentemente do percentual de tributo inserido na planilha, no pagamento serão retidos na fonte os percentuais estabelecidos na legislação vigente.</w:t>
      </w:r>
    </w:p>
    <w:p w14:paraId="665A2547">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bookmarkStart w:id="22" w:name="_Hlk154227498"/>
    </w:p>
    <w:p w14:paraId="2B55136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5.7</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79D6EF05">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sz w:val="24"/>
          <w:szCs w:val="24"/>
        </w:rPr>
        <w:t>5.8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2"/>
    </w:p>
    <w:p w14:paraId="459C9C62">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4284853">
      <w:pPr>
        <w:pStyle w:val="99"/>
        <w:spacing w:before="288" w:beforeLines="120" w:after="288" w:afterLines="120" w:line="288" w:lineRule="auto"/>
        <w:ind w:left="0" w:firstLine="0"/>
        <w:contextualSpacing/>
        <w:rPr>
          <w:rFonts w:ascii="Times New Roman" w:hAnsi="Times New Roman" w:cs="Times New Roman"/>
          <w:i/>
          <w:iCs/>
          <w:color w:val="FF0000"/>
          <w:sz w:val="24"/>
          <w:szCs w:val="24"/>
        </w:rPr>
      </w:pPr>
      <w:r>
        <w:rPr>
          <w:rFonts w:ascii="Times New Roman" w:hAnsi="Times New Roman" w:cs="Times New Roman"/>
          <w:color w:val="auto"/>
          <w:sz w:val="24"/>
          <w:szCs w:val="24"/>
        </w:rPr>
        <w:t>5.9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6B6122">
      <w:pPr>
        <w:pStyle w:val="99"/>
        <w:spacing w:before="288" w:beforeLines="120" w:after="288" w:afterLines="120" w:line="288" w:lineRule="auto"/>
        <w:ind w:left="0" w:firstLine="0"/>
        <w:contextualSpacing/>
        <w:rPr>
          <w:rFonts w:ascii="Times New Roman" w:hAnsi="Times New Roman" w:cs="Times New Roman"/>
          <w:sz w:val="24"/>
          <w:szCs w:val="24"/>
        </w:rPr>
      </w:pPr>
    </w:p>
    <w:p w14:paraId="0A7A2C0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5.10 O prazo de validade da proposta não será inferior </w:t>
      </w:r>
      <w:r>
        <w:rPr>
          <w:rFonts w:ascii="Times New Roman" w:hAnsi="Times New Roman" w:cs="Times New Roman"/>
          <w:color w:val="000000" w:themeColor="text1"/>
          <w:sz w:val="24"/>
          <w:szCs w:val="24"/>
          <w14:textFill>
            <w14:solidFill>
              <w14:schemeClr w14:val="tx1"/>
            </w14:solidFill>
          </w14:textFill>
        </w:rPr>
        <w:t>a 60 (sessenta) dias corridos</w:t>
      </w:r>
      <w:r>
        <w:rPr>
          <w:rFonts w:ascii="Times New Roman" w:hAnsi="Times New Roman" w:cs="Times New Roman"/>
          <w:b/>
          <w:color w:val="000000" w:themeColor="text1"/>
          <w:sz w:val="24"/>
          <w:szCs w:val="24"/>
          <w14:textFill>
            <w14:solidFill>
              <w14:schemeClr w14:val="tx1"/>
            </w14:solidFill>
          </w14:textFill>
        </w:rPr>
        <w:t>,</w:t>
      </w: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cs="Times New Roman"/>
          <w:sz w:val="24"/>
          <w:szCs w:val="24"/>
        </w:rPr>
        <w:t>a contar da data de sua apresentação, podendo ser prorrogado, por igual período, salvo se houver justificativa para prazo diverso aceita pela Administração.</w:t>
      </w:r>
    </w:p>
    <w:p w14:paraId="0BF881E8">
      <w:pPr>
        <w:pStyle w:val="99"/>
        <w:spacing w:before="288" w:beforeLines="120" w:after="288" w:afterLines="120" w:line="288" w:lineRule="auto"/>
        <w:ind w:left="0" w:firstLine="0"/>
        <w:contextualSpacing/>
        <w:rPr>
          <w:rFonts w:ascii="Times New Roman" w:hAnsi="Times New Roman" w:cs="Times New Roman"/>
          <w:sz w:val="24"/>
          <w:szCs w:val="24"/>
        </w:rPr>
      </w:pPr>
      <w:bookmarkStart w:id="23" w:name="_Hlk154229074"/>
    </w:p>
    <w:p w14:paraId="579C67F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5.11 Os licitantes devem respeitar os preços máximos estabelecidos no Anexo deste Edital referente ao orçamento estimado (art. 59, III, da Lei nº 14.133/2021).</w:t>
      </w:r>
    </w:p>
    <w:p w14:paraId="264C470B">
      <w:pPr>
        <w:pStyle w:val="99"/>
        <w:spacing w:before="288" w:beforeLines="120" w:after="288" w:afterLines="120" w:line="288" w:lineRule="auto"/>
        <w:ind w:left="0" w:firstLine="0"/>
        <w:contextualSpacing/>
        <w:rPr>
          <w:rFonts w:ascii="Times New Roman" w:hAnsi="Times New Roman" w:cs="Times New Roman"/>
          <w:sz w:val="24"/>
          <w:szCs w:val="24"/>
        </w:rPr>
      </w:pPr>
    </w:p>
    <w:p w14:paraId="574E373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5.11.1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6"/>
          <w:rFonts w:ascii="Times New Roman" w:hAnsi="Times New Roman" w:cs="Times New Roman" w:eastAsiaTheme="minorHAnsi"/>
          <w:color w:val="auto"/>
          <w:sz w:val="24"/>
          <w:szCs w:val="24"/>
        </w:rPr>
        <w:t>art. 71, inciso IX, da Constituição</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3"/>
    <w:p w14:paraId="6EA8A74B">
      <w:pPr>
        <w:pStyle w:val="97"/>
        <w:spacing w:before="0" w:beforeAutospacing="0" w:after="0" w:afterAutospacing="0" w:line="288" w:lineRule="auto"/>
        <w:contextualSpacing/>
        <w:jc w:val="both"/>
        <w:rPr>
          <w:rFonts w:eastAsia="Calibri"/>
          <w:b/>
          <w:bCs/>
          <w:lang w:eastAsia="en-US"/>
        </w:rPr>
      </w:pPr>
      <w:r>
        <w:rPr>
          <w:rFonts w:eastAsia="Calibri"/>
          <w:b/>
          <w:bCs/>
          <w:lang w:eastAsia="en-US"/>
        </w:rPr>
        <w:t>6. DA ABERTURA DA SESSÃO, CLASSIFICAÇÃO DAS PROPOSTAS E FORMULAÇÃO DE LANCES</w:t>
      </w:r>
    </w:p>
    <w:p w14:paraId="5726ED8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 A abertura da presente licitação dar-se-á em sessão pública, por meio de sistema eletrônico, na data, horário e local indicados neste Edital.</w:t>
      </w:r>
    </w:p>
    <w:p w14:paraId="0B73CCBC">
      <w:pPr>
        <w:pStyle w:val="99"/>
        <w:spacing w:before="288" w:beforeLines="120" w:after="288" w:afterLines="120" w:line="288" w:lineRule="auto"/>
        <w:ind w:left="0" w:firstLine="0"/>
        <w:contextualSpacing/>
        <w:rPr>
          <w:rFonts w:ascii="Times New Roman" w:hAnsi="Times New Roman" w:cs="Times New Roman"/>
          <w:sz w:val="24"/>
          <w:szCs w:val="24"/>
        </w:rPr>
      </w:pPr>
    </w:p>
    <w:p w14:paraId="7481F69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6.2 Os licitantes poderão retirar ou substituir a proposta </w:t>
      </w:r>
      <w:r>
        <w:rPr>
          <w:rFonts w:ascii="Times New Roman" w:hAnsi="Times New Roman" w:cs="Times New Roman"/>
          <w:color w:val="auto"/>
          <w:sz w:val="24"/>
          <w:szCs w:val="24"/>
        </w:rPr>
        <w:t>ou os documentos de habilitação</w:t>
      </w:r>
      <w:r>
        <w:rPr>
          <w:rFonts w:ascii="Times New Roman" w:hAnsi="Times New Roman" w:cs="Times New Roman"/>
          <w:sz w:val="24"/>
          <w:szCs w:val="24"/>
        </w:rPr>
        <w:t>, quando for o caso, anteriormente inseridos no sistema, até a abertura da sessão pública.</w:t>
      </w:r>
    </w:p>
    <w:p w14:paraId="38DE5587">
      <w:pPr>
        <w:pStyle w:val="99"/>
        <w:spacing w:before="288" w:beforeLines="120" w:after="288" w:afterLines="120" w:line="288" w:lineRule="auto"/>
        <w:ind w:left="0" w:firstLine="0"/>
        <w:contextualSpacing/>
        <w:rPr>
          <w:rFonts w:ascii="Times New Roman" w:hAnsi="Times New Roman" w:cs="Times New Roman"/>
          <w:sz w:val="24"/>
          <w:szCs w:val="24"/>
        </w:rPr>
      </w:pPr>
    </w:p>
    <w:p w14:paraId="4483DEF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6.3 O sistema disponibilizará campo próprio para troca de mensagens entre o Pregoeiro e os licitantes.</w:t>
      </w:r>
    </w:p>
    <w:p w14:paraId="120D185A">
      <w:pPr>
        <w:pStyle w:val="99"/>
        <w:spacing w:before="288" w:beforeLines="120" w:after="288" w:afterLines="120" w:line="288" w:lineRule="auto"/>
        <w:ind w:left="0" w:firstLine="0"/>
        <w:contextualSpacing/>
        <w:rPr>
          <w:rFonts w:ascii="Times New Roman" w:hAnsi="Times New Roman" w:cs="Times New Roman"/>
          <w:sz w:val="24"/>
          <w:szCs w:val="24"/>
        </w:rPr>
      </w:pPr>
    </w:p>
    <w:p w14:paraId="1B6BE2C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6.4 Iniciada a etapa competitiva, os licitantes deverão encaminhar lances exclusivamente por meio de sistema eletrônico, sendo imediatamente informados do seu recebimento e do valor consignado no registro. </w:t>
      </w:r>
    </w:p>
    <w:p w14:paraId="14E7BAF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18FC8B4C">
      <w:pPr>
        <w:pStyle w:val="99"/>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6.5 O lance deverá ser ofertado pelo valor unitário do item.</w:t>
      </w:r>
    </w:p>
    <w:p w14:paraId="2B7895DD">
      <w:pPr>
        <w:pStyle w:val="99"/>
        <w:spacing w:before="288" w:beforeLines="120" w:after="288" w:afterLines="120" w:line="288" w:lineRule="auto"/>
        <w:ind w:left="0" w:firstLine="0"/>
        <w:contextualSpacing/>
        <w:rPr>
          <w:rFonts w:ascii="Times New Roman" w:hAnsi="Times New Roman" w:cs="Times New Roman"/>
          <w:sz w:val="24"/>
          <w:szCs w:val="24"/>
        </w:rPr>
      </w:pPr>
    </w:p>
    <w:p w14:paraId="4C19FC0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6.6 Os licitantes poderão oferecer lances sucessivos, observando o horário fixado para abertura da sessão e as regras estabelecidas no Edital.</w:t>
      </w:r>
    </w:p>
    <w:p w14:paraId="1BE7647A">
      <w:pPr>
        <w:pStyle w:val="99"/>
        <w:spacing w:before="288" w:beforeLines="120" w:after="288" w:afterLines="120" w:line="288" w:lineRule="auto"/>
        <w:ind w:left="0" w:firstLine="0"/>
        <w:contextualSpacing/>
        <w:rPr>
          <w:rFonts w:ascii="Times New Roman" w:hAnsi="Times New Roman" w:cs="Times New Roman"/>
          <w:sz w:val="24"/>
          <w:szCs w:val="24"/>
        </w:rPr>
      </w:pPr>
    </w:p>
    <w:p w14:paraId="1706696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6.7 O licitante somente poderá oferecer lance </w:t>
      </w:r>
      <w:r>
        <w:rPr>
          <w:rFonts w:ascii="Times New Roman" w:hAnsi="Times New Roman" w:cs="Times New Roman"/>
          <w:iCs/>
          <w:color w:val="auto"/>
          <w:sz w:val="24"/>
          <w:szCs w:val="24"/>
        </w:rPr>
        <w:t>de valor inferior ou percentual de desconto superior</w:t>
      </w:r>
      <w:r>
        <w:rPr>
          <w:rFonts w:ascii="Times New Roman" w:hAnsi="Times New Roman" w:cs="Times New Roman"/>
          <w:color w:val="auto"/>
          <w:sz w:val="24"/>
          <w:szCs w:val="24"/>
        </w:rPr>
        <w:t xml:space="preserve"> </w:t>
      </w:r>
      <w:r>
        <w:rPr>
          <w:rFonts w:ascii="Times New Roman" w:hAnsi="Times New Roman" w:cs="Times New Roman"/>
          <w:sz w:val="24"/>
          <w:szCs w:val="24"/>
        </w:rPr>
        <w:t xml:space="preserve">ao último por ele ofertado e registrado pelo sistema. </w:t>
      </w:r>
    </w:p>
    <w:p w14:paraId="6C072A8D">
      <w:pPr>
        <w:pStyle w:val="99"/>
        <w:spacing w:before="288" w:beforeLines="120" w:after="288" w:afterLines="120" w:line="288" w:lineRule="auto"/>
        <w:ind w:left="0" w:firstLine="0"/>
        <w:contextualSpacing/>
        <w:rPr>
          <w:rFonts w:ascii="Times New Roman" w:hAnsi="Times New Roman" w:cs="Times New Roman"/>
          <w:sz w:val="24"/>
          <w:szCs w:val="24"/>
        </w:rPr>
      </w:pPr>
    </w:p>
    <w:p w14:paraId="69F846A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6.8 O intervalo mínimo de diferença de valores ou percentuais entre os lances, que incidirá tanto em relação aos lances intermediários quanto em relação à proposta que cobrir a melhor oferta, deverá </w:t>
      </w:r>
      <w:r>
        <w:rPr>
          <w:rFonts w:ascii="Times New Roman" w:hAnsi="Times New Roman" w:cs="Times New Roman"/>
          <w:color w:val="auto"/>
          <w:sz w:val="24"/>
          <w:szCs w:val="24"/>
        </w:rPr>
        <w:t>ser de 0,01(um centavo)</w:t>
      </w:r>
      <w:r>
        <w:rPr>
          <w:rFonts w:ascii="Times New Roman" w:hAnsi="Times New Roman" w:cs="Times New Roman"/>
          <w:i/>
          <w:iCs/>
          <w:sz w:val="24"/>
          <w:szCs w:val="24"/>
        </w:rPr>
        <w:t>.</w:t>
      </w:r>
    </w:p>
    <w:p w14:paraId="74BB5001">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50F92050">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6.9</w:t>
      </w:r>
      <w:r>
        <w:rPr>
          <w:rFonts w:ascii="Times New Roman" w:hAnsi="Times New Roman" w:cs="Times New Roman"/>
          <w:color w:val="FF0000"/>
          <w:sz w:val="24"/>
          <w:szCs w:val="24"/>
        </w:rPr>
        <w:t xml:space="preserve"> </w:t>
      </w:r>
      <w:r>
        <w:rPr>
          <w:rFonts w:ascii="Times New Roman" w:hAnsi="Times New Roman" w:cs="Times New Roman"/>
          <w:color w:val="auto"/>
          <w:sz w:val="24"/>
          <w:szCs w:val="24"/>
        </w:rPr>
        <w:t xml:space="preserve">Em caso de erro material, ao licitante será concedida a possibilidade de enviar solicitação de cancelamento do seu lance durante a realização da etapa de lances da sessão pública, que poderá ser aceita ou não pelo Pregoeiro. </w:t>
      </w:r>
    </w:p>
    <w:p w14:paraId="005970E9">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24D57F1">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6.9.1 O licitante poderá, uma única vez, excluir seu último lance ofertado, no intervalo de quinze segundos após o registro no sistema, na hipótese de lance inconsistente ou inexequível.</w:t>
      </w:r>
    </w:p>
    <w:p w14:paraId="6C335BFE">
      <w:pPr>
        <w:pStyle w:val="99"/>
        <w:spacing w:before="288" w:beforeLines="120" w:after="288" w:afterLines="120" w:line="288" w:lineRule="auto"/>
        <w:ind w:left="567" w:right="565" w:firstLine="0"/>
        <w:contextualSpacing/>
        <w:rPr>
          <w:rFonts w:ascii="Times New Roman" w:hAnsi="Times New Roman" w:cs="Times New Roman"/>
          <w:sz w:val="24"/>
          <w:szCs w:val="24"/>
        </w:rPr>
      </w:pPr>
    </w:p>
    <w:p w14:paraId="095D044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6.10 O procedimento seguirá de acordo com o modo de disputa adotado.</w:t>
      </w:r>
    </w:p>
    <w:p w14:paraId="507978FF">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bookmarkStart w:id="24" w:name="_Hlk113631522"/>
      <w:r>
        <w:rPr>
          <w:rFonts w:ascii="Times New Roman" w:hAnsi="Times New Roman" w:cs="Times New Roman"/>
          <w:color w:val="000000" w:themeColor="text1"/>
          <w:sz w:val="24"/>
          <w:szCs w:val="24"/>
          <w14:textFill>
            <w14:solidFill>
              <w14:schemeClr w14:val="tx1"/>
            </w14:solidFill>
          </w14:textFill>
        </w:rPr>
        <w:t>6.11 O envio de lances no pregão eletrônico se dará pelo modo de disputa “aberto e fechado”, devendo os licitantes apresentar lances públicos e sucessivos, com lance final e fechado.</w:t>
      </w:r>
    </w:p>
    <w:p w14:paraId="5F23B5B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77FFEB1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FEB1D50">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9D04A05">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B4985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09459C2D">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6.11.3 No procedimento de que trata o subitem supra, o licitante poderá optar por manter o seu último lance da etapa aberta, ou por ofertar melhor lance.</w:t>
      </w:r>
    </w:p>
    <w:p w14:paraId="4E8517FA">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62F5C369">
      <w:pPr>
        <w:pStyle w:val="120"/>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9567B13">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p>
    <w:p w14:paraId="55BC38E8">
      <w:pPr>
        <w:pStyle w:val="120"/>
        <w:tabs>
          <w:tab w:val="left" w:pos="8080"/>
        </w:tabs>
        <w:spacing w:after="0" w:line="288" w:lineRule="auto"/>
        <w:ind w:left="0" w:right="565"/>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6.11.5 Após o término dos prazos estabelecidos nos itens anteriores, o sistema ordenará e divulgará os lances segundo a ordem crescente de valores.</w:t>
      </w:r>
    </w:p>
    <w:p w14:paraId="30DFEE2E">
      <w:pPr>
        <w:pStyle w:val="120"/>
        <w:spacing w:line="288" w:lineRule="auto"/>
        <w:ind w:left="567" w:right="565"/>
        <w:contextualSpacing/>
        <w:rPr>
          <w:rFonts w:ascii="Times New Roman" w:hAnsi="Times New Roman" w:cs="Times New Roman"/>
          <w:color w:val="FF0000"/>
          <w:sz w:val="24"/>
          <w:szCs w:val="24"/>
        </w:rPr>
      </w:pPr>
    </w:p>
    <w:bookmarkEnd w:id="24"/>
    <w:p w14:paraId="19C122A5">
      <w:pPr>
        <w:pStyle w:val="120"/>
        <w:spacing w:line="288" w:lineRule="auto"/>
        <w:ind w:left="0"/>
        <w:contextualSpacing/>
        <w:rPr>
          <w:rFonts w:ascii="Times New Roman" w:hAnsi="Times New Roman" w:cs="Times New Roman"/>
          <w:i/>
          <w:sz w:val="24"/>
          <w:szCs w:val="24"/>
        </w:rPr>
      </w:pPr>
      <w:r>
        <w:rPr>
          <w:rFonts w:ascii="Times New Roman" w:hAnsi="Times New Roman" w:cs="Times New Roman"/>
          <w:sz w:val="24"/>
          <w:szCs w:val="24"/>
        </w:rPr>
        <w:t>6.12 Após o término dos prazos estabelecidos nos subitens anteriores, o sistema ordenará e divulgará os lances segundo a ordem crescente de valores</w:t>
      </w:r>
      <w:r>
        <w:rPr>
          <w:rFonts w:ascii="Times New Roman" w:hAnsi="Times New Roman" w:cs="Times New Roman"/>
          <w:i/>
          <w:iCs/>
          <w:sz w:val="24"/>
          <w:szCs w:val="24"/>
        </w:rPr>
        <w:t>.</w:t>
      </w:r>
    </w:p>
    <w:p w14:paraId="215AD5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6.13 Não serão aceitos dois ou mais lances de mesmo valor, prevalecendo aquele que for recebido e registrado em primeiro lugar. </w:t>
      </w:r>
    </w:p>
    <w:p w14:paraId="34C90CB7">
      <w:pPr>
        <w:pStyle w:val="99"/>
        <w:spacing w:before="288" w:beforeLines="120" w:after="288" w:afterLines="120" w:line="288" w:lineRule="auto"/>
        <w:ind w:left="0" w:firstLine="0"/>
        <w:contextualSpacing/>
        <w:rPr>
          <w:rFonts w:ascii="Times New Roman" w:hAnsi="Times New Roman" w:cs="Times New Roman"/>
          <w:sz w:val="24"/>
          <w:szCs w:val="24"/>
        </w:rPr>
      </w:pPr>
    </w:p>
    <w:p w14:paraId="1FF989E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6.14 Durante o transcurso da sessão pública, os licitantes serão informados, em tempo real, do valor do menor lance registrado, vedada a identificação do licitante. </w:t>
      </w:r>
    </w:p>
    <w:p w14:paraId="432BDF9F">
      <w:pPr>
        <w:pStyle w:val="99"/>
        <w:spacing w:before="288" w:beforeLines="120" w:after="288" w:afterLines="120" w:line="288" w:lineRule="auto"/>
        <w:ind w:left="0" w:firstLine="0"/>
        <w:contextualSpacing/>
        <w:rPr>
          <w:rFonts w:ascii="Times New Roman" w:hAnsi="Times New Roman" w:cs="Times New Roman"/>
          <w:sz w:val="24"/>
          <w:szCs w:val="24"/>
        </w:rPr>
      </w:pPr>
    </w:p>
    <w:p w14:paraId="052EB0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6.15 No caso de desconexão com o Pregoeiro, no decorrer da etapa competitiva do Pregão, o sistema eletrônico poderá permanecer acessível aos licitantes para a recepção dos lances. </w:t>
      </w:r>
    </w:p>
    <w:p w14:paraId="6B455519">
      <w:pPr>
        <w:pStyle w:val="99"/>
        <w:spacing w:before="288" w:beforeLines="120" w:after="288" w:afterLines="120" w:line="288" w:lineRule="auto"/>
        <w:ind w:left="0" w:firstLine="0"/>
        <w:contextualSpacing/>
        <w:rPr>
          <w:rFonts w:ascii="Times New Roman" w:hAnsi="Times New Roman" w:cs="Times New Roman"/>
          <w:sz w:val="24"/>
          <w:szCs w:val="24"/>
        </w:rPr>
      </w:pPr>
    </w:p>
    <w:p w14:paraId="5DDE8F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3E2E3F7F">
      <w:pPr>
        <w:pStyle w:val="99"/>
        <w:spacing w:before="288" w:beforeLines="120" w:after="288" w:afterLines="120" w:line="288" w:lineRule="auto"/>
        <w:ind w:left="0" w:firstLine="0"/>
        <w:contextualSpacing/>
        <w:rPr>
          <w:rFonts w:ascii="Times New Roman" w:hAnsi="Times New Roman" w:cs="Times New Roman"/>
          <w:sz w:val="24"/>
          <w:szCs w:val="24"/>
        </w:rPr>
      </w:pPr>
    </w:p>
    <w:p w14:paraId="0F46AFC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6.17 Caso o licitante não apresente lances, concorrerá com o valor de sua proposta.</w:t>
      </w:r>
    </w:p>
    <w:p w14:paraId="25D20118">
      <w:pPr>
        <w:pStyle w:val="99"/>
        <w:spacing w:before="288" w:beforeLines="120" w:after="288" w:afterLines="120" w:line="288" w:lineRule="auto"/>
        <w:ind w:left="0" w:firstLine="0"/>
        <w:contextualSpacing/>
        <w:rPr>
          <w:rFonts w:ascii="Times New Roman" w:hAnsi="Times New Roman" w:cs="Times New Roman"/>
          <w:color w:val="FF0000"/>
          <w:sz w:val="24"/>
          <w:szCs w:val="24"/>
        </w:rPr>
      </w:pPr>
    </w:p>
    <w:p w14:paraId="0480B81C">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 Em relação a itens não exclusivos para participação de microempresas e empresas de pequeno porte, uma vez encerrada a etapa de lances</w:t>
      </w:r>
      <w:r>
        <w:rPr>
          <w:rFonts w:ascii="Times New Roman" w:hAnsi="Times New Roman" w:eastAsia="Zurich BT" w:cs="Times New Roman"/>
          <w:color w:val="auto"/>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16"/>
          <w:rFonts w:ascii="Times New Roman" w:hAnsi="Times New Roman" w:eastAsia="Zurich BT" w:cs="Times New Roman"/>
          <w:color w:val="auto"/>
          <w:sz w:val="24"/>
          <w:szCs w:val="24"/>
        </w:rPr>
        <w:t>arts. 44 e 45 da Lei Complementar nº 123/2006</w:t>
      </w:r>
      <w:r>
        <w:rPr>
          <w:rStyle w:val="16"/>
          <w:rFonts w:ascii="Times New Roman" w:hAnsi="Times New Roman" w:eastAsia="Zurich BT" w:cs="Times New Roman"/>
          <w:color w:val="auto"/>
          <w:sz w:val="24"/>
          <w:szCs w:val="24"/>
        </w:rPr>
        <w:fldChar w:fldCharType="end"/>
      </w:r>
      <w:r>
        <w:rPr>
          <w:rFonts w:ascii="Times New Roman" w:hAnsi="Times New Roman" w:eastAsia="Zurich BT" w:cs="Times New Roman"/>
          <w:color w:val="auto"/>
          <w:sz w:val="24"/>
          <w:szCs w:val="24"/>
        </w:rPr>
        <w:t xml:space="preserve">, regulamentada pelo </w:t>
      </w:r>
      <w:r>
        <w:rPr>
          <w:rFonts w:ascii="Times New Roman" w:hAnsi="Times New Roman" w:cs="Times New Roman"/>
          <w:sz w:val="24"/>
          <w:szCs w:val="24"/>
        </w:rPr>
        <w:t>Lei Municipal nº 2367/2007.</w:t>
      </w:r>
    </w:p>
    <w:p w14:paraId="5923BB19">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ACD9F60">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6.18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123/2006,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4D67F1ED">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7B8F8F3">
      <w:pPr>
        <w:pStyle w:val="99"/>
        <w:spacing w:before="288" w:beforeLines="120" w:after="288" w:afterLines="120" w:line="288" w:lineRule="auto"/>
        <w:ind w:left="0" w:right="-2" w:firstLine="0"/>
        <w:contextualSpacing/>
        <w:rPr>
          <w:rFonts w:ascii="Times New Roman" w:hAnsi="Times New Roman" w:cs="Times New Roman"/>
          <w:sz w:val="24"/>
          <w:szCs w:val="24"/>
        </w:rPr>
      </w:pPr>
    </w:p>
    <w:p w14:paraId="7E3352A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6.18.1 Nessas condições, as propostas de </w:t>
      </w:r>
      <w:r>
        <w:rPr>
          <w:rFonts w:ascii="Times New Roman" w:hAnsi="Times New Roman" w:eastAsia="Zurich BT" w:cs="Times New Roman"/>
          <w:sz w:val="24"/>
          <w:szCs w:val="24"/>
        </w:rPr>
        <w:t xml:space="preserve">microempresas e empresas de pequeno porte </w:t>
      </w:r>
      <w:r>
        <w:rPr>
          <w:rFonts w:ascii="Times New Roman" w:hAnsi="Times New Roman" w:cs="Times New Roman"/>
          <w:sz w:val="24"/>
          <w:szCs w:val="24"/>
        </w:rPr>
        <w:t>que se encontrarem na faixa de até 5% (cinco por cento) acima da melhor proposta ou melhor lance serão consideradas empatadas com a primeira colocada.</w:t>
      </w:r>
    </w:p>
    <w:p w14:paraId="11F78CDE">
      <w:pPr>
        <w:pStyle w:val="103"/>
        <w:spacing w:before="288" w:beforeLines="120" w:after="288" w:afterLines="120" w:line="288" w:lineRule="auto"/>
        <w:ind w:left="0" w:firstLine="0"/>
        <w:contextualSpacing/>
        <w:rPr>
          <w:rFonts w:ascii="Times New Roman" w:hAnsi="Times New Roman" w:cs="Times New Roman"/>
          <w:sz w:val="24"/>
          <w:szCs w:val="24"/>
        </w:rPr>
      </w:pPr>
    </w:p>
    <w:p w14:paraId="60E3E834">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24FFEA4">
      <w:pPr>
        <w:pStyle w:val="103"/>
        <w:spacing w:before="288" w:beforeLines="120" w:after="288" w:afterLines="120" w:line="288" w:lineRule="auto"/>
        <w:ind w:left="0" w:firstLine="0"/>
        <w:contextualSpacing/>
        <w:rPr>
          <w:rFonts w:ascii="Times New Roman" w:hAnsi="Times New Roman" w:cs="Times New Roman"/>
          <w:sz w:val="24"/>
          <w:szCs w:val="24"/>
        </w:rPr>
      </w:pPr>
    </w:p>
    <w:p w14:paraId="71E894B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6.18.3 Caso a </w:t>
      </w:r>
      <w:r>
        <w:rPr>
          <w:rFonts w:ascii="Times New Roman" w:hAnsi="Times New Roman" w:eastAsia="Zurich BT" w:cs="Times New Roman"/>
          <w:sz w:val="24"/>
          <w:szCs w:val="24"/>
        </w:rPr>
        <w:t>microempresa ou a empresa de pequeno porte</w:t>
      </w:r>
      <w:r>
        <w:rPr>
          <w:rFonts w:ascii="Times New Roman" w:hAnsi="Times New Roman" w:cs="Times New Roman"/>
          <w:sz w:val="24"/>
          <w:szCs w:val="24"/>
        </w:rPr>
        <w:t xml:space="preserve"> melhor classificada desista ou não se manifeste no prazo estabelecido, serão convocadas as demais licitantes </w:t>
      </w:r>
      <w:r>
        <w:rPr>
          <w:rFonts w:ascii="Times New Roman" w:hAnsi="Times New Roman" w:eastAsia="Zurich BT" w:cs="Times New Roman"/>
          <w:sz w:val="24"/>
          <w:szCs w:val="24"/>
        </w:rPr>
        <w:t>microempresa e empresa de pequeno porte</w:t>
      </w:r>
      <w:r>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029D5692">
      <w:pPr>
        <w:pStyle w:val="99"/>
        <w:spacing w:before="288" w:beforeLines="120" w:after="288" w:afterLines="120"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90ED3B6">
      <w:pPr>
        <w:pStyle w:val="99"/>
        <w:spacing w:before="288" w:beforeLines="120" w:after="288" w:afterLines="120" w:line="288" w:lineRule="auto"/>
        <w:ind w:left="0" w:firstLine="0"/>
        <w:contextualSpacing/>
        <w:rPr>
          <w:rFonts w:ascii="Times New Roman" w:hAnsi="Times New Roman" w:cs="Times New Roman"/>
          <w:sz w:val="24"/>
          <w:szCs w:val="24"/>
        </w:rPr>
      </w:pPr>
    </w:p>
    <w:p w14:paraId="78DCE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6.19 Só poderá haver empate entre propostas iguais (não seguidas de lances) ou entre lances finais da fase fechada do modo de disputa aberto e fechado. </w:t>
      </w:r>
    </w:p>
    <w:p w14:paraId="4CC5FFC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6.19.1 Havendo eventual empate entre propostas ou lances, o critério de desempate será o abaixo previsto, nesta ordem:</w:t>
      </w:r>
    </w:p>
    <w:p w14:paraId="62F1F3B8">
      <w:pPr>
        <w:pStyle w:val="103"/>
        <w:spacing w:before="288" w:beforeLines="120" w:after="288" w:afterLines="120" w:line="288" w:lineRule="auto"/>
        <w:ind w:left="0" w:firstLine="0"/>
        <w:contextualSpacing/>
        <w:jc w:val="left"/>
        <w:rPr>
          <w:rFonts w:ascii="Times New Roman" w:hAnsi="Times New Roman" w:cs="Times New Roman"/>
          <w:color w:val="auto"/>
          <w:sz w:val="24"/>
          <w:szCs w:val="24"/>
        </w:rPr>
      </w:pPr>
      <w:r>
        <w:rPr>
          <w:rFonts w:ascii="Times New Roman" w:hAnsi="Times New Roman" w:cs="Times New Roman"/>
          <w:color w:val="333333"/>
          <w:sz w:val="24"/>
          <w:szCs w:val="24"/>
        </w:rPr>
        <w:br w:type="textWrapping"/>
      </w:r>
      <w:r>
        <w:rPr>
          <w:rFonts w:ascii="Times New Roman" w:hAnsi="Times New Roman" w:cs="Times New Roman"/>
          <w:color w:val="auto"/>
          <w:sz w:val="24"/>
          <w:szCs w:val="24"/>
          <w:shd w:val="clear" w:color="auto" w:fill="F5F5F5"/>
        </w:rPr>
        <w:t>I - contratação de microempresas e empresas de pequeno porte, nos termos dos arts. 44 e 45 da Lei Complementar nº </w:t>
      </w:r>
      <w:r>
        <w:fldChar w:fldCharType="begin"/>
      </w:r>
      <w:r>
        <w:instrText xml:space="preserve"> HYPERLINK "http://www.planalto.gov.br/ccivil_03/leis/lcp/lcp123.htm" </w:instrText>
      </w:r>
      <w:r>
        <w:fldChar w:fldCharType="separate"/>
      </w:r>
      <w:r>
        <w:rPr>
          <w:rStyle w:val="16"/>
          <w:rFonts w:ascii="Times New Roman" w:hAnsi="Times New Roman" w:cs="Times New Roman" w:eastAsiaTheme="minorHAnsi"/>
          <w:color w:val="auto"/>
          <w:sz w:val="24"/>
          <w:szCs w:val="24"/>
          <w:shd w:val="clear" w:color="auto" w:fill="F5F5F5"/>
        </w:rPr>
        <w:t>123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14 de dezembro de 2006, observado o disposto no art. 4º da Lei nº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shd w:val="clear" w:color="auto" w:fill="F5F5F5"/>
        </w:rPr>
        <w:t>14.133</w:t>
      </w:r>
      <w:r>
        <w:rPr>
          <w:rStyle w:val="16"/>
          <w:rFonts w:ascii="Times New Roman" w:hAnsi="Times New Roman" w:cs="Times New Roman" w:eastAsiaTheme="minorHAnsi"/>
          <w:color w:val="auto"/>
          <w:sz w:val="24"/>
          <w:szCs w:val="24"/>
          <w:shd w:val="clear" w:color="auto" w:fill="F5F5F5"/>
        </w:rPr>
        <w:fldChar w:fldCharType="end"/>
      </w:r>
      <w:r>
        <w:rPr>
          <w:rFonts w:ascii="Times New Roman" w:hAnsi="Times New Roman" w:cs="Times New Roman"/>
          <w:color w:val="auto"/>
          <w:sz w:val="24"/>
          <w:szCs w:val="24"/>
          <w:shd w:val="clear" w:color="auto" w:fill="F5F5F5"/>
        </w:rPr>
        <w:t>, de 2021;</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 - disputa final, hipótese em que os licitantes empatados poderão apresentar nova proposta em ato contínuo à classificação;</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III - avaliação do desempenho contratual prévio dos licitantes;</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IV - desenvolvimento pelo licitante de ações de equidade entre homens e mulheres no ambiente de trabalho, conforme regulamento; 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V - desenvolvimento pelo licitante de programa de integridade, conforme orientações dos órgãos de controle.</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br w:type="textWrapping"/>
      </w:r>
      <w:r>
        <w:rPr>
          <w:rFonts w:ascii="Times New Roman" w:hAnsi="Times New Roman" w:cs="Times New Roman"/>
          <w:color w:val="auto"/>
          <w:sz w:val="24"/>
          <w:szCs w:val="24"/>
          <w:shd w:val="clear" w:color="auto" w:fill="F5F5F5"/>
        </w:rPr>
        <w:t>Parágrafo único. Os critérios de desempate previstos nos incisos II, III, IV e V deste artigo serão aplicados nas hipóteses em que não haja envio de lances após o início da fase competitiva.</w:t>
      </w:r>
    </w:p>
    <w:p w14:paraId="771FBACC">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6.19.1.1 contratação de microempresas e empresas de pequeno porte, nos termos dos arts. 44 e 45 da Lei Complementar nº 123/2006, observado o disposto no art. 4º da Lei nº 14.133/2021;</w:t>
      </w:r>
    </w:p>
    <w:p w14:paraId="174E25F7">
      <w:pPr>
        <w:pStyle w:val="120"/>
        <w:spacing w:before="288" w:beforeLines="120" w:after="288" w:afterLines="120" w:line="288" w:lineRule="auto"/>
        <w:ind w:left="0"/>
        <w:contextualSpacing/>
        <w:rPr>
          <w:rFonts w:ascii="Times New Roman" w:hAnsi="Times New Roman" w:cs="Times New Roman"/>
          <w:sz w:val="24"/>
          <w:szCs w:val="24"/>
        </w:rPr>
      </w:pPr>
    </w:p>
    <w:p w14:paraId="2C131FF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6.19.1.2 disputa final, hipótese em que os licitantes empatados poderão apresentar nova proposta em ato contínuo à classificação;</w:t>
      </w:r>
    </w:p>
    <w:p w14:paraId="74BE1926">
      <w:pPr>
        <w:pStyle w:val="120"/>
        <w:spacing w:before="288" w:beforeLines="120" w:after="288" w:afterLines="120" w:line="288" w:lineRule="auto"/>
        <w:ind w:left="0"/>
        <w:contextualSpacing/>
        <w:rPr>
          <w:rFonts w:ascii="Times New Roman" w:hAnsi="Times New Roman" w:cs="Times New Roman"/>
          <w:sz w:val="24"/>
          <w:szCs w:val="24"/>
        </w:rPr>
      </w:pPr>
    </w:p>
    <w:p w14:paraId="3BD7BF8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6.19.1.3 avaliação do desempenho contratual prévio dos licitantes, para a qual deverão preferencialmente ser utilizados registros cadastrais para efeito de atesto de cumprimento de obrigações previstos na Lei;</w:t>
      </w:r>
    </w:p>
    <w:p w14:paraId="5EDAF668">
      <w:pPr>
        <w:pStyle w:val="120"/>
        <w:spacing w:before="288" w:beforeLines="120" w:after="288" w:afterLines="120" w:line="288" w:lineRule="auto"/>
        <w:ind w:left="0"/>
        <w:contextualSpacing/>
        <w:rPr>
          <w:rFonts w:ascii="Times New Roman" w:hAnsi="Times New Roman" w:cs="Times New Roman"/>
          <w:sz w:val="24"/>
          <w:szCs w:val="24"/>
        </w:rPr>
      </w:pPr>
    </w:p>
    <w:p w14:paraId="112BCA4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6.19.1.4 desenvolvimento pelo licitante de ações de equidade entre homens e mulheres no ambiente de trabalho;</w:t>
      </w:r>
    </w:p>
    <w:p w14:paraId="57FAC441">
      <w:pPr>
        <w:pStyle w:val="120"/>
        <w:spacing w:before="288" w:beforeLines="120" w:after="288" w:afterLines="120" w:line="288" w:lineRule="auto"/>
        <w:ind w:left="0"/>
        <w:contextualSpacing/>
        <w:rPr>
          <w:rFonts w:ascii="Times New Roman" w:hAnsi="Times New Roman" w:cs="Times New Roman"/>
          <w:sz w:val="24"/>
          <w:szCs w:val="24"/>
        </w:rPr>
      </w:pPr>
    </w:p>
    <w:p w14:paraId="4A47C4A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6.19.1.5 desenvolvimento pelo licitante de programa de integridade, conforme orientações dos órgãos de controle.</w:t>
      </w:r>
    </w:p>
    <w:p w14:paraId="3E4F5E95">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6.19.2 Persistindo o empate, será assegurada preferência, sucessivamente, aos bens e serviços produzidos ou prestados por:</w:t>
      </w:r>
    </w:p>
    <w:p w14:paraId="05EC4AE8">
      <w:pPr>
        <w:pStyle w:val="120"/>
        <w:spacing w:before="288" w:beforeLines="120" w:after="288" w:afterLines="120" w:line="288" w:lineRule="auto"/>
        <w:ind w:left="0"/>
        <w:contextualSpacing/>
        <w:rPr>
          <w:rFonts w:ascii="Times New Roman" w:hAnsi="Times New Roman" w:cs="Times New Roman"/>
          <w:sz w:val="24"/>
          <w:szCs w:val="24"/>
        </w:rPr>
      </w:pPr>
      <w:bookmarkStart w:id="25" w:name="art60§1i"/>
      <w:bookmarkEnd w:id="25"/>
      <w:r>
        <w:rPr>
          <w:rFonts w:ascii="Times New Roman" w:hAnsi="Times New Roman" w:cs="Times New Roman"/>
          <w:sz w:val="24"/>
          <w:szCs w:val="24"/>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502526A">
      <w:pPr>
        <w:pStyle w:val="120"/>
        <w:spacing w:before="288" w:beforeLines="120" w:after="288" w:afterLines="120" w:line="288" w:lineRule="auto"/>
        <w:ind w:left="0"/>
        <w:contextualSpacing/>
        <w:rPr>
          <w:rFonts w:ascii="Times New Roman" w:hAnsi="Times New Roman" w:cs="Times New Roman"/>
          <w:sz w:val="24"/>
          <w:szCs w:val="24"/>
        </w:rPr>
      </w:pPr>
      <w:bookmarkStart w:id="26" w:name="art60§1ii"/>
      <w:bookmarkEnd w:id="26"/>
    </w:p>
    <w:p w14:paraId="552085D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6.19.2.2 empresas brasileiras;</w:t>
      </w:r>
    </w:p>
    <w:p w14:paraId="5BBAB6E8">
      <w:pPr>
        <w:pStyle w:val="120"/>
        <w:spacing w:before="288" w:beforeLines="120" w:after="288" w:afterLines="120" w:line="288" w:lineRule="auto"/>
        <w:ind w:left="0"/>
        <w:contextualSpacing/>
        <w:rPr>
          <w:rFonts w:ascii="Times New Roman" w:hAnsi="Times New Roman" w:cs="Times New Roman"/>
          <w:sz w:val="24"/>
          <w:szCs w:val="24"/>
        </w:rPr>
      </w:pPr>
      <w:bookmarkStart w:id="27" w:name="art60§1iii"/>
      <w:bookmarkEnd w:id="27"/>
    </w:p>
    <w:p w14:paraId="2507D885">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6.19.2.3 empresas que invistam em pesquisa e no desenvolvimento de tecnologia no País;</w:t>
      </w:r>
    </w:p>
    <w:p w14:paraId="390A31EB">
      <w:pPr>
        <w:pStyle w:val="120"/>
        <w:spacing w:before="288" w:beforeLines="120" w:after="288" w:afterLines="120" w:line="288" w:lineRule="auto"/>
        <w:ind w:left="0"/>
        <w:contextualSpacing/>
        <w:rPr>
          <w:rFonts w:ascii="Times New Roman" w:hAnsi="Times New Roman" w:cs="Times New Roman"/>
          <w:sz w:val="24"/>
          <w:szCs w:val="24"/>
        </w:rPr>
      </w:pPr>
      <w:bookmarkStart w:id="28" w:name="art60§1iv"/>
      <w:bookmarkEnd w:id="28"/>
    </w:p>
    <w:p w14:paraId="5729E8C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6.19.2.4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6"/>
          <w:rFonts w:ascii="Times New Roman" w:hAnsi="Times New Roman" w:cs="Times New Roman"/>
          <w:sz w:val="24"/>
          <w:szCs w:val="24"/>
        </w:rPr>
        <w:t>Lei nº 12.187, de 29 de dezembro de 2009</w:t>
      </w:r>
      <w:r>
        <w:rPr>
          <w:rStyle w:val="16"/>
          <w:rFonts w:ascii="Times New Roman" w:hAnsi="Times New Roman" w:cs="Times New Roman"/>
          <w:sz w:val="24"/>
          <w:szCs w:val="24"/>
        </w:rPr>
        <w:fldChar w:fldCharType="end"/>
      </w:r>
      <w:r>
        <w:rPr>
          <w:rFonts w:ascii="Times New Roman" w:hAnsi="Times New Roman" w:cs="Times New Roman"/>
          <w:sz w:val="24"/>
          <w:szCs w:val="24"/>
        </w:rPr>
        <w:t>.</w:t>
      </w:r>
    </w:p>
    <w:p w14:paraId="7DD3DD0D">
      <w:pPr>
        <w:pStyle w:val="97"/>
        <w:spacing w:before="0" w:beforeAutospacing="0" w:after="0" w:afterAutospacing="0" w:line="288" w:lineRule="auto"/>
        <w:contextualSpacing/>
        <w:jc w:val="both"/>
        <w:rPr>
          <w:rFonts w:eastAsia="Calibri"/>
          <w:b/>
          <w:bCs/>
          <w:lang w:eastAsia="en-US"/>
        </w:rPr>
      </w:pPr>
      <w:r>
        <w:rPr>
          <w:rFonts w:eastAsia="Calibri"/>
          <w:b/>
          <w:bCs/>
          <w:lang w:eastAsia="en-US"/>
        </w:rPr>
        <w:t>7. DA FASE DE JULGAMENTO</w:t>
      </w:r>
    </w:p>
    <w:p w14:paraId="43D435D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3F22EF65">
      <w:pPr>
        <w:pStyle w:val="99"/>
        <w:spacing w:before="288" w:beforeLines="120" w:after="288" w:afterLines="120" w:line="288" w:lineRule="auto"/>
        <w:ind w:left="0" w:firstLine="0"/>
        <w:contextualSpacing/>
        <w:rPr>
          <w:rFonts w:ascii="Times New Roman" w:hAnsi="Times New Roman" w:cs="Times New Roman"/>
          <w:sz w:val="24"/>
          <w:szCs w:val="24"/>
        </w:rPr>
      </w:pPr>
    </w:p>
    <w:p w14:paraId="3A46D1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49E2029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7.1.2 A negociação será realizada por meio do sistema, podendo ser acompanhada pelos demais licitantes.</w:t>
      </w:r>
    </w:p>
    <w:p w14:paraId="7E8A11B3">
      <w:pPr>
        <w:pStyle w:val="103"/>
        <w:spacing w:before="288" w:beforeLines="120" w:after="288" w:afterLines="120" w:line="288" w:lineRule="auto"/>
        <w:ind w:left="0" w:firstLine="0"/>
        <w:contextualSpacing/>
        <w:rPr>
          <w:rFonts w:ascii="Times New Roman" w:hAnsi="Times New Roman" w:cs="Times New Roman"/>
          <w:sz w:val="24"/>
          <w:szCs w:val="24"/>
        </w:rPr>
      </w:pPr>
    </w:p>
    <w:p w14:paraId="11D5FE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7.1.3 O resultado da negociação será divulgado a todos os licitantes e anexado aos autos do processo licitatório.</w:t>
      </w:r>
    </w:p>
    <w:p w14:paraId="599A2BC4">
      <w:pPr>
        <w:pStyle w:val="103"/>
        <w:spacing w:before="288" w:beforeLines="120" w:after="288" w:afterLines="120" w:line="288" w:lineRule="auto"/>
        <w:ind w:left="0" w:firstLine="0"/>
        <w:contextualSpacing/>
        <w:rPr>
          <w:rFonts w:ascii="Times New Roman" w:hAnsi="Times New Roman" w:cs="Times New Roman"/>
          <w:sz w:val="24"/>
          <w:szCs w:val="24"/>
        </w:rPr>
      </w:pPr>
    </w:p>
    <w:p w14:paraId="0A8DE44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7.1.4 O Pregoeiro solicitará ao licitante mais bem classificado que, no </w:t>
      </w:r>
      <w:bookmarkStart w:id="29" w:name="_Hlk178773510"/>
      <w:r>
        <w:rPr>
          <w:rFonts w:ascii="Times New Roman" w:hAnsi="Times New Roman" w:cs="Times New Roman"/>
          <w:color w:val="auto"/>
          <w:sz w:val="24"/>
          <w:szCs w:val="24"/>
        </w:rPr>
        <w:t xml:space="preserve">prazo mínimo </w:t>
      </w:r>
      <w:r>
        <w:rPr>
          <w:rFonts w:ascii="Times New Roman" w:hAnsi="Times New Roman" w:cs="Times New Roman"/>
          <w:color w:val="000000" w:themeColor="text1"/>
          <w:sz w:val="24"/>
          <w:szCs w:val="24"/>
          <w14:textFill>
            <w14:solidFill>
              <w14:schemeClr w14:val="tx1"/>
            </w14:solidFill>
          </w14:textFill>
        </w:rPr>
        <w:t>de 2 (duas) horas</w:t>
      </w:r>
      <w:bookmarkEnd w:id="29"/>
      <w:r>
        <w:rPr>
          <w:rFonts w:ascii="Times New Roman" w:hAnsi="Times New Roman" w:cs="Times New Roman"/>
          <w:color w:val="000000" w:themeColor="text1"/>
          <w:sz w:val="24"/>
          <w:szCs w:val="24"/>
          <w14:textFill>
            <w14:solidFill>
              <w14:schemeClr w14:val="tx1"/>
            </w14:solidFill>
          </w14:textFill>
        </w:rPr>
        <w:t xml:space="preserve">, envie </w:t>
      </w:r>
      <w:r>
        <w:rPr>
          <w:rFonts w:ascii="Times New Roman" w:hAnsi="Times New Roman" w:cs="Times New Roman"/>
          <w:sz w:val="24"/>
          <w:szCs w:val="24"/>
        </w:rPr>
        <w:t>a proposta adequada ao último lance ofertado após a negociação realizada, acompanhada, se for o caso, dos documentos complementares, quando necessários à confirmação daqueles exigidos neste Edital e já apresentados.</w:t>
      </w:r>
    </w:p>
    <w:p w14:paraId="007A7A98">
      <w:pPr>
        <w:pStyle w:val="103"/>
        <w:spacing w:before="288" w:beforeLines="120" w:after="288" w:afterLines="120" w:line="288" w:lineRule="auto"/>
        <w:ind w:left="0" w:firstLine="0"/>
        <w:contextualSpacing/>
        <w:rPr>
          <w:rFonts w:ascii="Times New Roman" w:hAnsi="Times New Roman" w:cs="Times New Roman"/>
          <w:sz w:val="24"/>
          <w:szCs w:val="24"/>
        </w:rPr>
      </w:pPr>
    </w:p>
    <w:p w14:paraId="75BDB8B0">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7.1.5 É facultado ao Pregoeiro prorrogar o prazo estabelecido, por igual período, de ofício ou a partir de solicitação fundamentada feita no chat pelo licitante, antes de findo o prazo.</w:t>
      </w:r>
    </w:p>
    <w:p w14:paraId="0A631CD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7.2 Encerrada a negociação, o Pregoeiro examinará a proposta classificada em primeiro lugar quanto à adequação ao objeto e à compatibilidade do preço em relação ao máximo estipulado para contratação neste Edital e em seus anexos.</w:t>
      </w:r>
    </w:p>
    <w:p w14:paraId="17574971">
      <w:pPr>
        <w:pStyle w:val="99"/>
        <w:spacing w:before="288" w:beforeLines="120" w:after="288" w:afterLines="120" w:line="288" w:lineRule="auto"/>
        <w:ind w:left="0" w:firstLine="0"/>
        <w:contextualSpacing/>
        <w:rPr>
          <w:rFonts w:ascii="Times New Roman" w:hAnsi="Times New Roman" w:cs="Times New Roman"/>
          <w:sz w:val="24"/>
          <w:szCs w:val="24"/>
        </w:rPr>
      </w:pPr>
    </w:p>
    <w:p w14:paraId="0AA930E5">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 xml:space="preserve">7.3 Será desclassificada a proposta vencedora que: </w:t>
      </w:r>
    </w:p>
    <w:p w14:paraId="17C5878D">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7.3.1 contiver vícios insanáveis;</w:t>
      </w:r>
    </w:p>
    <w:p w14:paraId="0FEDF535">
      <w:pPr>
        <w:pStyle w:val="103"/>
        <w:spacing w:before="288" w:beforeLines="120" w:after="288" w:afterLines="120" w:line="288" w:lineRule="auto"/>
        <w:ind w:left="0" w:firstLine="0"/>
        <w:contextualSpacing/>
        <w:rPr>
          <w:rFonts w:ascii="Times New Roman" w:hAnsi="Times New Roman" w:cs="Times New Roman"/>
          <w:sz w:val="24"/>
          <w:szCs w:val="24"/>
        </w:rPr>
      </w:pPr>
    </w:p>
    <w:p w14:paraId="36E4A295">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7.3.2 não obedecer às especificações técnicas contidas no Termo de Referência;</w:t>
      </w:r>
    </w:p>
    <w:p w14:paraId="7C3E0E09">
      <w:pPr>
        <w:pStyle w:val="103"/>
        <w:spacing w:before="288" w:beforeLines="120" w:after="288" w:afterLines="120" w:line="288" w:lineRule="auto"/>
        <w:ind w:left="0" w:firstLine="0"/>
        <w:contextualSpacing/>
        <w:rPr>
          <w:rFonts w:ascii="Times New Roman" w:hAnsi="Times New Roman" w:cs="Times New Roman"/>
          <w:sz w:val="24"/>
          <w:szCs w:val="24"/>
        </w:rPr>
      </w:pPr>
    </w:p>
    <w:p w14:paraId="73AD5C4A">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7.3.3 apresentar preços inexequíveis ou permanecerem acima do preço máximo definido para a contratação;</w:t>
      </w:r>
    </w:p>
    <w:p w14:paraId="5CBA67CF">
      <w:pPr>
        <w:pStyle w:val="103"/>
        <w:spacing w:before="288" w:beforeLines="120" w:after="288" w:afterLines="120" w:line="288" w:lineRule="auto"/>
        <w:ind w:left="0" w:firstLine="0"/>
        <w:contextualSpacing/>
        <w:rPr>
          <w:rFonts w:ascii="Times New Roman" w:hAnsi="Times New Roman" w:cs="Times New Roman"/>
          <w:sz w:val="24"/>
          <w:szCs w:val="24"/>
        </w:rPr>
      </w:pPr>
    </w:p>
    <w:p w14:paraId="762D63D0">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7.3.4 não tiverem sua exequibilidade demonstrada, quando exigido pela Administração;</w:t>
      </w:r>
    </w:p>
    <w:p w14:paraId="465B06D1">
      <w:pPr>
        <w:pStyle w:val="103"/>
        <w:spacing w:before="288" w:beforeLines="120" w:after="288" w:afterLines="120" w:line="288" w:lineRule="auto"/>
        <w:ind w:left="0" w:firstLine="0"/>
        <w:contextualSpacing/>
        <w:rPr>
          <w:rFonts w:ascii="Times New Roman" w:hAnsi="Times New Roman" w:cs="Times New Roman"/>
          <w:sz w:val="24"/>
          <w:szCs w:val="24"/>
        </w:rPr>
      </w:pPr>
    </w:p>
    <w:p w14:paraId="2D215B44">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7.3.5 apresentar desconformidade com quaisquer outras exigências deste Edital ou seus anexos, desde que insanável.</w:t>
      </w:r>
    </w:p>
    <w:p w14:paraId="73B70349">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7.4 A desclassificação será sempre fundamentada e registrada no sistema, com acompanhamento por todos os participantes.</w:t>
      </w:r>
    </w:p>
    <w:p w14:paraId="4F060194">
      <w:pPr>
        <w:pStyle w:val="99"/>
        <w:spacing w:before="288" w:beforeLines="120" w:after="288" w:afterLines="120" w:line="288" w:lineRule="auto"/>
        <w:ind w:left="0" w:firstLine="0"/>
        <w:contextualSpacing/>
        <w:rPr>
          <w:rFonts w:ascii="Times New Roman" w:hAnsi="Times New Roman" w:cs="Times New Roman"/>
          <w:sz w:val="24"/>
          <w:szCs w:val="24"/>
        </w:rPr>
      </w:pPr>
    </w:p>
    <w:p w14:paraId="3477608F">
      <w:pPr>
        <w:pStyle w:val="99"/>
        <w:spacing w:before="288" w:beforeLines="120" w:after="288" w:afterLines="120" w:line="288" w:lineRule="auto"/>
        <w:ind w:left="0" w:firstLine="0"/>
        <w:contextualSpacing/>
        <w:rPr>
          <w:rFonts w:ascii="Times New Roman" w:hAnsi="Times New Roman" w:cs="Times New Roman"/>
          <w:b/>
          <w:bCs/>
          <w:sz w:val="24"/>
          <w:szCs w:val="24"/>
        </w:rPr>
      </w:pPr>
      <w:r>
        <w:rPr>
          <w:rFonts w:ascii="Times New Roman" w:hAnsi="Times New Roman" w:cs="Times New Roman"/>
          <w:sz w:val="24"/>
          <w:szCs w:val="24"/>
        </w:rPr>
        <w:t xml:space="preserve">7.5 É indício de inexequibilidade das propostas valores inferiores a 50% (cinquenta por cento) do valor orçado pela Administração, conforme art. 59 da Lei 14.133/2021 e Instrução Normativa/ME 73/2022. </w:t>
      </w:r>
    </w:p>
    <w:p w14:paraId="62C026F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A inexequibilidade, na hipótese de que trata o </w:t>
      </w:r>
      <w:r>
        <w:rPr>
          <w:rFonts w:ascii="Times New Roman" w:hAnsi="Times New Roman" w:cs="Times New Roman"/>
          <w:i/>
          <w:iCs/>
          <w:sz w:val="24"/>
          <w:szCs w:val="24"/>
        </w:rPr>
        <w:t>caput</w:t>
      </w:r>
      <w:r>
        <w:rPr>
          <w:rFonts w:ascii="Times New Roman" w:hAnsi="Times New Roman" w:cs="Times New Roman"/>
          <w:sz w:val="24"/>
          <w:szCs w:val="24"/>
        </w:rPr>
        <w:t>, só será considerada após diligência do Pregoeiro, que comprove:</w:t>
      </w:r>
    </w:p>
    <w:p w14:paraId="00A3A37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7.5.1.1 que o custo do licitante ultrapassa o valor da proposta; e</w:t>
      </w:r>
    </w:p>
    <w:p w14:paraId="20C35FAE">
      <w:pPr>
        <w:pStyle w:val="120"/>
        <w:spacing w:before="288" w:beforeLines="120" w:after="288" w:afterLines="120" w:line="288" w:lineRule="auto"/>
        <w:ind w:left="0"/>
        <w:contextualSpacing/>
        <w:rPr>
          <w:rFonts w:ascii="Times New Roman" w:hAnsi="Times New Roman" w:cs="Times New Roman"/>
          <w:sz w:val="24"/>
          <w:szCs w:val="24"/>
        </w:rPr>
      </w:pPr>
    </w:p>
    <w:p w14:paraId="023A6052">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7.5.1.2 inexistirem custos de oportunidade capazes de justificar o vulto da oferta.</w:t>
      </w:r>
    </w:p>
    <w:p w14:paraId="148DDB0F">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7.6 Se houver indícios de inexequibilidade da proposta de preço, ou em caso da necessidade de esclarecimentos complementares, poderão ser efetuadas diligências, para que a empresa comprove a exequibilidade da proposta.</w:t>
      </w:r>
    </w:p>
    <w:p w14:paraId="21197F32">
      <w:pPr>
        <w:pStyle w:val="99"/>
        <w:spacing w:before="288" w:beforeLines="120" w:after="288" w:afterLines="120" w:line="288" w:lineRule="auto"/>
        <w:ind w:left="0" w:firstLine="0"/>
        <w:contextualSpacing/>
        <w:rPr>
          <w:rFonts w:ascii="Times New Roman" w:hAnsi="Times New Roman" w:cs="Times New Roman"/>
          <w:sz w:val="24"/>
          <w:szCs w:val="24"/>
        </w:rPr>
      </w:pPr>
    </w:p>
    <w:p w14:paraId="6A315E7E">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302E83F">
      <w:pPr>
        <w:pStyle w:val="99"/>
        <w:spacing w:before="288" w:beforeLines="120" w:after="288" w:afterLines="120" w:line="288" w:lineRule="auto"/>
        <w:ind w:left="0" w:firstLine="0"/>
        <w:contextualSpacing/>
        <w:rPr>
          <w:rFonts w:ascii="Times New Roman" w:hAnsi="Times New Roman" w:cs="Times New Roman"/>
          <w:sz w:val="24"/>
          <w:szCs w:val="24"/>
        </w:rPr>
      </w:pPr>
    </w:p>
    <w:p w14:paraId="21947A3A">
      <w:pPr>
        <w:pStyle w:val="99"/>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821C588">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7.8.1 O ajuste de que trata este dispositivo se limita a sanar erros ou falhas que não alterem a substância das propostas.</w:t>
      </w:r>
    </w:p>
    <w:p w14:paraId="22A3E7AC">
      <w:pPr>
        <w:pStyle w:val="103"/>
        <w:spacing w:before="288" w:beforeLines="120" w:after="288" w:afterLines="120" w:line="288" w:lineRule="auto"/>
        <w:ind w:left="0" w:firstLine="0"/>
        <w:contextualSpacing/>
        <w:rPr>
          <w:rFonts w:ascii="Times New Roman" w:hAnsi="Times New Roman" w:cs="Times New Roman"/>
          <w:sz w:val="24"/>
          <w:szCs w:val="24"/>
        </w:rPr>
      </w:pPr>
    </w:p>
    <w:p w14:paraId="04FB6F3B">
      <w:pPr>
        <w:pStyle w:val="103"/>
        <w:spacing w:before="288" w:beforeLines="120" w:after="288" w:afterLines="120" w:line="288" w:lineRule="auto"/>
        <w:ind w:left="0" w:firstLine="0"/>
        <w:contextualSpacing/>
        <w:rPr>
          <w:rFonts w:ascii="Times New Roman" w:hAnsi="Times New Roman" w:cs="Times New Roman"/>
          <w:b/>
          <w:sz w:val="24"/>
          <w:szCs w:val="24"/>
        </w:rPr>
      </w:pPr>
      <w:r>
        <w:rPr>
          <w:rFonts w:ascii="Times New Roman" w:hAnsi="Times New Roman" w:cs="Times New Roman"/>
          <w:sz w:val="24"/>
          <w:szCs w:val="24"/>
        </w:rPr>
        <w:t>7.8.2 Considera-se erro no preenchimento da planilha passível de correção a indicação de recolhimento de impostos e contribuições na forma do Simples Nacional, quando não cabível esse regime.</w:t>
      </w:r>
    </w:p>
    <w:p w14:paraId="3CE6D152">
      <w:pPr>
        <w:pStyle w:val="99"/>
        <w:spacing w:before="288" w:beforeLines="120" w:after="288" w:afterLines="120" w:line="288" w:lineRule="auto"/>
        <w:ind w:left="0" w:firstLine="0"/>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7.9 Para fins de análise da proposta quanto ao cumprimento </w:t>
      </w:r>
      <w:r>
        <w:rPr>
          <w:rFonts w:ascii="Times New Roman" w:hAnsi="Times New Roman" w:cs="Times New Roman"/>
          <w:sz w:val="24"/>
          <w:szCs w:val="24"/>
        </w:rPr>
        <w:t>das</w:t>
      </w:r>
      <w:r>
        <w:rPr>
          <w:rFonts w:ascii="Times New Roman" w:hAnsi="Times New Roman" w:cs="Times New Roman"/>
          <w:sz w:val="24"/>
          <w:szCs w:val="24"/>
          <w:lang w:eastAsia="en-US"/>
        </w:rPr>
        <w:t xml:space="preserve"> especificações do objeto, poderá ser colhida a </w:t>
      </w:r>
      <w:r>
        <w:rPr>
          <w:rFonts w:ascii="Times New Roman" w:hAnsi="Times New Roman" w:cs="Times New Roman"/>
          <w:sz w:val="24"/>
          <w:szCs w:val="24"/>
        </w:rPr>
        <w:t>manifestação</w:t>
      </w:r>
      <w:r>
        <w:rPr>
          <w:rFonts w:ascii="Times New Roman" w:hAnsi="Times New Roman" w:cs="Times New Roman"/>
          <w:sz w:val="24"/>
          <w:szCs w:val="24"/>
          <w:lang w:eastAsia="en-US"/>
        </w:rPr>
        <w:t xml:space="preserve"> escrita do setor requisitante da área especializada no objeto.</w:t>
      </w:r>
    </w:p>
    <w:p w14:paraId="7DF91B0A">
      <w:pPr>
        <w:pStyle w:val="99"/>
        <w:spacing w:before="288" w:beforeLines="120" w:after="288" w:afterLines="120" w:line="288" w:lineRule="auto"/>
        <w:ind w:left="0" w:firstLine="0"/>
        <w:contextualSpacing/>
        <w:rPr>
          <w:rFonts w:ascii="Times New Roman" w:hAnsi="Times New Roman" w:cs="Times New Roman"/>
          <w:sz w:val="24"/>
          <w:szCs w:val="24"/>
        </w:rPr>
      </w:pPr>
    </w:p>
    <w:p w14:paraId="588F502F">
      <w:pPr>
        <w:pStyle w:val="99"/>
        <w:spacing w:before="288" w:beforeLines="120" w:after="288" w:afterLines="120" w:line="288" w:lineRule="auto"/>
        <w:ind w:left="0" w:firstLine="0"/>
        <w:contextualSpacing/>
        <w:rPr>
          <w:rFonts w:ascii="Times New Roman" w:hAnsi="Times New Roman" w:cs="Times New Roman"/>
          <w:b/>
          <w:bCs/>
          <w:sz w:val="24"/>
          <w:szCs w:val="24"/>
          <w:lang w:eastAsia="ar-SA"/>
        </w:rPr>
      </w:pPr>
      <w:r>
        <w:rPr>
          <w:rFonts w:ascii="Times New Roman" w:hAnsi="Times New Roman" w:cs="Times New Roman"/>
          <w:sz w:val="24"/>
          <w:szCs w:val="24"/>
        </w:rPr>
        <w:t xml:space="preserve">7.10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6"/>
          <w:rFonts w:ascii="Times New Roman" w:hAnsi="Times New Roman" w:cs="Times New Roman" w:eastAsiaTheme="minorHAnsi"/>
          <w:color w:val="auto"/>
          <w:sz w:val="24"/>
          <w:szCs w:val="24"/>
        </w:rPr>
        <w:t>art. 14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legislação correlata e no item 3.9 do Edital, </w:t>
      </w:r>
      <w:r>
        <w:rPr>
          <w:rFonts w:ascii="Times New Roman" w:hAnsi="Times New Roman" w:cs="Times New Roman"/>
          <w:color w:val="auto"/>
          <w:sz w:val="24"/>
          <w:szCs w:val="24"/>
          <w:lang w:eastAsia="ar-SA"/>
        </w:rPr>
        <w:t>especialmente quanto à existência de sanção que impeça a participação no certame ou a futura contratação,</w:t>
      </w:r>
      <w:r>
        <w:rPr>
          <w:rFonts w:ascii="Times New Roman" w:hAnsi="Times New Roman" w:cs="Times New Roman"/>
          <w:sz w:val="24"/>
          <w:szCs w:val="24"/>
          <w:lang w:eastAsia="ar-SA"/>
        </w:rPr>
        <w:t xml:space="preserve"> mediante a consulta aos seguintes cadastros:</w:t>
      </w:r>
    </w:p>
    <w:p w14:paraId="0D03F72A">
      <w:pPr>
        <w:pStyle w:val="61"/>
        <w:spacing w:before="288" w:beforeLines="120" w:after="288" w:afterLines="120" w:line="288" w:lineRule="auto"/>
        <w:ind w:left="0"/>
        <w:jc w:val="both"/>
        <w:rPr>
          <w:sz w:val="24"/>
          <w:szCs w:val="24"/>
          <w:lang w:eastAsia="ar-SA"/>
        </w:rPr>
      </w:pPr>
      <w:r>
        <w:rPr>
          <w:sz w:val="24"/>
          <w:szCs w:val="24"/>
          <w:lang w:eastAsia="ar-SA"/>
        </w:rPr>
        <w:t xml:space="preserve">a) SICAF;  </w:t>
      </w:r>
    </w:p>
    <w:p w14:paraId="6C2DC2CC">
      <w:pPr>
        <w:pStyle w:val="61"/>
        <w:spacing w:before="288" w:beforeLines="120" w:after="288" w:afterLines="120" w:line="288" w:lineRule="auto"/>
        <w:ind w:left="0"/>
        <w:jc w:val="both"/>
        <w:rPr>
          <w:sz w:val="24"/>
          <w:szCs w:val="24"/>
          <w:lang w:eastAsia="ar-SA"/>
        </w:rPr>
      </w:pPr>
    </w:p>
    <w:p w14:paraId="32970352">
      <w:pPr>
        <w:pStyle w:val="61"/>
        <w:spacing w:before="288" w:beforeLines="120" w:after="288" w:afterLines="120" w:line="288" w:lineRule="auto"/>
        <w:ind w:left="0"/>
        <w:jc w:val="both"/>
        <w:rPr>
          <w:sz w:val="24"/>
          <w:szCs w:val="24"/>
          <w:lang w:eastAsia="ar-SA"/>
        </w:rPr>
      </w:pPr>
      <w:r>
        <w:rPr>
          <w:sz w:val="24"/>
          <w:szCs w:val="24"/>
          <w:lang w:eastAsia="ar-SA"/>
        </w:rPr>
        <w:t>b) 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6"/>
          <w:rFonts w:eastAsiaTheme="minorHAnsi"/>
          <w:sz w:val="24"/>
          <w:szCs w:val="24"/>
          <w:lang w:eastAsia="ar-SA"/>
        </w:rPr>
        <w:t>https://www.portaltransparencia.gov.br/sancoes/ceis</w:t>
      </w:r>
      <w:r>
        <w:rPr>
          <w:rStyle w:val="16"/>
          <w:rFonts w:eastAsiaTheme="minorHAnsi"/>
          <w:sz w:val="24"/>
          <w:szCs w:val="24"/>
          <w:lang w:eastAsia="ar-SA"/>
        </w:rPr>
        <w:fldChar w:fldCharType="end"/>
      </w:r>
      <w:r>
        <w:rPr>
          <w:sz w:val="24"/>
          <w:szCs w:val="24"/>
          <w:lang w:eastAsia="ar-SA"/>
        </w:rPr>
        <w:t xml:space="preserve">); </w:t>
      </w:r>
    </w:p>
    <w:p w14:paraId="66673A54">
      <w:pPr>
        <w:pStyle w:val="61"/>
        <w:spacing w:before="288" w:beforeLines="120" w:after="288" w:afterLines="120" w:line="288" w:lineRule="auto"/>
        <w:ind w:left="0"/>
        <w:jc w:val="both"/>
        <w:rPr>
          <w:sz w:val="24"/>
          <w:szCs w:val="24"/>
          <w:lang w:eastAsia="ar-SA"/>
        </w:rPr>
      </w:pPr>
    </w:p>
    <w:p w14:paraId="213584AE">
      <w:pPr>
        <w:pStyle w:val="61"/>
        <w:spacing w:before="288" w:beforeLines="120" w:after="288" w:afterLines="120" w:line="288" w:lineRule="auto"/>
        <w:ind w:left="0"/>
        <w:jc w:val="both"/>
        <w:rPr>
          <w:sz w:val="24"/>
          <w:szCs w:val="24"/>
          <w:lang w:eastAsia="ar-SA"/>
        </w:rPr>
      </w:pPr>
      <w:r>
        <w:rPr>
          <w:sz w:val="24"/>
          <w:szCs w:val="24"/>
          <w:lang w:eastAsia="ar-SA"/>
        </w:rPr>
        <w:t>c) Cadastro Nacional de Condenações Cíveis por Atos de Improbidade Administrativa, mantido pelo Conselho Nacional de Justiça (www.cnj.jus.br/improbidade_adm/consultar_requerido.php);</w:t>
      </w:r>
    </w:p>
    <w:p w14:paraId="1D2FCAB9">
      <w:pPr>
        <w:pStyle w:val="61"/>
        <w:spacing w:before="288" w:beforeLines="120" w:after="288" w:afterLines="120" w:line="288" w:lineRule="auto"/>
        <w:ind w:left="0"/>
        <w:jc w:val="both"/>
        <w:rPr>
          <w:sz w:val="24"/>
          <w:szCs w:val="24"/>
          <w:lang w:eastAsia="ar-SA"/>
        </w:rPr>
      </w:pPr>
    </w:p>
    <w:p w14:paraId="4D80E7EF">
      <w:pPr>
        <w:pStyle w:val="61"/>
        <w:spacing w:before="288" w:beforeLines="120" w:after="288" w:afterLines="120" w:line="288" w:lineRule="auto"/>
        <w:ind w:left="0"/>
        <w:jc w:val="both"/>
        <w:rPr>
          <w:sz w:val="24"/>
          <w:szCs w:val="24"/>
          <w:lang w:eastAsia="ar-SA"/>
        </w:rPr>
      </w:pPr>
      <w:r>
        <w:rPr>
          <w:sz w:val="24"/>
          <w:szCs w:val="24"/>
          <w:lang w:eastAsia="ar-SA"/>
        </w:rPr>
        <w:t>d) 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6"/>
          <w:rFonts w:eastAsiaTheme="minorHAnsi"/>
          <w:sz w:val="24"/>
          <w:szCs w:val="24"/>
          <w:lang w:eastAsia="ar-SA"/>
        </w:rPr>
        <w:t>https://www.portaltransparencia.gov.br/sancoes/cnep</w:t>
      </w:r>
      <w:r>
        <w:rPr>
          <w:rStyle w:val="16"/>
          <w:rFonts w:eastAsiaTheme="minorHAnsi"/>
          <w:sz w:val="24"/>
          <w:szCs w:val="24"/>
          <w:lang w:eastAsia="ar-SA"/>
        </w:rPr>
        <w:fldChar w:fldCharType="end"/>
      </w:r>
      <w:r>
        <w:rPr>
          <w:sz w:val="24"/>
          <w:szCs w:val="24"/>
          <w:lang w:eastAsia="ar-SA"/>
        </w:rPr>
        <w:t>);</w:t>
      </w:r>
    </w:p>
    <w:p w14:paraId="654E95A9">
      <w:pPr>
        <w:pStyle w:val="61"/>
        <w:spacing w:before="288" w:beforeLines="120" w:after="288" w:afterLines="120" w:line="288" w:lineRule="auto"/>
        <w:ind w:left="0"/>
        <w:jc w:val="both"/>
        <w:rPr>
          <w:sz w:val="24"/>
          <w:szCs w:val="24"/>
          <w:lang w:eastAsia="ar-SA"/>
        </w:rPr>
      </w:pPr>
    </w:p>
    <w:p w14:paraId="12D06C6F">
      <w:pPr>
        <w:pStyle w:val="61"/>
        <w:spacing w:before="288" w:beforeLines="120" w:after="288" w:afterLines="120" w:line="288" w:lineRule="auto"/>
        <w:ind w:left="0"/>
        <w:jc w:val="both"/>
        <w:rPr>
          <w:sz w:val="24"/>
          <w:szCs w:val="24"/>
          <w:lang w:eastAsia="ar-SA"/>
        </w:rPr>
      </w:pPr>
      <w:r>
        <w:rPr>
          <w:sz w:val="24"/>
          <w:szCs w:val="24"/>
          <w:lang w:eastAsia="ar-SA"/>
        </w:rPr>
        <w:t>e) Lista de inidôneos mantida pelo Tribunal de Contas da União; e</w:t>
      </w:r>
    </w:p>
    <w:p w14:paraId="60DC9159">
      <w:pPr>
        <w:pStyle w:val="61"/>
        <w:spacing w:before="288" w:beforeLines="120" w:after="288" w:afterLines="120" w:line="288" w:lineRule="auto"/>
        <w:ind w:left="0"/>
        <w:jc w:val="both"/>
        <w:rPr>
          <w:sz w:val="24"/>
          <w:szCs w:val="24"/>
          <w:lang w:eastAsia="ar-SA"/>
        </w:rPr>
      </w:pPr>
    </w:p>
    <w:p w14:paraId="08C0F7ED">
      <w:pPr>
        <w:pStyle w:val="61"/>
        <w:spacing w:before="288" w:beforeLines="120" w:after="288" w:afterLines="120" w:line="288" w:lineRule="auto"/>
        <w:ind w:left="0"/>
        <w:jc w:val="both"/>
        <w:rPr>
          <w:sz w:val="24"/>
          <w:szCs w:val="24"/>
          <w:lang w:eastAsia="ar-SA"/>
        </w:rPr>
      </w:pPr>
      <w:r>
        <w:rPr>
          <w:sz w:val="24"/>
          <w:szCs w:val="24"/>
          <w:lang w:eastAsia="ar-SA"/>
        </w:rPr>
        <w:t>f) módulo Registro de Ocorrências do Comprasnet.</w:t>
      </w:r>
    </w:p>
    <w:p w14:paraId="6DF3E47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Caso o licitante provisoriamente classificado em primeiro lugar tenha se utilizado de algum tratamento favorecido às ME/EPPs, o Pregoeiro verificará se faz jus ao benefício, em conformidade com os itens 3.8 e 4.5 deste Edital.</w:t>
      </w:r>
    </w:p>
    <w:p w14:paraId="40915B63">
      <w:pPr>
        <w:pStyle w:val="97"/>
        <w:spacing w:before="0" w:beforeAutospacing="0" w:after="0" w:afterAutospacing="0" w:line="288" w:lineRule="auto"/>
        <w:contextualSpacing/>
        <w:jc w:val="both"/>
        <w:rPr>
          <w:rFonts w:eastAsia="Calibri"/>
          <w:b/>
          <w:bCs/>
          <w:lang w:eastAsia="en-US"/>
        </w:rPr>
      </w:pPr>
      <w:r>
        <w:rPr>
          <w:rFonts w:eastAsia="Calibri"/>
          <w:b/>
          <w:bCs/>
          <w:lang w:eastAsia="en-US"/>
        </w:rPr>
        <w:t>8. DA FASE DE HABILITAÇÃO</w:t>
      </w:r>
    </w:p>
    <w:p w14:paraId="236BC60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6"/>
          <w:rFonts w:ascii="Times New Roman" w:hAnsi="Times New Roman" w:cs="Times New Roman" w:eastAsiaTheme="minorHAnsi"/>
          <w:color w:val="auto"/>
          <w:sz w:val="24"/>
          <w:szCs w:val="24"/>
        </w:rPr>
        <w:t>art. 12 da Lei nº 8.429/1992</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w:t>
      </w:r>
    </w:p>
    <w:p w14:paraId="7897AA17">
      <w:pPr>
        <w:pStyle w:val="99"/>
        <w:spacing w:before="288" w:beforeLines="120" w:after="288" w:afterLines="120" w:line="288" w:lineRule="auto"/>
        <w:ind w:left="0" w:firstLine="0"/>
        <w:contextualSpacing/>
        <w:rPr>
          <w:rFonts w:ascii="Times New Roman" w:hAnsi="Times New Roman" w:cs="Times New Roman"/>
          <w:sz w:val="24"/>
          <w:szCs w:val="24"/>
        </w:rPr>
      </w:pPr>
    </w:p>
    <w:p w14:paraId="6D65281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8.2 Caso conste na Consulta de Situação do l</w:t>
      </w:r>
      <w:r>
        <w:rPr>
          <w:rFonts w:ascii="Times New Roman" w:hAnsi="Times New Roman" w:cs="Times New Roman"/>
          <w:color w:val="auto"/>
          <w:sz w:val="24"/>
          <w:szCs w:val="24"/>
        </w:rPr>
        <w:t xml:space="preserve">icitante </w:t>
      </w:r>
      <w:r>
        <w:rPr>
          <w:rFonts w:ascii="Times New Roman" w:hAnsi="Times New Roman" w:cs="Times New Roman"/>
          <w:sz w:val="24"/>
          <w:szCs w:val="24"/>
        </w:rPr>
        <w:t xml:space="preserve">a existência de Ocorrências Impeditivas Indiretas, o </w:t>
      </w:r>
      <w:r>
        <w:rPr>
          <w:rFonts w:ascii="Times New Roman" w:hAnsi="Times New Roman" w:cs="Times New Roman"/>
          <w:color w:val="auto"/>
          <w:sz w:val="24"/>
          <w:szCs w:val="24"/>
        </w:rPr>
        <w:t>Pregoeiro diligenciará para v</w:t>
      </w:r>
      <w:r>
        <w:rPr>
          <w:rFonts w:ascii="Times New Roman" w:hAnsi="Times New Roman" w:cs="Times New Roman"/>
          <w:sz w:val="24"/>
          <w:szCs w:val="24"/>
        </w:rPr>
        <w:t xml:space="preserve">erificar se houve fraude por parte das empresas apontadas no Relatório de Ocorrências Impeditivas Indiretas. </w:t>
      </w:r>
    </w:p>
    <w:p w14:paraId="5CC0F92A">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8.3.1 A tentativa de burla será verificada por meio dos vínculos societários, linhas de fornecimento similares, dentre outros. </w:t>
      </w:r>
    </w:p>
    <w:p w14:paraId="72239A3E">
      <w:pPr>
        <w:pStyle w:val="103"/>
        <w:spacing w:before="288" w:beforeLines="120" w:after="288" w:afterLines="120" w:line="288" w:lineRule="auto"/>
        <w:ind w:left="0" w:firstLine="0"/>
        <w:contextualSpacing/>
        <w:rPr>
          <w:rFonts w:ascii="Times New Roman" w:hAnsi="Times New Roman" w:cs="Times New Roman"/>
          <w:sz w:val="24"/>
          <w:szCs w:val="24"/>
        </w:rPr>
      </w:pPr>
    </w:p>
    <w:p w14:paraId="5AE1427E">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8.3.2 O licitante será convocado para manifestação previamente a uma eventual desclassificação. </w:t>
      </w:r>
    </w:p>
    <w:p w14:paraId="0EC0D34A">
      <w:pPr>
        <w:pStyle w:val="103"/>
        <w:spacing w:before="288" w:beforeLines="120" w:after="288" w:afterLines="120" w:line="288" w:lineRule="auto"/>
        <w:ind w:left="0" w:firstLine="0"/>
        <w:contextualSpacing/>
        <w:rPr>
          <w:rFonts w:ascii="Times New Roman" w:hAnsi="Times New Roman" w:cs="Times New Roman"/>
          <w:sz w:val="24"/>
          <w:szCs w:val="24"/>
        </w:rPr>
      </w:pPr>
    </w:p>
    <w:p w14:paraId="1676667F">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8.3.3 Constatada a existência de sanção, o licitante será reputado inabilitado, por falta de condição de participação.</w:t>
      </w:r>
    </w:p>
    <w:p w14:paraId="5746DAD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8.5 Será exigida a apresentação dos documentos de habilitação que trata o </w:t>
      </w:r>
      <w:r>
        <w:rPr>
          <w:rFonts w:ascii="Times New Roman" w:hAnsi="Times New Roman" w:cs="Times New Roman"/>
          <w:color w:val="auto"/>
          <w:sz w:val="24"/>
          <w:szCs w:val="24"/>
        </w:rPr>
        <w:t xml:space="preserve">Anexo referente aos requisitos de habilitação </w:t>
      </w:r>
      <w:r>
        <w:rPr>
          <w:rFonts w:ascii="Times New Roman" w:hAnsi="Times New Roman" w:cs="Times New Roman"/>
          <w:sz w:val="24"/>
          <w:szCs w:val="24"/>
        </w:rPr>
        <w:t>deste Edital apenas ao licitante vencedor.</w:t>
      </w:r>
    </w:p>
    <w:p w14:paraId="54467FF6">
      <w:pPr>
        <w:pStyle w:val="99"/>
        <w:spacing w:before="57" w:beforeLines="24" w:after="57" w:afterLines="24" w:line="288" w:lineRule="auto"/>
        <w:ind w:left="0" w:right="-2" w:firstLine="0"/>
        <w:contextualSpacing/>
        <w:rPr>
          <w:rFonts w:ascii="Times New Roman" w:hAnsi="Times New Roman" w:cs="Times New Roman"/>
          <w:color w:val="auto"/>
          <w:sz w:val="24"/>
          <w:szCs w:val="24"/>
        </w:rPr>
      </w:pPr>
      <w:bookmarkStart w:id="30" w:name="_Hlk178688754"/>
    </w:p>
    <w:p w14:paraId="2FA7E4FF">
      <w:pPr>
        <w:pStyle w:val="99"/>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 Caso atendidas as condições de participação, a habilitação do licitante provisoriamente classificado em primeiro lugar será verificada pelo Pregoeiro por meio do registro cadastral no SICAF, quanto aos documentos por este abrangidos.</w:t>
      </w:r>
    </w:p>
    <w:p w14:paraId="5708E24D">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8.6.1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0ADE91BF">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8.6.2 A não observância do disposto no item anterior poderá ensejar desclassificação no momento da habilitação, exceto se o Pregoeiro, em consulta aos sítios eletrônicos oficiais de órgãos e entidades emissores de certidões, lograr êxito em encontrar a(s) certidão(ões) válida(s).</w:t>
      </w:r>
    </w:p>
    <w:p w14:paraId="178A03D6">
      <w:pPr>
        <w:pStyle w:val="103"/>
        <w:spacing w:before="57" w:beforeLines="24" w:after="57" w:afterLines="24" w:line="288" w:lineRule="auto"/>
        <w:ind w:left="0" w:right="-2"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8.6.3 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24C1EC1B">
      <w:pPr>
        <w:pStyle w:val="103"/>
        <w:spacing w:before="57" w:beforeLines="24" w:after="57" w:afterLines="24" w:line="288" w:lineRule="auto"/>
        <w:ind w:left="0" w:right="-2" w:firstLine="0"/>
        <w:contextualSpacing/>
        <w:rPr>
          <w:rFonts w:ascii="Times New Roman" w:hAnsi="Times New Roman" w:cs="Times New Roman"/>
          <w:color w:val="FF0000"/>
          <w:sz w:val="24"/>
          <w:szCs w:val="24"/>
        </w:rPr>
      </w:pPr>
      <w:r>
        <w:rPr>
          <w:rFonts w:ascii="Times New Roman" w:hAnsi="Times New Roman" w:cs="Times New Roman"/>
          <w:color w:val="auto"/>
          <w:sz w:val="24"/>
          <w:szCs w:val="24"/>
        </w:rPr>
        <w:t>8.6.4 Somente haverá a necessidade de comprovação do preenchimento de requisitos mediante apresentação dos documentos originais não-digitais quando houver dúvida em relação à integridade do documento digital ou quando a lei expressamente o exigir.</w:t>
      </w:r>
    </w:p>
    <w:bookmarkEnd w:id="30"/>
    <w:p w14:paraId="3E8B8699">
      <w:pPr>
        <w:pStyle w:val="99"/>
        <w:spacing w:before="57" w:beforeLines="24" w:after="57" w:afterLines="24" w:line="288" w:lineRule="auto"/>
        <w:ind w:left="0" w:firstLine="0"/>
        <w:contextualSpacing/>
        <w:rPr>
          <w:rFonts w:ascii="Times New Roman" w:hAnsi="Times New Roman" w:cs="Times New Roman"/>
          <w:sz w:val="24"/>
          <w:szCs w:val="24"/>
        </w:rPr>
      </w:pPr>
    </w:p>
    <w:p w14:paraId="09B77DA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8.7 Após a apresentação dos documentos de habilitação, fica vedada a substituição ou a apresentação de novos documentos, salvo em sede de diligência, para:</w:t>
      </w:r>
    </w:p>
    <w:p w14:paraId="5F5CB3AE">
      <w:pPr>
        <w:pStyle w:val="99"/>
        <w:spacing w:before="57" w:beforeLines="24" w:after="57" w:afterLines="24" w:line="288" w:lineRule="auto"/>
        <w:ind w:left="0" w:firstLine="0"/>
        <w:contextualSpacing/>
        <w:rPr>
          <w:rFonts w:ascii="Times New Roman" w:hAnsi="Times New Roman" w:cs="Times New Roman"/>
          <w:sz w:val="24"/>
          <w:szCs w:val="24"/>
        </w:rPr>
      </w:pPr>
    </w:p>
    <w:p w14:paraId="0265FAA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1D4D5D04">
      <w:pPr>
        <w:pStyle w:val="99"/>
        <w:spacing w:before="57" w:beforeLines="24" w:after="57" w:afterLines="24" w:line="288" w:lineRule="auto"/>
        <w:ind w:left="0" w:firstLine="0"/>
        <w:contextualSpacing/>
        <w:rPr>
          <w:rFonts w:ascii="Times New Roman" w:hAnsi="Times New Roman" w:cs="Times New Roman"/>
          <w:sz w:val="24"/>
          <w:szCs w:val="24"/>
        </w:rPr>
      </w:pPr>
    </w:p>
    <w:p w14:paraId="3BF62A76">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atualização de documentos cuja validade tenha expirado após a data de recebimento das propostas.</w:t>
      </w:r>
    </w:p>
    <w:p w14:paraId="6DC7D0B3">
      <w:pPr>
        <w:pStyle w:val="99"/>
        <w:spacing w:before="57" w:beforeLines="24" w:after="57" w:afterLines="24" w:line="288" w:lineRule="auto"/>
        <w:ind w:left="0" w:firstLine="0"/>
        <w:contextualSpacing/>
        <w:rPr>
          <w:rFonts w:ascii="Times New Roman" w:hAnsi="Times New Roman" w:cs="Times New Roman"/>
          <w:sz w:val="24"/>
          <w:szCs w:val="24"/>
        </w:rPr>
      </w:pPr>
    </w:p>
    <w:p w14:paraId="259E4915">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4666D64">
      <w:pPr>
        <w:pStyle w:val="99"/>
        <w:spacing w:before="57" w:beforeLines="24" w:after="57" w:afterLines="24" w:line="288" w:lineRule="auto"/>
        <w:ind w:left="0" w:firstLine="0"/>
        <w:contextualSpacing/>
        <w:rPr>
          <w:rFonts w:ascii="Times New Roman" w:hAnsi="Times New Roman" w:cs="Times New Roman"/>
          <w:sz w:val="24"/>
          <w:szCs w:val="24"/>
        </w:rPr>
      </w:pPr>
    </w:p>
    <w:p w14:paraId="287F691A">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3AEFC0C5">
      <w:pPr>
        <w:pStyle w:val="103"/>
        <w:spacing w:before="57" w:beforeLines="24" w:after="57" w:afterLines="24" w:line="288" w:lineRule="auto"/>
        <w:ind w:left="0" w:firstLine="0"/>
        <w:contextualSpacing/>
        <w:rPr>
          <w:rFonts w:ascii="Times New Roman" w:hAnsi="Times New Roman" w:cs="Times New Roman"/>
          <w:sz w:val="24"/>
          <w:szCs w:val="24"/>
        </w:rPr>
      </w:pPr>
    </w:p>
    <w:p w14:paraId="1AC3137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8CF9F04">
      <w:pPr>
        <w:pStyle w:val="99"/>
        <w:spacing w:before="57" w:beforeLines="24" w:after="57" w:afterLines="24" w:line="288" w:lineRule="auto"/>
        <w:ind w:left="0" w:firstLine="0"/>
        <w:contextualSpacing/>
        <w:rPr>
          <w:rFonts w:ascii="Times New Roman" w:hAnsi="Times New Roman" w:cs="Times New Roman"/>
          <w:sz w:val="24"/>
          <w:szCs w:val="24"/>
        </w:rPr>
      </w:pPr>
    </w:p>
    <w:p w14:paraId="601438EA">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8.10 Constatado o atendimento às exigências de habilitação, o licitante será habilitado.</w:t>
      </w:r>
    </w:p>
    <w:p w14:paraId="02D84865">
      <w:pPr>
        <w:pStyle w:val="99"/>
        <w:spacing w:before="57" w:beforeLines="24" w:after="57" w:afterLines="24" w:line="288" w:lineRule="auto"/>
        <w:ind w:left="0" w:firstLine="0"/>
        <w:contextualSpacing/>
        <w:rPr>
          <w:rFonts w:ascii="Times New Roman" w:hAnsi="Times New Roman" w:cs="Times New Roman"/>
          <w:sz w:val="24"/>
          <w:szCs w:val="24"/>
        </w:rPr>
      </w:pPr>
    </w:p>
    <w:p w14:paraId="3E5E06E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 Somente serão disponibilizados para acesso público os documentos de habilitação do licitante cuja proposta atenda ao edital de licitação, após declarada sua habilitação. </w:t>
      </w:r>
    </w:p>
    <w:p w14:paraId="383CDA2A">
      <w:pPr>
        <w:pStyle w:val="99"/>
        <w:spacing w:before="57" w:beforeLines="24" w:after="57" w:afterLines="24" w:line="288" w:lineRule="auto"/>
        <w:ind w:left="0" w:firstLine="0"/>
        <w:contextualSpacing/>
        <w:rPr>
          <w:rFonts w:ascii="Times New Roman" w:hAnsi="Times New Roman" w:cs="Times New Roman"/>
          <w:sz w:val="24"/>
          <w:szCs w:val="24"/>
        </w:rPr>
      </w:pPr>
    </w:p>
    <w:p w14:paraId="118A57D9">
      <w:pPr>
        <w:pStyle w:val="99"/>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 Não serão aceitos documentos de habilitação com indicação de CNPJ/CPF diferentes, salvo aqueles legalmente permitidos.</w:t>
      </w:r>
    </w:p>
    <w:p w14:paraId="0358EA77">
      <w:pPr>
        <w:pStyle w:val="99"/>
        <w:spacing w:before="57" w:beforeLines="24" w:after="57" w:afterLines="24" w:line="288" w:lineRule="auto"/>
        <w:ind w:left="0" w:firstLine="0"/>
        <w:contextualSpacing/>
        <w:rPr>
          <w:rFonts w:ascii="Times New Roman" w:hAnsi="Times New Roman" w:cs="Times New Roman"/>
          <w:color w:val="auto"/>
          <w:sz w:val="24"/>
          <w:szCs w:val="24"/>
        </w:rPr>
      </w:pPr>
    </w:p>
    <w:p w14:paraId="0527876A">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882991D">
      <w:pPr>
        <w:pStyle w:val="103"/>
        <w:spacing w:before="57" w:beforeLines="24" w:after="57" w:afterLines="24" w:line="288" w:lineRule="auto"/>
        <w:ind w:left="0" w:firstLine="0"/>
        <w:contextualSpacing/>
        <w:rPr>
          <w:rFonts w:ascii="Times New Roman" w:hAnsi="Times New Roman" w:cs="Times New Roman"/>
          <w:color w:val="auto"/>
          <w:sz w:val="24"/>
          <w:szCs w:val="24"/>
        </w:rPr>
      </w:pPr>
    </w:p>
    <w:p w14:paraId="2538E2CD">
      <w:pPr>
        <w:pStyle w:val="103"/>
        <w:spacing w:before="57" w:beforeLines="24" w:after="57" w:afterLines="24"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8.12.2 Serão aceitos registros de CNPJ de licitante matriz e filial com diferenças de números de documentos pertinentes ao CND e ao CRF/FGTS, quando for comprovada a centralização do recolhimento dessas contribuições.</w:t>
      </w:r>
    </w:p>
    <w:p w14:paraId="12619037">
      <w:pPr>
        <w:pStyle w:val="103"/>
        <w:spacing w:before="57" w:beforeLines="24" w:after="57" w:afterLines="24" w:line="288" w:lineRule="auto"/>
        <w:ind w:left="0" w:firstLine="0"/>
        <w:contextualSpacing/>
        <w:rPr>
          <w:rFonts w:ascii="Times New Roman" w:hAnsi="Times New Roman" w:cs="Times New Roman"/>
          <w:sz w:val="24"/>
          <w:szCs w:val="24"/>
        </w:rPr>
      </w:pPr>
    </w:p>
    <w:p w14:paraId="43E65B3B">
      <w:pPr>
        <w:pStyle w:val="99"/>
        <w:spacing w:before="288" w:beforeLines="120" w:after="288" w:afterLines="120" w:line="288" w:lineRule="auto"/>
        <w:ind w:left="0" w:firstLine="0"/>
        <w:contextualSpacing/>
        <w:rPr>
          <w:rFonts w:ascii="Times New Roman" w:hAnsi="Times New Roman" w:cs="Times New Roman"/>
          <w:color w:val="auto"/>
          <w:sz w:val="24"/>
          <w:szCs w:val="24"/>
        </w:rPr>
      </w:pPr>
      <w:bookmarkStart w:id="31" w:name="_Hlk154307107"/>
      <w:r>
        <w:rPr>
          <w:rFonts w:ascii="Times New Roman" w:hAnsi="Times New Roman" w:cs="Times New Roman"/>
          <w:sz w:val="24"/>
          <w:szCs w:val="24"/>
        </w:rPr>
        <w:t xml:space="preserve">8.13 A comprovação de regularidade fiscal e trabalhista das microempresas e das empresas de pequeno porte será exigida nos termos </w:t>
      </w:r>
      <w:r>
        <w:rPr>
          <w:rFonts w:ascii="Times New Roman" w:hAnsi="Times New Roman" w:eastAsia="Zurich BT" w:cs="Times New Roman"/>
          <w:color w:val="auto"/>
          <w:sz w:val="24"/>
          <w:szCs w:val="24"/>
        </w:rPr>
        <w:t xml:space="preserve">regulamentada pelo </w:t>
      </w:r>
      <w:r>
        <w:rPr>
          <w:rFonts w:ascii="Times New Roman" w:hAnsi="Times New Roman" w:cs="Times New Roman"/>
          <w:sz w:val="24"/>
          <w:szCs w:val="24"/>
        </w:rPr>
        <w:t>Lei Municipal nº 2367/2007.</w:t>
      </w:r>
    </w:p>
    <w:p w14:paraId="7746CAAF">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1DA9D1F">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8.14 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exigida:</w:t>
      </w:r>
    </w:p>
    <w:p w14:paraId="6ACAB0B6">
      <w:pPr>
        <w:pStyle w:val="99"/>
        <w:spacing w:before="57" w:beforeLines="24" w:after="57" w:afterLines="24" w:line="288" w:lineRule="auto"/>
        <w:ind w:left="0" w:firstLine="0"/>
        <w:contextualSpacing/>
        <w:rPr>
          <w:rFonts w:ascii="Times New Roman" w:hAnsi="Times New Roman" w:cs="Times New Roman"/>
          <w:sz w:val="24"/>
          <w:szCs w:val="24"/>
        </w:rPr>
      </w:pPr>
    </w:p>
    <w:p w14:paraId="7CEA1918">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das pessoas jurídicas, a comprovação relativa à habilitação jurídica, regularidade fiscal estadual, à Seguridade Social e ao FGTS e a regularidade perante a Justiça do Trabalho; e</w:t>
      </w:r>
    </w:p>
    <w:p w14:paraId="3BD1ABF9">
      <w:pPr>
        <w:pStyle w:val="99"/>
        <w:spacing w:before="57" w:beforeLines="24" w:after="57" w:afterLines="24" w:line="288" w:lineRule="auto"/>
        <w:ind w:left="0" w:firstLine="0"/>
        <w:contextualSpacing/>
        <w:rPr>
          <w:rFonts w:ascii="Times New Roman" w:hAnsi="Times New Roman" w:cs="Times New Roman"/>
          <w:sz w:val="24"/>
          <w:szCs w:val="24"/>
        </w:rPr>
      </w:pPr>
    </w:p>
    <w:p w14:paraId="75BF4BD7">
      <w:pPr>
        <w:pStyle w:val="99"/>
        <w:spacing w:before="57" w:beforeLines="24" w:after="57" w:afterLines="24"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b) das pessoas físicas, a comprovação da regularidade fiscal com a Fazenda </w:t>
      </w:r>
      <w:r>
        <w:rPr>
          <w:rFonts w:ascii="Times New Roman" w:hAnsi="Times New Roman" w:cs="Times New Roman"/>
          <w:color w:val="000000" w:themeColor="text1"/>
          <w:sz w:val="24"/>
          <w:szCs w:val="24"/>
          <w14:textFill>
            <w14:solidFill>
              <w14:schemeClr w14:val="tx1"/>
            </w14:solidFill>
          </w14:textFill>
        </w:rPr>
        <w:t>Estadual, c</w:t>
      </w:r>
      <w:r>
        <w:rPr>
          <w:rFonts w:ascii="Times New Roman" w:hAnsi="Times New Roman" w:cs="Times New Roman"/>
          <w:color w:val="000000" w:themeColor="text1"/>
          <w:sz w:val="24"/>
          <w:szCs w:val="24"/>
          <w:lang w:eastAsia="en-US"/>
          <w14:textFill>
            <w14:solidFill>
              <w14:schemeClr w14:val="tx1"/>
            </w14:solidFill>
          </w14:textFill>
        </w:rPr>
        <w:t>onforme art. 17, §2º, do Decreto nº 45/2025.</w:t>
      </w:r>
    </w:p>
    <w:p w14:paraId="46CD75E2">
      <w:pPr>
        <w:pStyle w:val="99"/>
        <w:spacing w:before="57" w:beforeLines="24" w:after="57" w:afterLines="24" w:line="288" w:lineRule="auto"/>
        <w:ind w:left="0" w:firstLine="0"/>
        <w:contextualSpacing/>
        <w:rPr>
          <w:rFonts w:ascii="Times New Roman" w:hAnsi="Times New Roman" w:cs="Times New Roman"/>
          <w:sz w:val="24"/>
          <w:szCs w:val="24"/>
        </w:rPr>
      </w:pPr>
    </w:p>
    <w:bookmarkEnd w:id="31"/>
    <w:p w14:paraId="533045D4">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 Quando permitida a participação de empresas estrangeiras que não funcionem no País, as exigências de habilitação serão atendidas mediante documentos equivalentes, inicialmente apresentados em tradução livre.</w:t>
      </w:r>
    </w:p>
    <w:p w14:paraId="7DF3B0FA">
      <w:pPr>
        <w:pStyle w:val="99"/>
        <w:spacing w:before="57" w:beforeLines="24" w:after="57" w:afterLines="24" w:line="288" w:lineRule="auto"/>
        <w:ind w:left="0" w:firstLine="0"/>
        <w:contextualSpacing/>
        <w:rPr>
          <w:rFonts w:ascii="Times New Roman" w:hAnsi="Times New Roman" w:cs="Times New Roman"/>
          <w:sz w:val="24"/>
          <w:szCs w:val="24"/>
        </w:rPr>
      </w:pPr>
    </w:p>
    <w:p w14:paraId="08D9544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8.15.1 O licitante deverá ter procurador residente e domiciliado no Brasil, com poderes para receber citação, intimação e responder administrativa e judicialmente por seus atos, juntando o instrumento de mandato com os documentos de habilitação.</w:t>
      </w:r>
    </w:p>
    <w:p w14:paraId="14838343">
      <w:pPr>
        <w:pStyle w:val="103"/>
        <w:spacing w:before="57" w:beforeLines="24" w:after="57" w:afterLines="24" w:line="288" w:lineRule="auto"/>
        <w:ind w:left="0" w:firstLine="0"/>
        <w:contextualSpacing/>
        <w:rPr>
          <w:rFonts w:ascii="Times New Roman" w:hAnsi="Times New Roman" w:cs="Times New Roman"/>
          <w:sz w:val="24"/>
          <w:szCs w:val="24"/>
        </w:rPr>
      </w:pPr>
    </w:p>
    <w:p w14:paraId="144F55CB">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8.15.2 Na hipótese de o licitante vencedor ser empresa estrangeira que não funcione no País, para fins de assinatura do contrato ou da ata de registro de preços, os documentos exigidos para a habilitação serão traduzidos por tradutor juramentado no País e apostilados, ou consularizados pelos respectivos consulados ou embaixadas.</w:t>
      </w:r>
    </w:p>
    <w:p w14:paraId="429B05EB">
      <w:pPr>
        <w:pStyle w:val="103"/>
        <w:spacing w:before="57" w:beforeLines="24" w:after="57" w:afterLines="24" w:line="288" w:lineRule="auto"/>
        <w:ind w:left="0" w:firstLine="0"/>
        <w:contextualSpacing/>
        <w:rPr>
          <w:rFonts w:ascii="Times New Roman" w:hAnsi="Times New Roman" w:cs="Times New Roman"/>
          <w:sz w:val="24"/>
          <w:szCs w:val="24"/>
        </w:rPr>
      </w:pPr>
    </w:p>
    <w:p w14:paraId="503ED28D">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8.16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5203E52">
      <w:pPr>
        <w:pStyle w:val="99"/>
        <w:spacing w:before="57" w:beforeLines="24" w:after="57" w:afterLines="24" w:line="288" w:lineRule="auto"/>
        <w:ind w:left="0" w:firstLine="0"/>
        <w:contextualSpacing/>
        <w:rPr>
          <w:rFonts w:ascii="Times New Roman" w:hAnsi="Times New Roman" w:cs="Times New Roman"/>
          <w:sz w:val="24"/>
          <w:szCs w:val="24"/>
        </w:rPr>
      </w:pPr>
    </w:p>
    <w:p w14:paraId="11039420">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8.16.1 Se o consórcio não for formado integralmente por microempresas ou empresas de pequeno porte e forem exigidos neste Edital requisitos de habilitação econômico-financeira, haverá um acréscimo </w:t>
      </w:r>
      <w:r>
        <w:rPr>
          <w:rFonts w:ascii="Times New Roman" w:hAnsi="Times New Roman" w:cs="Times New Roman"/>
          <w:color w:val="000000" w:themeColor="text1"/>
          <w:sz w:val="24"/>
          <w:szCs w:val="24"/>
          <w14:textFill>
            <w14:solidFill>
              <w14:schemeClr w14:val="tx1"/>
            </w14:solidFill>
          </w14:textFill>
        </w:rPr>
        <w:t xml:space="preserve">de 10% A 30 % </w:t>
      </w:r>
      <w:r>
        <w:rPr>
          <w:rFonts w:ascii="Times New Roman" w:hAnsi="Times New Roman" w:cs="Times New Roman"/>
          <w:sz w:val="24"/>
          <w:szCs w:val="24"/>
        </w:rPr>
        <w:t>para o consórcio em relação ao valor exigido para os licitantes individuais.</w:t>
      </w:r>
    </w:p>
    <w:p w14:paraId="51565C47">
      <w:pPr>
        <w:pStyle w:val="103"/>
        <w:spacing w:before="57" w:beforeLines="24" w:after="57" w:afterLines="24" w:line="288" w:lineRule="auto"/>
        <w:ind w:left="0" w:firstLine="0"/>
        <w:contextualSpacing/>
        <w:rPr>
          <w:rFonts w:ascii="Times New Roman" w:hAnsi="Times New Roman" w:cs="Times New Roman"/>
          <w:sz w:val="24"/>
          <w:szCs w:val="24"/>
        </w:rPr>
      </w:pPr>
    </w:p>
    <w:p w14:paraId="791EE2A9">
      <w:pPr>
        <w:spacing w:line="288" w:lineRule="auto"/>
        <w:contextualSpacing/>
        <w:jc w:val="both"/>
        <w:rPr>
          <w:color w:val="000000"/>
          <w:sz w:val="24"/>
          <w:szCs w:val="24"/>
        </w:rPr>
      </w:pPr>
      <w:r>
        <w:rPr>
          <w:color w:val="000000"/>
          <w:sz w:val="24"/>
          <w:szCs w:val="24"/>
        </w:rPr>
        <w:t>8.17 As certidões valerão nos prazos que lhes são próprios. Inexistindo esse prazo, reputar-se-ão válidas por 90 (noventa) dias, contados de sua expedição.</w:t>
      </w:r>
    </w:p>
    <w:p w14:paraId="30EA698D">
      <w:pPr>
        <w:spacing w:line="288" w:lineRule="auto"/>
        <w:contextualSpacing/>
        <w:jc w:val="both"/>
        <w:rPr>
          <w:color w:val="000000"/>
          <w:sz w:val="24"/>
          <w:szCs w:val="24"/>
        </w:rPr>
      </w:pPr>
    </w:p>
    <w:p w14:paraId="2BE01F50">
      <w:pPr>
        <w:spacing w:line="288" w:lineRule="auto"/>
        <w:contextualSpacing/>
        <w:jc w:val="both"/>
        <w:rPr>
          <w:color w:val="000000"/>
          <w:sz w:val="24"/>
          <w:szCs w:val="24"/>
        </w:rPr>
      </w:pPr>
      <w:r>
        <w:rPr>
          <w:color w:val="000000"/>
          <w:sz w:val="24"/>
          <w:szCs w:val="24"/>
        </w:rPr>
        <w:t>8.17.1 Caso seja feita a opção pela opção da certidão referida no item 8.6.2, esta seguirá, como prazo de validade, a sistemática própria estabelecida em âmbito federal constante do SICAF.</w:t>
      </w:r>
    </w:p>
    <w:p w14:paraId="501E18C7">
      <w:pPr>
        <w:pStyle w:val="101"/>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 DA IMPUGNAÇÃO AO EDITAL, DO PEDIDO DE ESCLARECIMENTO E DOS RECURSOS</w:t>
      </w:r>
    </w:p>
    <w:p w14:paraId="2DA9668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 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devendo protocolar o pedido até 3 (três) dias úteis antes da data da abertura do certame.</w:t>
      </w:r>
    </w:p>
    <w:p w14:paraId="56CF39E2">
      <w:pPr>
        <w:pStyle w:val="99"/>
        <w:spacing w:before="288" w:beforeLines="120" w:after="288" w:afterLines="120" w:line="288" w:lineRule="auto"/>
        <w:ind w:left="0" w:firstLine="0"/>
        <w:contextualSpacing/>
        <w:rPr>
          <w:rFonts w:ascii="Times New Roman" w:hAnsi="Times New Roman" w:cs="Times New Roman"/>
          <w:sz w:val="24"/>
          <w:szCs w:val="24"/>
        </w:rPr>
      </w:pPr>
    </w:p>
    <w:p w14:paraId="66EC821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 A impugnação e o pedido de esclarecimento poderão ser realizados por forma eletrônica, através do e-mail funcional </w:t>
      </w:r>
      <w:r>
        <w:rPr>
          <w:rFonts w:ascii="Times New Roman" w:hAnsi="Times New Roman" w:cs="Times New Roman"/>
          <w:b/>
          <w:bCs/>
          <w:i/>
          <w:iCs/>
          <w:sz w:val="24"/>
          <w:szCs w:val="24"/>
          <w:u w:val="single"/>
        </w:rPr>
        <w:t>licitacoespmvrj@gmail.com</w:t>
      </w:r>
      <w:r>
        <w:rPr>
          <w:rFonts w:ascii="Times New Roman" w:hAnsi="Times New Roman" w:cs="Times New Roman"/>
          <w:color w:val="auto"/>
          <w:sz w:val="24"/>
          <w:szCs w:val="24"/>
        </w:rPr>
        <w:t xml:space="preserve">, </w:t>
      </w:r>
      <w:r>
        <w:rPr>
          <w:rFonts w:ascii="Times New Roman" w:hAnsi="Times New Roman" w:cs="Times New Roman"/>
          <w:sz w:val="24"/>
          <w:szCs w:val="24"/>
        </w:rPr>
        <w:t>mediante confirmação de recebimento.</w:t>
      </w:r>
    </w:p>
    <w:p w14:paraId="1A46C6C1">
      <w:pPr>
        <w:pStyle w:val="99"/>
        <w:spacing w:before="288" w:beforeLines="120" w:after="288" w:afterLines="120" w:line="288" w:lineRule="auto"/>
        <w:ind w:left="0" w:firstLine="0"/>
        <w:contextualSpacing/>
        <w:rPr>
          <w:rFonts w:ascii="Times New Roman" w:hAnsi="Times New Roman" w:cs="Times New Roman"/>
          <w:sz w:val="24"/>
          <w:szCs w:val="24"/>
        </w:rPr>
      </w:pPr>
    </w:p>
    <w:p w14:paraId="2843A8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9.1.2 A resposta à impugnação ou ao pedido de esclarecimento será divulgado em sítio eletrônico oficial no prazo de até 3 (três) dias úteis, limitado ao último dia útil anterior à data da abertura do certame.</w:t>
      </w:r>
    </w:p>
    <w:p w14:paraId="469AFD7D">
      <w:pPr>
        <w:pStyle w:val="99"/>
        <w:spacing w:before="288" w:beforeLines="120" w:after="288" w:afterLines="120" w:line="288" w:lineRule="auto"/>
        <w:ind w:left="0" w:firstLine="0"/>
        <w:contextualSpacing/>
        <w:rPr>
          <w:rFonts w:ascii="Times New Roman" w:hAnsi="Times New Roman" w:cs="Times New Roman"/>
          <w:sz w:val="24"/>
          <w:szCs w:val="24"/>
        </w:rPr>
      </w:pPr>
    </w:p>
    <w:p w14:paraId="42FB7482">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9.1.3 As impugnações e pedidos de esclarecimentos não suspendem os prazos previstos no certame.</w:t>
      </w:r>
    </w:p>
    <w:p w14:paraId="43B17FBC">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9.1.4 A concessão de efeito suspensivo à impugnação é medida excepcional e deverá ser motivada pela autoridade competente, nos autos do processo de licitação.</w:t>
      </w:r>
    </w:p>
    <w:p w14:paraId="0B7E275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Modificado substancialmente o edital como resultado da resposta à impugnação ou ao pedido de esclarecimento, será definida e publicada nova data para a realização do certame.</w:t>
      </w:r>
    </w:p>
    <w:p w14:paraId="01B7F87F">
      <w:pPr>
        <w:pStyle w:val="99"/>
        <w:spacing w:before="57" w:beforeLines="24" w:after="57" w:afterLines="24" w:line="288" w:lineRule="auto"/>
        <w:ind w:left="0" w:firstLine="0"/>
        <w:contextualSpacing/>
        <w:rPr>
          <w:rFonts w:ascii="Times New Roman" w:hAnsi="Times New Roman" w:cs="Times New Roman"/>
          <w:sz w:val="24"/>
          <w:szCs w:val="24"/>
        </w:rPr>
      </w:pPr>
    </w:p>
    <w:p w14:paraId="09C4C2FB">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5C78DC6B">
      <w:pPr>
        <w:pStyle w:val="103"/>
        <w:spacing w:before="57" w:beforeLines="24" w:after="57" w:afterLines="24" w:line="288" w:lineRule="auto"/>
        <w:ind w:left="0" w:firstLine="0"/>
        <w:contextualSpacing/>
        <w:rPr>
          <w:rFonts w:ascii="Times New Roman" w:hAnsi="Times New Roman" w:cs="Times New Roman"/>
          <w:sz w:val="24"/>
          <w:szCs w:val="24"/>
        </w:rPr>
      </w:pPr>
    </w:p>
    <w:p w14:paraId="23ACDF69">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9.2.1 As razões do recurso deverão ser apresentadas em momento único, no prazo de três dias úteis, em campo próprio do sistema eletrônico de contratações ou, em sua indisponibilidade, para o e-mail funcional </w:t>
      </w:r>
      <w:r>
        <w:rPr>
          <w:rFonts w:ascii="Times New Roman" w:hAnsi="Times New Roman" w:cs="Times New Roman"/>
          <w:b/>
          <w:i/>
          <w:sz w:val="24"/>
          <w:szCs w:val="24"/>
          <w:u w:val="single"/>
        </w:rPr>
        <w:t>licitacoespmvrj@gmail.com</w:t>
      </w:r>
      <w:r>
        <w:rPr>
          <w:rFonts w:ascii="Times New Roman" w:hAnsi="Times New Roman" w:cs="Times New Roman"/>
          <w:color w:val="000000" w:themeColor="text1"/>
          <w:sz w:val="24"/>
          <w:szCs w:val="24"/>
          <w14:textFill>
            <w14:solidFill>
              <w14:schemeClr w14:val="tx1"/>
            </w14:solidFill>
          </w14:textFill>
        </w:rPr>
        <w:t>,</w:t>
      </w:r>
      <w:r>
        <w:rPr>
          <w:rFonts w:ascii="Times New Roman" w:hAnsi="Times New Roman" w:cs="Times New Roman"/>
          <w:sz w:val="24"/>
          <w:szCs w:val="24"/>
        </w:rPr>
        <w:t xml:space="preserve"> mediante confirmação de recebimento, contados:</w:t>
      </w:r>
    </w:p>
    <w:p w14:paraId="3A0394F0">
      <w:pPr>
        <w:pStyle w:val="103"/>
        <w:spacing w:before="57" w:beforeLines="24" w:after="57" w:afterLines="24" w:line="288" w:lineRule="auto"/>
        <w:ind w:left="0" w:firstLine="0"/>
        <w:contextualSpacing/>
        <w:rPr>
          <w:rFonts w:ascii="Times New Roman" w:hAnsi="Times New Roman" w:cs="Times New Roman"/>
          <w:sz w:val="24"/>
          <w:szCs w:val="24"/>
        </w:rPr>
      </w:pPr>
    </w:p>
    <w:p w14:paraId="36759434">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a partir da data de intimação ou de lavratura da ata de habilitação ou inabilitação;</w:t>
      </w:r>
    </w:p>
    <w:p w14:paraId="57C360A3">
      <w:pPr>
        <w:pStyle w:val="103"/>
        <w:spacing w:before="57" w:beforeLines="24" w:after="57" w:afterLines="24" w:line="288" w:lineRule="auto"/>
        <w:ind w:left="0" w:firstLine="0"/>
        <w:contextualSpacing/>
        <w:rPr>
          <w:rFonts w:ascii="Times New Roman" w:hAnsi="Times New Roman" w:cs="Times New Roman"/>
          <w:sz w:val="24"/>
          <w:szCs w:val="24"/>
        </w:rPr>
      </w:pPr>
    </w:p>
    <w:p w14:paraId="7D5F2D92">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ata de julgamento, nas licitações com inversão de fases.</w:t>
      </w:r>
    </w:p>
    <w:p w14:paraId="47642A82">
      <w:pPr>
        <w:pStyle w:val="103"/>
        <w:spacing w:before="57" w:beforeLines="24" w:after="57" w:afterLines="24" w:line="288" w:lineRule="auto"/>
        <w:ind w:left="0" w:firstLine="0"/>
        <w:contextualSpacing/>
        <w:rPr>
          <w:rFonts w:ascii="Times New Roman" w:hAnsi="Times New Roman" w:cs="Times New Roman"/>
          <w:sz w:val="24"/>
          <w:szCs w:val="24"/>
        </w:rPr>
      </w:pPr>
    </w:p>
    <w:p w14:paraId="68BF896D">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9.2.2 Os demais licitantes ficarão intimados para, se desejarem, apresentar suas contrarrazões, no prazo de três dias úteis, contado da data de intimação pessoal ou de divulgação da interposição do recurso.</w:t>
      </w:r>
    </w:p>
    <w:p w14:paraId="17081063">
      <w:pPr>
        <w:pStyle w:val="103"/>
        <w:spacing w:before="57" w:beforeLines="24" w:after="57" w:afterLines="24" w:line="288" w:lineRule="auto"/>
        <w:ind w:left="0" w:firstLine="0"/>
        <w:contextualSpacing/>
        <w:rPr>
          <w:rFonts w:ascii="Times New Roman" w:hAnsi="Times New Roman" w:cs="Times New Roman"/>
          <w:sz w:val="24"/>
          <w:szCs w:val="24"/>
        </w:rPr>
      </w:pPr>
    </w:p>
    <w:p w14:paraId="2B696E1F">
      <w:pPr>
        <w:pStyle w:val="103"/>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9.2.3 Os recursos interpostos fora do prazo não serão conhecidos.</w:t>
      </w:r>
    </w:p>
    <w:p w14:paraId="06B27208">
      <w:pPr>
        <w:pStyle w:val="103"/>
        <w:spacing w:before="57" w:beforeLines="24" w:after="57" w:afterLines="24" w:line="288" w:lineRule="auto"/>
        <w:ind w:left="0" w:firstLine="0"/>
        <w:contextualSpacing/>
        <w:rPr>
          <w:rFonts w:ascii="Times New Roman" w:hAnsi="Times New Roman" w:cs="Times New Roman"/>
          <w:sz w:val="24"/>
          <w:szCs w:val="24"/>
        </w:rPr>
      </w:pPr>
    </w:p>
    <w:p w14:paraId="06CD5D6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0F85BAC6">
      <w:pPr>
        <w:pStyle w:val="99"/>
        <w:spacing w:before="57" w:beforeLines="24" w:after="57" w:afterLines="24" w:line="288" w:lineRule="auto"/>
        <w:ind w:left="0" w:firstLine="0"/>
        <w:contextualSpacing/>
        <w:rPr>
          <w:rFonts w:ascii="Times New Roman" w:hAnsi="Times New Roman" w:cs="Times New Roman"/>
          <w:sz w:val="24"/>
          <w:szCs w:val="24"/>
        </w:rPr>
      </w:pPr>
    </w:p>
    <w:p w14:paraId="185AFCCC">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9.2.5 Será assegurado ao licitante vista dos elementos indispensáveis à defesa de seus interesses.</w:t>
      </w:r>
    </w:p>
    <w:p w14:paraId="75A0E0CB">
      <w:pPr>
        <w:pStyle w:val="99"/>
        <w:spacing w:before="57" w:beforeLines="24" w:after="57" w:afterLines="24" w:line="288" w:lineRule="auto"/>
        <w:ind w:left="0" w:firstLine="0"/>
        <w:contextualSpacing/>
        <w:rPr>
          <w:rFonts w:ascii="Times New Roman" w:hAnsi="Times New Roman" w:cs="Times New Roman"/>
          <w:sz w:val="24"/>
          <w:szCs w:val="24"/>
        </w:rPr>
      </w:pPr>
    </w:p>
    <w:p w14:paraId="37DCBEE9">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9.2.6 O recurso e o pedido de reconsideração terão efeito suspensivo do ato ou da decisão recorrida até que sobrevenha decisão final da autoridade competente.</w:t>
      </w:r>
    </w:p>
    <w:p w14:paraId="2A94D187">
      <w:pPr>
        <w:pStyle w:val="99"/>
        <w:spacing w:before="57" w:beforeLines="24" w:after="57" w:afterLines="24" w:line="288" w:lineRule="auto"/>
        <w:ind w:left="0" w:firstLine="0"/>
        <w:contextualSpacing/>
        <w:rPr>
          <w:rFonts w:ascii="Times New Roman" w:hAnsi="Times New Roman" w:cs="Times New Roman"/>
          <w:sz w:val="24"/>
          <w:szCs w:val="24"/>
        </w:rPr>
      </w:pPr>
    </w:p>
    <w:p w14:paraId="2A36FC90">
      <w:pPr>
        <w:pStyle w:val="99"/>
        <w:spacing w:before="57" w:beforeLines="24" w:after="57" w:afterLines="24"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9.2.7 O acolhimento do recurso invalida tão somente os atos insuscetíveis de aproveitamento. </w:t>
      </w:r>
    </w:p>
    <w:p w14:paraId="1A83F5F5">
      <w:pPr>
        <w:pStyle w:val="97"/>
        <w:spacing w:before="0" w:beforeAutospacing="0" w:after="0" w:afterAutospacing="0" w:line="288" w:lineRule="auto"/>
        <w:contextualSpacing/>
        <w:jc w:val="both"/>
        <w:rPr>
          <w:rFonts w:eastAsia="Calibri"/>
          <w:b/>
          <w:bCs/>
          <w:lang w:eastAsia="en-US"/>
        </w:rPr>
      </w:pPr>
    </w:p>
    <w:p w14:paraId="537F8315">
      <w:pPr>
        <w:spacing w:line="288" w:lineRule="auto"/>
        <w:contextualSpacing/>
        <w:jc w:val="both"/>
        <w:rPr>
          <w:b/>
          <w:bCs/>
          <w:sz w:val="24"/>
          <w:szCs w:val="24"/>
        </w:rPr>
      </w:pPr>
      <w:r>
        <w:rPr>
          <w:b/>
          <w:bCs/>
          <w:sz w:val="24"/>
          <w:szCs w:val="24"/>
        </w:rPr>
        <w:t>10. DO ENCERRAMENTO DA LICITAÇÃO</w:t>
      </w:r>
    </w:p>
    <w:p w14:paraId="5DD4969E">
      <w:pPr>
        <w:spacing w:line="288" w:lineRule="auto"/>
        <w:contextualSpacing/>
        <w:jc w:val="both"/>
        <w:rPr>
          <w:sz w:val="24"/>
          <w:szCs w:val="24"/>
        </w:rPr>
      </w:pPr>
    </w:p>
    <w:p w14:paraId="3FA30B02">
      <w:pPr>
        <w:spacing w:line="288" w:lineRule="auto"/>
        <w:contextualSpacing/>
        <w:jc w:val="both"/>
        <w:rPr>
          <w:sz w:val="24"/>
          <w:szCs w:val="24"/>
        </w:rPr>
      </w:pPr>
      <w:r>
        <w:rPr>
          <w:sz w:val="24"/>
          <w:szCs w:val="24"/>
        </w:rPr>
        <w:t>10.1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6CEA1CDF">
      <w:pPr>
        <w:pStyle w:val="97"/>
        <w:spacing w:before="0" w:beforeAutospacing="0" w:after="0" w:afterAutospacing="0" w:line="288" w:lineRule="auto"/>
        <w:contextualSpacing/>
        <w:jc w:val="both"/>
        <w:rPr>
          <w:rFonts w:eastAsia="Calibri"/>
          <w:b/>
          <w:bCs/>
          <w:lang w:eastAsia="en-US"/>
        </w:rPr>
      </w:pPr>
    </w:p>
    <w:p w14:paraId="6C628C59">
      <w:pPr>
        <w:pStyle w:val="97"/>
        <w:spacing w:before="0" w:beforeAutospacing="0" w:after="0" w:afterAutospacing="0" w:line="288" w:lineRule="auto"/>
        <w:contextualSpacing/>
        <w:jc w:val="both"/>
        <w:rPr>
          <w:rFonts w:eastAsia="Calibri"/>
          <w:b/>
          <w:bCs/>
          <w:lang w:eastAsia="en-US"/>
        </w:rPr>
      </w:pPr>
      <w:r>
        <w:rPr>
          <w:rFonts w:eastAsia="Calibri"/>
          <w:b/>
          <w:bCs/>
          <w:lang w:eastAsia="en-US"/>
        </w:rPr>
        <w:t>11. DA ATA DE REGISTRO DE PREÇOS</w:t>
      </w:r>
    </w:p>
    <w:p w14:paraId="1BAF1D8F">
      <w:pPr>
        <w:pStyle w:val="97"/>
        <w:spacing w:before="0" w:beforeAutospacing="0" w:after="0" w:afterAutospacing="0" w:line="288" w:lineRule="auto"/>
        <w:contextualSpacing/>
        <w:jc w:val="both"/>
        <w:rPr>
          <w:rFonts w:eastAsia="Calibri"/>
          <w:lang w:eastAsia="en-US"/>
        </w:rPr>
      </w:pPr>
    </w:p>
    <w:p w14:paraId="280DA7BB">
      <w:pPr>
        <w:pStyle w:val="97"/>
        <w:spacing w:before="0" w:beforeAutospacing="0" w:after="0" w:afterAutospacing="0" w:line="288" w:lineRule="auto"/>
        <w:contextualSpacing/>
        <w:jc w:val="both"/>
      </w:pPr>
      <w:r>
        <w:rPr>
          <w:rFonts w:eastAsia="Calibri"/>
          <w:lang w:eastAsia="en-US"/>
        </w:rPr>
        <w:t xml:space="preserve">11.1 </w:t>
      </w:r>
      <w:r>
        <w:t>Homologado o resultado do processo licitatório, o(s) licitante(s) melhor classificado(s), deverá(ão) ser convocado(s) para assinar a Ata de Registro de Preços, no prazo de 5 (cinco) dias úteis, sob pena de decair o direito, sem prejuízo das sanções previstas na Lei nº 14.133/2021 e neste Edital.</w:t>
      </w:r>
    </w:p>
    <w:p w14:paraId="2EE86DED">
      <w:pPr>
        <w:pStyle w:val="97"/>
        <w:spacing w:before="0" w:beforeAutospacing="0" w:after="0" w:afterAutospacing="0" w:line="288" w:lineRule="auto"/>
        <w:contextualSpacing/>
        <w:jc w:val="both"/>
      </w:pPr>
    </w:p>
    <w:p w14:paraId="25CDF165">
      <w:pPr>
        <w:pStyle w:val="97"/>
        <w:spacing w:before="0" w:beforeAutospacing="0" w:after="0" w:afterAutospacing="0" w:line="288" w:lineRule="auto"/>
        <w:contextualSpacing/>
        <w:jc w:val="both"/>
      </w:pPr>
      <w:r>
        <w:t>11.1.1 O prazo para assinatura da Ata poderá ser prorrogado uma vez, por igual período, desde que:</w:t>
      </w:r>
    </w:p>
    <w:p w14:paraId="68B2706D">
      <w:pPr>
        <w:pStyle w:val="97"/>
        <w:spacing w:before="0" w:beforeAutospacing="0" w:after="0" w:afterAutospacing="0" w:line="288" w:lineRule="auto"/>
        <w:contextualSpacing/>
        <w:jc w:val="both"/>
      </w:pPr>
    </w:p>
    <w:p w14:paraId="20900368">
      <w:pPr>
        <w:pStyle w:val="97"/>
        <w:spacing w:before="0" w:beforeAutospacing="0" w:after="0" w:afterAutospacing="0" w:line="288" w:lineRule="auto"/>
        <w:contextualSpacing/>
        <w:jc w:val="both"/>
      </w:pPr>
      <w:r>
        <w:t>a) a solicitação seja justificada pelo licitante melhor classificado e apresentada dentro do prazo; e</w:t>
      </w:r>
    </w:p>
    <w:p w14:paraId="4FDF5F48">
      <w:pPr>
        <w:pStyle w:val="97"/>
        <w:spacing w:before="0" w:beforeAutospacing="0" w:after="0" w:afterAutospacing="0" w:line="288" w:lineRule="auto"/>
        <w:contextualSpacing/>
        <w:jc w:val="both"/>
      </w:pPr>
    </w:p>
    <w:p w14:paraId="47573754">
      <w:pPr>
        <w:pStyle w:val="97"/>
        <w:spacing w:before="0" w:beforeAutospacing="0" w:after="0" w:afterAutospacing="0" w:line="288" w:lineRule="auto"/>
        <w:contextualSpacing/>
        <w:jc w:val="both"/>
      </w:pPr>
      <w:r>
        <w:t>b) a justificativa apresentada seja aceita pela Administração.</w:t>
      </w:r>
    </w:p>
    <w:p w14:paraId="77F27A1D">
      <w:pPr>
        <w:pStyle w:val="97"/>
        <w:spacing w:before="0" w:beforeAutospacing="0" w:after="0" w:afterAutospacing="0" w:line="288" w:lineRule="auto"/>
        <w:contextualSpacing/>
        <w:jc w:val="both"/>
      </w:pPr>
    </w:p>
    <w:p w14:paraId="2C439A41">
      <w:pPr>
        <w:pStyle w:val="97"/>
        <w:spacing w:before="0" w:beforeAutospacing="0" w:after="0" w:afterAutospacing="0" w:line="288" w:lineRule="auto"/>
        <w:contextualSpacing/>
        <w:jc w:val="both"/>
      </w:pPr>
      <w:r>
        <w:t xml:space="preserve">11.2 Serão formalizadas tantas Atas de Registro de Preços quantas forem necessárias para o registro de todos os itens constantes no Termo de Referência, com a descrição do licitante vencedor, a descrição </w:t>
      </w:r>
      <w:r>
        <w:rPr>
          <w:color w:val="000000" w:themeColor="text1"/>
          <w14:textFill>
            <w14:solidFill>
              <w14:schemeClr w14:val="tx1"/>
            </w14:solidFill>
          </w14:textFill>
        </w:rPr>
        <w:t xml:space="preserve">dos itens, as </w:t>
      </w:r>
      <w:r>
        <w:t>respectivas quantidades, preços registrados e os demais requisitos estabelecidos no art. 19 do Decreto nº 46/2025.</w:t>
      </w:r>
    </w:p>
    <w:p w14:paraId="388182DC">
      <w:pPr>
        <w:pStyle w:val="97"/>
        <w:spacing w:before="0" w:beforeAutospacing="0" w:after="0" w:afterAutospacing="0" w:line="288" w:lineRule="auto"/>
        <w:contextualSpacing/>
        <w:jc w:val="both"/>
      </w:pPr>
    </w:p>
    <w:p w14:paraId="5B860431">
      <w:pPr>
        <w:pStyle w:val="97"/>
        <w:spacing w:before="0" w:beforeAutospacing="0" w:after="0" w:afterAutospacing="0" w:line="288" w:lineRule="auto"/>
        <w:contextualSpacing/>
        <w:jc w:val="both"/>
      </w:pPr>
      <w:r>
        <w:t>11.2.1 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3F5BB693">
      <w:pPr>
        <w:pStyle w:val="97"/>
        <w:spacing w:before="0" w:beforeAutospacing="0" w:after="0" w:afterAutospacing="0" w:line="288" w:lineRule="auto"/>
        <w:contextualSpacing/>
        <w:jc w:val="both"/>
      </w:pPr>
    </w:p>
    <w:p w14:paraId="3C77F906">
      <w:pPr>
        <w:pStyle w:val="97"/>
        <w:spacing w:before="0" w:beforeAutospacing="0" w:after="0" w:afterAutospacing="0" w:line="288" w:lineRule="auto"/>
        <w:contextualSpacing/>
        <w:jc w:val="both"/>
      </w:pPr>
      <w:r>
        <w:t>11.3 O registro de preços e as atas dele decorrentes deverão ser divulgados no Portal Nacional de Contratações Públicas - PNCP e no Portal do Município de Valença RJ.</w:t>
      </w:r>
    </w:p>
    <w:p w14:paraId="619929ED">
      <w:pPr>
        <w:pStyle w:val="97"/>
        <w:spacing w:before="0" w:beforeAutospacing="0" w:after="0" w:afterAutospacing="0" w:line="288" w:lineRule="auto"/>
        <w:contextualSpacing/>
        <w:jc w:val="both"/>
      </w:pPr>
    </w:p>
    <w:p w14:paraId="4BEA65A1">
      <w:pPr>
        <w:pStyle w:val="97"/>
        <w:spacing w:before="0" w:beforeAutospacing="0" w:after="0" w:afterAutospacing="0" w:line="288" w:lineRule="auto"/>
        <w:contextualSpacing/>
        <w:jc w:val="both"/>
      </w:pPr>
      <w:r>
        <w:t xml:space="preserve">11.4 A existência de preços registrados implicará compromisso de fornecimento nas condições estabelecidas, mas não obrigará a Administração a contratar, facultada a realização de licitação para a aquisição pretendida, desde que devidamente motivada. </w:t>
      </w:r>
    </w:p>
    <w:p w14:paraId="7A49A6FA">
      <w:pPr>
        <w:pStyle w:val="97"/>
        <w:spacing w:before="0" w:beforeAutospacing="0" w:after="0" w:afterAutospacing="0" w:line="288" w:lineRule="auto"/>
        <w:contextualSpacing/>
        <w:jc w:val="both"/>
      </w:pPr>
    </w:p>
    <w:p w14:paraId="7697CEAF">
      <w:pPr>
        <w:pStyle w:val="97"/>
        <w:spacing w:before="0" w:beforeAutospacing="0" w:after="0" w:afterAutospacing="0" w:line="288" w:lineRule="auto"/>
        <w:contextualSpacing/>
        <w:jc w:val="both"/>
      </w:pPr>
      <w:r>
        <w:t>11.5 É facultado à Administração, quando o(s) fornecedor(es) convocado(s) não 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8E1182B">
      <w:pPr>
        <w:pStyle w:val="97"/>
        <w:spacing w:before="0" w:beforeAutospacing="0" w:after="0" w:afterAutospacing="0" w:line="288" w:lineRule="auto"/>
        <w:contextualSpacing/>
        <w:jc w:val="both"/>
      </w:pPr>
    </w:p>
    <w:p w14:paraId="2E69088E">
      <w:pPr>
        <w:autoSpaceDE w:val="0"/>
        <w:autoSpaceDN w:val="0"/>
        <w:adjustRightInd w:val="0"/>
        <w:spacing w:line="288" w:lineRule="auto"/>
        <w:contextualSpacing/>
        <w:jc w:val="both"/>
        <w:rPr>
          <w:sz w:val="24"/>
          <w:szCs w:val="24"/>
        </w:rPr>
      </w:pPr>
      <w:r>
        <w:rPr>
          <w:sz w:val="24"/>
          <w:szCs w:val="24"/>
        </w:rPr>
        <w:t xml:space="preserve">11.6 O prazo de validade da Ata de Registro de Preços é de 1 (um) ano, contado a partir do 1º (primeiro) dia útil subsequente à data de divulgação no PNCP. </w:t>
      </w:r>
    </w:p>
    <w:p w14:paraId="0E7A0EC0">
      <w:pPr>
        <w:autoSpaceDE w:val="0"/>
        <w:autoSpaceDN w:val="0"/>
        <w:adjustRightInd w:val="0"/>
        <w:spacing w:line="288" w:lineRule="auto"/>
        <w:contextualSpacing/>
        <w:jc w:val="both"/>
        <w:rPr>
          <w:color w:val="231F20"/>
          <w:sz w:val="24"/>
          <w:szCs w:val="24"/>
        </w:rPr>
      </w:pPr>
    </w:p>
    <w:p w14:paraId="7B948316">
      <w:pPr>
        <w:autoSpaceDE w:val="0"/>
        <w:autoSpaceDN w:val="0"/>
        <w:adjustRightInd w:val="0"/>
        <w:spacing w:line="288" w:lineRule="auto"/>
        <w:contextualSpacing/>
        <w:jc w:val="both"/>
        <w:rPr>
          <w:sz w:val="24"/>
          <w:szCs w:val="24"/>
        </w:rPr>
      </w:pPr>
      <w:r>
        <w:rPr>
          <w:color w:val="231F20"/>
          <w:sz w:val="24"/>
          <w:szCs w:val="24"/>
        </w:rPr>
        <w:t xml:space="preserve">11.6.1 </w:t>
      </w:r>
      <w:r>
        <w:rPr>
          <w:sz w:val="24"/>
          <w:szCs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0B75CAB2">
      <w:pPr>
        <w:autoSpaceDE w:val="0"/>
        <w:autoSpaceDN w:val="0"/>
        <w:adjustRightInd w:val="0"/>
        <w:spacing w:line="288" w:lineRule="auto"/>
        <w:contextualSpacing/>
        <w:jc w:val="both"/>
        <w:rPr>
          <w:sz w:val="24"/>
          <w:szCs w:val="24"/>
        </w:rPr>
      </w:pPr>
    </w:p>
    <w:p w14:paraId="40EDD120">
      <w:pPr>
        <w:spacing w:line="288" w:lineRule="auto"/>
        <w:contextualSpacing/>
        <w:jc w:val="both"/>
        <w:rPr>
          <w:color w:val="231F20"/>
          <w:sz w:val="24"/>
          <w:szCs w:val="24"/>
        </w:rPr>
      </w:pPr>
      <w:r>
        <w:rPr>
          <w:sz w:val="24"/>
          <w:szCs w:val="24"/>
        </w:rPr>
        <w:t>11.7</w:t>
      </w:r>
      <w:r>
        <w:rPr>
          <w:bCs/>
          <w:sz w:val="24"/>
          <w:szCs w:val="24"/>
        </w:rPr>
        <w:t xml:space="preserve"> Na forma dos arts. 27 e 28 do Decreto nº 46/2025, o</w:t>
      </w:r>
      <w:r>
        <w:rPr>
          <w:sz w:val="24"/>
          <w:szCs w:val="24"/>
        </w:rPr>
        <w:t xml:space="preserve">s preços registrados poderão ser revistos e alterados em decorrência de eventual redução dos preços praticados no mercado ou de fato que eleve o custo dos bens, obras ou serviços registrados, 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p w14:paraId="7E7C96E2">
      <w:pPr>
        <w:autoSpaceDE w:val="0"/>
        <w:autoSpaceDN w:val="0"/>
        <w:adjustRightInd w:val="0"/>
        <w:spacing w:line="288" w:lineRule="auto"/>
        <w:contextualSpacing/>
        <w:jc w:val="both"/>
        <w:rPr>
          <w:sz w:val="24"/>
          <w:szCs w:val="24"/>
        </w:rPr>
      </w:pPr>
    </w:p>
    <w:p w14:paraId="0CB54947">
      <w:pPr>
        <w:autoSpaceDE w:val="0"/>
        <w:autoSpaceDN w:val="0"/>
        <w:adjustRightInd w:val="0"/>
        <w:spacing w:line="288" w:lineRule="auto"/>
        <w:contextualSpacing/>
        <w:jc w:val="both"/>
        <w:rPr>
          <w:sz w:val="24"/>
          <w:szCs w:val="24"/>
        </w:rPr>
      </w:pPr>
      <w:r>
        <w:rPr>
          <w:sz w:val="24"/>
          <w:szCs w:val="24"/>
        </w:rPr>
        <w:t>11.7.1 Os preços registrados poderão, ainda, ser reajustados ou repactuados, observando-se as regras estabelecidas no item 18 deste Edital, nos termos da Lei nº 14.133/2021.</w:t>
      </w:r>
    </w:p>
    <w:p w14:paraId="21C8CEEF">
      <w:pPr>
        <w:autoSpaceDE w:val="0"/>
        <w:autoSpaceDN w:val="0"/>
        <w:adjustRightInd w:val="0"/>
        <w:spacing w:line="288" w:lineRule="auto"/>
        <w:contextualSpacing/>
        <w:jc w:val="both"/>
        <w:rPr>
          <w:sz w:val="24"/>
          <w:szCs w:val="24"/>
        </w:rPr>
      </w:pPr>
    </w:p>
    <w:p w14:paraId="2FB76BC2">
      <w:pPr>
        <w:pStyle w:val="97"/>
        <w:spacing w:before="0" w:beforeAutospacing="0" w:after="0" w:afterAutospacing="0" w:line="288" w:lineRule="auto"/>
        <w:contextualSpacing/>
        <w:jc w:val="both"/>
      </w:pPr>
      <w:r>
        <w:t>11.7.2 As condições para alteração ou atualização dos preços registrados se encontram previstas na Ata de Registro de Preços.</w:t>
      </w:r>
    </w:p>
    <w:p w14:paraId="2AADCF83">
      <w:pPr>
        <w:pStyle w:val="97"/>
        <w:spacing w:before="0" w:beforeAutospacing="0" w:after="0" w:afterAutospacing="0" w:line="288" w:lineRule="auto"/>
        <w:contextualSpacing/>
        <w:jc w:val="both"/>
      </w:pPr>
    </w:p>
    <w:p w14:paraId="68FEACDA">
      <w:pPr>
        <w:spacing w:line="288" w:lineRule="auto"/>
        <w:contextualSpacing/>
        <w:jc w:val="both"/>
        <w:rPr>
          <w:sz w:val="24"/>
          <w:szCs w:val="24"/>
        </w:rPr>
      </w:pPr>
      <w:r>
        <w:rPr>
          <w:sz w:val="24"/>
          <w:szCs w:val="24"/>
        </w:rPr>
        <w:t xml:space="preserve">11.8 </w:t>
      </w:r>
      <w:r>
        <w:rPr>
          <w:color w:val="231F20"/>
          <w:sz w:val="24"/>
          <w:szCs w:val="24"/>
        </w:rPr>
        <w:t>O registro do fornecedor será cancelado, na forma do art. 31 do Decreto nº 46/2025 da Ata de Registro de Preços, quando:</w:t>
      </w:r>
    </w:p>
    <w:p w14:paraId="0D3A265A">
      <w:pPr>
        <w:autoSpaceDE w:val="0"/>
        <w:autoSpaceDN w:val="0"/>
        <w:adjustRightInd w:val="0"/>
        <w:spacing w:line="288" w:lineRule="auto"/>
        <w:contextualSpacing/>
        <w:jc w:val="both"/>
        <w:rPr>
          <w:b/>
          <w:bCs/>
          <w:color w:val="231F20"/>
          <w:sz w:val="24"/>
          <w:szCs w:val="24"/>
        </w:rPr>
      </w:pPr>
    </w:p>
    <w:p w14:paraId="0ADE078A">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02D3FF7F">
      <w:pPr>
        <w:autoSpaceDE w:val="0"/>
        <w:autoSpaceDN w:val="0"/>
        <w:adjustRightInd w:val="0"/>
        <w:spacing w:line="288" w:lineRule="auto"/>
        <w:contextualSpacing/>
        <w:jc w:val="both"/>
        <w:rPr>
          <w:color w:val="231F20"/>
          <w:sz w:val="24"/>
          <w:szCs w:val="24"/>
        </w:rPr>
      </w:pPr>
    </w:p>
    <w:p w14:paraId="19FD4DC2">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259CBBCF">
      <w:pPr>
        <w:autoSpaceDE w:val="0"/>
        <w:autoSpaceDN w:val="0"/>
        <w:adjustRightInd w:val="0"/>
        <w:spacing w:line="288" w:lineRule="auto"/>
        <w:contextualSpacing/>
        <w:jc w:val="both"/>
        <w:rPr>
          <w:color w:val="231F20"/>
          <w:sz w:val="24"/>
          <w:szCs w:val="24"/>
        </w:rPr>
      </w:pPr>
    </w:p>
    <w:p w14:paraId="08DDC4C0">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3ED1B757">
      <w:pPr>
        <w:autoSpaceDE w:val="0"/>
        <w:autoSpaceDN w:val="0"/>
        <w:adjustRightInd w:val="0"/>
        <w:spacing w:line="288" w:lineRule="auto"/>
        <w:contextualSpacing/>
        <w:jc w:val="both"/>
        <w:rPr>
          <w:color w:val="231F20"/>
          <w:sz w:val="24"/>
          <w:szCs w:val="24"/>
        </w:rPr>
      </w:pPr>
    </w:p>
    <w:p w14:paraId="0E736A49">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 4º e 5º do referido dispositivo. </w:t>
      </w:r>
    </w:p>
    <w:p w14:paraId="7CC138A6">
      <w:pPr>
        <w:autoSpaceDE w:val="0"/>
        <w:autoSpaceDN w:val="0"/>
        <w:adjustRightInd w:val="0"/>
        <w:spacing w:line="288" w:lineRule="auto"/>
        <w:contextualSpacing/>
        <w:jc w:val="both"/>
        <w:rPr>
          <w:sz w:val="24"/>
          <w:szCs w:val="24"/>
        </w:rPr>
      </w:pPr>
    </w:p>
    <w:p w14:paraId="1BA7391C">
      <w:pPr>
        <w:autoSpaceDE w:val="0"/>
        <w:autoSpaceDN w:val="0"/>
        <w:adjustRightInd w:val="0"/>
        <w:spacing w:line="288" w:lineRule="auto"/>
        <w:contextualSpacing/>
        <w:jc w:val="both"/>
        <w:rPr>
          <w:sz w:val="24"/>
          <w:szCs w:val="24"/>
        </w:rPr>
      </w:pPr>
      <w:r>
        <w:rPr>
          <w:color w:val="231F20"/>
          <w:sz w:val="24"/>
          <w:szCs w:val="24"/>
        </w:rPr>
        <w:t>11.9 O cancelamento do registro de preços poderá ocorrer</w:t>
      </w:r>
      <w:r>
        <w:rPr>
          <w:sz w:val="24"/>
          <w:szCs w:val="24"/>
        </w:rPr>
        <w:t xml:space="preserve">, total ou parcialmente, pelo gerenciador, </w:t>
      </w:r>
      <w:r>
        <w:rPr>
          <w:color w:val="231F20"/>
          <w:sz w:val="24"/>
          <w:szCs w:val="24"/>
        </w:rPr>
        <w:t>na forma do art. 32 do Decreto nº 46/2025 e da Ata de Registro de Preços,</w:t>
      </w:r>
      <w:r>
        <w:rPr>
          <w:sz w:val="24"/>
          <w:szCs w:val="24"/>
        </w:rPr>
        <w:t xml:space="preserve"> desde que devidamente comprovados e justificados: </w:t>
      </w:r>
    </w:p>
    <w:p w14:paraId="7946A3F0">
      <w:pPr>
        <w:autoSpaceDE w:val="0"/>
        <w:autoSpaceDN w:val="0"/>
        <w:adjustRightInd w:val="0"/>
        <w:spacing w:line="288" w:lineRule="auto"/>
        <w:contextualSpacing/>
        <w:jc w:val="both"/>
        <w:rPr>
          <w:sz w:val="24"/>
          <w:szCs w:val="24"/>
        </w:rPr>
      </w:pPr>
    </w:p>
    <w:p w14:paraId="260C13F1">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3865D1CD">
      <w:pPr>
        <w:autoSpaceDE w:val="0"/>
        <w:autoSpaceDN w:val="0"/>
        <w:adjustRightInd w:val="0"/>
        <w:spacing w:line="288" w:lineRule="auto"/>
        <w:contextualSpacing/>
        <w:jc w:val="both"/>
        <w:rPr>
          <w:sz w:val="24"/>
          <w:szCs w:val="24"/>
        </w:rPr>
      </w:pPr>
    </w:p>
    <w:p w14:paraId="352E89BA">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5667FC2">
      <w:pPr>
        <w:autoSpaceDE w:val="0"/>
        <w:autoSpaceDN w:val="0"/>
        <w:adjustRightInd w:val="0"/>
        <w:spacing w:line="288" w:lineRule="auto"/>
        <w:contextualSpacing/>
        <w:jc w:val="both"/>
        <w:rPr>
          <w:sz w:val="24"/>
          <w:szCs w:val="24"/>
        </w:rPr>
      </w:pPr>
    </w:p>
    <w:p w14:paraId="5840117D">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CEBC459">
      <w:pPr>
        <w:pStyle w:val="97"/>
        <w:spacing w:before="0" w:beforeAutospacing="0" w:after="0" w:afterAutospacing="0" w:line="288" w:lineRule="auto"/>
        <w:contextualSpacing/>
        <w:jc w:val="both"/>
      </w:pPr>
      <w:r>
        <w:t xml:space="preserve"> </w:t>
      </w:r>
    </w:p>
    <w:p w14:paraId="6BD85F4C">
      <w:pPr>
        <w:spacing w:line="288" w:lineRule="auto"/>
        <w:contextualSpacing/>
        <w:jc w:val="both"/>
        <w:rPr>
          <w:sz w:val="24"/>
          <w:szCs w:val="24"/>
        </w:rPr>
      </w:pPr>
      <w:r>
        <w:rPr>
          <w:sz w:val="24"/>
          <w:szCs w:val="24"/>
        </w:rPr>
        <w:t>11.10 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66CCE60F">
      <w:pPr>
        <w:spacing w:line="288" w:lineRule="auto"/>
        <w:contextualSpacing/>
        <w:jc w:val="both"/>
        <w:rPr>
          <w:sz w:val="24"/>
          <w:szCs w:val="24"/>
        </w:rPr>
      </w:pPr>
    </w:p>
    <w:p w14:paraId="5DA2CC9A">
      <w:pPr>
        <w:spacing w:line="288" w:lineRule="auto"/>
        <w:contextualSpacing/>
        <w:jc w:val="both"/>
        <w:rPr>
          <w:sz w:val="24"/>
          <w:szCs w:val="24"/>
        </w:rPr>
      </w:pPr>
      <w:r>
        <w:rPr>
          <w:sz w:val="24"/>
          <w:szCs w:val="24"/>
        </w:rPr>
        <w:t xml:space="preserve">11.11 Compete aos participantes e aos </w:t>
      </w:r>
      <w:r>
        <w:rPr>
          <w:bCs/>
          <w:color w:val="231F20"/>
          <w:sz w:val="24"/>
          <w:szCs w:val="24"/>
        </w:rPr>
        <w:t xml:space="preserve">não-participantes </w:t>
      </w:r>
      <w:r>
        <w:rPr>
          <w:sz w:val="24"/>
          <w:szCs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49901326">
      <w:pPr>
        <w:pStyle w:val="97"/>
        <w:spacing w:before="0" w:beforeAutospacing="0" w:after="0" w:afterAutospacing="0" w:line="288" w:lineRule="auto"/>
        <w:contextualSpacing/>
        <w:jc w:val="both"/>
        <w:rPr>
          <w:rFonts w:asciiTheme="minorHAnsi" w:hAnsiTheme="minorHAnsi" w:cstheme="minorHAnsi"/>
        </w:rPr>
      </w:pPr>
    </w:p>
    <w:p w14:paraId="373B8587">
      <w:pPr>
        <w:pStyle w:val="97"/>
        <w:spacing w:before="0" w:beforeAutospacing="0" w:after="0" w:afterAutospacing="0" w:line="288" w:lineRule="auto"/>
        <w:contextualSpacing/>
        <w:jc w:val="both"/>
      </w:pPr>
      <w:r>
        <w:rPr>
          <w:b/>
          <w:bCs/>
        </w:rPr>
        <w:t>12. FORMAÇÃO DO CADASTRO DE RESERVA</w:t>
      </w:r>
    </w:p>
    <w:p w14:paraId="017E5507">
      <w:pPr>
        <w:pStyle w:val="97"/>
        <w:spacing w:before="0" w:beforeAutospacing="0" w:after="0" w:afterAutospacing="0" w:line="288" w:lineRule="auto"/>
        <w:contextualSpacing/>
        <w:jc w:val="both"/>
      </w:pPr>
    </w:p>
    <w:p w14:paraId="66909DDF">
      <w:pPr>
        <w:pStyle w:val="97"/>
        <w:spacing w:before="0" w:beforeAutospacing="0" w:after="0" w:afterAutospacing="0" w:line="288" w:lineRule="auto"/>
        <w:contextualSpacing/>
        <w:jc w:val="both"/>
      </w:pPr>
      <w:r>
        <w:t xml:space="preserve">12.1 Após a fase recursal, os licitantes serão convocados para reduzir seus preços ao valor da proposta do proponente melhor classificado, ocasião na qual será oportunizada a formação de eventual Cadastro de Reserva. </w:t>
      </w:r>
    </w:p>
    <w:p w14:paraId="550553EC">
      <w:pPr>
        <w:pStyle w:val="97"/>
        <w:spacing w:before="0" w:beforeAutospacing="0" w:after="0" w:afterAutospacing="0" w:line="288" w:lineRule="auto"/>
        <w:contextualSpacing/>
        <w:jc w:val="both"/>
      </w:pPr>
    </w:p>
    <w:p w14:paraId="487156DB">
      <w:pPr>
        <w:pStyle w:val="97"/>
        <w:spacing w:before="0" w:beforeAutospacing="0" w:after="0" w:afterAutospacing="0" w:line="288" w:lineRule="auto"/>
        <w:contextualSpacing/>
        <w:jc w:val="both"/>
      </w:pPr>
      <w:r>
        <w:t xml:space="preserve">12.1.1 A apresentação de novas propostas na forma do </w:t>
      </w:r>
      <w:r>
        <w:rPr>
          <w:i/>
          <w:iCs/>
        </w:rPr>
        <w:t>caput</w:t>
      </w:r>
      <w:r>
        <w:t xml:space="preserve"> deste item não prejudicará o resultado do certame, inclusive quanto à ordem de classificação das propostas.</w:t>
      </w:r>
    </w:p>
    <w:p w14:paraId="3F1DEC65">
      <w:pPr>
        <w:pStyle w:val="97"/>
        <w:spacing w:before="0" w:beforeAutospacing="0" w:after="0" w:afterAutospacing="0" w:line="288" w:lineRule="auto"/>
        <w:contextualSpacing/>
        <w:jc w:val="both"/>
      </w:pPr>
    </w:p>
    <w:p w14:paraId="7A02BA8D">
      <w:pPr>
        <w:pStyle w:val="97"/>
        <w:spacing w:before="0" w:beforeAutospacing="0" w:after="0" w:afterAutospacing="0" w:line="288" w:lineRule="auto"/>
        <w:contextualSpacing/>
        <w:jc w:val="both"/>
      </w:pPr>
      <w:r>
        <w:t xml:space="preserve">12.2 Homologada a licitação, deverão ser registrados na Ata de Registro de Preços, para fins de formação de Cadastro de Reserva: </w:t>
      </w:r>
    </w:p>
    <w:p w14:paraId="55BBA796">
      <w:pPr>
        <w:pStyle w:val="97"/>
        <w:spacing w:before="0" w:beforeAutospacing="0" w:after="0" w:afterAutospacing="0" w:line="288" w:lineRule="auto"/>
        <w:contextualSpacing/>
        <w:jc w:val="both"/>
      </w:pPr>
    </w:p>
    <w:p w14:paraId="1B1902C8">
      <w:pPr>
        <w:pStyle w:val="97"/>
        <w:spacing w:before="0" w:beforeAutospacing="0" w:after="0" w:afterAutospacing="0" w:line="288" w:lineRule="auto"/>
        <w:contextualSpacing/>
        <w:jc w:val="both"/>
      </w:pPr>
      <w:r>
        <w:t xml:space="preserve">12.2.1 os licitantes que aceitarem cotar os bens ou serviços com preços iguais aos do proponente vencedor do certame, observada a ordem de classificação; e </w:t>
      </w:r>
    </w:p>
    <w:p w14:paraId="298C6B9A">
      <w:pPr>
        <w:pStyle w:val="97"/>
        <w:spacing w:before="0" w:beforeAutospacing="0" w:after="0" w:afterAutospacing="0" w:line="288" w:lineRule="auto"/>
        <w:contextualSpacing/>
        <w:jc w:val="both"/>
      </w:pPr>
    </w:p>
    <w:p w14:paraId="0B08CE96">
      <w:pPr>
        <w:pStyle w:val="97"/>
        <w:spacing w:before="0" w:beforeAutospacing="0" w:after="0" w:afterAutospacing="0" w:line="288" w:lineRule="auto"/>
        <w:contextualSpacing/>
        <w:jc w:val="both"/>
      </w:pPr>
      <w:r>
        <w:t xml:space="preserve">12.2.2 os proponentes que mantiverem sua proposta original. </w:t>
      </w:r>
    </w:p>
    <w:p w14:paraId="6BEA0996">
      <w:pPr>
        <w:autoSpaceDE w:val="0"/>
        <w:autoSpaceDN w:val="0"/>
        <w:adjustRightInd w:val="0"/>
        <w:spacing w:line="288" w:lineRule="auto"/>
        <w:contextualSpacing/>
        <w:jc w:val="both"/>
        <w:rPr>
          <w:color w:val="231F20"/>
          <w:sz w:val="24"/>
          <w:szCs w:val="24"/>
        </w:rPr>
      </w:pPr>
    </w:p>
    <w:p w14:paraId="0C7EA912">
      <w:pPr>
        <w:autoSpaceDE w:val="0"/>
        <w:autoSpaceDN w:val="0"/>
        <w:adjustRightInd w:val="0"/>
        <w:spacing w:line="288" w:lineRule="auto"/>
        <w:contextualSpacing/>
        <w:jc w:val="both"/>
        <w:rPr>
          <w:color w:val="231F20"/>
          <w:sz w:val="24"/>
          <w:szCs w:val="24"/>
        </w:rPr>
      </w:pPr>
      <w:r>
        <w:rPr>
          <w:color w:val="231F20"/>
          <w:sz w:val="24"/>
          <w:szCs w:val="24"/>
        </w:rPr>
        <w:t>12.3 A ordem de classificação dos registrados na Ata deverá ser respeitada para as contratações, cabendo ao gerenciador realizar os devidos registros na Ata de Registro de Preços, para a sua atualização.</w:t>
      </w:r>
    </w:p>
    <w:p w14:paraId="7228C877">
      <w:pPr>
        <w:autoSpaceDE w:val="0"/>
        <w:autoSpaceDN w:val="0"/>
        <w:adjustRightInd w:val="0"/>
        <w:spacing w:line="288" w:lineRule="auto"/>
        <w:contextualSpacing/>
        <w:jc w:val="both"/>
        <w:rPr>
          <w:color w:val="231F20"/>
          <w:sz w:val="24"/>
          <w:szCs w:val="24"/>
        </w:rPr>
      </w:pPr>
    </w:p>
    <w:p w14:paraId="219F6E86">
      <w:pPr>
        <w:autoSpaceDE w:val="0"/>
        <w:autoSpaceDN w:val="0"/>
        <w:adjustRightInd w:val="0"/>
        <w:spacing w:line="288" w:lineRule="auto"/>
        <w:contextualSpacing/>
        <w:jc w:val="both"/>
        <w:rPr>
          <w:color w:val="231F20"/>
          <w:sz w:val="24"/>
          <w:szCs w:val="24"/>
        </w:rPr>
      </w:pPr>
      <w:r>
        <w:rPr>
          <w:color w:val="231F20"/>
          <w:sz w:val="24"/>
          <w:szCs w:val="24"/>
        </w:rPr>
        <w:t xml:space="preserve">12.4 </w:t>
      </w:r>
      <w:r>
        <w:rPr>
          <w:sz w:val="24"/>
          <w:szCs w:val="24"/>
        </w:rPr>
        <w:t>A habilitação dos proponentes que irão compor o Cadastro de Reserva somente será efetuada quando houver necessidade de contratação dos proponentes remanescentes.</w:t>
      </w:r>
    </w:p>
    <w:p w14:paraId="7C5FD6BB">
      <w:pPr>
        <w:autoSpaceDE w:val="0"/>
        <w:autoSpaceDN w:val="0"/>
        <w:adjustRightInd w:val="0"/>
        <w:spacing w:line="288" w:lineRule="auto"/>
        <w:contextualSpacing/>
        <w:jc w:val="both"/>
        <w:rPr>
          <w:color w:val="231F20"/>
          <w:sz w:val="24"/>
          <w:szCs w:val="24"/>
        </w:rPr>
      </w:pPr>
    </w:p>
    <w:p w14:paraId="03BDABCA">
      <w:pPr>
        <w:autoSpaceDE w:val="0"/>
        <w:autoSpaceDN w:val="0"/>
        <w:adjustRightInd w:val="0"/>
        <w:spacing w:line="288" w:lineRule="auto"/>
        <w:contextualSpacing/>
        <w:jc w:val="both"/>
        <w:rPr>
          <w:sz w:val="24"/>
          <w:szCs w:val="24"/>
        </w:rPr>
      </w:pPr>
      <w:r>
        <w:rPr>
          <w:color w:val="231F20"/>
          <w:sz w:val="24"/>
          <w:szCs w:val="24"/>
        </w:rPr>
        <w:t xml:space="preserve">12.5 O Cadastro de Reserva poderá ser empregado no caso do item 11.5, bem como de </w:t>
      </w:r>
      <w:r>
        <w:rPr>
          <w:sz w:val="24"/>
          <w:szCs w:val="24"/>
        </w:rPr>
        <w:t>cancelamento do registro do proponente ou dos preços, nas hipóteses previstas no § 4º do art. 28 e nos arts. 29 e 31 do Decreto nº 46/2025 e na Ata de Registro de Preços.</w:t>
      </w:r>
    </w:p>
    <w:p w14:paraId="1E740E92">
      <w:pPr>
        <w:pStyle w:val="97"/>
        <w:spacing w:before="0" w:beforeAutospacing="0" w:after="0" w:afterAutospacing="0" w:line="288" w:lineRule="auto"/>
        <w:contextualSpacing/>
        <w:jc w:val="both"/>
        <w:rPr>
          <w:rFonts w:eastAsia="Calibri"/>
          <w:lang w:eastAsia="en-US"/>
        </w:rPr>
      </w:pPr>
    </w:p>
    <w:p w14:paraId="655FB4A1">
      <w:pPr>
        <w:pStyle w:val="97"/>
        <w:spacing w:before="0" w:beforeAutospacing="0" w:after="0" w:afterAutospacing="0" w:line="288" w:lineRule="auto"/>
        <w:contextualSpacing/>
        <w:jc w:val="both"/>
        <w:rPr>
          <w:rFonts w:eastAsia="Calibri"/>
          <w:b/>
          <w:bCs/>
          <w:lang w:eastAsia="en-US"/>
        </w:rPr>
      </w:pPr>
      <w:r>
        <w:rPr>
          <w:rFonts w:eastAsia="Calibri"/>
          <w:b/>
          <w:bCs/>
          <w:lang w:eastAsia="en-US"/>
        </w:rPr>
        <w:t>13. DA FORMALIZAÇÃO DOS CONTRATOS ORIUNDOS DA ATA DE REGISTRO DE PREÇOS</w:t>
      </w:r>
    </w:p>
    <w:p w14:paraId="23A16A2B">
      <w:pPr>
        <w:pStyle w:val="97"/>
        <w:spacing w:before="0" w:beforeAutospacing="0" w:after="0" w:afterAutospacing="0" w:line="288" w:lineRule="auto"/>
        <w:contextualSpacing/>
        <w:jc w:val="both"/>
        <w:rPr>
          <w:rFonts w:eastAsia="Arial"/>
        </w:rPr>
      </w:pPr>
    </w:p>
    <w:p w14:paraId="0272B9C2">
      <w:pPr>
        <w:pStyle w:val="97"/>
        <w:spacing w:before="0" w:beforeAutospacing="0" w:after="0" w:afterAutospacing="0" w:line="288" w:lineRule="auto"/>
        <w:contextualSpacing/>
        <w:jc w:val="both"/>
        <w:rPr>
          <w:rFonts w:eastAsia="Calibri"/>
          <w:lang w:eastAsia="en-US"/>
        </w:rPr>
      </w:pPr>
      <w:r>
        <w:rPr>
          <w:rFonts w:eastAsia="Arial"/>
        </w:rPr>
        <w:t xml:space="preserve">13.1 Compete ao </w:t>
      </w:r>
      <w:r>
        <w:rPr>
          <w:bCs/>
        </w:rPr>
        <w:t xml:space="preserve">gerenciador, aos </w:t>
      </w:r>
      <w:r>
        <w:rPr>
          <w:rFonts w:eastAsia="Arial"/>
          <w:bCs/>
        </w:rPr>
        <w:t xml:space="preserve">participantes, quando houver, e aos eventuais não-participantes </w:t>
      </w:r>
      <w:r>
        <w:rPr>
          <w:rFonts w:eastAsia="Arial"/>
        </w:rPr>
        <w:t>promover as ações necessárias para as suas próprias contratações com o fornecedor registrado, durante o prazo de validade da Ata de Registro de Preços.</w:t>
      </w:r>
    </w:p>
    <w:p w14:paraId="064CFB8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13.2 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w:t>
      </w:r>
      <w:r>
        <w:rPr>
          <w:rFonts w:ascii="Times New Roman" w:hAnsi="Times New Roman" w:cs="Times New Roman"/>
          <w:color w:val="auto"/>
          <w:sz w:val="24"/>
          <w:szCs w:val="24"/>
        </w:rPr>
        <w:t>no prazo de 5 (cinco) dias úteis</w:t>
      </w:r>
      <w:r>
        <w:rPr>
          <w:rFonts w:ascii="Times New Roman" w:hAnsi="Times New Roman" w:cs="Times New Roman"/>
          <w:sz w:val="24"/>
          <w:szCs w:val="24"/>
        </w:rPr>
        <w:t>, sob pena de decair o direito à contratação, sem prejuízo das sanções previstas na Lei nº 14.133/2021, no Decreto nº 46/2025 e no Edital.</w:t>
      </w:r>
    </w:p>
    <w:p w14:paraId="525B3348">
      <w:pPr>
        <w:pStyle w:val="99"/>
        <w:spacing w:before="288" w:beforeLines="120" w:after="288" w:afterLines="120" w:line="288" w:lineRule="auto"/>
        <w:ind w:left="0" w:firstLine="0"/>
        <w:contextualSpacing/>
        <w:rPr>
          <w:rFonts w:ascii="Times New Roman" w:hAnsi="Times New Roman" w:cs="Times New Roman"/>
          <w:sz w:val="24"/>
          <w:szCs w:val="24"/>
        </w:rPr>
      </w:pPr>
    </w:p>
    <w:p w14:paraId="0FCB209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13.3 O prazo de convocação poderá ser prorrogado, 1 (uma) vez, por igual período, mediante solicitação da parte interessada durante seu transcurso, devidamente justificada, e desde que o motivo apresentado seja aceito pela Administração.</w:t>
      </w:r>
    </w:p>
    <w:p w14:paraId="7EAD6045">
      <w:pPr>
        <w:autoSpaceDE w:val="0"/>
        <w:autoSpaceDN w:val="0"/>
        <w:adjustRightInd w:val="0"/>
        <w:spacing w:line="288" w:lineRule="auto"/>
        <w:contextualSpacing/>
        <w:jc w:val="both"/>
        <w:rPr>
          <w:color w:val="231F20"/>
          <w:sz w:val="24"/>
          <w:szCs w:val="24"/>
        </w:rPr>
      </w:pPr>
      <w:r>
        <w:rPr>
          <w:sz w:val="24"/>
          <w:szCs w:val="24"/>
        </w:rPr>
        <w:t xml:space="preserve">13.4 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 </w:t>
      </w:r>
    </w:p>
    <w:p w14:paraId="5C533219">
      <w:pPr>
        <w:pStyle w:val="99"/>
        <w:spacing w:before="288" w:beforeLines="120" w:after="288" w:afterLines="120" w:line="288" w:lineRule="auto"/>
        <w:ind w:left="0" w:firstLine="0"/>
        <w:contextualSpacing/>
        <w:rPr>
          <w:rFonts w:ascii="Times New Roman" w:hAnsi="Times New Roman" w:cs="Times New Roman"/>
          <w:sz w:val="24"/>
          <w:szCs w:val="24"/>
        </w:rPr>
      </w:pPr>
      <w:bookmarkStart w:id="32" w:name="_Hlk158798489"/>
      <w:r>
        <w:rPr>
          <w:rFonts w:ascii="Times New Roman" w:hAnsi="Times New Roman" w:cs="Times New Roman"/>
          <w:sz w:val="24"/>
          <w:szCs w:val="24"/>
        </w:rPr>
        <w:t>13.5 A recusa injustificada do fornecedor registrado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7EB5CCCF">
      <w:pPr>
        <w:pStyle w:val="99"/>
        <w:spacing w:before="288" w:beforeLines="120" w:after="288" w:afterLines="120" w:line="288" w:lineRule="auto"/>
        <w:ind w:left="0" w:firstLine="0"/>
        <w:contextualSpacing/>
        <w:rPr>
          <w:rFonts w:ascii="Times New Roman" w:hAnsi="Times New Roman" w:cs="Times New Roman"/>
          <w:sz w:val="24"/>
          <w:szCs w:val="24"/>
        </w:rPr>
      </w:pPr>
    </w:p>
    <w:p w14:paraId="1F7F1856">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13.6 As consequências de que trata o item anterior não serão aplicadas ao integrante do Cadastro de Reserva que, quando convocado, se recusar a compor a Ata de Registro de Preços. </w:t>
      </w:r>
    </w:p>
    <w:p w14:paraId="69D56DE3">
      <w:pPr>
        <w:pStyle w:val="99"/>
        <w:spacing w:before="288" w:beforeLines="120" w:after="288" w:afterLines="120" w:line="288" w:lineRule="auto"/>
        <w:ind w:left="0" w:firstLine="0"/>
        <w:contextualSpacing/>
        <w:rPr>
          <w:rFonts w:ascii="Times New Roman" w:hAnsi="Times New Roman" w:cs="Times New Roman"/>
          <w:sz w:val="24"/>
          <w:szCs w:val="24"/>
        </w:rPr>
      </w:pPr>
    </w:p>
    <w:p w14:paraId="3BE584B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13.7</w:t>
      </w:r>
      <w:r>
        <w:rPr>
          <w:rFonts w:ascii="Times New Roman" w:hAnsi="Times New Roman" w:cs="Times New Roman"/>
          <w:sz w:val="24"/>
          <w:szCs w:val="24"/>
        </w:rPr>
        <w:tab/>
      </w:r>
      <w:r>
        <w:rPr>
          <w:rFonts w:ascii="Times New Roman" w:hAnsi="Times New Roman" w:cs="Times New Roman"/>
          <w:sz w:val="24"/>
          <w:szCs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6F2145DB">
      <w:pPr>
        <w:pStyle w:val="97"/>
        <w:spacing w:line="288" w:lineRule="auto"/>
        <w:contextualSpacing/>
        <w:jc w:val="both"/>
        <w:rPr>
          <w:rFonts w:eastAsia="Calibri"/>
          <w:lang w:eastAsia="en-US"/>
        </w:rPr>
      </w:pPr>
      <w:r>
        <w:rPr>
          <w:rFonts w:eastAsia="Calibri"/>
          <w:lang w:eastAsia="en-US"/>
        </w:rPr>
        <w:t>13.8</w:t>
      </w:r>
      <w:r>
        <w:rPr>
          <w:rFonts w:eastAsia="Calibri"/>
          <w:lang w:eastAsia="en-US"/>
        </w:rPr>
        <w:tab/>
      </w:r>
      <w:r>
        <w:rPr>
          <w:rFonts w:eastAsia="Calibri"/>
          <w:lang w:eastAsia="en-US"/>
        </w:rPr>
        <w:t>Caso o valor da contratação se enquadre no limite previsto na legislação vigente, o fornecedor registrado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A81D98B">
      <w:pPr>
        <w:pStyle w:val="97"/>
        <w:spacing w:before="0" w:beforeAutospacing="0" w:after="0" w:afterAutospacing="0" w:line="288" w:lineRule="auto"/>
        <w:contextualSpacing/>
        <w:jc w:val="both"/>
        <w:rPr>
          <w:rFonts w:eastAsia="Calibri"/>
          <w:lang w:eastAsia="en-US"/>
        </w:rPr>
      </w:pPr>
    </w:p>
    <w:p w14:paraId="1283946C">
      <w:pPr>
        <w:pStyle w:val="97"/>
        <w:spacing w:before="0" w:beforeAutospacing="0" w:after="0" w:afterAutospacing="0" w:line="288" w:lineRule="auto"/>
        <w:contextualSpacing/>
        <w:jc w:val="both"/>
        <w:rPr>
          <w:rFonts w:eastAsia="Calibri"/>
          <w:lang w:eastAsia="en-US"/>
        </w:rPr>
      </w:pPr>
      <w:r>
        <w:rPr>
          <w:rFonts w:eastAsia="Calibri"/>
          <w:lang w:eastAsia="en-US"/>
        </w:rPr>
        <w:t>13.8.1</w:t>
      </w:r>
      <w:r>
        <w:rPr>
          <w:rFonts w:eastAsia="Calibri"/>
          <w:lang w:eastAsia="en-US"/>
        </w:rPr>
        <w:tab/>
      </w:r>
      <w:r>
        <w:rPr>
          <w:rFonts w:eastAsia="Calibri"/>
          <w:lang w:eastAsia="en-US"/>
        </w:rPr>
        <w:t>Caso o fornecedor registrado ainda não tenha programa de integridade instituído, deverá implantar o Programa de Integridade no prazo de até 180 (cento e oitenta) dias corridos, a partir da assinatura do Contrato, na forma da legislação vigente.</w:t>
      </w:r>
    </w:p>
    <w:bookmarkEnd w:id="32"/>
    <w:p w14:paraId="5CE1AE6D">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58ED7878">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14. DA SUBCONTRATAÇÃO </w:t>
      </w:r>
    </w:p>
    <w:p w14:paraId="29336A83">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14.1 Não será admitida a subcontratação do objeto contratual.</w:t>
      </w:r>
    </w:p>
    <w:p w14:paraId="3489F20A">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2B174A4B">
      <w:pPr>
        <w:pStyle w:val="99"/>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b/>
          <w:bCs/>
          <w:sz w:val="24"/>
          <w:szCs w:val="24"/>
          <w:lang w:eastAsia="en-US"/>
        </w:rPr>
        <w:t>15. DA GARANTIA</w:t>
      </w:r>
    </w:p>
    <w:p w14:paraId="3789DEDC">
      <w:pPr>
        <w:pStyle w:val="99"/>
        <w:spacing w:before="288" w:beforeLines="120" w:after="288" w:afterLines="120" w:line="288" w:lineRule="auto"/>
        <w:ind w:left="4537" w:right="565" w:firstLine="0"/>
        <w:contextualSpacing/>
        <w:rPr>
          <w:rFonts w:ascii="Times New Roman" w:hAnsi="Times New Roman" w:cs="Times New Roman"/>
          <w:sz w:val="24"/>
          <w:szCs w:val="24"/>
        </w:rPr>
      </w:pPr>
    </w:p>
    <w:p w14:paraId="3F377FEE">
      <w:pPr>
        <w:pStyle w:val="99"/>
        <w:spacing w:before="288" w:beforeLines="120" w:after="288" w:afterLines="120" w:line="288" w:lineRule="auto"/>
        <w:ind w:left="0"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 Haverá exigência de garantia contratual da execução.</w:t>
      </w:r>
    </w:p>
    <w:p w14:paraId="4F33976A">
      <w:pPr>
        <w:pStyle w:val="103"/>
        <w:spacing w:before="288" w:beforeLines="120" w:after="288" w:afterLines="120" w:line="288" w:lineRule="auto"/>
        <w:ind w:left="567" w:right="565" w:firstLine="0"/>
        <w:contextualSpacing/>
        <w:rPr>
          <w:rFonts w:ascii="Times New Roman" w:hAnsi="Times New Roman" w:cs="Times New Roman"/>
          <w:color w:val="auto"/>
          <w:sz w:val="24"/>
          <w:szCs w:val="24"/>
        </w:rPr>
      </w:pPr>
      <w:bookmarkStart w:id="33" w:name="_Hlk152767454"/>
      <w:r>
        <w:rPr>
          <w:rFonts w:ascii="Times New Roman" w:hAnsi="Times New Roman" w:cs="Times New Roman"/>
          <w:color w:val="auto"/>
          <w:sz w:val="24"/>
          <w:szCs w:val="24"/>
        </w:rPr>
        <w:t>15.1.1 Caso o prazo de vigência do contrato seja inferior a um ano</w:t>
      </w:r>
      <w:bookmarkEnd w:id="33"/>
      <w:r>
        <w:rPr>
          <w:rFonts w:ascii="Times New Roman" w:hAnsi="Times New Roman" w:cs="Times New Roman"/>
          <w:color w:val="auto"/>
          <w:sz w:val="24"/>
          <w:szCs w:val="24"/>
        </w:rPr>
        <w:t xml:space="preserve">, a garantia prevista no item 15.1 será calculada sobre o valor total do Contrato. </w:t>
      </w:r>
    </w:p>
    <w:p w14:paraId="0944A211">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Na forma do art. 101 da Lei nº 14.133/2021, nos casos de contratos que impliquem a entrega de bens pela Administração, dos quais o contratado ficará depositário, o valor desses bens deverá ser acrescido ao valor da garantia.</w:t>
      </w:r>
    </w:p>
    <w:p w14:paraId="290A1083">
      <w:pPr>
        <w:pStyle w:val="103"/>
        <w:spacing w:before="288" w:beforeLines="120" w:after="288" w:afterLines="120" w:line="288" w:lineRule="auto"/>
        <w:ind w:left="567" w:right="567"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 O contratado poderá optar pelas seguintes modalidades de garantia:</w:t>
      </w:r>
    </w:p>
    <w:p w14:paraId="02283D1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15.2.1 caução em dinheiro ou em títulos da dívida pública;</w:t>
      </w:r>
    </w:p>
    <w:p w14:paraId="5CBD855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15.2.2 seguro-garantia; </w:t>
      </w:r>
    </w:p>
    <w:p w14:paraId="6DB0FB2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15.2.3 fiança bancária; e</w:t>
      </w:r>
    </w:p>
    <w:p w14:paraId="399EE50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15.2.4 título de capitalização custeado por pagamento único, com resgate pelo valor total.</w:t>
      </w:r>
    </w:p>
    <w:p w14:paraId="1FC4EE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 Qualquer que seja a modalidade escolhida pelo contratado, a garantia assegurará o pagamento de:</w:t>
      </w:r>
    </w:p>
    <w:p w14:paraId="60F7A32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15.3.1 prejuízos advindos do não cumprimento do objeto do Contrato e do não adimplemento das demais obrigações neste previstas;</w:t>
      </w:r>
    </w:p>
    <w:p w14:paraId="173A96BD">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15.3.2 multas moratórias, compensatórias e administrativas aplicadas pela Administração ao contratado; e</w:t>
      </w:r>
    </w:p>
    <w:p w14:paraId="3DB59166">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15.3.3 obrigações trabalhistas e previdenciárias de qualquer natureza, assim como as obrigações de regularidade perante o FGTS, não adimplidas pelo contratado, quando couber.</w:t>
      </w:r>
    </w:p>
    <w:p w14:paraId="7997CD7E">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15.4 A garantia, qualquer que seja a modalidade escolhida, terá validade durante a vigência do Contrato e por mais 90 (noventa) dias após o término deste prazo de vigência.  </w:t>
      </w:r>
    </w:p>
    <w:p w14:paraId="4FB35A0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15.5 Na hipótese de suspensão do Contrato por ordem ou inadimplemento da Administração, o contratado ficará desobrigado de renovar a garantia ou de endossar a apólice de seguro até a ordem de reinício da execução ou o adimplemento pela Administração.</w:t>
      </w:r>
    </w:p>
    <w:p w14:paraId="2E909C53">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15.6 Ressalvada a hipótese de seguro-garantia, em que deverá ser observado o prazo do item 15.7, o contratado apresentará, no prazo máximo de 10 (dez) dias úteis, prorrogáveis por igual período, a critério do contratante, contado da assinatura do Contrato, o comprovante de prestação de garantia, na forma do item 15.2.</w:t>
      </w:r>
    </w:p>
    <w:p w14:paraId="7CC9EC52">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 Caso oferecida a modalidade de seguro-garantia, sua apresentação deve ocorrer em 1 (um) mês, contado da data de homologação da licitação e anterior à assinatura do Contrato, e observar-se-ão as seguintes condições:</w:t>
      </w:r>
    </w:p>
    <w:p w14:paraId="697C13A0">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15.7.1 a apólice permanecerá em vigor mesmo que o contratado não pague o prêmio nas datas convencionadas;</w:t>
      </w:r>
    </w:p>
    <w:p w14:paraId="5809DB7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15.7.2 a apólice deverá acompanhar as modificações referentes à vigência do Contrato principal, mediante a emissão do respectivo endosso pela seguradora;</w:t>
      </w:r>
    </w:p>
    <w:p w14:paraId="0D35EF4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15.7.3 será permitida a substituição da apólice na data de renovação ou de aniversário, desde que mantidas as condições e coberturas da apólice vigente e nenhum período fique descoberto, ressalvado o disposto no item 15.5 deste Edital; e</w:t>
      </w:r>
    </w:p>
    <w:p w14:paraId="6929385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15.7.4 a apólice somente será aceita se contemplar todos os eventos indicados no item 15.3, observada a legislação que rege a matéria.</w:t>
      </w:r>
    </w:p>
    <w:p w14:paraId="6D63D26C">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298C717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0BEADD2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15.10 Caso a opção seja por garantia em dinheiro, deverá ser efetuada em favor do contratante, na conta corrente nº ......., da agência ....... da instituição financeira contratada pelo Município, cujo valor será corrigido monetariamente e restituído ao contratado, na forma do item 15.16.</w:t>
      </w:r>
    </w:p>
    <w:p w14:paraId="4C329D45">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15.1 neste item. </w:t>
      </w:r>
    </w:p>
    <w:p w14:paraId="4CC84F2F">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 A inobservância do prazo fixado para apresentação, reposição, suplementação ou renovação da garantia acarretará a aplicação de multa e/ou outras penalidades, na forma disposta no Contrato.</w:t>
      </w:r>
    </w:p>
    <w:p w14:paraId="3B92A63A">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15.12.1 O atraso superior a 25 (vinte e cinco) dias autoriza o contratante a promover a rescisão do contrato por descumprimento ou cumprimento irregular de suas cláusulas, com a aplicação das sanções cabíveis.</w:t>
      </w:r>
    </w:p>
    <w:p w14:paraId="03FFC4FB">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15.13 O contratante executará a garantia na forma prevista na legislação que rege a matéria.</w:t>
      </w:r>
    </w:p>
    <w:p w14:paraId="063496B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 O emitente da garantia ofertada pelo contratado deverá ser notificado pelo contratante quanto ao início de processo administrativo para apuração de descumprimento de cláusulas contratuais.</w:t>
      </w:r>
    </w:p>
    <w:p w14:paraId="2A86D9E7">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15.14.1 O garantidor não é parte para figurar em processo administrativo instaurado pelo contratante com o objetivo de apurar prejuízos e/ou aplicar sanções ao contratado.</w:t>
      </w:r>
    </w:p>
    <w:p w14:paraId="12622A38">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AFA5BC4">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519F5B9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15.16.1 A garantia somente será liberada ou restituída, após a fiel execução do Contrato ou pela sua extinção, por culpa exclusiva da Administração, ou quando assim convencionado, em se tratando de extinção consensual da contratação.</w:t>
      </w:r>
    </w:p>
    <w:p w14:paraId="6989DDE9">
      <w:pPr>
        <w:pStyle w:val="99"/>
        <w:spacing w:line="288" w:lineRule="auto"/>
        <w:ind w:left="567" w:right="565"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15.17 O contratado autoriza o contratante a reter, a qualquer tempo, a garantia, na forma prevista no Edital e no Contrato. </w:t>
      </w:r>
    </w:p>
    <w:p w14:paraId="691331F9">
      <w:pPr>
        <w:pStyle w:val="97"/>
        <w:spacing w:before="0" w:beforeAutospacing="0" w:after="0" w:afterAutospacing="0" w:line="288" w:lineRule="auto"/>
        <w:contextualSpacing/>
        <w:jc w:val="both"/>
        <w:rPr>
          <w:rFonts w:eastAsia="Calibri" w:asciiTheme="minorHAnsi" w:hAnsiTheme="minorHAnsi" w:cstheme="minorHAnsi"/>
          <w:b/>
          <w:bCs/>
          <w:lang w:eastAsia="en-US"/>
        </w:rPr>
      </w:pPr>
    </w:p>
    <w:p w14:paraId="4CCB1264">
      <w:pPr>
        <w:pStyle w:val="97"/>
        <w:spacing w:before="0" w:beforeAutospacing="0" w:after="0" w:afterAutospacing="0" w:line="288" w:lineRule="auto"/>
        <w:contextualSpacing/>
        <w:jc w:val="both"/>
        <w:rPr>
          <w:rFonts w:eastAsia="Calibri"/>
          <w:b/>
          <w:bCs/>
          <w:lang w:eastAsia="en-US"/>
        </w:rPr>
      </w:pPr>
      <w:r>
        <w:rPr>
          <w:rFonts w:eastAsia="Calibri"/>
          <w:b/>
          <w:bCs/>
          <w:lang w:eastAsia="en-US"/>
        </w:rPr>
        <w:t>16. PAGAMENTO</w:t>
      </w:r>
    </w:p>
    <w:p w14:paraId="17D21D1A">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 O contratante deverá pagar o preço ao contratado em 01 (uma) parcelas</w:t>
      </w:r>
      <w:r>
        <w:rPr>
          <w:rFonts w:ascii="Times New Roman" w:hAnsi="Times New Roman" w:cs="Times New Roman"/>
          <w:color w:val="auto"/>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na conta corrente de titularidade do contratado a ser indicada. </w:t>
      </w:r>
    </w:p>
    <w:p w14:paraId="72B3334D">
      <w:pPr>
        <w:pStyle w:val="99"/>
        <w:spacing w:before="288" w:beforeLines="120" w:after="288" w:afterLines="120" w:line="288" w:lineRule="auto"/>
        <w:ind w:left="0" w:firstLine="0"/>
        <w:contextualSpacing/>
        <w:rPr>
          <w:rFonts w:ascii="Times New Roman" w:hAnsi="Times New Roman" w:cs="Times New Roman"/>
          <w:sz w:val="24"/>
          <w:szCs w:val="24"/>
        </w:rPr>
      </w:pPr>
    </w:p>
    <w:p w14:paraId="5FC40E67">
      <w:pPr>
        <w:pStyle w:val="99"/>
        <w:spacing w:before="288" w:beforeLines="120" w:after="288" w:afterLines="120" w:line="288" w:lineRule="auto"/>
        <w:ind w:left="0" w:firstLine="0"/>
        <w:contextualSpacing/>
        <w:rPr>
          <w:rFonts w:ascii="Times New Roman" w:hAnsi="Times New Roman" w:cs="Times New Roman"/>
          <w:color w:val="FF0000"/>
          <w:sz w:val="24"/>
          <w:szCs w:val="24"/>
        </w:rPr>
      </w:pPr>
      <w:r>
        <w:rPr>
          <w:rFonts w:ascii="Times New Roman" w:hAnsi="Times New Roman" w:cs="Times New Roman"/>
          <w:sz w:val="24"/>
          <w:szCs w:val="24"/>
        </w:rPr>
        <w:t xml:space="preserve">16.2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sz w:val="24"/>
          <w:szCs w:val="24"/>
        </w:rPr>
        <w:t>Banco Itaú S.A</w:t>
      </w:r>
      <w:r>
        <w:rPr>
          <w:rFonts w:ascii="Times New Roman" w:hAnsi="Times New Roman" w:cs="Times New Roman"/>
          <w:sz w:val="24"/>
          <w:szCs w:val="24"/>
        </w:rPr>
        <w:t>, cujo número e agência deverão ser informados pelo adjudicatário.</w:t>
      </w:r>
    </w:p>
    <w:p w14:paraId="7F6961F3">
      <w:pPr>
        <w:pStyle w:val="99"/>
        <w:spacing w:before="288" w:beforeLines="120" w:after="288" w:afterLines="120" w:line="288" w:lineRule="auto"/>
        <w:ind w:left="0" w:firstLine="0"/>
        <w:contextualSpacing/>
        <w:rPr>
          <w:rFonts w:ascii="Times New Roman" w:hAnsi="Times New Roman" w:cs="Times New Roman"/>
          <w:sz w:val="24"/>
          <w:szCs w:val="24"/>
        </w:rPr>
      </w:pPr>
    </w:p>
    <w:p w14:paraId="08DFB3F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40, de 25 de fevereiro de 2025.</w:t>
      </w:r>
    </w:p>
    <w:p w14:paraId="0908F5E9">
      <w:pPr>
        <w:pStyle w:val="101"/>
        <w:spacing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16.3.1 Quando houver glosa parcial do objeto, o contratante deverá comunicar ao contratado para que emita Nota Fiscal ou Fatura com o valor exato dimensionado.</w:t>
      </w:r>
    </w:p>
    <w:p w14:paraId="37CEAEEE">
      <w:pPr>
        <w:pStyle w:val="99"/>
        <w:spacing w:before="288" w:beforeLines="120" w:after="288" w:afterLines="120" w:line="288" w:lineRule="auto"/>
        <w:ind w:left="0" w:firstLine="0"/>
        <w:contextualSpacing/>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pPr>
      <w:r>
        <w:rPr>
          <w:rFonts w:ascii="Times New Roman" w:hAnsi="Times New Roman" w:cs="Times New Roman"/>
          <w:sz w:val="24"/>
          <w:szCs w:val="24"/>
        </w:rPr>
        <w:t>16.4 O contratado deverá encaminhar a Nota Fiscal ou Fatura para pagamento à Prefeitura Municipal de Valença, Secretaria Municipal de Saúde, situada na Rua Dr. Figueiredo, nº 320, na cidade do Valença, no Estado do Rio de Janeiro ou para o endereço eletrônico</w:t>
      </w:r>
      <w:r>
        <w:rPr>
          <w:rFonts w:ascii="Times New Roman" w:hAnsi="Times New Roman" w:cs="Times New Roman"/>
          <w:sz w:val="24"/>
          <w:szCs w:val="24"/>
          <w:u w:val="single"/>
        </w:rPr>
        <w:t xml:space="preserve"> </w:t>
      </w:r>
      <w:r>
        <w:rPr>
          <w:rFonts w:ascii="Times New Roman" w:hAnsi="Times New Roman" w:cs="Times New Roman"/>
          <w:b/>
          <w:bCs/>
          <w:i/>
          <w:iCs/>
          <w:color w:val="558ED5" w:themeColor="text2" w:themeTint="99"/>
          <w:sz w:val="24"/>
          <w:szCs w:val="24"/>
          <w:u w:val="single"/>
          <w14:textFill>
            <w14:solidFill>
              <w14:schemeClr w14:val="tx2">
                <w14:lumMod w14:val="60000"/>
                <w14:lumOff w14:val="40000"/>
              </w14:schemeClr>
            </w14:solidFill>
          </w14:textFill>
        </w:rPr>
        <w:t>smscompras@yahoo.com.br</w:t>
      </w:r>
    </w:p>
    <w:p w14:paraId="0F19BEA6">
      <w:pPr>
        <w:pStyle w:val="99"/>
        <w:spacing w:line="288" w:lineRule="auto"/>
        <w:ind w:left="0" w:firstLine="0"/>
        <w:contextualSpacing/>
        <w:rPr>
          <w:rFonts w:ascii="Times New Roman" w:hAnsi="Times New Roman" w:cs="Times New Roman"/>
          <w:sz w:val="24"/>
          <w:szCs w:val="24"/>
        </w:rPr>
      </w:pPr>
    </w:p>
    <w:p w14:paraId="69B3A624">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16.5 </w:t>
      </w:r>
      <w:bookmarkStart w:id="34" w:name="_Hlk178774483"/>
      <w:r>
        <w:rPr>
          <w:rFonts w:ascii="Times New Roman" w:hAnsi="Times New Roman" w:cs="Times New Roman"/>
          <w:sz w:val="24"/>
          <w:szCs w:val="24"/>
        </w:rPr>
        <w:t xml:space="preserve">Uma vez recebidos os documentos mencionados no item 16.4, o órgão competente deverá verificar: </w:t>
      </w:r>
      <w:bookmarkEnd w:id="34"/>
    </w:p>
    <w:p w14:paraId="2BF9A9F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3FB32D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a) a manutenção das condições de habilitação exigidas pelo instrumento convocatório; </w:t>
      </w:r>
    </w:p>
    <w:p w14:paraId="76DB2DF6">
      <w:pPr>
        <w:pStyle w:val="99"/>
        <w:spacing w:line="288" w:lineRule="auto"/>
        <w:ind w:left="0" w:firstLine="0"/>
        <w:contextualSpacing/>
        <w:rPr>
          <w:rFonts w:ascii="Times New Roman" w:hAnsi="Times New Roman" w:cs="Times New Roman"/>
          <w:sz w:val="24"/>
          <w:szCs w:val="24"/>
        </w:rPr>
      </w:pPr>
    </w:p>
    <w:p w14:paraId="517F22DD">
      <w:pPr>
        <w:pStyle w:val="99"/>
        <w:spacing w:line="288" w:lineRule="auto"/>
        <w:ind w:left="0" w:firstLine="0"/>
        <w:contextualSpacing/>
        <w:rPr>
          <w:rFonts w:ascii="Times New Roman" w:hAnsi="Times New Roman" w:cs="Times New Roman"/>
          <w:sz w:val="24"/>
          <w:szCs w:val="24"/>
        </w:rPr>
      </w:pPr>
      <w:bookmarkStart w:id="35" w:name="_Hlk178774506"/>
      <w:r>
        <w:rPr>
          <w:rFonts w:ascii="Times New Roman" w:hAnsi="Times New Roman" w:cs="Times New Roman"/>
          <w:sz w:val="24"/>
          <w:szCs w:val="24"/>
        </w:rPr>
        <w:t>b) por consulta aos cadastros mencionados no item 8.1, se o contratado foi penalizado com as sanções de declaração de inidoneidade ou impedimento de licitar e contratar com o poder público, observadas as abrangências de aplicação; e</w:t>
      </w:r>
    </w:p>
    <w:p w14:paraId="156952BA">
      <w:pPr>
        <w:pStyle w:val="99"/>
        <w:spacing w:line="288" w:lineRule="auto"/>
        <w:ind w:left="0" w:firstLine="0"/>
        <w:contextualSpacing/>
        <w:rPr>
          <w:rFonts w:ascii="Times New Roman" w:hAnsi="Times New Roman" w:cs="Times New Roman"/>
          <w:sz w:val="24"/>
          <w:szCs w:val="24"/>
        </w:rPr>
      </w:pPr>
    </w:p>
    <w:p w14:paraId="04976644">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35"/>
    <w:p w14:paraId="3F3AF720">
      <w:pPr>
        <w:pStyle w:val="99"/>
        <w:spacing w:line="288" w:lineRule="auto"/>
        <w:ind w:left="0" w:firstLine="0"/>
        <w:contextualSpacing/>
        <w:rPr>
          <w:rFonts w:ascii="Times New Roman" w:hAnsi="Times New Roman" w:cs="Times New Roman"/>
          <w:sz w:val="24"/>
          <w:szCs w:val="24"/>
        </w:rPr>
      </w:pPr>
    </w:p>
    <w:p w14:paraId="542757D9">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0461F5C7">
      <w:pPr>
        <w:pStyle w:val="99"/>
        <w:spacing w:line="288" w:lineRule="auto"/>
        <w:ind w:left="0" w:firstLine="0"/>
        <w:contextualSpacing/>
        <w:rPr>
          <w:rFonts w:ascii="Times New Roman" w:hAnsi="Times New Roman" w:cs="Times New Roman"/>
          <w:sz w:val="24"/>
          <w:szCs w:val="24"/>
        </w:rPr>
      </w:pPr>
    </w:p>
    <w:p w14:paraId="3D1E93E2">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91C0E9B">
      <w:pPr>
        <w:pStyle w:val="99"/>
        <w:spacing w:line="288" w:lineRule="auto"/>
        <w:ind w:left="0" w:firstLine="0"/>
        <w:contextualSpacing/>
        <w:rPr>
          <w:rFonts w:ascii="Times New Roman" w:hAnsi="Times New Roman" w:cs="Times New Roman"/>
          <w:sz w:val="24"/>
          <w:szCs w:val="24"/>
        </w:rPr>
      </w:pPr>
    </w:p>
    <w:p w14:paraId="2469316B">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16.5.3 Persistindo a irregularidade, o contratante deverá adotar as medidas necessárias à rescisão do Contrato nos autos do processo administrativo correspondente, assegurada ao contratado a ampla defesa.</w:t>
      </w:r>
    </w:p>
    <w:p w14:paraId="729998EE">
      <w:pPr>
        <w:pStyle w:val="99"/>
        <w:spacing w:line="288" w:lineRule="auto"/>
        <w:ind w:left="0" w:firstLine="0"/>
        <w:contextualSpacing/>
        <w:rPr>
          <w:rFonts w:ascii="Times New Roman" w:hAnsi="Times New Roman" w:cs="Times New Roman"/>
          <w:sz w:val="24"/>
          <w:szCs w:val="24"/>
        </w:rPr>
      </w:pPr>
    </w:p>
    <w:p w14:paraId="098CD21C">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16.5.4 Havendo a efetiva execução do objeto, os pagamentos serão realizados normalmente, até que se decida pela rescisão do Contrato, caso o contratado não regularize sua situação.</w:t>
      </w:r>
    </w:p>
    <w:p w14:paraId="7A652228">
      <w:pPr>
        <w:pStyle w:val="99"/>
        <w:spacing w:line="288" w:lineRule="auto"/>
        <w:ind w:left="0" w:firstLine="0"/>
        <w:contextualSpacing/>
        <w:rPr>
          <w:rFonts w:ascii="Times New Roman" w:hAnsi="Times New Roman" w:cs="Times New Roman"/>
          <w:sz w:val="24"/>
          <w:szCs w:val="24"/>
        </w:rPr>
      </w:pPr>
    </w:p>
    <w:p w14:paraId="14DC5C42">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16.6 O pagamento será efetuado no prazo máximo de até </w:t>
      </w:r>
      <w:r>
        <w:rPr>
          <w:rFonts w:ascii="Times New Roman" w:hAnsi="Times New Roman" w:cs="Times New Roman"/>
          <w:color w:val="000000" w:themeColor="text1"/>
          <w:sz w:val="24"/>
          <w:szCs w:val="24"/>
          <w14:textFill>
            <w14:solidFill>
              <w14:schemeClr w14:val="tx1"/>
            </w14:solidFill>
          </w14:textFill>
        </w:rPr>
        <w:t>30 (trinta) dias</w:t>
      </w:r>
      <w:r>
        <w:rPr>
          <w:rFonts w:ascii="Times New Roman" w:hAnsi="Times New Roman" w:cs="Times New Roman"/>
          <w:sz w:val="24"/>
          <w:szCs w:val="24"/>
        </w:rPr>
        <w:t xml:space="preserve">, contados do recebimento da Nota Fiscal ou Fatura. </w:t>
      </w:r>
    </w:p>
    <w:p w14:paraId="64CC100A">
      <w:pPr>
        <w:pStyle w:val="99"/>
        <w:spacing w:line="288" w:lineRule="auto"/>
        <w:ind w:left="0" w:firstLine="0"/>
        <w:contextualSpacing/>
        <w:rPr>
          <w:rFonts w:ascii="Times New Roman" w:hAnsi="Times New Roman" w:cs="Times New Roman"/>
          <w:sz w:val="24"/>
          <w:szCs w:val="24"/>
        </w:rPr>
      </w:pPr>
    </w:p>
    <w:p w14:paraId="03903517">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4E516495">
      <w:pPr>
        <w:pStyle w:val="99"/>
        <w:spacing w:line="288" w:lineRule="auto"/>
        <w:ind w:left="0" w:firstLine="0"/>
        <w:contextualSpacing/>
        <w:rPr>
          <w:rFonts w:ascii="Times New Roman" w:hAnsi="Times New Roman" w:cs="Times New Roman"/>
          <w:sz w:val="24"/>
          <w:szCs w:val="24"/>
        </w:rPr>
      </w:pPr>
    </w:p>
    <w:p w14:paraId="238C8EEF">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 Quando do pagamento, será efetuada a retenção tributária prevista na legislação aplicável.</w:t>
      </w:r>
    </w:p>
    <w:p w14:paraId="62542264">
      <w:pPr>
        <w:pStyle w:val="99"/>
        <w:spacing w:line="288" w:lineRule="auto"/>
        <w:ind w:left="0" w:firstLine="0"/>
        <w:contextualSpacing/>
        <w:rPr>
          <w:rFonts w:ascii="Times New Roman" w:hAnsi="Times New Roman" w:cs="Times New Roman"/>
          <w:sz w:val="24"/>
          <w:szCs w:val="24"/>
        </w:rPr>
      </w:pPr>
    </w:p>
    <w:p w14:paraId="50B83FAD">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16.7.1 Independentemente do percentual de tributo inserido na planilha, no pagamento serão retidos na fonte os percentuais estabelecidos na legislação vigente.</w:t>
      </w:r>
    </w:p>
    <w:p w14:paraId="476FB886">
      <w:pPr>
        <w:pStyle w:val="99"/>
        <w:spacing w:line="288" w:lineRule="auto"/>
        <w:ind w:left="0" w:firstLine="0"/>
        <w:contextualSpacing/>
        <w:rPr>
          <w:rFonts w:ascii="Times New Roman" w:hAnsi="Times New Roman" w:cs="Times New Roman"/>
          <w:sz w:val="24"/>
          <w:szCs w:val="24"/>
        </w:rPr>
      </w:pPr>
    </w:p>
    <w:p w14:paraId="2406BD01">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318D9E6A">
      <w:pPr>
        <w:pStyle w:val="99"/>
        <w:spacing w:line="288" w:lineRule="auto"/>
        <w:ind w:left="0" w:firstLine="0"/>
        <w:contextualSpacing/>
        <w:rPr>
          <w:rFonts w:ascii="Times New Roman" w:hAnsi="Times New Roman" w:cs="Times New Roman"/>
          <w:sz w:val="24"/>
          <w:szCs w:val="24"/>
        </w:rPr>
      </w:pPr>
    </w:p>
    <w:p w14:paraId="21031430">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16.8 Os pagamentos eventualmente realizados com atraso, desde que não decorram de ato ou fato atribuível ao contratado, sofrerão a incidência de atualização monetária e juros de mora pelo </w:t>
      </w:r>
      <w:r>
        <w:rPr>
          <w:rFonts w:ascii="Times New Roman" w:hAnsi="Times New Roman" w:cs="Times New Roman"/>
          <w:bCs/>
          <w:color w:val="auto"/>
          <w:sz w:val="24"/>
          <w:szCs w:val="24"/>
        </w:rPr>
        <w:t>IPCA-E</w:t>
      </w:r>
      <w:r>
        <w:rPr>
          <w:rFonts w:ascii="Times New Roman" w:hAnsi="Times New Roman" w:cs="Times New Roman"/>
          <w:sz w:val="24"/>
          <w:szCs w:val="24"/>
        </w:rPr>
        <w:t xml:space="preserve">, calculado </w:t>
      </w:r>
      <w:r>
        <w:rPr>
          <w:rFonts w:ascii="Times New Roman" w:hAnsi="Times New Roman" w:cs="Times New Roman"/>
          <w:i/>
          <w:sz w:val="24"/>
          <w:szCs w:val="24"/>
        </w:rPr>
        <w:t>pro rata die</w:t>
      </w:r>
      <w:r>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Pr>
          <w:rFonts w:ascii="Times New Roman" w:hAnsi="Times New Roman" w:cs="Times New Roman"/>
          <w:i/>
          <w:sz w:val="24"/>
          <w:szCs w:val="24"/>
        </w:rPr>
        <w:t>pro rata die.</w:t>
      </w:r>
    </w:p>
    <w:p w14:paraId="0E2A3A73">
      <w:pPr>
        <w:pStyle w:val="99"/>
        <w:spacing w:line="288" w:lineRule="auto"/>
        <w:ind w:left="0" w:firstLine="0"/>
        <w:contextualSpacing/>
        <w:rPr>
          <w:rFonts w:ascii="Times New Roman" w:hAnsi="Times New Roman" w:cs="Times New Roman"/>
          <w:sz w:val="24"/>
          <w:szCs w:val="24"/>
        </w:rPr>
      </w:pPr>
    </w:p>
    <w:p w14:paraId="05110C6C">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16.9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rFonts w:ascii="Times New Roman" w:hAnsi="Times New Roman" w:cs="Times New Roman"/>
          <w:i/>
          <w:sz w:val="24"/>
          <w:szCs w:val="24"/>
        </w:rPr>
        <w:t xml:space="preserve">a, b, c, d </w:t>
      </w:r>
      <w:r>
        <w:rPr>
          <w:rFonts w:ascii="Times New Roman" w:hAnsi="Times New Roman" w:cs="Times New Roman"/>
          <w:sz w:val="24"/>
          <w:szCs w:val="24"/>
        </w:rPr>
        <w:t xml:space="preserve">e </w:t>
      </w:r>
      <w:r>
        <w:rPr>
          <w:rFonts w:ascii="Times New Roman" w:hAnsi="Times New Roman" w:cs="Times New Roman"/>
          <w:i/>
          <w:sz w:val="24"/>
          <w:szCs w:val="24"/>
        </w:rPr>
        <w:t xml:space="preserve">e, </w:t>
      </w:r>
      <w:r>
        <w:rPr>
          <w:rFonts w:ascii="Times New Roman" w:hAnsi="Times New Roman" w:cs="Times New Roman"/>
          <w:sz w:val="24"/>
          <w:szCs w:val="24"/>
        </w:rPr>
        <w:t>do §1º, do art. 2º da Resolução SEFAZ nº 971/2016.</w:t>
      </w:r>
    </w:p>
    <w:p w14:paraId="7A163903">
      <w:pPr>
        <w:pStyle w:val="99"/>
        <w:spacing w:line="288" w:lineRule="auto"/>
        <w:ind w:left="0" w:firstLine="0"/>
        <w:contextualSpacing/>
        <w:rPr>
          <w:rFonts w:ascii="Times New Roman" w:hAnsi="Times New Roman" w:cs="Times New Roman"/>
          <w:sz w:val="24"/>
          <w:szCs w:val="24"/>
        </w:rPr>
      </w:pPr>
    </w:p>
    <w:p w14:paraId="4196279E">
      <w:pPr>
        <w:pStyle w:val="99"/>
        <w:spacing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16.10 Caso o Edital admita a subcontratação, os pagamentos aos subcontratados serão realizados diretamente pelo contratado, ficando vedada a emissão de empenho do contratante diretamente aos subcontratados.</w:t>
      </w:r>
    </w:p>
    <w:p w14:paraId="387AB83C">
      <w:pPr>
        <w:pStyle w:val="99"/>
        <w:spacing w:line="288" w:lineRule="auto"/>
        <w:ind w:left="0" w:firstLine="0"/>
        <w:contextualSpacing/>
        <w:rPr>
          <w:rFonts w:ascii="Times New Roman" w:hAnsi="Times New Roman" w:cs="Times New Roman"/>
          <w:sz w:val="24"/>
          <w:szCs w:val="24"/>
        </w:rPr>
      </w:pPr>
    </w:p>
    <w:p w14:paraId="12079C62">
      <w:pPr>
        <w:pStyle w:val="99"/>
        <w:spacing w:before="288" w:beforeLines="120" w:after="288" w:afterLines="120" w:line="288" w:lineRule="auto"/>
        <w:ind w:left="0" w:firstLine="0"/>
        <w:contextualSpacing/>
        <w:rPr>
          <w:sz w:val="24"/>
          <w:szCs w:val="24"/>
        </w:rPr>
      </w:pPr>
      <w:r>
        <w:rPr>
          <w:rFonts w:ascii="Times New Roman" w:hAnsi="Times New Roman" w:cs="Times New Roman"/>
          <w:sz w:val="24"/>
          <w:szCs w:val="24"/>
        </w:rPr>
        <w:t>16.10.1 A subcontratação porventura realizada será integralmente custeada pelo contratado.</w:t>
      </w:r>
    </w:p>
    <w:p w14:paraId="70363E72">
      <w:pPr>
        <w:pStyle w:val="97"/>
        <w:spacing w:before="0" w:beforeAutospacing="0" w:after="0" w:afterAutospacing="0" w:line="288" w:lineRule="auto"/>
        <w:contextualSpacing/>
        <w:jc w:val="both"/>
        <w:rPr>
          <w:rFonts w:eastAsia="Calibri"/>
          <w:lang w:eastAsia="en-US"/>
        </w:rPr>
      </w:pPr>
    </w:p>
    <w:p w14:paraId="6C0695B2">
      <w:pPr>
        <w:pStyle w:val="97"/>
        <w:spacing w:before="0" w:beforeAutospacing="0" w:after="0" w:afterAutospacing="0" w:line="288" w:lineRule="auto"/>
        <w:contextualSpacing/>
        <w:jc w:val="both"/>
        <w:rPr>
          <w:rFonts w:eastAsia="Calibri"/>
          <w:b/>
          <w:bCs/>
          <w:lang w:eastAsia="en-US"/>
        </w:rPr>
      </w:pPr>
      <w:r>
        <w:rPr>
          <w:rFonts w:eastAsia="Calibri"/>
          <w:b/>
          <w:bCs/>
          <w:lang w:eastAsia="en-US"/>
        </w:rPr>
        <w:t xml:space="preserve">17. PRAZO CONTRATUAL </w:t>
      </w:r>
    </w:p>
    <w:p w14:paraId="53A9B849">
      <w:pPr>
        <w:pStyle w:val="99"/>
        <w:spacing w:before="0" w:after="0" w:line="288" w:lineRule="auto"/>
        <w:ind w:left="0" w:firstLine="0"/>
        <w:contextualSpacing/>
        <w:rPr>
          <w:rFonts w:ascii="Times New Roman" w:hAnsi="Times New Roman" w:cs="Times New Roman"/>
          <w:sz w:val="24"/>
          <w:szCs w:val="24"/>
        </w:rPr>
      </w:pPr>
    </w:p>
    <w:p w14:paraId="310FB4A4">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17.1 O prazo de vigência do Contrato é de </w:t>
      </w:r>
      <w:r>
        <w:rPr>
          <w:rFonts w:ascii="Times New Roman" w:hAnsi="Times New Roman" w:cs="Times New Roman"/>
          <w:color w:val="000000" w:themeColor="text1"/>
          <w:sz w:val="24"/>
          <w:szCs w:val="24"/>
          <w14:textFill>
            <w14:solidFill>
              <w14:schemeClr w14:val="tx1"/>
            </w14:solidFill>
          </w14:textFill>
        </w:rPr>
        <w:t>12 meses</w:t>
      </w:r>
      <w:r>
        <w:rPr>
          <w:rFonts w:ascii="Times New Roman" w:hAnsi="Times New Roman" w:cs="Times New Roman"/>
          <w:sz w:val="24"/>
          <w:szCs w:val="24"/>
        </w:rPr>
        <w:t xml:space="preserve">, contado da data da </w:t>
      </w:r>
      <w:r>
        <w:rPr>
          <w:rFonts w:ascii="Times New Roman" w:hAnsi="Times New Roman" w:cs="Times New Roman"/>
          <w:iCs/>
          <w:sz w:val="24"/>
          <w:szCs w:val="24"/>
        </w:rPr>
        <w:t>divulgação no Portal Nacional de Contratações Públicas</w:t>
      </w:r>
      <w:r>
        <w:rPr>
          <w:rFonts w:ascii="Times New Roman" w:hAnsi="Times New Roman" w:cs="Times New Roman"/>
          <w:sz w:val="24"/>
          <w:szCs w:val="24"/>
        </w:rPr>
        <w:t>.</w:t>
      </w:r>
    </w:p>
    <w:p w14:paraId="4291D58A">
      <w:pPr>
        <w:pStyle w:val="99"/>
        <w:spacing w:after="0" w:line="288" w:lineRule="auto"/>
        <w:ind w:left="0" w:firstLine="0"/>
        <w:contextualSpacing/>
        <w:rPr>
          <w:rFonts w:ascii="Times New Roman" w:hAnsi="Times New Roman" w:cs="Times New Roman"/>
          <w:color w:val="auto"/>
          <w:sz w:val="24"/>
          <w:szCs w:val="24"/>
        </w:rPr>
      </w:pPr>
    </w:p>
    <w:p w14:paraId="6FB9E06D">
      <w:pPr>
        <w:pStyle w:val="99"/>
        <w:spacing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17.2 O prazo de vigência será automaticamente prorrogado,</w:t>
      </w:r>
      <w:r>
        <w:rPr>
          <w:rFonts w:ascii="Times New Roman" w:hAnsi="Times New Roman" w:cs="Times New Roman"/>
          <w:bCs/>
          <w:iCs/>
          <w:color w:val="auto"/>
          <w:sz w:val="24"/>
          <w:szCs w:val="24"/>
        </w:rPr>
        <w:t xml:space="preserve"> sem prejuízo da formalização adequada,</w:t>
      </w:r>
      <w:r>
        <w:rPr>
          <w:rFonts w:ascii="Times New Roman" w:hAnsi="Times New Roman" w:cs="Times New Roman"/>
          <w:color w:val="auto"/>
          <w:sz w:val="24"/>
          <w:szCs w:val="24"/>
        </w:rPr>
        <w:t xml:space="preserve"> quando o objeto não for concluído no período firmado acima, ressalvadas as providências cabíveis no caso de culpa do contratado, previstas neste instrumento e no Contrato.</w:t>
      </w:r>
      <w:r>
        <w:rPr>
          <w:rFonts w:ascii="Times New Roman" w:hAnsi="Times New Roman" w:cs="Times New Roman"/>
          <w:sz w:val="24"/>
          <w:szCs w:val="24"/>
        </w:rPr>
        <w:t> </w:t>
      </w:r>
    </w:p>
    <w:p w14:paraId="48E3B8DF">
      <w:pPr>
        <w:pStyle w:val="99"/>
        <w:spacing w:after="0" w:line="288" w:lineRule="auto"/>
        <w:ind w:left="0" w:firstLine="0"/>
        <w:contextualSpacing/>
        <w:rPr>
          <w:rFonts w:ascii="Times New Roman" w:hAnsi="Times New Roman" w:cs="Times New Roman"/>
          <w:sz w:val="24"/>
          <w:szCs w:val="24"/>
        </w:rPr>
      </w:pPr>
    </w:p>
    <w:p w14:paraId="633825D7">
      <w:pPr>
        <w:pStyle w:val="97"/>
        <w:spacing w:before="0" w:beforeAutospacing="0" w:after="0" w:afterAutospacing="0" w:line="288" w:lineRule="auto"/>
        <w:contextualSpacing/>
        <w:jc w:val="both"/>
      </w:pPr>
      <w:r>
        <w:rPr>
          <w:rFonts w:eastAsia="Calibri"/>
          <w:b/>
          <w:bCs/>
          <w:lang w:eastAsia="en-US"/>
        </w:rPr>
        <w:t xml:space="preserve">18. REAJUSTE </w:t>
      </w:r>
    </w:p>
    <w:p w14:paraId="7C10995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 Os preços contratados serão reajustados após o interregno de 1 (um) ano, mediante solicitação do contratado.</w:t>
      </w:r>
    </w:p>
    <w:p w14:paraId="23D7C8EB">
      <w:pPr>
        <w:pStyle w:val="99"/>
        <w:spacing w:before="288" w:beforeLines="120" w:after="288" w:afterLines="120" w:line="288" w:lineRule="auto"/>
        <w:ind w:left="0" w:firstLine="0"/>
        <w:contextualSpacing/>
        <w:rPr>
          <w:rFonts w:ascii="Times New Roman" w:hAnsi="Times New Roman" w:cs="Times New Roman"/>
          <w:sz w:val="24"/>
          <w:szCs w:val="24"/>
        </w:rPr>
      </w:pPr>
    </w:p>
    <w:p w14:paraId="2843B44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18.2 O interregno mínimo de 1 (um) ano para o primeiro reajuste será contado da data do orçamento estimado. </w:t>
      </w:r>
    </w:p>
    <w:p w14:paraId="486766D3">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41E0897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18.3 </w:t>
      </w:r>
      <w:r>
        <w:rPr>
          <w:rFonts w:ascii="Times New Roman" w:hAnsi="Times New Roman" w:cs="Times New Roman"/>
          <w:sz w:val="24"/>
          <w:szCs w:val="24"/>
        </w:rPr>
        <w:t>Nos reajustes subsequentes ao primeiro, o interregno mínimo de um ano será contado a partir do fato gerador que deu ensejo ao último reajuste.</w:t>
      </w:r>
    </w:p>
    <w:p w14:paraId="5E075C45">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5B6BB76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18.4 </w:t>
      </w:r>
      <w:r>
        <w:rPr>
          <w:rFonts w:ascii="Times New Roman" w:hAnsi="Times New Roman" w:cs="Times New Roman"/>
          <w:sz w:val="24"/>
          <w:szCs w:val="24"/>
        </w:rPr>
        <w:t>Os preços iniciais serão reajustados, mediante a aplicação, pelo contratante, do índice IPCA, exclusivamente para as obrigações que se iniciem após a anualidade.</w:t>
      </w:r>
    </w:p>
    <w:p w14:paraId="4E68D42C">
      <w:pPr>
        <w:pStyle w:val="99"/>
        <w:spacing w:before="288" w:beforeLines="120" w:after="288" w:afterLines="120" w:line="288" w:lineRule="auto"/>
        <w:ind w:left="0" w:firstLine="0"/>
        <w:contextualSpacing/>
        <w:rPr>
          <w:rFonts w:ascii="Times New Roman" w:hAnsi="Times New Roman" w:cs="Times New Roman"/>
          <w:color w:val="FF0000"/>
          <w:sz w:val="24"/>
          <w:szCs w:val="24"/>
        </w:rPr>
      </w:pPr>
      <w:bookmarkStart w:id="36" w:name="_Hlk153284733"/>
    </w:p>
    <w:bookmarkEnd w:id="36"/>
    <w:p w14:paraId="26A07454">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749B73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18.5 </w:t>
      </w:r>
      <w:r>
        <w:rPr>
          <w:rFonts w:ascii="Times New Roman" w:hAnsi="Times New Roman" w:cs="Times New Roman"/>
          <w:sz w:val="24"/>
          <w:szCs w:val="24"/>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0ABA90BB">
      <w:pPr>
        <w:pStyle w:val="99"/>
        <w:spacing w:before="288" w:beforeLines="120" w:after="288" w:afterLines="120" w:line="288" w:lineRule="auto"/>
        <w:ind w:left="0" w:firstLine="0"/>
        <w:contextualSpacing/>
        <w:rPr>
          <w:rFonts w:ascii="Times New Roman" w:hAnsi="Times New Roman" w:cs="Times New Roman"/>
          <w:sz w:val="24"/>
          <w:szCs w:val="24"/>
        </w:rPr>
      </w:pPr>
    </w:p>
    <w:p w14:paraId="324F1C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18.5.1 Fica o contratado obrigado a apresentar memória de cálculo referente ao reajustamento de preços do valor remanescente, sempre que este ocorrer, sendo adotado na aferição final o índice definitivo.</w:t>
      </w:r>
    </w:p>
    <w:p w14:paraId="200E7174">
      <w:pPr>
        <w:pStyle w:val="99"/>
        <w:spacing w:before="288" w:beforeLines="120" w:after="288" w:afterLines="120" w:line="288" w:lineRule="auto"/>
        <w:ind w:left="0" w:firstLine="0"/>
        <w:contextualSpacing/>
        <w:rPr>
          <w:rFonts w:ascii="Times New Roman" w:hAnsi="Times New Roman" w:cs="Times New Roman"/>
          <w:sz w:val="24"/>
          <w:szCs w:val="24"/>
        </w:rPr>
      </w:pPr>
    </w:p>
    <w:p w14:paraId="65232D1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18.6 Caso o(s) índice(s) estabelecido(s) para reajustamento venha(m) a ser extinto(s) ou de qualquer forma não possa(m) mais ser utilizado(s), será(ão) adotado(s), em substituição, o(s) que vier(em) a ser determinado(s) pela legislação então em vigor.</w:t>
      </w:r>
    </w:p>
    <w:p w14:paraId="118646F8">
      <w:pPr>
        <w:pStyle w:val="99"/>
        <w:spacing w:before="288" w:beforeLines="120" w:after="288" w:afterLines="120" w:line="288" w:lineRule="auto"/>
        <w:ind w:left="0" w:firstLine="0"/>
        <w:contextualSpacing/>
        <w:rPr>
          <w:rFonts w:ascii="Times New Roman" w:hAnsi="Times New Roman" w:cs="Times New Roman"/>
          <w:sz w:val="24"/>
          <w:szCs w:val="24"/>
        </w:rPr>
      </w:pPr>
    </w:p>
    <w:p w14:paraId="675D499F">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18.7 Na ausência de previsão legal quanto ao índice substituto, as partes elegerão novo índice oficial, para reajustamento do preço do valor remanescente, por meio de termo aditivo.</w:t>
      </w:r>
    </w:p>
    <w:p w14:paraId="00DE3514">
      <w:pPr>
        <w:pStyle w:val="99"/>
        <w:spacing w:before="288" w:beforeLines="120" w:after="288" w:afterLines="120" w:line="288" w:lineRule="auto"/>
        <w:ind w:left="0" w:firstLine="0"/>
        <w:contextualSpacing/>
        <w:rPr>
          <w:rFonts w:ascii="Times New Roman" w:hAnsi="Times New Roman" w:cs="Times New Roman"/>
          <w:sz w:val="24"/>
          <w:szCs w:val="24"/>
        </w:rPr>
      </w:pPr>
    </w:p>
    <w:p w14:paraId="67A6EB5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 O pedido de reajuste deverá ser formulado durante a vigência do contrato e antes de eventual prorrogação contratual, sob pena de preclusão.</w:t>
      </w:r>
    </w:p>
    <w:p w14:paraId="099FA02F">
      <w:pPr>
        <w:pStyle w:val="99"/>
        <w:spacing w:before="288" w:beforeLines="120" w:after="288" w:afterLines="120" w:line="288" w:lineRule="auto"/>
        <w:ind w:left="0" w:firstLine="0"/>
        <w:contextualSpacing/>
        <w:rPr>
          <w:rFonts w:ascii="Times New Roman" w:hAnsi="Times New Roman" w:cs="Times New Roman"/>
          <w:sz w:val="24"/>
          <w:szCs w:val="24"/>
        </w:rPr>
      </w:pPr>
    </w:p>
    <w:p w14:paraId="4BD0EA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18.8.1 Os efeitos financeiros do pedido de reajuste serão contados:</w:t>
      </w:r>
    </w:p>
    <w:p w14:paraId="28CB23D1">
      <w:pPr>
        <w:pStyle w:val="99"/>
        <w:spacing w:before="288" w:beforeLines="120" w:after="288" w:afterLines="120" w:line="288" w:lineRule="auto"/>
        <w:ind w:left="0" w:firstLine="0"/>
        <w:contextualSpacing/>
        <w:rPr>
          <w:rFonts w:ascii="Times New Roman" w:hAnsi="Times New Roman" w:cs="Times New Roman"/>
          <w:sz w:val="24"/>
          <w:szCs w:val="24"/>
        </w:rPr>
      </w:pPr>
    </w:p>
    <w:p w14:paraId="1429CEC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22EDCD6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17EDDBF6">
      <w:pPr>
        <w:pStyle w:val="99"/>
        <w:spacing w:before="288" w:beforeLines="120" w:after="288" w:afterLines="120" w:line="288" w:lineRule="auto"/>
        <w:ind w:left="0" w:firstLine="0"/>
        <w:contextualSpacing/>
        <w:rPr>
          <w:rFonts w:ascii="Times New Roman" w:hAnsi="Times New Roman" w:cs="Times New Roman"/>
          <w:color w:val="auto"/>
          <w:sz w:val="24"/>
          <w:szCs w:val="24"/>
        </w:rPr>
      </w:pPr>
    </w:p>
    <w:p w14:paraId="1B1C234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18.9 </w:t>
      </w:r>
      <w:r>
        <w:rPr>
          <w:rFonts w:ascii="Times New Roman" w:hAnsi="Times New Roman" w:cs="Times New Roman"/>
          <w:sz w:val="24"/>
          <w:szCs w:val="24"/>
        </w:rPr>
        <w:t>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2182AD32">
      <w:pPr>
        <w:pStyle w:val="99"/>
        <w:spacing w:before="288" w:beforeLines="120" w:after="288" w:afterLines="120" w:line="288" w:lineRule="auto"/>
        <w:ind w:left="0" w:firstLine="0"/>
        <w:contextualSpacing/>
        <w:rPr>
          <w:rFonts w:ascii="Times New Roman" w:hAnsi="Times New Roman" w:cs="Times New Roman"/>
          <w:sz w:val="24"/>
          <w:szCs w:val="24"/>
        </w:rPr>
      </w:pPr>
    </w:p>
    <w:p w14:paraId="2D3B0C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18.10 A extinção do contrato não configurará óbice para o deferimento do reajuste solicitado tempestivamente, hipótese em que será concedido por meio de termo indenizatório.</w:t>
      </w:r>
    </w:p>
    <w:p w14:paraId="4D590425">
      <w:pPr>
        <w:pStyle w:val="99"/>
        <w:spacing w:before="288" w:beforeLines="120" w:after="288" w:afterLines="120" w:line="288" w:lineRule="auto"/>
        <w:ind w:left="0" w:firstLine="0"/>
        <w:contextualSpacing/>
        <w:rPr>
          <w:rFonts w:ascii="Times New Roman" w:hAnsi="Times New Roman" w:cs="Times New Roman"/>
          <w:sz w:val="24"/>
          <w:szCs w:val="24"/>
        </w:rPr>
      </w:pPr>
    </w:p>
    <w:p w14:paraId="6B00E903">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18.11 O reajuste será realizado por apostilamento, se esta for a única alteração contratual a ser realizada.</w:t>
      </w:r>
    </w:p>
    <w:p w14:paraId="1CF815AC">
      <w:pPr>
        <w:pStyle w:val="99"/>
        <w:spacing w:before="288" w:beforeLines="120" w:after="288" w:afterLines="120" w:line="288" w:lineRule="auto"/>
        <w:ind w:left="0" w:firstLine="0"/>
        <w:contextualSpacing/>
        <w:rPr>
          <w:rFonts w:ascii="Times New Roman" w:hAnsi="Times New Roman" w:cs="Times New Roman"/>
          <w:sz w:val="24"/>
          <w:szCs w:val="24"/>
        </w:rPr>
      </w:pPr>
    </w:p>
    <w:p w14:paraId="74642B71">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18.12 O reajuste de preços não interfere no direito das partes de solicitar, a qualquer momento, a manutenção do equilíbrio econômico dos contratos com base no disposto no art. 124, inciso II, alínea “d”, da Lei n.º 14.133/2021.</w:t>
      </w:r>
    </w:p>
    <w:p w14:paraId="41E38496">
      <w:pPr>
        <w:pStyle w:val="97"/>
        <w:spacing w:before="0" w:beforeAutospacing="0" w:after="0" w:afterAutospacing="0" w:line="288" w:lineRule="auto"/>
        <w:contextualSpacing/>
        <w:jc w:val="both"/>
        <w:rPr>
          <w:rFonts w:eastAsia="Calibri"/>
          <w:b/>
          <w:bCs/>
          <w:lang w:eastAsia="en-US"/>
        </w:rPr>
      </w:pPr>
      <w:r>
        <w:rPr>
          <w:rFonts w:eastAsia="Calibri"/>
          <w:b/>
          <w:bCs/>
          <w:lang w:eastAsia="en-US"/>
        </w:rPr>
        <w:t>19. EXECUÇÃO, GESTÃO E FISCALIZAÇÃO CONTRATUAIS</w:t>
      </w:r>
    </w:p>
    <w:p w14:paraId="4A677E40">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19.1 O regime de execução contratual, o modelo de gestão e a fiscalização, assim como os prazos e condições de conclusão, entrega, observação e recebimento se submetem ao disposto no Termo de Referência anexo a este Edital, na forma do Decreto nº 40/2025.</w:t>
      </w:r>
    </w:p>
    <w:p w14:paraId="6BD8EE36">
      <w:pPr>
        <w:pStyle w:val="97"/>
        <w:spacing w:before="0" w:beforeAutospacing="0" w:after="0" w:afterAutospacing="0" w:line="288" w:lineRule="auto"/>
        <w:contextualSpacing/>
        <w:jc w:val="both"/>
        <w:rPr>
          <w:rFonts w:eastAsia="Cambria Math"/>
          <w:b/>
        </w:rPr>
      </w:pPr>
      <w:r>
        <w:rPr>
          <w:rFonts w:eastAsia="Calibri"/>
          <w:b/>
          <w:bCs/>
          <w:lang w:eastAsia="en-US"/>
        </w:rPr>
        <w:t xml:space="preserve">20. </w:t>
      </w:r>
      <w:r>
        <w:rPr>
          <w:rFonts w:eastAsia="Cambria Math"/>
          <w:b/>
        </w:rPr>
        <w:t>RECEBIMENTO E CRITÉRIO DE ACEITAÇÃO</w:t>
      </w:r>
    </w:p>
    <w:p w14:paraId="60D32840">
      <w:pPr>
        <w:pStyle w:val="24"/>
        <w:spacing w:line="360" w:lineRule="auto"/>
        <w:jc w:val="both"/>
      </w:pPr>
      <w:r>
        <w:t xml:space="preserve">20.1 A empresa responsável pela execução dos serviços objeto desta licitação deverá possuir </w:t>
      </w:r>
      <w:r>
        <w:rPr>
          <w:rStyle w:val="11"/>
          <w:b w:val="0"/>
        </w:rPr>
        <w:t>instalações próprias ou posto de coleta situado em até 200 KM [duzentos] quilômetros</w:t>
      </w:r>
      <w:r>
        <w:t xml:space="preserve"> da sede do órgão contratante. </w:t>
      </w:r>
    </w:p>
    <w:p w14:paraId="1FBC01C8">
      <w:pPr>
        <w:pStyle w:val="24"/>
        <w:spacing w:line="360" w:lineRule="auto"/>
        <w:jc w:val="both"/>
      </w:pPr>
      <w:r>
        <w:t xml:space="preserve">20.2 A definição de um raio máximo de quilometragem para a realização dos exames objetiva garantir a adequada prestação do serviço, assegurando </w:t>
      </w:r>
      <w:r>
        <w:rPr>
          <w:rStyle w:val="11"/>
          <w:b w:val="0"/>
        </w:rPr>
        <w:t>rapidez no atendimento</w:t>
      </w:r>
      <w:r>
        <w:t xml:space="preserve">, </w:t>
      </w:r>
      <w:r>
        <w:rPr>
          <w:rStyle w:val="11"/>
          <w:b w:val="0"/>
        </w:rPr>
        <w:t>segurança do paciente e a economicidade.</w:t>
      </w:r>
    </w:p>
    <w:p w14:paraId="0A9D2A07">
      <w:pPr>
        <w:pStyle w:val="24"/>
        <w:spacing w:line="360" w:lineRule="auto"/>
        <w:jc w:val="both"/>
      </w:pPr>
      <w:r>
        <w:t>20.3 Considerando que deslocamentos extensos podem gerar atrasos, custos adicionais de transporte, dificuldades logísticas, risco ao paciente – especialmente em casos que demandam monitoramento ou jejum prolongado – e aumento da probabilidade de faltas ou reagendamentos, torna-se necessário estabelecer um limite geográfico para a execução dos exames.</w:t>
      </w:r>
    </w:p>
    <w:p w14:paraId="4A621640">
      <w:pPr>
        <w:pStyle w:val="77"/>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20.4 O raio definido atende aos princípios da </w:t>
      </w:r>
      <w:r>
        <w:rPr>
          <w:rStyle w:val="11"/>
          <w:rFonts w:ascii="Times New Roman" w:hAnsi="Times New Roman" w:cs="Times New Roman"/>
          <w:b w:val="0"/>
          <w:sz w:val="24"/>
          <w:szCs w:val="24"/>
        </w:rPr>
        <w:t>eficiência</w:t>
      </w:r>
      <w:r>
        <w:rPr>
          <w:rFonts w:ascii="Times New Roman" w:hAnsi="Times New Roman" w:cs="Times New Roman"/>
          <w:sz w:val="24"/>
          <w:szCs w:val="24"/>
        </w:rPr>
        <w:t xml:space="preserve">, da </w:t>
      </w:r>
      <w:r>
        <w:rPr>
          <w:rStyle w:val="11"/>
          <w:rFonts w:ascii="Times New Roman" w:hAnsi="Times New Roman" w:cs="Times New Roman"/>
          <w:b w:val="0"/>
          <w:sz w:val="24"/>
          <w:szCs w:val="24"/>
        </w:rPr>
        <w:t>economicidade</w:t>
      </w:r>
      <w:r>
        <w:rPr>
          <w:rFonts w:ascii="Times New Roman" w:hAnsi="Times New Roman" w:cs="Times New Roman"/>
          <w:sz w:val="24"/>
          <w:szCs w:val="24"/>
        </w:rPr>
        <w:t xml:space="preserve"> e da </w:t>
      </w:r>
      <w:r>
        <w:rPr>
          <w:rStyle w:val="11"/>
          <w:rFonts w:ascii="Times New Roman" w:hAnsi="Times New Roman" w:cs="Times New Roman"/>
          <w:b w:val="0"/>
          <w:sz w:val="24"/>
          <w:szCs w:val="24"/>
        </w:rPr>
        <w:t>razoabilidade</w:t>
      </w:r>
      <w:r>
        <w:rPr>
          <w:rFonts w:ascii="Times New Roman" w:hAnsi="Times New Roman" w:cs="Times New Roman"/>
          <w:sz w:val="24"/>
          <w:szCs w:val="24"/>
        </w:rPr>
        <w:t>, garantindo que os pacientes tenham acesso rápido a  realização de exames diversos - Diagnostico por Imagem, reduzindo o tempo de resposta e evitando prejuízos à assistência.</w:t>
      </w:r>
    </w:p>
    <w:p w14:paraId="2FFC6892">
      <w:pPr>
        <w:pStyle w:val="74"/>
        <w:spacing w:line="360" w:lineRule="auto"/>
        <w:jc w:val="both"/>
        <w:rPr>
          <w:rFonts w:ascii="Times New Roman" w:hAnsi="Times New Roman" w:cs="Times New Roman"/>
          <w:color w:val="auto"/>
        </w:rPr>
      </w:pPr>
    </w:p>
    <w:p w14:paraId="01448248">
      <w:pPr>
        <w:pStyle w:val="74"/>
        <w:spacing w:line="360" w:lineRule="auto"/>
        <w:jc w:val="both"/>
        <w:rPr>
          <w:rFonts w:ascii="Times New Roman" w:hAnsi="Times New Roman" w:cs="Times New Roman"/>
          <w:color w:val="auto"/>
        </w:rPr>
      </w:pPr>
      <w:r>
        <w:rPr>
          <w:rFonts w:ascii="Times New Roman" w:hAnsi="Times New Roman" w:cs="Times New Roman"/>
          <w:color w:val="auto"/>
        </w:rPr>
        <w:t>20.5 O licitante deve realizar a prestação de serviço de acordo com as necessidades da Secretaria Municipal de Saúde, conforme condições, quantidades, exigências e estimativas a serem estabelecidas neste instrumento.</w:t>
      </w:r>
    </w:p>
    <w:p w14:paraId="3C46C472">
      <w:pPr>
        <w:pStyle w:val="74"/>
        <w:spacing w:line="360" w:lineRule="auto"/>
        <w:jc w:val="both"/>
        <w:rPr>
          <w:rFonts w:ascii="Times New Roman" w:hAnsi="Times New Roman" w:cs="Times New Roman"/>
          <w:color w:val="auto"/>
        </w:rPr>
      </w:pPr>
    </w:p>
    <w:p w14:paraId="01EB1D6A">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20.6 O contratado deverá assumir a responsabilidade por todas as providências e obrigações estabelecidas na legislação específica sobre a qualidade e especificação dos exames que serão executados. </w:t>
      </w:r>
    </w:p>
    <w:p w14:paraId="33D41BD6">
      <w:pPr>
        <w:pStyle w:val="74"/>
        <w:spacing w:line="360" w:lineRule="auto"/>
        <w:jc w:val="both"/>
        <w:rPr>
          <w:rFonts w:ascii="Times New Roman" w:hAnsi="Times New Roman" w:cs="Times New Roman"/>
          <w:color w:val="auto"/>
        </w:rPr>
      </w:pPr>
    </w:p>
    <w:p w14:paraId="6B3CC0A7">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20.7 O contratado deverá executar diretamente o objeto, não podendo transferir a responsabilidade pelo objeto demandado para nenhuma outra empresa ou instituição de qualquer natureza. </w:t>
      </w:r>
    </w:p>
    <w:p w14:paraId="14B7A455">
      <w:pPr>
        <w:pStyle w:val="74"/>
        <w:spacing w:line="360" w:lineRule="auto"/>
        <w:jc w:val="both"/>
        <w:rPr>
          <w:rFonts w:ascii="Times New Roman" w:hAnsi="Times New Roman" w:cs="Times New Roman"/>
          <w:color w:val="auto"/>
        </w:rPr>
      </w:pPr>
    </w:p>
    <w:p w14:paraId="64280673">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20.8 O contratado deverá prestar todos os esclarecimentos técnicos que lhe forem solicitados, relacionados com as características dos procedimentos realizados. </w:t>
      </w:r>
    </w:p>
    <w:p w14:paraId="6E8C651B">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contratado deverá arcar com todas as despesas, diretas ou indiretas, sem qualquer ônus para a municipalidade. </w:t>
      </w:r>
    </w:p>
    <w:p w14:paraId="1B0FBC44">
      <w:pPr>
        <w:pStyle w:val="74"/>
        <w:spacing w:line="360" w:lineRule="auto"/>
        <w:jc w:val="both"/>
        <w:rPr>
          <w:rFonts w:ascii="Times New Roman" w:hAnsi="Times New Roman" w:cs="Times New Roman"/>
          <w:color w:val="auto"/>
        </w:rPr>
      </w:pPr>
    </w:p>
    <w:p w14:paraId="45B62F21">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20.9 O contratado deverá repetir procedimentos às suas próprias custas para correção de falhas verificadas, principalmente na hipótese de aquisição do objeto em desacordo com as condições pactuadas. </w:t>
      </w:r>
    </w:p>
    <w:p w14:paraId="64CD68A1">
      <w:pPr>
        <w:pStyle w:val="74"/>
        <w:spacing w:line="360" w:lineRule="auto"/>
        <w:jc w:val="both"/>
        <w:rPr>
          <w:rFonts w:ascii="Times New Roman" w:hAnsi="Times New Roman" w:cs="Times New Roman"/>
          <w:color w:val="auto"/>
        </w:rPr>
      </w:pPr>
    </w:p>
    <w:p w14:paraId="678E9EC1">
      <w:pPr>
        <w:spacing w:line="288" w:lineRule="auto"/>
        <w:contextualSpacing/>
        <w:jc w:val="both"/>
        <w:rPr>
          <w:b/>
          <w:bCs/>
          <w:sz w:val="24"/>
          <w:szCs w:val="24"/>
        </w:rPr>
      </w:pPr>
      <w:r>
        <w:rPr>
          <w:b/>
          <w:bCs/>
          <w:sz w:val="24"/>
          <w:szCs w:val="24"/>
        </w:rPr>
        <w:t>21. DAS INFRAÇÕES ADMINISTRATIVAS E SANÇÕES</w:t>
      </w:r>
    </w:p>
    <w:p w14:paraId="656D347E">
      <w:pPr>
        <w:spacing w:line="288" w:lineRule="auto"/>
        <w:contextualSpacing/>
        <w:jc w:val="both"/>
        <w:rPr>
          <w:sz w:val="24"/>
          <w:szCs w:val="24"/>
        </w:rPr>
      </w:pPr>
    </w:p>
    <w:p w14:paraId="2983B292">
      <w:pPr>
        <w:spacing w:line="288" w:lineRule="auto"/>
        <w:contextualSpacing/>
        <w:jc w:val="both"/>
        <w:rPr>
          <w:color w:val="000000"/>
          <w:sz w:val="24"/>
          <w:szCs w:val="24"/>
        </w:rPr>
      </w:pPr>
      <w:r>
        <w:rPr>
          <w:color w:val="000000"/>
          <w:sz w:val="24"/>
          <w:szCs w:val="24"/>
        </w:rPr>
        <w:t>21.1 Constitui infração administrativa, a prática, pelo licitante ou contratado, das seguintes condutas previstas no art. 155 da Lei nº 14.133/2021:</w:t>
      </w:r>
    </w:p>
    <w:p w14:paraId="3C665AFD">
      <w:pPr>
        <w:spacing w:line="288" w:lineRule="auto"/>
        <w:contextualSpacing/>
        <w:jc w:val="both"/>
        <w:rPr>
          <w:color w:val="000000"/>
          <w:sz w:val="24"/>
          <w:szCs w:val="24"/>
        </w:rPr>
      </w:pPr>
    </w:p>
    <w:p w14:paraId="3DBD6E7B">
      <w:pPr>
        <w:spacing w:line="288" w:lineRule="auto"/>
        <w:contextualSpacing/>
        <w:jc w:val="both"/>
        <w:rPr>
          <w:sz w:val="24"/>
          <w:szCs w:val="24"/>
        </w:rPr>
      </w:pPr>
      <w:bookmarkStart w:id="37" w:name="_Hlk183789048"/>
      <w:r>
        <w:rPr>
          <w:color w:val="000000"/>
          <w:sz w:val="24"/>
          <w:szCs w:val="24"/>
        </w:rPr>
        <w:t>2</w:t>
      </w:r>
      <w:bookmarkEnd w:id="37"/>
      <w:r>
        <w:rPr>
          <w:color w:val="000000"/>
          <w:sz w:val="24"/>
          <w:szCs w:val="24"/>
        </w:rPr>
        <w:t>1.1.1 dar causa à inexecução parcial do contrato</w:t>
      </w:r>
      <w:r>
        <w:rPr>
          <w:sz w:val="24"/>
          <w:szCs w:val="24"/>
        </w:rPr>
        <w:t>;</w:t>
      </w:r>
    </w:p>
    <w:p w14:paraId="274444F8">
      <w:pPr>
        <w:spacing w:line="288" w:lineRule="auto"/>
        <w:contextualSpacing/>
        <w:jc w:val="both"/>
        <w:rPr>
          <w:sz w:val="24"/>
          <w:szCs w:val="24"/>
        </w:rPr>
      </w:pPr>
    </w:p>
    <w:p w14:paraId="0116A13C">
      <w:pPr>
        <w:spacing w:line="288" w:lineRule="auto"/>
        <w:contextualSpacing/>
        <w:jc w:val="both"/>
        <w:rPr>
          <w:sz w:val="24"/>
          <w:szCs w:val="24"/>
        </w:rPr>
      </w:pPr>
      <w:r>
        <w:rPr>
          <w:color w:val="000000"/>
          <w:sz w:val="24"/>
          <w:szCs w:val="24"/>
        </w:rPr>
        <w:t>21.1.2 dar causa à inexecução parcial do contrato que cause grave dano à Administração, ao funcionamento dos serviços públicos ou ao interesse coletivo;</w:t>
      </w:r>
    </w:p>
    <w:p w14:paraId="5C3424AE">
      <w:pPr>
        <w:spacing w:line="288" w:lineRule="auto"/>
        <w:contextualSpacing/>
        <w:jc w:val="both"/>
        <w:rPr>
          <w:color w:val="000000"/>
          <w:sz w:val="24"/>
          <w:szCs w:val="24"/>
        </w:rPr>
      </w:pPr>
    </w:p>
    <w:p w14:paraId="577015A8">
      <w:pPr>
        <w:spacing w:after="160" w:line="288" w:lineRule="auto"/>
        <w:contextualSpacing/>
        <w:jc w:val="both"/>
        <w:rPr>
          <w:sz w:val="24"/>
          <w:szCs w:val="24"/>
        </w:rPr>
      </w:pPr>
      <w:r>
        <w:rPr>
          <w:color w:val="000000"/>
          <w:sz w:val="24"/>
          <w:szCs w:val="24"/>
        </w:rPr>
        <w:t>21.1.3 dar causa à inexecução total do contrato;</w:t>
      </w:r>
    </w:p>
    <w:p w14:paraId="01FBA94C">
      <w:pPr>
        <w:spacing w:line="288" w:lineRule="auto"/>
        <w:contextualSpacing/>
        <w:jc w:val="both"/>
        <w:rPr>
          <w:color w:val="000000"/>
          <w:sz w:val="24"/>
          <w:szCs w:val="24"/>
        </w:rPr>
      </w:pPr>
    </w:p>
    <w:p w14:paraId="2E9A853A">
      <w:pPr>
        <w:spacing w:line="288" w:lineRule="auto"/>
        <w:contextualSpacing/>
        <w:jc w:val="both"/>
        <w:rPr>
          <w:sz w:val="24"/>
          <w:szCs w:val="24"/>
        </w:rPr>
      </w:pPr>
      <w:r>
        <w:rPr>
          <w:color w:val="000000"/>
          <w:sz w:val="24"/>
          <w:szCs w:val="24"/>
        </w:rPr>
        <w:t xml:space="preserve">21.1.4 deixar de entregar a documentação exigida para o certame ou não entregar qualquer documento que tenha sido solicitado pelo Pregoeiro durante o certame; </w:t>
      </w:r>
    </w:p>
    <w:p w14:paraId="78F5D9E3">
      <w:pPr>
        <w:spacing w:line="288" w:lineRule="auto"/>
        <w:contextualSpacing/>
        <w:jc w:val="both"/>
        <w:rPr>
          <w:color w:val="000000"/>
          <w:sz w:val="24"/>
          <w:szCs w:val="24"/>
        </w:rPr>
      </w:pPr>
    </w:p>
    <w:p w14:paraId="0AB4C5D1">
      <w:pPr>
        <w:spacing w:line="288" w:lineRule="auto"/>
        <w:contextualSpacing/>
        <w:jc w:val="both"/>
        <w:rPr>
          <w:color w:val="000000"/>
          <w:sz w:val="24"/>
          <w:szCs w:val="24"/>
        </w:rPr>
      </w:pPr>
      <w:r>
        <w:rPr>
          <w:color w:val="000000"/>
          <w:sz w:val="24"/>
          <w:szCs w:val="24"/>
        </w:rPr>
        <w:t>21.1.5 não manter a proposta, salvo em decorrência de fato superveniente devidamente justificado, em especial quando:</w:t>
      </w:r>
    </w:p>
    <w:p w14:paraId="54158937">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21</w:t>
      </w:r>
      <w:r>
        <w:rPr>
          <w:rFonts w:ascii="Times New Roman" w:hAnsi="Times New Roman" w:cs="Times New Roman"/>
          <w:sz w:val="24"/>
          <w:szCs w:val="24"/>
        </w:rPr>
        <w:t xml:space="preserve">.1.5.1 não enviar a proposta adequada ao último lance ofertado ou após a negociação; </w:t>
      </w:r>
    </w:p>
    <w:p w14:paraId="593DD5DA">
      <w:pPr>
        <w:pStyle w:val="120"/>
        <w:spacing w:before="288" w:beforeLines="120" w:after="288" w:afterLines="120" w:line="288" w:lineRule="auto"/>
        <w:ind w:left="0"/>
        <w:contextualSpacing/>
        <w:rPr>
          <w:rFonts w:ascii="Times New Roman" w:hAnsi="Times New Roman" w:cs="Times New Roman"/>
          <w:sz w:val="24"/>
          <w:szCs w:val="24"/>
        </w:rPr>
      </w:pPr>
    </w:p>
    <w:p w14:paraId="3441E1FD">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color w:val="000000"/>
          <w:sz w:val="24"/>
          <w:szCs w:val="24"/>
        </w:rPr>
        <w:t>21</w:t>
      </w:r>
      <w:r>
        <w:rPr>
          <w:rFonts w:ascii="Times New Roman" w:hAnsi="Times New Roman" w:cs="Times New Roman"/>
          <w:sz w:val="24"/>
          <w:szCs w:val="24"/>
        </w:rPr>
        <w:t xml:space="preserve">.1.5.2 recusar-se a enviar o detalhamento da proposta quando exigível; </w:t>
      </w:r>
    </w:p>
    <w:p w14:paraId="5E877FEC">
      <w:pPr>
        <w:pStyle w:val="120"/>
        <w:spacing w:before="288" w:beforeLines="120" w:after="288" w:afterLines="120" w:line="288" w:lineRule="auto"/>
        <w:ind w:left="0"/>
        <w:contextualSpacing/>
        <w:rPr>
          <w:rFonts w:ascii="Times New Roman" w:hAnsi="Times New Roman" w:cs="Times New Roman"/>
          <w:sz w:val="24"/>
          <w:szCs w:val="24"/>
        </w:rPr>
      </w:pPr>
    </w:p>
    <w:p w14:paraId="0F4378D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21.1.5.3 pedir para ser desclassificado quando encerrada a etapa competitiva; </w:t>
      </w:r>
    </w:p>
    <w:p w14:paraId="2A7FD6D4">
      <w:pPr>
        <w:pStyle w:val="120"/>
        <w:spacing w:before="288" w:beforeLines="120" w:after="288" w:afterLines="120" w:line="288" w:lineRule="auto"/>
        <w:ind w:left="0"/>
        <w:contextualSpacing/>
        <w:rPr>
          <w:rFonts w:ascii="Times New Roman" w:hAnsi="Times New Roman" w:cs="Times New Roman"/>
          <w:sz w:val="24"/>
          <w:szCs w:val="24"/>
        </w:rPr>
      </w:pPr>
    </w:p>
    <w:p w14:paraId="05614D20">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21.1.5.4 deixar de apresentar amostra; ou</w:t>
      </w:r>
    </w:p>
    <w:p w14:paraId="00D86A65">
      <w:pPr>
        <w:pStyle w:val="120"/>
        <w:spacing w:before="288" w:beforeLines="120" w:after="288" w:afterLines="120" w:line="288" w:lineRule="auto"/>
        <w:ind w:left="0"/>
        <w:contextualSpacing/>
        <w:rPr>
          <w:rFonts w:ascii="Times New Roman" w:hAnsi="Times New Roman" w:cs="Times New Roman"/>
          <w:sz w:val="24"/>
          <w:szCs w:val="24"/>
        </w:rPr>
      </w:pPr>
    </w:p>
    <w:p w14:paraId="097646CA">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21.1.5.5 apresentar proposta ou amostra em desacordo com as especificações do instrumento convocatório; </w:t>
      </w:r>
    </w:p>
    <w:p w14:paraId="1986594D">
      <w:pPr>
        <w:spacing w:line="288" w:lineRule="auto"/>
        <w:contextualSpacing/>
        <w:jc w:val="both"/>
        <w:rPr>
          <w:color w:val="000000"/>
          <w:sz w:val="24"/>
          <w:szCs w:val="24"/>
        </w:rPr>
      </w:pPr>
      <w:r>
        <w:rPr>
          <w:color w:val="000000"/>
          <w:sz w:val="24"/>
          <w:szCs w:val="24"/>
        </w:rPr>
        <w:t>21.1.6 não celebrar o contrato ou não entregar a documentação exigida para a contratação, quando convocado dentro do prazo de validade de sua proposta;</w:t>
      </w:r>
    </w:p>
    <w:p w14:paraId="521C9A81">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21.1.6.1 recusar-se, sem justificativa, a assinar o contrato ou a ata de registro de preço, ou a aceitar ou retirar o instrumento equivalente no prazo estabelecido pela Administração;</w:t>
      </w:r>
    </w:p>
    <w:p w14:paraId="2E60198C">
      <w:pPr>
        <w:spacing w:line="288" w:lineRule="auto"/>
        <w:contextualSpacing/>
        <w:jc w:val="both"/>
        <w:rPr>
          <w:color w:val="000000"/>
          <w:sz w:val="24"/>
          <w:szCs w:val="24"/>
        </w:rPr>
      </w:pPr>
      <w:r>
        <w:rPr>
          <w:color w:val="000000"/>
          <w:sz w:val="24"/>
          <w:szCs w:val="24"/>
        </w:rPr>
        <w:t>21.1.7 ensejar o retardamento da execução ou da entrega do objeto da contratação sem motivo justificado;</w:t>
      </w:r>
    </w:p>
    <w:p w14:paraId="37C0E760">
      <w:pPr>
        <w:spacing w:line="288" w:lineRule="auto"/>
        <w:contextualSpacing/>
        <w:jc w:val="both"/>
        <w:rPr>
          <w:color w:val="000000"/>
          <w:sz w:val="24"/>
          <w:szCs w:val="24"/>
        </w:rPr>
      </w:pPr>
    </w:p>
    <w:p w14:paraId="7E792DB4">
      <w:pPr>
        <w:spacing w:line="288" w:lineRule="auto"/>
        <w:contextualSpacing/>
        <w:jc w:val="both"/>
        <w:rPr>
          <w:color w:val="000000"/>
          <w:sz w:val="24"/>
          <w:szCs w:val="24"/>
        </w:rPr>
      </w:pPr>
      <w:r>
        <w:rPr>
          <w:color w:val="000000"/>
          <w:sz w:val="24"/>
          <w:szCs w:val="24"/>
        </w:rPr>
        <w:t>21.1.8 apresentar declaração ou documentação falsa exigida para o certame ou prestar declaração falsa durante o certame ou a execução do contrato;</w:t>
      </w:r>
    </w:p>
    <w:p w14:paraId="09DB5ECF">
      <w:pPr>
        <w:spacing w:line="288" w:lineRule="auto"/>
        <w:contextualSpacing/>
        <w:jc w:val="both"/>
        <w:rPr>
          <w:rFonts w:eastAsia="Arial"/>
          <w:color w:val="000000"/>
          <w:sz w:val="24"/>
          <w:szCs w:val="24"/>
        </w:rPr>
      </w:pPr>
    </w:p>
    <w:p w14:paraId="3FD0EDF6">
      <w:pPr>
        <w:spacing w:line="288" w:lineRule="auto"/>
        <w:contextualSpacing/>
        <w:jc w:val="both"/>
        <w:rPr>
          <w:color w:val="000000"/>
          <w:sz w:val="24"/>
          <w:szCs w:val="24"/>
        </w:rPr>
      </w:pPr>
      <w:r>
        <w:rPr>
          <w:color w:val="000000"/>
          <w:sz w:val="24"/>
          <w:szCs w:val="24"/>
        </w:rPr>
        <w:t>21.1.9 fraudar o certame ou praticar ato fraudulento na execução do contrato;</w:t>
      </w:r>
    </w:p>
    <w:p w14:paraId="4D45CA23">
      <w:pPr>
        <w:spacing w:line="288" w:lineRule="auto"/>
        <w:contextualSpacing/>
        <w:jc w:val="both"/>
        <w:rPr>
          <w:color w:val="000000"/>
          <w:sz w:val="24"/>
          <w:szCs w:val="24"/>
        </w:rPr>
      </w:pPr>
      <w:r>
        <w:rPr>
          <w:color w:val="000000"/>
          <w:sz w:val="24"/>
          <w:szCs w:val="24"/>
        </w:rPr>
        <w:t> </w:t>
      </w:r>
    </w:p>
    <w:p w14:paraId="09687D68">
      <w:pPr>
        <w:spacing w:line="288" w:lineRule="auto"/>
        <w:contextualSpacing/>
        <w:jc w:val="both"/>
        <w:rPr>
          <w:color w:val="000000"/>
          <w:sz w:val="24"/>
          <w:szCs w:val="24"/>
        </w:rPr>
      </w:pPr>
      <w:r>
        <w:rPr>
          <w:color w:val="000000"/>
          <w:sz w:val="24"/>
          <w:szCs w:val="24"/>
        </w:rPr>
        <w:t>21.1.10 comportar-se de modo inidôneo ou cometer fraude de qualquer natureza, em especial quando:</w:t>
      </w:r>
    </w:p>
    <w:p w14:paraId="089FA659">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21.1.10.1 agir em conluio ou em desconformidade com a lei; </w:t>
      </w:r>
    </w:p>
    <w:p w14:paraId="6FBD5435">
      <w:pPr>
        <w:pStyle w:val="120"/>
        <w:spacing w:before="288" w:beforeLines="120" w:after="288" w:afterLines="120" w:line="288" w:lineRule="auto"/>
        <w:ind w:left="0"/>
        <w:contextualSpacing/>
        <w:rPr>
          <w:rFonts w:ascii="Times New Roman" w:hAnsi="Times New Roman" w:cs="Times New Roman"/>
          <w:sz w:val="24"/>
          <w:szCs w:val="24"/>
        </w:rPr>
      </w:pPr>
    </w:p>
    <w:p w14:paraId="4D547814">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21.1.10.2 induzir deliberadamente a erro no julgamento; </w:t>
      </w:r>
    </w:p>
    <w:p w14:paraId="3C8F76CD">
      <w:pPr>
        <w:pStyle w:val="120"/>
        <w:spacing w:before="288" w:beforeLines="120" w:after="288" w:afterLines="120" w:line="288" w:lineRule="auto"/>
        <w:ind w:left="0"/>
        <w:contextualSpacing/>
        <w:rPr>
          <w:rFonts w:ascii="Times New Roman" w:hAnsi="Times New Roman" w:cs="Times New Roman"/>
          <w:sz w:val="24"/>
          <w:szCs w:val="24"/>
        </w:rPr>
      </w:pPr>
    </w:p>
    <w:p w14:paraId="66CD60A6">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21.1.10.3 apresentar amostra falsificada ou deteriorada; </w:t>
      </w:r>
    </w:p>
    <w:p w14:paraId="7001B9C3">
      <w:pPr>
        <w:pStyle w:val="120"/>
        <w:spacing w:before="288" w:beforeLines="120" w:after="288" w:afterLines="120" w:line="288" w:lineRule="auto"/>
        <w:ind w:left="0"/>
        <w:contextualSpacing/>
        <w:rPr>
          <w:rFonts w:ascii="Times New Roman" w:hAnsi="Times New Roman" w:cs="Times New Roman"/>
          <w:sz w:val="24"/>
          <w:szCs w:val="24"/>
        </w:rPr>
      </w:pPr>
    </w:p>
    <w:p w14:paraId="0D40588B">
      <w:pPr>
        <w:pStyle w:val="120"/>
        <w:spacing w:before="288" w:beforeLines="120" w:after="288" w:afterLines="120" w:line="288" w:lineRule="auto"/>
        <w:ind w:left="0"/>
        <w:contextualSpacing/>
        <w:rPr>
          <w:rFonts w:ascii="Times New Roman" w:hAnsi="Times New Roman" w:cs="Times New Roman"/>
          <w:sz w:val="24"/>
          <w:szCs w:val="24"/>
        </w:rPr>
      </w:pPr>
      <w:r>
        <w:rPr>
          <w:rFonts w:ascii="Times New Roman" w:hAnsi="Times New Roman" w:cs="Times New Roman"/>
          <w:sz w:val="24"/>
          <w:szCs w:val="24"/>
        </w:rPr>
        <w:t xml:space="preserve">21.1.10.4 apresentar declaração falsa quanto às condições de participação ou quanto ao enquadramento como ME/EPP; </w:t>
      </w:r>
    </w:p>
    <w:p w14:paraId="789172C8">
      <w:pPr>
        <w:spacing w:line="288" w:lineRule="auto"/>
        <w:contextualSpacing/>
        <w:jc w:val="both"/>
        <w:rPr>
          <w:color w:val="000000"/>
          <w:sz w:val="24"/>
          <w:szCs w:val="24"/>
        </w:rPr>
      </w:pPr>
      <w:r>
        <w:rPr>
          <w:sz w:val="24"/>
          <w:szCs w:val="24"/>
        </w:rPr>
        <w:t>21</w:t>
      </w:r>
      <w:r>
        <w:rPr>
          <w:color w:val="000000"/>
          <w:sz w:val="24"/>
          <w:szCs w:val="24"/>
        </w:rPr>
        <w:t>.1.11 praticar atos ilícitos com vistas a frustrar os objetivos do certame;</w:t>
      </w:r>
    </w:p>
    <w:p w14:paraId="7EED5BE3">
      <w:pPr>
        <w:spacing w:line="288" w:lineRule="auto"/>
        <w:contextualSpacing/>
        <w:jc w:val="both"/>
        <w:rPr>
          <w:color w:val="000000"/>
          <w:sz w:val="24"/>
          <w:szCs w:val="24"/>
        </w:rPr>
      </w:pPr>
    </w:p>
    <w:p w14:paraId="72EB0FC5">
      <w:pPr>
        <w:spacing w:line="288" w:lineRule="auto"/>
        <w:contextualSpacing/>
        <w:jc w:val="both"/>
        <w:rPr>
          <w:rStyle w:val="16"/>
          <w:rFonts w:eastAsiaTheme="minorHAnsi"/>
          <w:color w:val="000000"/>
          <w:sz w:val="24"/>
          <w:szCs w:val="24"/>
        </w:rPr>
      </w:pPr>
      <w:r>
        <w:rPr>
          <w:sz w:val="24"/>
          <w:szCs w:val="24"/>
        </w:rPr>
        <w:t>21</w:t>
      </w:r>
      <w:r>
        <w:rPr>
          <w:color w:val="000000"/>
          <w:sz w:val="24"/>
          <w:szCs w:val="24"/>
        </w:rPr>
        <w:t>.1.12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EC8DF98">
      <w:pPr>
        <w:spacing w:line="288" w:lineRule="auto"/>
        <w:contextualSpacing/>
        <w:jc w:val="both"/>
        <w:rPr>
          <w:sz w:val="24"/>
          <w:szCs w:val="24"/>
        </w:rPr>
      </w:pPr>
    </w:p>
    <w:p w14:paraId="3B369AC4">
      <w:pPr>
        <w:spacing w:line="288" w:lineRule="auto"/>
        <w:contextualSpacing/>
        <w:jc w:val="both"/>
        <w:rPr>
          <w:sz w:val="24"/>
          <w:szCs w:val="24"/>
        </w:rPr>
      </w:pPr>
      <w:r>
        <w:rPr>
          <w:sz w:val="24"/>
          <w:szCs w:val="24"/>
        </w:rPr>
        <w:t xml:space="preserve">21.2 O licitante ou </w:t>
      </w:r>
      <w:r>
        <w:rPr>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38DC3529">
      <w:pPr>
        <w:spacing w:line="288" w:lineRule="auto"/>
        <w:contextualSpacing/>
        <w:jc w:val="both"/>
        <w:rPr>
          <w:sz w:val="24"/>
          <w:szCs w:val="24"/>
        </w:rPr>
      </w:pPr>
    </w:p>
    <w:p w14:paraId="72F02535">
      <w:pPr>
        <w:spacing w:line="288" w:lineRule="auto"/>
        <w:contextualSpacing/>
        <w:jc w:val="both"/>
        <w:rPr>
          <w:sz w:val="24"/>
          <w:szCs w:val="24"/>
        </w:rPr>
      </w:pPr>
      <w:r>
        <w:rPr>
          <w:sz w:val="24"/>
          <w:szCs w:val="24"/>
        </w:rPr>
        <w:t>21.2.1 Advertência, prevista no art. 156, I, § 2º, da Lei nº 14.133/2021, pela infração descrita no item 21.1.1, de menor potencial ofensivo, quando não se justificar a imposição de penalidade mais grave.</w:t>
      </w:r>
    </w:p>
    <w:p w14:paraId="01D04EC1">
      <w:pPr>
        <w:spacing w:line="288" w:lineRule="auto"/>
        <w:contextualSpacing/>
        <w:jc w:val="both"/>
        <w:rPr>
          <w:sz w:val="24"/>
          <w:szCs w:val="24"/>
        </w:rPr>
      </w:pPr>
    </w:p>
    <w:p w14:paraId="2F69F631">
      <w:pPr>
        <w:spacing w:line="288" w:lineRule="auto"/>
        <w:contextualSpacing/>
        <w:jc w:val="both"/>
        <w:rPr>
          <w:sz w:val="24"/>
          <w:szCs w:val="24"/>
        </w:rPr>
      </w:pPr>
      <w:r>
        <w:rPr>
          <w:sz w:val="24"/>
          <w:szCs w:val="24"/>
        </w:rPr>
        <w:t xml:space="preserve">21.2.2 Multa administrativa, prevista no art. 156, II, § 3º, da Lei nº 14.133/2021, pela infração dos subitens 21.1.1 a 21.1.12,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0F167280">
      <w:pPr>
        <w:spacing w:line="288" w:lineRule="auto"/>
        <w:contextualSpacing/>
        <w:jc w:val="both"/>
        <w:rPr>
          <w:sz w:val="24"/>
          <w:szCs w:val="24"/>
        </w:rPr>
      </w:pPr>
      <w:r>
        <w:rPr>
          <w:sz w:val="24"/>
          <w:szCs w:val="24"/>
        </w:rPr>
        <w:t xml:space="preserve">a) multa de 0,5% a 1,5%, nos casos da infração prevista no subitem </w:t>
      </w:r>
      <w:r>
        <w:rPr>
          <w:color w:val="000000"/>
          <w:sz w:val="24"/>
          <w:szCs w:val="24"/>
        </w:rPr>
        <w:t>21</w:t>
      </w:r>
      <w:r>
        <w:rPr>
          <w:sz w:val="24"/>
          <w:szCs w:val="24"/>
        </w:rPr>
        <w:t xml:space="preserve">.1.1, incidente sobre o valor anual do Contrato; </w:t>
      </w:r>
    </w:p>
    <w:p w14:paraId="6B33418F">
      <w:pPr>
        <w:spacing w:line="288" w:lineRule="auto"/>
        <w:contextualSpacing/>
        <w:jc w:val="both"/>
        <w:rPr>
          <w:sz w:val="24"/>
          <w:szCs w:val="24"/>
        </w:rPr>
      </w:pPr>
      <w:r>
        <w:rPr>
          <w:sz w:val="24"/>
          <w:szCs w:val="24"/>
        </w:rPr>
        <w:t>b) multa de 0,5% a 15%, nos casos das infrações previstas nos subitens 21.1.2 a 21.1.7, incidente sobre o valor anual do Contrato;</w:t>
      </w:r>
    </w:p>
    <w:p w14:paraId="2866F978">
      <w:pPr>
        <w:spacing w:line="288" w:lineRule="auto"/>
        <w:contextualSpacing/>
        <w:jc w:val="both"/>
        <w:rPr>
          <w:sz w:val="24"/>
          <w:szCs w:val="24"/>
        </w:rPr>
      </w:pPr>
      <w:r>
        <w:rPr>
          <w:sz w:val="24"/>
          <w:szCs w:val="24"/>
        </w:rPr>
        <w:t>c) multa de 5% a 30%, nos casos das infrações previstas nos subitens 21.1.8 a 21.1.12, incidente sobre o valor anual do Contrato;</w:t>
      </w:r>
    </w:p>
    <w:p w14:paraId="117D4770">
      <w:pPr>
        <w:pStyle w:val="24"/>
        <w:spacing w:before="225" w:line="288" w:lineRule="auto"/>
        <w:contextualSpacing/>
        <w:jc w:val="both"/>
        <w:rPr>
          <w:color w:val="000000"/>
        </w:rPr>
      </w:pPr>
      <w:r>
        <w:t>21.2.2.1 Na hipótese de a infração ser cometida antes da celebração do Contrato, a base de cálculo da multa do item 20.2.2 será o valor anual estimado da contratação.</w:t>
      </w:r>
    </w:p>
    <w:p w14:paraId="0E2A5B2C">
      <w:pPr>
        <w:spacing w:line="288" w:lineRule="auto"/>
        <w:contextualSpacing/>
        <w:jc w:val="both"/>
        <w:rPr>
          <w:sz w:val="24"/>
          <w:szCs w:val="24"/>
        </w:rPr>
      </w:pPr>
      <w:r>
        <w:rPr>
          <w:sz w:val="24"/>
          <w:szCs w:val="24"/>
        </w:rPr>
        <w:t>21.2.2.2 Em caso de reincidência, o valor total das multas administrativas aplicadas não poderá exceder o limite de 30% (trinta por cento) sobre o valor total do Contrato.</w:t>
      </w:r>
    </w:p>
    <w:p w14:paraId="09F86567">
      <w:pPr>
        <w:spacing w:line="288" w:lineRule="auto"/>
        <w:contextualSpacing/>
        <w:jc w:val="both"/>
        <w:rPr>
          <w:sz w:val="24"/>
          <w:szCs w:val="24"/>
        </w:rPr>
      </w:pPr>
    </w:p>
    <w:p w14:paraId="1956DFA9">
      <w:pPr>
        <w:spacing w:line="288" w:lineRule="auto"/>
        <w:contextualSpacing/>
        <w:jc w:val="both"/>
        <w:rPr>
          <w:sz w:val="24"/>
          <w:szCs w:val="24"/>
        </w:rPr>
      </w:pPr>
      <w:r>
        <w:rPr>
          <w:sz w:val="24"/>
          <w:szCs w:val="24"/>
        </w:rPr>
        <w:t xml:space="preserve">21.2.2.3 Se a multa aplicada e as indenizações cabíveis forem superiores ao valor de pagamento eventualmente devido pela Administração ao </w:t>
      </w:r>
      <w:r>
        <w:rPr>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21.13.</w:t>
      </w:r>
    </w:p>
    <w:p w14:paraId="34CF158F">
      <w:pPr>
        <w:spacing w:line="288" w:lineRule="auto"/>
        <w:contextualSpacing/>
        <w:jc w:val="both"/>
        <w:rPr>
          <w:sz w:val="24"/>
          <w:szCs w:val="24"/>
        </w:rPr>
      </w:pPr>
    </w:p>
    <w:p w14:paraId="077AED83">
      <w:pPr>
        <w:spacing w:line="288" w:lineRule="auto"/>
        <w:contextualSpacing/>
        <w:jc w:val="both"/>
        <w:rPr>
          <w:sz w:val="24"/>
          <w:szCs w:val="24"/>
        </w:rPr>
      </w:pPr>
      <w:r>
        <w:rPr>
          <w:sz w:val="24"/>
          <w:szCs w:val="24"/>
        </w:rPr>
        <w:t>21.2.2.4 A penalidade de multa pode ser aplicada cumulativamente com as demais sanções, na forma do art. 156, § 7º, da Lei nº 14.133/2021.</w:t>
      </w:r>
    </w:p>
    <w:p w14:paraId="11F676E9">
      <w:pPr>
        <w:spacing w:line="288" w:lineRule="auto"/>
        <w:contextualSpacing/>
        <w:jc w:val="both"/>
        <w:rPr>
          <w:sz w:val="24"/>
          <w:szCs w:val="24"/>
        </w:rPr>
      </w:pPr>
    </w:p>
    <w:p w14:paraId="373C8497">
      <w:pPr>
        <w:spacing w:line="288" w:lineRule="auto"/>
        <w:contextualSpacing/>
        <w:jc w:val="both"/>
        <w:rPr>
          <w:color w:val="000000"/>
          <w:sz w:val="24"/>
          <w:szCs w:val="24"/>
        </w:rPr>
      </w:pPr>
      <w:r>
        <w:rPr>
          <w:sz w:val="24"/>
          <w:szCs w:val="24"/>
        </w:rPr>
        <w:t>21</w:t>
      </w:r>
      <w:r>
        <w:rPr>
          <w:color w:val="000000"/>
          <w:sz w:val="24"/>
          <w:szCs w:val="24"/>
        </w:rPr>
        <w:t xml:space="preserve">.2.3 Impedimento de licitar e contratar, prevista no </w:t>
      </w:r>
      <w:r>
        <w:rPr>
          <w:sz w:val="24"/>
          <w:szCs w:val="24"/>
        </w:rPr>
        <w:t xml:space="preserve">art. 156, III, § 4º, da Lei nº 14.133/2021, </w:t>
      </w:r>
      <w:r>
        <w:rPr>
          <w:color w:val="000000"/>
          <w:sz w:val="24"/>
          <w:szCs w:val="24"/>
        </w:rPr>
        <w:t xml:space="preserve">nos casos relacionados nos subitens </w:t>
      </w:r>
      <w:r>
        <w:rPr>
          <w:sz w:val="24"/>
          <w:szCs w:val="24"/>
        </w:rPr>
        <w:t>21</w:t>
      </w:r>
      <w:r>
        <w:rPr>
          <w:color w:val="000000"/>
          <w:sz w:val="24"/>
          <w:szCs w:val="24"/>
        </w:rPr>
        <w:t>.1.2 a 21.1.7, quando não se justificar a imposição de penalidade mais grave, e impedirá o responsável de licitar ou contratar no âmbito da Administração Pública direta e indireta do Estado, pelo prazo máximo de 3 (três) anos;</w:t>
      </w:r>
    </w:p>
    <w:p w14:paraId="27B75452">
      <w:pPr>
        <w:spacing w:line="288" w:lineRule="auto"/>
        <w:contextualSpacing/>
        <w:jc w:val="both"/>
        <w:rPr>
          <w:rFonts w:eastAsia="Arial"/>
          <w:color w:val="000000"/>
          <w:sz w:val="24"/>
          <w:szCs w:val="24"/>
        </w:rPr>
      </w:pPr>
    </w:p>
    <w:p w14:paraId="3F2AA1DC">
      <w:pPr>
        <w:spacing w:line="288" w:lineRule="auto"/>
        <w:contextualSpacing/>
        <w:jc w:val="both"/>
        <w:rPr>
          <w:sz w:val="24"/>
          <w:szCs w:val="24"/>
        </w:rPr>
      </w:pPr>
      <w:r>
        <w:rPr>
          <w:sz w:val="24"/>
          <w:szCs w:val="24"/>
        </w:rPr>
        <w:t>21</w:t>
      </w:r>
      <w:r>
        <w:rPr>
          <w:color w:val="000000"/>
          <w:sz w:val="24"/>
          <w:szCs w:val="24"/>
        </w:rPr>
        <w:t>.2.4 Declaração de inidoneidade para licitar ou contratar, prevista no a</w:t>
      </w:r>
      <w:r>
        <w:rPr>
          <w:rStyle w:val="118"/>
          <w:rFonts w:ascii="Times New Roman" w:hAnsi="Times New Roman" w:eastAsia="Calibri" w:cs="Times New Roman"/>
        </w:rPr>
        <w:t xml:space="preserve">rt. 156, IV, § 5º, da Lei nº 14.133/2021, </w:t>
      </w:r>
      <w:r>
        <w:rPr>
          <w:color w:val="000000"/>
          <w:sz w:val="24"/>
          <w:szCs w:val="24"/>
        </w:rPr>
        <w:t>nos casos relacionados nos subitens 21.1.8 a 21.1.12,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6190471E">
      <w:pPr>
        <w:spacing w:line="288" w:lineRule="auto"/>
        <w:contextualSpacing/>
        <w:jc w:val="both"/>
        <w:rPr>
          <w:sz w:val="24"/>
          <w:szCs w:val="24"/>
        </w:rPr>
      </w:pPr>
    </w:p>
    <w:p w14:paraId="77052DB3">
      <w:pPr>
        <w:spacing w:line="288" w:lineRule="auto"/>
        <w:contextualSpacing/>
        <w:jc w:val="both"/>
        <w:rPr>
          <w:sz w:val="24"/>
          <w:szCs w:val="24"/>
        </w:rPr>
      </w:pPr>
      <w:r>
        <w:rPr>
          <w:sz w:val="24"/>
          <w:szCs w:val="24"/>
        </w:rPr>
        <w:t>21.3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1CB72A22">
      <w:pPr>
        <w:spacing w:line="288" w:lineRule="auto"/>
        <w:contextualSpacing/>
        <w:jc w:val="both"/>
        <w:rPr>
          <w:sz w:val="24"/>
          <w:szCs w:val="24"/>
        </w:rPr>
      </w:pPr>
    </w:p>
    <w:p w14:paraId="39D828CD">
      <w:pPr>
        <w:spacing w:line="288" w:lineRule="auto"/>
        <w:contextualSpacing/>
        <w:jc w:val="both"/>
        <w:rPr>
          <w:sz w:val="24"/>
          <w:szCs w:val="24"/>
        </w:rPr>
      </w:pPr>
      <w:r>
        <w:rPr>
          <w:sz w:val="24"/>
          <w:szCs w:val="24"/>
        </w:rPr>
        <w:t>21.3.1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34A22122">
      <w:pPr>
        <w:spacing w:line="288" w:lineRule="auto"/>
        <w:contextualSpacing/>
        <w:jc w:val="both"/>
        <w:rPr>
          <w:sz w:val="24"/>
          <w:szCs w:val="24"/>
        </w:rPr>
      </w:pPr>
    </w:p>
    <w:p w14:paraId="4ADDD4F7">
      <w:pPr>
        <w:spacing w:line="288" w:lineRule="auto"/>
        <w:contextualSpacing/>
        <w:jc w:val="both"/>
        <w:rPr>
          <w:sz w:val="24"/>
          <w:szCs w:val="24"/>
        </w:rPr>
      </w:pPr>
      <w:r>
        <w:rPr>
          <w:sz w:val="24"/>
          <w:szCs w:val="24"/>
        </w:rPr>
        <w:t>21.3.2 O atraso superior a 25 (vinte e cinco) dias no cumprimento da obrigação prevista no item 20.3.1 autoriza a Administração a promover a rescisão contratual por descumprimento ou cumprimento irregular de suas cláusulas.</w:t>
      </w:r>
    </w:p>
    <w:p w14:paraId="3B3FE9BD">
      <w:pPr>
        <w:spacing w:line="288" w:lineRule="auto"/>
        <w:contextualSpacing/>
        <w:jc w:val="both"/>
        <w:rPr>
          <w:sz w:val="24"/>
          <w:szCs w:val="24"/>
        </w:rPr>
      </w:pPr>
    </w:p>
    <w:p w14:paraId="1DF6C19E">
      <w:pPr>
        <w:spacing w:line="288" w:lineRule="auto"/>
        <w:contextualSpacing/>
        <w:jc w:val="both"/>
        <w:rPr>
          <w:sz w:val="24"/>
          <w:szCs w:val="24"/>
        </w:rPr>
      </w:pPr>
      <w:r>
        <w:rPr>
          <w:sz w:val="24"/>
          <w:szCs w:val="24"/>
        </w:rPr>
        <w:t>21.3.3 A aplicação de multa de mora não impedirá que a Administração a converta em compensatória e promova a extinção unilateral do Contrato com a aplicação cumulada de outras sanções previstas no Contrato.</w:t>
      </w:r>
    </w:p>
    <w:p w14:paraId="1E6E8897">
      <w:pPr>
        <w:spacing w:line="288" w:lineRule="auto"/>
        <w:contextualSpacing/>
        <w:jc w:val="both"/>
        <w:rPr>
          <w:sz w:val="24"/>
          <w:szCs w:val="24"/>
        </w:rPr>
      </w:pPr>
    </w:p>
    <w:p w14:paraId="117AD98E">
      <w:pPr>
        <w:spacing w:line="288" w:lineRule="auto"/>
        <w:contextualSpacing/>
        <w:jc w:val="both"/>
        <w:rPr>
          <w:sz w:val="24"/>
          <w:szCs w:val="24"/>
        </w:rPr>
      </w:pPr>
      <w:r>
        <w:rPr>
          <w:sz w:val="24"/>
          <w:szCs w:val="24"/>
        </w:rPr>
        <w:t>21.4 No caso de inexecução total ou parcial do objeto, que acarrete a rescisão do Contrato, será automaticamente devida multa compensatória no valor de 5(cinco)</w:t>
      </w:r>
      <w:r>
        <w:rPr>
          <w:color w:val="FF0000"/>
          <w:sz w:val="24"/>
          <w:szCs w:val="24"/>
        </w:rPr>
        <w:t xml:space="preserve"> </w:t>
      </w:r>
      <w:r>
        <w:rPr>
          <w:sz w:val="24"/>
          <w:szCs w:val="24"/>
        </w:rPr>
        <w:t>% do valor do Contrato.</w:t>
      </w:r>
    </w:p>
    <w:p w14:paraId="30F8E81D">
      <w:pPr>
        <w:spacing w:line="288" w:lineRule="auto"/>
        <w:contextualSpacing/>
        <w:jc w:val="both"/>
        <w:rPr>
          <w:b/>
          <w:bCs/>
          <w:color w:val="FF0000"/>
          <w:sz w:val="24"/>
          <w:szCs w:val="24"/>
        </w:rPr>
      </w:pPr>
    </w:p>
    <w:p w14:paraId="57ED7DF8">
      <w:pPr>
        <w:spacing w:line="288" w:lineRule="auto"/>
        <w:contextualSpacing/>
        <w:jc w:val="both"/>
        <w:rPr>
          <w:sz w:val="24"/>
          <w:szCs w:val="24"/>
        </w:rPr>
      </w:pPr>
      <w:r>
        <w:rPr>
          <w:sz w:val="24"/>
          <w:szCs w:val="24"/>
        </w:rPr>
        <w:t>21.4.1 A multa compensatória, isoladamente aplicada ou quando somada ao valor da multa moratória convertida, não poderá exceder o limite previsto no art. 412 do Código Civil, ou seja, o valor da obrigação principal.</w:t>
      </w:r>
    </w:p>
    <w:p w14:paraId="4D068057">
      <w:pPr>
        <w:spacing w:line="288" w:lineRule="auto"/>
        <w:contextualSpacing/>
        <w:jc w:val="both"/>
        <w:rPr>
          <w:sz w:val="24"/>
          <w:szCs w:val="24"/>
        </w:rPr>
      </w:pPr>
    </w:p>
    <w:p w14:paraId="0D765D01">
      <w:pPr>
        <w:spacing w:line="288" w:lineRule="auto"/>
        <w:contextualSpacing/>
        <w:jc w:val="both"/>
        <w:rPr>
          <w:sz w:val="24"/>
          <w:szCs w:val="24"/>
        </w:rPr>
      </w:pPr>
      <w:r>
        <w:rPr>
          <w:sz w:val="24"/>
          <w:szCs w:val="24"/>
        </w:rPr>
        <w:t xml:space="preserve">21.5 Na aplicação das sanções serão considerados os seguintes requisitos, previstos no art. </w:t>
      </w:r>
      <w:r>
        <w:rPr>
          <w:rStyle w:val="118"/>
          <w:rFonts w:ascii="Times New Roman" w:hAnsi="Times New Roman" w:eastAsia="Calibri" w:cs="Times New Roman"/>
        </w:rPr>
        <w:t>156, § 1º, incisos I a V, da Lei nº 14.133/2021</w:t>
      </w:r>
      <w:r>
        <w:rPr>
          <w:sz w:val="24"/>
          <w:szCs w:val="24"/>
        </w:rPr>
        <w:t>:</w:t>
      </w:r>
    </w:p>
    <w:p w14:paraId="10DAA936">
      <w:pPr>
        <w:spacing w:line="288" w:lineRule="auto"/>
        <w:contextualSpacing/>
        <w:jc w:val="both"/>
        <w:rPr>
          <w:sz w:val="24"/>
          <w:szCs w:val="24"/>
        </w:rPr>
      </w:pPr>
      <w:r>
        <w:rPr>
          <w:sz w:val="24"/>
          <w:szCs w:val="24"/>
        </w:rPr>
        <w:t>21.5.1 a natureza e a gravidade da infração cometida;</w:t>
      </w:r>
    </w:p>
    <w:p w14:paraId="2F9A38C9">
      <w:pPr>
        <w:spacing w:line="288" w:lineRule="auto"/>
        <w:contextualSpacing/>
        <w:jc w:val="both"/>
        <w:rPr>
          <w:sz w:val="24"/>
          <w:szCs w:val="24"/>
        </w:rPr>
      </w:pPr>
      <w:r>
        <w:rPr>
          <w:sz w:val="24"/>
          <w:szCs w:val="24"/>
        </w:rPr>
        <w:t>21.5.2 as peculiaridades do caso concreto;</w:t>
      </w:r>
    </w:p>
    <w:p w14:paraId="4A814B63">
      <w:pPr>
        <w:spacing w:line="288" w:lineRule="auto"/>
        <w:contextualSpacing/>
        <w:jc w:val="both"/>
        <w:rPr>
          <w:sz w:val="24"/>
          <w:szCs w:val="24"/>
        </w:rPr>
      </w:pPr>
      <w:r>
        <w:rPr>
          <w:sz w:val="24"/>
          <w:szCs w:val="24"/>
        </w:rPr>
        <w:t>21.5.3 as circunstâncias agravantes ou atenuantes;</w:t>
      </w:r>
    </w:p>
    <w:p w14:paraId="5D360308">
      <w:pPr>
        <w:spacing w:line="288" w:lineRule="auto"/>
        <w:contextualSpacing/>
        <w:jc w:val="both"/>
        <w:rPr>
          <w:sz w:val="24"/>
          <w:szCs w:val="24"/>
        </w:rPr>
      </w:pPr>
      <w:r>
        <w:rPr>
          <w:sz w:val="24"/>
          <w:szCs w:val="24"/>
        </w:rPr>
        <w:t>21.5.4 os danos que dela provierem para a Administração Pública;</w:t>
      </w:r>
    </w:p>
    <w:p w14:paraId="7C1F4396">
      <w:pPr>
        <w:spacing w:line="288" w:lineRule="auto"/>
        <w:contextualSpacing/>
        <w:jc w:val="both"/>
        <w:rPr>
          <w:sz w:val="24"/>
          <w:szCs w:val="24"/>
        </w:rPr>
      </w:pPr>
      <w:r>
        <w:rPr>
          <w:sz w:val="24"/>
          <w:szCs w:val="24"/>
        </w:rPr>
        <w:t>21.5.5 a implantação ou o aperfeiçoamento de programa de integridade, conforme normas e orientações dos órgãos de controle.</w:t>
      </w:r>
    </w:p>
    <w:p w14:paraId="5670D118">
      <w:pPr>
        <w:spacing w:line="288" w:lineRule="auto"/>
        <w:contextualSpacing/>
        <w:jc w:val="both"/>
        <w:rPr>
          <w:sz w:val="24"/>
          <w:szCs w:val="24"/>
        </w:rPr>
      </w:pPr>
    </w:p>
    <w:p w14:paraId="41126C72">
      <w:pPr>
        <w:spacing w:line="288" w:lineRule="auto"/>
        <w:contextualSpacing/>
        <w:jc w:val="both"/>
        <w:rPr>
          <w:sz w:val="24"/>
          <w:szCs w:val="24"/>
        </w:rPr>
      </w:pPr>
      <w:r>
        <w:rPr>
          <w:sz w:val="24"/>
          <w:szCs w:val="24"/>
        </w:rPr>
        <w:t xml:space="preserve">21.6 A imposição das penalidades é de competência exclusiva do órgão ou entidade contratante, sendo competentes para sua aplicação: </w:t>
      </w:r>
    </w:p>
    <w:p w14:paraId="7AD72C60">
      <w:pPr>
        <w:spacing w:line="288" w:lineRule="auto"/>
        <w:contextualSpacing/>
        <w:jc w:val="both"/>
        <w:rPr>
          <w:sz w:val="24"/>
          <w:szCs w:val="24"/>
        </w:rPr>
      </w:pPr>
      <w:r>
        <w:rPr>
          <w:sz w:val="24"/>
          <w:szCs w:val="24"/>
        </w:rPr>
        <w:t>a) as sanções previstas nos itens 21.2.1, 21.2.2 e 21.2.3 serão impostas pelo Ordenador de Despesa;</w:t>
      </w:r>
    </w:p>
    <w:p w14:paraId="2BCE4C59">
      <w:pPr>
        <w:spacing w:line="288" w:lineRule="auto"/>
        <w:contextualSpacing/>
        <w:jc w:val="both"/>
        <w:rPr>
          <w:sz w:val="24"/>
          <w:szCs w:val="24"/>
        </w:rPr>
      </w:pPr>
      <w:r>
        <w:rPr>
          <w:sz w:val="24"/>
          <w:szCs w:val="24"/>
        </w:rPr>
        <w:t xml:space="preserve">b) a aplicação da sanção prevista no item 21.2.4, na forma do art. </w:t>
      </w:r>
      <w:r>
        <w:rPr>
          <w:rStyle w:val="118"/>
          <w:rFonts w:ascii="Times New Roman" w:hAnsi="Times New Roman" w:eastAsia="Calibri" w:cs="Times New Roman"/>
        </w:rPr>
        <w:t>156, § 6º, I, da Lei nº 14.133/2021,</w:t>
      </w:r>
      <w:r>
        <w:rPr>
          <w:sz w:val="24"/>
          <w:szCs w:val="24"/>
        </w:rPr>
        <w:t xml:space="preserve"> é de competência exclusiva:</w:t>
      </w:r>
    </w:p>
    <w:p w14:paraId="2453B459">
      <w:pPr>
        <w:spacing w:line="288" w:lineRule="auto"/>
        <w:contextualSpacing/>
        <w:jc w:val="both"/>
        <w:rPr>
          <w:sz w:val="24"/>
          <w:szCs w:val="24"/>
        </w:rPr>
      </w:pPr>
      <w:r>
        <w:rPr>
          <w:sz w:val="24"/>
          <w:szCs w:val="24"/>
        </w:rPr>
        <w:t>b.1) em se tratando de contratação realizada pela Administração Pública direta, do Secretário de Município; ou</w:t>
      </w:r>
    </w:p>
    <w:p w14:paraId="3A3A6EC8">
      <w:pPr>
        <w:spacing w:line="288" w:lineRule="auto"/>
        <w:contextualSpacing/>
        <w:jc w:val="both"/>
        <w:rPr>
          <w:sz w:val="24"/>
          <w:szCs w:val="24"/>
        </w:rPr>
      </w:pPr>
      <w:r>
        <w:rPr>
          <w:sz w:val="24"/>
          <w:szCs w:val="24"/>
        </w:rPr>
        <w:t>b.2) em se tratando de contratação realizada pela Administração Pública Indireta (fundação e autarquia), da autoridade máxima da entidade.</w:t>
      </w:r>
    </w:p>
    <w:p w14:paraId="6EB8CE30">
      <w:pPr>
        <w:spacing w:line="288" w:lineRule="auto"/>
        <w:contextualSpacing/>
        <w:jc w:val="both"/>
        <w:rPr>
          <w:sz w:val="24"/>
          <w:szCs w:val="24"/>
        </w:rPr>
      </w:pPr>
    </w:p>
    <w:p w14:paraId="42CAF7FB">
      <w:pPr>
        <w:spacing w:line="288" w:lineRule="auto"/>
        <w:contextualSpacing/>
        <w:jc w:val="both"/>
        <w:rPr>
          <w:sz w:val="24"/>
          <w:szCs w:val="24"/>
        </w:rPr>
      </w:pPr>
      <w:r>
        <w:rPr>
          <w:sz w:val="24"/>
          <w:szCs w:val="24"/>
        </w:rPr>
        <w:t>21.7 A aplicação de quaisquer das penalidades administrativas realizar-se-á em processo administrativo que assegurará o contraditório e a ampla defesa ao licitante ou contratado, devendo ser observado o procedimento previsto na Lei nº 14.133/2021.</w:t>
      </w:r>
    </w:p>
    <w:p w14:paraId="7F982B6D">
      <w:pPr>
        <w:spacing w:line="288" w:lineRule="auto"/>
        <w:contextualSpacing/>
        <w:jc w:val="both"/>
        <w:rPr>
          <w:sz w:val="24"/>
          <w:szCs w:val="24"/>
        </w:rPr>
      </w:pPr>
    </w:p>
    <w:p w14:paraId="0BC6ED3C">
      <w:pPr>
        <w:spacing w:line="288" w:lineRule="auto"/>
        <w:contextualSpacing/>
        <w:jc w:val="both"/>
        <w:rPr>
          <w:sz w:val="24"/>
          <w:szCs w:val="24"/>
        </w:rPr>
      </w:pPr>
      <w:r>
        <w:rPr>
          <w:sz w:val="24"/>
          <w:szCs w:val="24"/>
        </w:rPr>
        <w:t>21.7.1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6987DB5B">
      <w:pPr>
        <w:spacing w:line="288" w:lineRule="auto"/>
        <w:contextualSpacing/>
        <w:jc w:val="both"/>
        <w:rPr>
          <w:sz w:val="24"/>
          <w:szCs w:val="24"/>
        </w:rPr>
      </w:pPr>
    </w:p>
    <w:p w14:paraId="1BF7139E">
      <w:pPr>
        <w:spacing w:line="288" w:lineRule="auto"/>
        <w:contextualSpacing/>
        <w:jc w:val="both"/>
        <w:rPr>
          <w:sz w:val="24"/>
          <w:szCs w:val="24"/>
        </w:rPr>
      </w:pPr>
      <w:r>
        <w:rPr>
          <w:sz w:val="24"/>
          <w:szCs w:val="24"/>
        </w:rPr>
        <w:t>21.7.2 A defesa prévia do licitante ou contratado será exercida no prazo de:</w:t>
      </w:r>
    </w:p>
    <w:p w14:paraId="70B85AE7">
      <w:pPr>
        <w:spacing w:line="288" w:lineRule="auto"/>
        <w:contextualSpacing/>
        <w:jc w:val="both"/>
        <w:rPr>
          <w:sz w:val="24"/>
          <w:szCs w:val="24"/>
        </w:rPr>
      </w:pPr>
      <w:r>
        <w:rPr>
          <w:sz w:val="24"/>
          <w:szCs w:val="24"/>
        </w:rPr>
        <w:t>a) 15 (quinze) dias úteis, no caso da aplicação das sanções previstas nos itens 21.2.1 e 21.2.2, contado da data da intimação;</w:t>
      </w:r>
    </w:p>
    <w:p w14:paraId="6B844D32">
      <w:pPr>
        <w:spacing w:line="288" w:lineRule="auto"/>
        <w:contextualSpacing/>
        <w:jc w:val="both"/>
        <w:rPr>
          <w:color w:val="000000"/>
          <w:sz w:val="24"/>
          <w:szCs w:val="24"/>
        </w:rPr>
      </w:pPr>
      <w:r>
        <w:rPr>
          <w:sz w:val="24"/>
          <w:szCs w:val="24"/>
        </w:rPr>
        <w:t xml:space="preserve">b) 15 (quinze) dias úteis, no caso de aplicação das sanções previstas nos itens 21.2.3 e 21.2.4, </w:t>
      </w:r>
      <w:r>
        <w:rPr>
          <w:color w:val="000000"/>
          <w:sz w:val="24"/>
          <w:szCs w:val="24"/>
        </w:rPr>
        <w:t>contado da data da intimação, observado o procedimento estabelecido no art. 158 da Lei nº 14.133/2021.</w:t>
      </w:r>
    </w:p>
    <w:p w14:paraId="4D926BFA">
      <w:pPr>
        <w:pStyle w:val="24"/>
        <w:spacing w:line="288" w:lineRule="auto"/>
        <w:contextualSpacing/>
        <w:jc w:val="both"/>
      </w:pPr>
      <w:r>
        <w:t>21.7.3 Será emitida decisão conclusiva sobre a aplicação ou não da sanção, pela autoridade competente, devendo ser apresentada a devida motivação, com a demonstração dos fatos e dos respectivos fundamentos jurídicos.</w:t>
      </w:r>
    </w:p>
    <w:p w14:paraId="0545368F">
      <w:pPr>
        <w:spacing w:line="288" w:lineRule="auto"/>
        <w:contextualSpacing/>
        <w:jc w:val="both"/>
        <w:rPr>
          <w:sz w:val="24"/>
          <w:szCs w:val="24"/>
        </w:rPr>
      </w:pPr>
      <w:r>
        <w:rPr>
          <w:sz w:val="24"/>
          <w:szCs w:val="24"/>
        </w:rPr>
        <w:t>21.8 A aplicação das sanções previstas no Edital e no Contrato não exclui, em hipótese alguma:</w:t>
      </w:r>
    </w:p>
    <w:p w14:paraId="4B4AAC2B">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0ABBCB8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617B048E">
      <w:pPr>
        <w:spacing w:line="288" w:lineRule="auto"/>
        <w:contextualSpacing/>
        <w:jc w:val="both"/>
        <w:rPr>
          <w:rFonts w:eastAsia="Arial"/>
          <w:color w:val="000000"/>
          <w:sz w:val="24"/>
          <w:szCs w:val="24"/>
        </w:rPr>
      </w:pPr>
    </w:p>
    <w:p w14:paraId="476A9C9E">
      <w:pPr>
        <w:spacing w:line="288" w:lineRule="auto"/>
        <w:contextualSpacing/>
        <w:jc w:val="both"/>
        <w:rPr>
          <w:rFonts w:eastAsia="Arial"/>
          <w:color w:val="000000"/>
          <w:sz w:val="24"/>
          <w:szCs w:val="24"/>
        </w:rPr>
      </w:pPr>
      <w:r>
        <w:rPr>
          <w:rFonts w:eastAsia="Arial"/>
          <w:color w:val="000000"/>
          <w:sz w:val="24"/>
          <w:szCs w:val="24"/>
        </w:rPr>
        <w:t xml:space="preserve">21.8.1 Aplica-se o disposto na alínea a do item </w:t>
      </w:r>
      <w:r>
        <w:rPr>
          <w:sz w:val="24"/>
          <w:szCs w:val="24"/>
        </w:rPr>
        <w:t>20</w:t>
      </w:r>
      <w:r>
        <w:rPr>
          <w:rFonts w:eastAsia="Arial"/>
          <w:color w:val="000000"/>
          <w:sz w:val="24"/>
          <w:szCs w:val="24"/>
        </w:rPr>
        <w:t xml:space="preserve">.8 à multa compensatória, nos termos do parágrafo único do art. 416 do Código Civil. </w:t>
      </w:r>
    </w:p>
    <w:p w14:paraId="60073BDA">
      <w:pPr>
        <w:spacing w:line="288" w:lineRule="auto"/>
        <w:contextualSpacing/>
        <w:jc w:val="both"/>
        <w:rPr>
          <w:rFonts w:eastAsia="Arial"/>
          <w:color w:val="000000"/>
          <w:sz w:val="24"/>
          <w:szCs w:val="24"/>
        </w:rPr>
      </w:pPr>
    </w:p>
    <w:p w14:paraId="10900DF6">
      <w:pPr>
        <w:spacing w:line="288" w:lineRule="auto"/>
        <w:contextualSpacing/>
        <w:jc w:val="both"/>
        <w:rPr>
          <w:rFonts w:eastAsia="Arial"/>
          <w:color w:val="000000"/>
          <w:sz w:val="24"/>
          <w:szCs w:val="24"/>
        </w:rPr>
      </w:pPr>
      <w:r>
        <w:rPr>
          <w:sz w:val="24"/>
          <w:szCs w:val="24"/>
        </w:rPr>
        <w:t>21</w:t>
      </w:r>
      <w:r>
        <w:rPr>
          <w:rFonts w:eastAsia="Arial"/>
          <w:color w:val="000000"/>
          <w:sz w:val="24"/>
          <w:szCs w:val="24"/>
        </w:rPr>
        <w:t>.9 As sanções de impedimento de licitar e contratar e de declaração de inidoneidade para licitar ou contratar são passíveis de reabilitação, observados os requisitos estabelecidos no art. 163 da Lei nº 14.133/2021.</w:t>
      </w:r>
    </w:p>
    <w:p w14:paraId="01746233">
      <w:pPr>
        <w:spacing w:line="288" w:lineRule="auto"/>
        <w:contextualSpacing/>
        <w:jc w:val="both"/>
        <w:rPr>
          <w:rFonts w:eastAsia="Arial"/>
          <w:color w:val="000000"/>
          <w:sz w:val="24"/>
          <w:szCs w:val="24"/>
        </w:rPr>
      </w:pPr>
    </w:p>
    <w:p w14:paraId="68E7EB1C">
      <w:pPr>
        <w:spacing w:line="288" w:lineRule="auto"/>
        <w:contextualSpacing/>
        <w:jc w:val="both"/>
        <w:rPr>
          <w:sz w:val="24"/>
          <w:szCs w:val="24"/>
        </w:rPr>
      </w:pPr>
      <w:r>
        <w:rPr>
          <w:sz w:val="24"/>
          <w:szCs w:val="24"/>
        </w:rPr>
        <w:t xml:space="preserve">21.10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4336DF0">
      <w:pPr>
        <w:spacing w:line="288" w:lineRule="auto"/>
        <w:contextualSpacing/>
        <w:jc w:val="both"/>
        <w:rPr>
          <w:sz w:val="24"/>
          <w:szCs w:val="24"/>
        </w:rPr>
      </w:pPr>
    </w:p>
    <w:p w14:paraId="640D4A2E">
      <w:pPr>
        <w:spacing w:line="288" w:lineRule="auto"/>
        <w:contextualSpacing/>
        <w:jc w:val="both"/>
        <w:rPr>
          <w:sz w:val="24"/>
          <w:szCs w:val="24"/>
        </w:rPr>
      </w:pPr>
      <w:r>
        <w:rPr>
          <w:sz w:val="24"/>
          <w:szCs w:val="24"/>
        </w:rPr>
        <w:t>21.10.1 A apuração e o julgamento das demais infrações administrativas não consideradas como ato lesivo à Administração Pública nacional, nos termos da Lei nº 12.846/2013, seguirão seu rito normal na unidade administrativa.</w:t>
      </w:r>
    </w:p>
    <w:p w14:paraId="6CE3B72D">
      <w:pPr>
        <w:spacing w:line="288" w:lineRule="auto"/>
        <w:contextualSpacing/>
        <w:jc w:val="both"/>
        <w:rPr>
          <w:sz w:val="24"/>
          <w:szCs w:val="24"/>
        </w:rPr>
      </w:pPr>
    </w:p>
    <w:p w14:paraId="76F72BD6">
      <w:pPr>
        <w:spacing w:line="288" w:lineRule="auto"/>
        <w:contextualSpacing/>
        <w:jc w:val="both"/>
        <w:rPr>
          <w:sz w:val="24"/>
          <w:szCs w:val="24"/>
        </w:rPr>
      </w:pPr>
      <w:r>
        <w:rPr>
          <w:sz w:val="24"/>
          <w:szCs w:val="24"/>
        </w:rPr>
        <w:t xml:space="preserve">21.10.2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03599F91">
      <w:pPr>
        <w:spacing w:line="288" w:lineRule="auto"/>
        <w:contextualSpacing/>
        <w:jc w:val="both"/>
        <w:rPr>
          <w:sz w:val="24"/>
          <w:szCs w:val="24"/>
        </w:rPr>
      </w:pPr>
    </w:p>
    <w:p w14:paraId="204B23AB">
      <w:pPr>
        <w:spacing w:line="288" w:lineRule="auto"/>
        <w:contextualSpacing/>
        <w:jc w:val="both"/>
        <w:rPr>
          <w:sz w:val="24"/>
          <w:szCs w:val="24"/>
        </w:rPr>
      </w:pPr>
      <w:r>
        <w:rPr>
          <w:sz w:val="24"/>
          <w:szCs w:val="24"/>
        </w:rPr>
        <w:t>21.10.2.1 Caso seja possível, a apuração deverá ser promovida em conjunto no PAR.</w:t>
      </w:r>
    </w:p>
    <w:p w14:paraId="7DA40E1D">
      <w:pPr>
        <w:spacing w:line="288" w:lineRule="auto"/>
        <w:contextualSpacing/>
        <w:jc w:val="both"/>
        <w:rPr>
          <w:sz w:val="24"/>
          <w:szCs w:val="24"/>
        </w:rPr>
      </w:pPr>
    </w:p>
    <w:p w14:paraId="19BE7B2E">
      <w:pPr>
        <w:spacing w:line="288" w:lineRule="auto"/>
        <w:contextualSpacing/>
        <w:jc w:val="both"/>
        <w:rPr>
          <w:sz w:val="24"/>
          <w:szCs w:val="24"/>
        </w:rPr>
      </w:pPr>
      <w:r>
        <w:rPr>
          <w:sz w:val="24"/>
          <w:szCs w:val="24"/>
        </w:rPr>
        <w:t>21.11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Comprasnet.</w:t>
      </w:r>
    </w:p>
    <w:p w14:paraId="3B8844F0">
      <w:pPr>
        <w:spacing w:line="288" w:lineRule="auto"/>
        <w:contextualSpacing/>
        <w:jc w:val="both"/>
        <w:rPr>
          <w:sz w:val="24"/>
          <w:szCs w:val="24"/>
        </w:rPr>
      </w:pPr>
    </w:p>
    <w:p w14:paraId="75C991FC">
      <w:pPr>
        <w:autoSpaceDE w:val="0"/>
        <w:autoSpaceDN w:val="0"/>
        <w:adjustRightInd w:val="0"/>
        <w:spacing w:line="288" w:lineRule="auto"/>
        <w:contextualSpacing/>
        <w:jc w:val="both"/>
        <w:rPr>
          <w:sz w:val="24"/>
          <w:szCs w:val="24"/>
        </w:rPr>
      </w:pPr>
      <w:r>
        <w:rPr>
          <w:sz w:val="24"/>
          <w:szCs w:val="24"/>
        </w:rPr>
        <w:t>21.11.1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50F278D7">
      <w:pPr>
        <w:autoSpaceDE w:val="0"/>
        <w:autoSpaceDN w:val="0"/>
        <w:adjustRightInd w:val="0"/>
        <w:spacing w:line="288" w:lineRule="auto"/>
        <w:contextualSpacing/>
        <w:jc w:val="both"/>
        <w:rPr>
          <w:sz w:val="24"/>
          <w:szCs w:val="24"/>
        </w:rPr>
      </w:pPr>
    </w:p>
    <w:p w14:paraId="0112B989">
      <w:pPr>
        <w:pStyle w:val="74"/>
        <w:spacing w:line="288" w:lineRule="auto"/>
        <w:contextualSpacing/>
        <w:jc w:val="both"/>
        <w:rPr>
          <w:rFonts w:ascii="Times New Roman" w:hAnsi="Times New Roman" w:cs="Times New Roman"/>
        </w:rPr>
      </w:pPr>
      <w:r>
        <w:rPr>
          <w:rFonts w:ascii="Times New Roman" w:hAnsi="Times New Roman" w:cs="Times New Roman"/>
        </w:rPr>
        <w:t>21.12 O contratante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46645FB0">
      <w:pPr>
        <w:pStyle w:val="74"/>
        <w:spacing w:line="288" w:lineRule="auto"/>
        <w:contextualSpacing/>
        <w:jc w:val="both"/>
        <w:rPr>
          <w:rFonts w:ascii="Times New Roman" w:hAnsi="Times New Roman" w:cs="Times New Roman"/>
        </w:rPr>
      </w:pPr>
    </w:p>
    <w:p w14:paraId="13B7AF25">
      <w:pPr>
        <w:pStyle w:val="74"/>
        <w:spacing w:line="288" w:lineRule="auto"/>
        <w:contextualSpacing/>
        <w:jc w:val="both"/>
        <w:rPr>
          <w:rFonts w:ascii="Times New Roman" w:hAnsi="Times New Roman" w:cs="Times New Roman"/>
        </w:rPr>
      </w:pPr>
      <w:r>
        <w:rPr>
          <w:rFonts w:ascii="Times New Roman" w:hAnsi="Times New Roman" w:cs="Times New Roman"/>
        </w:rPr>
        <w:t>21.12.1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08C6D2F8">
      <w:pPr>
        <w:pStyle w:val="74"/>
        <w:spacing w:line="288" w:lineRule="auto"/>
        <w:contextualSpacing/>
        <w:jc w:val="both"/>
        <w:rPr>
          <w:rFonts w:ascii="Times New Roman" w:hAnsi="Times New Roman" w:cs="Times New Roman"/>
        </w:rPr>
      </w:pPr>
    </w:p>
    <w:p w14:paraId="4E98343B">
      <w:pPr>
        <w:spacing w:line="288" w:lineRule="auto"/>
        <w:contextualSpacing/>
        <w:jc w:val="both"/>
        <w:rPr>
          <w:sz w:val="24"/>
          <w:szCs w:val="24"/>
        </w:rPr>
      </w:pPr>
      <w:r>
        <w:rPr>
          <w:sz w:val="24"/>
          <w:szCs w:val="24"/>
        </w:rPr>
        <w:t xml:space="preserve">21.13 Caso não seja efetuado o pagamento da multa aplicada ou o valor seja superior ao </w:t>
      </w:r>
      <w:r>
        <w:rPr>
          <w:color w:val="000000"/>
          <w:sz w:val="24"/>
          <w:szCs w:val="24"/>
        </w:rPr>
        <w:t>do pagamento eventualmente devido pela Administração ao contratado e da garantia prestada</w:t>
      </w:r>
      <w:r>
        <w:rPr>
          <w:sz w:val="24"/>
          <w:szCs w:val="24"/>
        </w:rPr>
        <w:t>, deverá ser emitida nota de débito no valor total ou do saldo, no prazo de 30 (trinta) dias após a decisão final quanto à penalidade.</w:t>
      </w:r>
    </w:p>
    <w:p w14:paraId="4018A7DB">
      <w:pPr>
        <w:spacing w:line="288" w:lineRule="auto"/>
        <w:contextualSpacing/>
        <w:jc w:val="both"/>
        <w:rPr>
          <w:sz w:val="24"/>
          <w:szCs w:val="24"/>
        </w:rPr>
      </w:pPr>
    </w:p>
    <w:p w14:paraId="0CEC5008">
      <w:pPr>
        <w:spacing w:line="288" w:lineRule="auto"/>
        <w:contextualSpacing/>
        <w:jc w:val="both"/>
        <w:rPr>
          <w:sz w:val="24"/>
          <w:szCs w:val="24"/>
        </w:rPr>
      </w:pPr>
      <w:r>
        <w:rPr>
          <w:sz w:val="24"/>
          <w:szCs w:val="24"/>
        </w:rPr>
        <w:t>21.13.1 A nota de débito deverá ser encaminhada à Departamento de Cadastro Controle e Arrecadação para inscrição do débito em dívida ativa e propositura de execução fiscal, na forma do art. 39 da Lei nº 4.320, de 17 de março de 1964.</w:t>
      </w:r>
    </w:p>
    <w:p w14:paraId="60C703B8">
      <w:pPr>
        <w:spacing w:line="288" w:lineRule="auto"/>
        <w:contextualSpacing/>
        <w:jc w:val="both"/>
        <w:rPr>
          <w:sz w:val="24"/>
          <w:szCs w:val="24"/>
        </w:rPr>
      </w:pPr>
    </w:p>
    <w:p w14:paraId="69E4BCA1">
      <w:pPr>
        <w:spacing w:line="288" w:lineRule="auto"/>
        <w:contextualSpacing/>
        <w:jc w:val="both"/>
        <w:rPr>
          <w:sz w:val="24"/>
          <w:szCs w:val="24"/>
        </w:rPr>
      </w:pPr>
      <w:r>
        <w:rPr>
          <w:sz w:val="24"/>
          <w:szCs w:val="24"/>
        </w:rPr>
        <w:t xml:space="preserve">21.13.2 O procedimento para inscrição do débito em dívida ativa deverá observar o que dispõe a Lei Complementar nº: 279/2024. </w:t>
      </w:r>
    </w:p>
    <w:p w14:paraId="2005FA5C">
      <w:pPr>
        <w:spacing w:line="288" w:lineRule="auto"/>
        <w:contextualSpacing/>
        <w:jc w:val="both"/>
        <w:rPr>
          <w:sz w:val="24"/>
          <w:szCs w:val="24"/>
        </w:rPr>
      </w:pPr>
    </w:p>
    <w:p w14:paraId="42348B14">
      <w:pPr>
        <w:pStyle w:val="97"/>
        <w:spacing w:before="0" w:beforeAutospacing="0" w:after="0" w:afterAutospacing="0" w:line="288" w:lineRule="auto"/>
        <w:contextualSpacing/>
        <w:jc w:val="both"/>
        <w:rPr>
          <w:rFonts w:eastAsia="Calibri"/>
          <w:b/>
          <w:bCs/>
          <w:lang w:eastAsia="en-US"/>
        </w:rPr>
      </w:pPr>
      <w:r>
        <w:rPr>
          <w:rFonts w:eastAsia="Calibri"/>
          <w:b/>
          <w:bCs/>
          <w:lang w:eastAsia="en-US"/>
        </w:rPr>
        <w:t>22. DAS DISPOSIÇÕES GERAIS</w:t>
      </w:r>
    </w:p>
    <w:p w14:paraId="74C8534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22.1 Será divulgada ata da sessão pública no sistema eletrônico.</w:t>
      </w:r>
    </w:p>
    <w:p w14:paraId="4430DDC2">
      <w:pPr>
        <w:pStyle w:val="99"/>
        <w:spacing w:before="288" w:beforeLines="120" w:after="288" w:afterLines="120" w:line="288" w:lineRule="auto"/>
        <w:ind w:left="0" w:firstLine="0"/>
        <w:contextualSpacing/>
        <w:rPr>
          <w:rFonts w:ascii="Times New Roman" w:hAnsi="Times New Roman" w:cs="Times New Roman"/>
          <w:sz w:val="24"/>
          <w:szCs w:val="24"/>
        </w:rPr>
      </w:pPr>
    </w:p>
    <w:p w14:paraId="21B83039">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21EBEE5">
      <w:pPr>
        <w:pStyle w:val="99"/>
        <w:spacing w:before="288" w:beforeLines="120" w:after="288" w:afterLines="120" w:line="288" w:lineRule="auto"/>
        <w:ind w:left="0" w:firstLine="0"/>
        <w:contextualSpacing/>
        <w:rPr>
          <w:rFonts w:ascii="Times New Roman" w:hAnsi="Times New Roman" w:cs="Times New Roman"/>
          <w:sz w:val="24"/>
          <w:szCs w:val="24"/>
        </w:rPr>
      </w:pPr>
    </w:p>
    <w:p w14:paraId="608E15E8">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22.3 Todas as referências de tempo no Edital, no aviso e durante a sessão pública observarão o horário de Brasília - DF.</w:t>
      </w:r>
    </w:p>
    <w:p w14:paraId="45EB4065">
      <w:pPr>
        <w:pStyle w:val="99"/>
        <w:spacing w:before="288" w:beforeLines="120" w:after="288" w:afterLines="120" w:line="288" w:lineRule="auto"/>
        <w:ind w:left="0" w:firstLine="0"/>
        <w:contextualSpacing/>
        <w:rPr>
          <w:rFonts w:ascii="Times New Roman" w:hAnsi="Times New Roman" w:cs="Times New Roman"/>
          <w:sz w:val="24"/>
          <w:szCs w:val="24"/>
        </w:rPr>
      </w:pPr>
    </w:p>
    <w:p w14:paraId="6D1237BC">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22.4 A homologação do resultado desta licitação não implicará direito à contratação.</w:t>
      </w:r>
    </w:p>
    <w:p w14:paraId="6EF1075A">
      <w:pPr>
        <w:pStyle w:val="99"/>
        <w:spacing w:before="288" w:beforeLines="120" w:after="288" w:afterLines="120" w:line="288" w:lineRule="auto"/>
        <w:ind w:left="0" w:firstLine="0"/>
        <w:contextualSpacing/>
        <w:rPr>
          <w:rFonts w:ascii="Times New Roman" w:hAnsi="Times New Roman" w:cs="Times New Roman"/>
          <w:sz w:val="24"/>
          <w:szCs w:val="24"/>
        </w:rPr>
      </w:pPr>
    </w:p>
    <w:p w14:paraId="2FB402C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22.5 As normas disciplinadoras da licitação serão sempre interpretadas em favor da ampliação da disputa entre os interessados, desde que não comprometam o interesse da Administração, o princípio da isonomia, a finalidade e a segurança da contratação. </w:t>
      </w:r>
    </w:p>
    <w:p w14:paraId="27DC5D19">
      <w:pPr>
        <w:pStyle w:val="99"/>
        <w:spacing w:before="288" w:beforeLines="120" w:after="288" w:afterLines="120" w:line="288" w:lineRule="auto"/>
        <w:ind w:left="0" w:firstLine="0"/>
        <w:contextualSpacing/>
        <w:rPr>
          <w:rFonts w:ascii="Times New Roman" w:hAnsi="Times New Roman" w:cs="Times New Roman"/>
          <w:sz w:val="24"/>
          <w:szCs w:val="24"/>
        </w:rPr>
      </w:pPr>
    </w:p>
    <w:p w14:paraId="4BEC4DC4">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22.6 Os licitantes assumem todos os custos de preparação e apresentação de suas propostas e a Administração não será, em nenhum caso, responsável por esses custos, independentemente da condução ou do resultado do processo licitatório.</w:t>
      </w:r>
    </w:p>
    <w:p w14:paraId="43702F32">
      <w:pPr>
        <w:pStyle w:val="99"/>
        <w:spacing w:before="288" w:beforeLines="120" w:after="288" w:afterLines="120" w:line="288" w:lineRule="auto"/>
        <w:ind w:left="0" w:firstLine="0"/>
        <w:contextualSpacing/>
        <w:rPr>
          <w:rFonts w:ascii="Times New Roman" w:hAnsi="Times New Roman" w:cs="Times New Roman"/>
          <w:sz w:val="24"/>
          <w:szCs w:val="24"/>
        </w:rPr>
      </w:pPr>
    </w:p>
    <w:p w14:paraId="41CF6695">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22.7 Na contagem dos prazos estabelecidos neste Edital e seus Anexos, excluir-se-á o dia do início e incluir-se-á o do vencimento. Só se iniciam e vencem os prazos em dias de expediente na Administração.</w:t>
      </w:r>
    </w:p>
    <w:p w14:paraId="4C9F3EAA">
      <w:pPr>
        <w:pStyle w:val="99"/>
        <w:spacing w:before="288" w:beforeLines="120" w:after="288" w:afterLines="120" w:line="288" w:lineRule="auto"/>
        <w:ind w:left="0" w:firstLine="0"/>
        <w:contextualSpacing/>
        <w:rPr>
          <w:rFonts w:ascii="Times New Roman" w:hAnsi="Times New Roman" w:cs="Times New Roman"/>
          <w:sz w:val="24"/>
          <w:szCs w:val="24"/>
        </w:rPr>
      </w:pPr>
    </w:p>
    <w:p w14:paraId="1433E61D">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22.8 O desatendimento de exigências formais não essenciais não importará o afastamento do licitante, desde que seja possível o aproveitamento do ato, observados os princípios da isonomia e do interesse público.</w:t>
      </w:r>
    </w:p>
    <w:p w14:paraId="260F9EA9">
      <w:pPr>
        <w:pStyle w:val="99"/>
        <w:spacing w:before="288" w:beforeLines="120" w:after="288" w:afterLines="120" w:line="288" w:lineRule="auto"/>
        <w:ind w:left="0" w:firstLine="0"/>
        <w:contextualSpacing/>
        <w:rPr>
          <w:rFonts w:ascii="Times New Roman" w:hAnsi="Times New Roman" w:cs="Times New Roman"/>
          <w:sz w:val="24"/>
          <w:szCs w:val="24"/>
        </w:rPr>
      </w:pPr>
    </w:p>
    <w:p w14:paraId="40466EBE">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22.9 Em caso de divergência entre disposições deste Edital e de seus anexos ou demais peças que compõem o processo, prevalecerão as deste Edital.</w:t>
      </w:r>
    </w:p>
    <w:p w14:paraId="69135573">
      <w:pPr>
        <w:pStyle w:val="99"/>
        <w:spacing w:before="288" w:beforeLines="120" w:after="288" w:afterLines="120" w:line="288" w:lineRule="auto"/>
        <w:ind w:left="0" w:firstLine="0"/>
        <w:contextualSpacing/>
        <w:rPr>
          <w:rFonts w:ascii="Times New Roman" w:hAnsi="Times New Roman" w:cs="Times New Roman"/>
          <w:sz w:val="24"/>
          <w:szCs w:val="24"/>
        </w:rPr>
      </w:pPr>
    </w:p>
    <w:p w14:paraId="25C2023B">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22.10 O Edital e seus anexos </w:t>
      </w:r>
      <w:r>
        <w:rPr>
          <w:rFonts w:ascii="Times New Roman" w:hAnsi="Times New Roman" w:cs="Times New Roman"/>
          <w:color w:val="auto"/>
          <w:sz w:val="24"/>
          <w:szCs w:val="24"/>
        </w:rPr>
        <w:t>estão disponíveis, na íntegra, no Portal Nacional de Contratações Públicas (PNCP) e endereço eletrô</w:t>
      </w:r>
      <w:r>
        <w:rPr>
          <w:rFonts w:ascii="Times New Roman" w:hAnsi="Times New Roman" w:cs="Times New Roman"/>
          <w:sz w:val="24"/>
          <w:szCs w:val="24"/>
        </w:rPr>
        <w:t xml:space="preserve">nico </w:t>
      </w:r>
      <w:r>
        <w:rPr>
          <w:rFonts w:ascii="Times New Roman" w:hAnsi="Times New Roman" w:cs="Times New Roman"/>
          <w:color w:val="auto"/>
          <w:sz w:val="24"/>
          <w:szCs w:val="24"/>
        </w:rPr>
        <w:t>www.valenca.rj.gov.br</w:t>
      </w:r>
      <w:r>
        <w:rPr>
          <w:rFonts w:ascii="Times New Roman" w:hAnsi="Times New Roman" w:cs="Times New Roman"/>
          <w:sz w:val="24"/>
          <w:szCs w:val="24"/>
        </w:rPr>
        <w:t>.</w:t>
      </w:r>
    </w:p>
    <w:p w14:paraId="1EDC6907">
      <w:pPr>
        <w:pStyle w:val="99"/>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Integram este Edital, para todos os fins e efeitos, os seguintes anexos:</w:t>
      </w:r>
    </w:p>
    <w:p w14:paraId="08B5F1FC">
      <w:pPr>
        <w:pStyle w:val="103"/>
        <w:spacing w:before="288" w:beforeLines="120" w:after="288" w:afterLines="120" w:line="288" w:lineRule="auto"/>
        <w:ind w:left="0" w:firstLine="0"/>
        <w:contextualSpacing/>
        <w:rPr>
          <w:rFonts w:ascii="Times New Roman" w:hAnsi="Times New Roman" w:cs="Times New Roman"/>
          <w:sz w:val="24"/>
          <w:szCs w:val="24"/>
        </w:rPr>
      </w:pPr>
      <w:bookmarkStart w:id="38" w:name="_Hlk154231260"/>
      <w:r>
        <w:rPr>
          <w:rFonts w:ascii="Times New Roman" w:hAnsi="Times New Roman" w:cs="Times New Roman"/>
          <w:sz w:val="24"/>
          <w:szCs w:val="24"/>
        </w:rPr>
        <w:t>Anexo I - Termo de Referência</w:t>
      </w:r>
    </w:p>
    <w:p w14:paraId="47110C1D">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II - </w:t>
      </w:r>
      <w:r>
        <w:rPr>
          <w:rFonts w:ascii="Times New Roman" w:hAnsi="Times New Roman" w:cs="Times New Roman"/>
          <w:sz w:val="24"/>
          <w:szCs w:val="24"/>
        </w:rPr>
        <w:t>Estudo Técnico Preliminar</w:t>
      </w:r>
    </w:p>
    <w:p w14:paraId="740A9DE2">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Anexo III - Modelo de apresentação da proposta</w:t>
      </w:r>
    </w:p>
    <w:p w14:paraId="5657CFC6">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IV - Documentação exigida para Habilitação</w:t>
      </w:r>
    </w:p>
    <w:p w14:paraId="01CAD5B2">
      <w:pPr>
        <w:pStyle w:val="103"/>
        <w:spacing w:before="288" w:beforeLines="120" w:after="288" w:afterLines="12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A</w:t>
      </w:r>
      <w:r>
        <w:rPr>
          <w:rFonts w:ascii="Times New Roman" w:hAnsi="Times New Roman" w:cs="Times New Roman"/>
          <w:sz w:val="24"/>
          <w:szCs w:val="24"/>
        </w:rPr>
        <w:t>nexo</w:t>
      </w:r>
      <w:r>
        <w:rPr>
          <w:rFonts w:ascii="Times New Roman" w:hAnsi="Times New Roman" w:cs="Times New Roman"/>
          <w:color w:val="auto"/>
          <w:sz w:val="24"/>
          <w:szCs w:val="24"/>
        </w:rPr>
        <w:t xml:space="preserve"> V - Orçamento estimado/ Planilha de Custos</w:t>
      </w:r>
    </w:p>
    <w:p w14:paraId="5D74BD51">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 - Ata de Registro de Preços</w:t>
      </w:r>
    </w:p>
    <w:p w14:paraId="628FBA59">
      <w:pPr>
        <w:pStyle w:val="103"/>
        <w:spacing w:before="288" w:beforeLines="120" w:after="288" w:afterLines="12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Anexo VII - Minuta de Termo de Contrato</w:t>
      </w:r>
    </w:p>
    <w:p w14:paraId="3EECC4B8">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Anexo VIII - </w:t>
      </w:r>
      <w:r>
        <w:rPr>
          <w:rFonts w:ascii="Times New Roman" w:hAnsi="Times New Roman" w:cs="Times New Roman"/>
          <w:color w:val="000000" w:themeColor="text1"/>
          <w:sz w:val="24"/>
          <w:szCs w:val="24"/>
          <w14:textFill>
            <w14:solidFill>
              <w14:schemeClr w14:val="tx1"/>
            </w14:solidFill>
          </w14:textFill>
        </w:rPr>
        <w:t xml:space="preserve">Declarações </w:t>
      </w:r>
      <w:bookmarkEnd w:id="38"/>
    </w:p>
    <w:p w14:paraId="1C439F43">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EBED03D">
      <w:pPr>
        <w:pStyle w:val="103"/>
        <w:spacing w:before="288" w:beforeLines="120" w:after="288" w:afterLines="12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p>
    <w:p w14:paraId="69418DB3">
      <w:pPr>
        <w:pStyle w:val="103"/>
        <w:spacing w:before="288" w:beforeLines="120" w:after="288" w:afterLines="120" w:line="288" w:lineRule="auto"/>
        <w:ind w:left="0" w:firstLine="0"/>
        <w:contextualSpacing/>
        <w:rPr>
          <w:rFonts w:hint="default" w:ascii="Times New Roman" w:hAnsi="Times New Roman" w:eastAsia="MS Mincho" w:cs="Times New Roman"/>
          <w:color w:val="000000" w:themeColor="text1"/>
          <w:sz w:val="24"/>
          <w:szCs w:val="24"/>
          <w:lang w:val="pt-BR"/>
          <w14:textFill>
            <w14:solidFill>
              <w14:schemeClr w14:val="tx1"/>
            </w14:solidFill>
          </w14:textFill>
        </w:rPr>
      </w:pPr>
      <w:r>
        <w:rPr>
          <w:rFonts w:ascii="Times New Roman" w:hAnsi="Times New Roman" w:eastAsia="MS Mincho" w:cs="Times New Roman"/>
          <w:color w:val="000000" w:themeColor="text1"/>
          <w:sz w:val="24"/>
          <w:szCs w:val="24"/>
          <w14:textFill>
            <w14:solidFill>
              <w14:schemeClr w14:val="tx1"/>
            </w14:solidFill>
          </w14:textFill>
        </w:rPr>
        <w:t xml:space="preserve">                                              Valença , </w:t>
      </w:r>
      <w:r>
        <w:rPr>
          <w:rFonts w:hint="default" w:ascii="Times New Roman" w:hAnsi="Times New Roman" w:eastAsia="MS Mincho" w:cs="Times New Roman"/>
          <w:sz w:val="24"/>
          <w:szCs w:val="24"/>
          <w:lang w:val="pt-BR"/>
        </w:rPr>
        <w:t>19/05/2026</w:t>
      </w:r>
    </w:p>
    <w:p w14:paraId="12E60D5B">
      <w:pPr>
        <w:spacing w:before="288" w:beforeLines="120" w:after="288" w:afterLines="120" w:line="288" w:lineRule="auto"/>
        <w:contextualSpacing/>
        <w:jc w:val="center"/>
        <w:rPr>
          <w:rFonts w:eastAsia="MS Mincho"/>
          <w:b/>
          <w:color w:val="FF0000"/>
          <w:sz w:val="24"/>
          <w:szCs w:val="24"/>
        </w:rPr>
      </w:pPr>
    </w:p>
    <w:p w14:paraId="1E0E784A">
      <w:pPr>
        <w:spacing w:before="288" w:beforeLines="120" w:after="288" w:afterLines="120" w:line="288" w:lineRule="auto"/>
        <w:contextualSpacing/>
        <w:jc w:val="center"/>
        <w:rPr>
          <w:rFonts w:eastAsia="MS Mincho" w:asciiTheme="minorHAnsi" w:hAnsiTheme="minorHAnsi" w:cstheme="minorHAnsi"/>
          <w:b/>
          <w:color w:val="FF0000"/>
          <w:sz w:val="24"/>
          <w:szCs w:val="24"/>
        </w:rPr>
      </w:pPr>
      <w:r>
        <w:rPr>
          <w:rFonts w:eastAsia="MS Mincho"/>
          <w:b/>
          <w:color w:val="000000" w:themeColor="text1"/>
          <w:sz w:val="24"/>
          <w:szCs w:val="24"/>
          <w14:textFill>
            <w14:solidFill>
              <w14:schemeClr w14:val="tx1"/>
            </w14:solidFill>
          </w14:textFill>
        </w:rPr>
        <w:t>Secretaria Municipal de Saúde</w:t>
      </w:r>
    </w:p>
    <w:p w14:paraId="57E9D979">
      <w:pPr>
        <w:spacing w:before="288" w:beforeLines="120" w:after="288" w:afterLines="120" w:line="288" w:lineRule="auto"/>
        <w:contextualSpacing/>
        <w:rPr>
          <w:rFonts w:eastAsia="MS Mincho" w:asciiTheme="minorHAnsi" w:hAnsiTheme="minorHAnsi" w:cstheme="minorHAnsi"/>
          <w:b/>
          <w:color w:val="FF0000"/>
          <w:sz w:val="24"/>
          <w:szCs w:val="24"/>
        </w:rPr>
      </w:pPr>
    </w:p>
    <w:p w14:paraId="4148D465">
      <w:pPr>
        <w:spacing w:before="288" w:beforeLines="120" w:after="288" w:afterLines="120" w:line="288" w:lineRule="auto"/>
        <w:contextualSpacing/>
        <w:jc w:val="center"/>
        <w:rPr>
          <w:rFonts w:eastAsia="MS Mincho"/>
          <w:b/>
          <w:sz w:val="24"/>
          <w:szCs w:val="24"/>
        </w:rPr>
      </w:pPr>
      <w:r>
        <w:rPr>
          <w:rFonts w:eastAsia="MS Mincho"/>
          <w:b/>
          <w:sz w:val="24"/>
          <w:szCs w:val="24"/>
        </w:rPr>
        <w:t xml:space="preserve">ANEXO I </w:t>
      </w:r>
    </w:p>
    <w:p w14:paraId="6FBB2361">
      <w:pPr>
        <w:spacing w:before="288" w:beforeLines="120" w:after="288" w:afterLines="120" w:line="288" w:lineRule="auto"/>
        <w:contextualSpacing/>
        <w:jc w:val="center"/>
        <w:rPr>
          <w:rFonts w:eastAsia="MS Mincho" w:asciiTheme="minorHAnsi" w:hAnsiTheme="minorHAnsi" w:cstheme="minorHAnsi"/>
          <w:b/>
          <w:sz w:val="24"/>
          <w:szCs w:val="24"/>
        </w:rPr>
      </w:pPr>
    </w:p>
    <w:p w14:paraId="2208ED93">
      <w:pPr>
        <w:spacing w:line="368" w:lineRule="auto"/>
        <w:ind w:left="720" w:right="16"/>
        <w:rPr>
          <w:b/>
          <w:sz w:val="24"/>
          <w:szCs w:val="24"/>
          <w:u w:val="single"/>
        </w:rPr>
      </w:pPr>
      <w:r>
        <w:rPr>
          <w:b/>
          <w:sz w:val="24"/>
          <w:szCs w:val="24"/>
        </w:rPr>
        <w:t xml:space="preserve">                                     </w:t>
      </w:r>
      <w:r>
        <w:rPr>
          <w:b/>
          <w:sz w:val="24"/>
          <w:szCs w:val="24"/>
          <w:highlight w:val="yellow"/>
          <w:u w:val="single"/>
        </w:rPr>
        <w:t>TERMO DE REFERÊNCIA</w:t>
      </w:r>
    </w:p>
    <w:p w14:paraId="6BBE26EF">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b/>
          <w:bCs/>
          <w:color w:val="auto"/>
          <w:szCs w:val="24"/>
        </w:rPr>
      </w:pPr>
    </w:p>
    <w:p w14:paraId="3DD434B2">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rPr>
      </w:pPr>
      <w:r>
        <w:rPr>
          <w:rFonts w:ascii="Times New Roman" w:hAnsi="Times New Roman" w:eastAsia="Times New Roman" w:cs="Times New Roman"/>
          <w:b/>
          <w:bCs/>
          <w:color w:val="auto"/>
          <w:szCs w:val="24"/>
        </w:rPr>
        <w:t xml:space="preserve">ÓRGÃO: </w:t>
      </w:r>
      <w:r>
        <w:rPr>
          <w:rFonts w:ascii="Times New Roman" w:hAnsi="Times New Roman" w:eastAsia="Times New Roman" w:cs="Times New Roman"/>
          <w:color w:val="auto"/>
          <w:szCs w:val="24"/>
        </w:rPr>
        <w:t>Secretaria Municipal de Saúde</w:t>
      </w:r>
    </w:p>
    <w:p w14:paraId="10F66483">
      <w:pPr>
        <w:pStyle w:val="19"/>
        <w:tabs>
          <w:tab w:val="left" w:pos="555"/>
          <w:tab w:val="left" w:pos="840"/>
          <w:tab w:val="left" w:pos="1140"/>
          <w:tab w:val="left" w:pos="1395"/>
          <w:tab w:val="left" w:pos="1650"/>
          <w:tab w:val="left" w:pos="1965"/>
          <w:tab w:val="left" w:pos="2220"/>
          <w:tab w:val="left" w:leader="underscore" w:pos="7336"/>
        </w:tabs>
        <w:spacing w:line="360" w:lineRule="auto"/>
        <w:rPr>
          <w:rFonts w:cs="Times New Roman"/>
        </w:rPr>
      </w:pPr>
      <w:r>
        <w:rPr>
          <w:rFonts w:ascii="Times New Roman" w:hAnsi="Times New Roman" w:eastAsia="Times New Roman" w:cs="Times New Roman"/>
          <w:b/>
          <w:bCs/>
          <w:color w:val="auto"/>
          <w:szCs w:val="24"/>
        </w:rPr>
        <w:t xml:space="preserve">SETOR REQUISITANTE: </w:t>
      </w:r>
      <w:r>
        <w:rPr>
          <w:rFonts w:ascii="Times New Roman" w:hAnsi="Times New Roman" w:cs="Times New Roman"/>
          <w:color w:val="auto"/>
          <w:szCs w:val="24"/>
        </w:rPr>
        <w:t>Farmacia Assistencial e de Mandado</w:t>
      </w:r>
      <w:bookmarkStart w:id="49" w:name="_GoBack"/>
      <w:bookmarkEnd w:id="49"/>
    </w:p>
    <w:p w14:paraId="577AB2E1">
      <w:pPr>
        <w:pStyle w:val="19"/>
        <w:tabs>
          <w:tab w:val="left" w:pos="555"/>
          <w:tab w:val="left" w:pos="840"/>
          <w:tab w:val="left" w:pos="1140"/>
          <w:tab w:val="left" w:pos="1395"/>
          <w:tab w:val="left" w:pos="1650"/>
          <w:tab w:val="left" w:pos="1965"/>
          <w:tab w:val="left" w:pos="2220"/>
          <w:tab w:val="left" w:leader="underscore" w:pos="7336"/>
        </w:tabs>
        <w:spacing w:line="360" w:lineRule="auto"/>
        <w:rPr>
          <w:rFonts w:cs="Times New Roman"/>
        </w:rPr>
      </w:pPr>
      <w:r>
        <w:rPr>
          <w:rFonts w:ascii="Times New Roman" w:hAnsi="Times New Roman" w:eastAsia="Times New Roman" w:cs="Times New Roman"/>
          <w:b/>
          <w:bCs/>
          <w:color w:val="auto"/>
          <w:szCs w:val="24"/>
        </w:rPr>
        <w:t xml:space="preserve">RESPONSÁVEL PELA DEMANDA: </w:t>
      </w:r>
      <w:r>
        <w:rPr>
          <w:rFonts w:ascii="Times New Roman" w:hAnsi="Times New Roman" w:cs="Times New Roman"/>
          <w:color w:val="auto"/>
          <w:kern w:val="3"/>
          <w:szCs w:val="24"/>
          <w:lang w:eastAsia="zh-CN" w:bidi="hi-IN"/>
        </w:rPr>
        <w:t>Eduardo Eiji Rodrigues Okabayashi</w:t>
      </w:r>
    </w:p>
    <w:p w14:paraId="192D51E9">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
          <w:bCs/>
        </w:rPr>
      </w:pPr>
      <w:r>
        <w:rPr>
          <w:rFonts w:ascii="Times New Roman" w:hAnsi="Times New Roman" w:eastAsia="Times New Roman" w:cs="Times New Roman"/>
          <w:b/>
          <w:bCs/>
          <w:color w:val="auto"/>
          <w:szCs w:val="24"/>
        </w:rPr>
        <w:t xml:space="preserve">MATRÍCULA: </w:t>
      </w:r>
      <w:r>
        <w:rPr>
          <w:rFonts w:ascii="Times New Roman" w:hAnsi="Times New Roman" w:cs="Times New Roman"/>
          <w:color w:val="auto"/>
          <w:kern w:val="3"/>
          <w:szCs w:val="24"/>
          <w:lang w:eastAsia="zh-CN" w:bidi="hi-IN"/>
        </w:rPr>
        <w:t>211.930</w:t>
      </w:r>
    </w:p>
    <w:p w14:paraId="7AAC07E5">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Cs/>
        </w:rPr>
      </w:pPr>
      <w:r>
        <w:rPr>
          <w:rFonts w:ascii="Times New Roman" w:hAnsi="Times New Roman" w:eastAsia="Times New Roman" w:cs="Times New Roman"/>
          <w:bCs/>
          <w:color w:val="auto"/>
          <w:szCs w:val="24"/>
        </w:rPr>
        <w:t>PROCESSO ADMINISTRATIVO: VLC-020508/000</w:t>
      </w:r>
      <w:r>
        <w:rPr>
          <w:rFonts w:eastAsia="Times New Roman" w:cs="Times New Roman"/>
          <w:bCs/>
          <w:color w:val="auto"/>
          <w:szCs w:val="24"/>
        </w:rPr>
        <w:t>458/2026</w:t>
      </w:r>
    </w:p>
    <w:p w14:paraId="34B7DB7F">
      <w:pPr>
        <w:pStyle w:val="19"/>
        <w:tabs>
          <w:tab w:val="left" w:pos="555"/>
          <w:tab w:val="left" w:pos="840"/>
          <w:tab w:val="left" w:pos="1140"/>
          <w:tab w:val="left" w:pos="1395"/>
          <w:tab w:val="left" w:pos="1650"/>
          <w:tab w:val="left" w:pos="1965"/>
          <w:tab w:val="left" w:pos="2220"/>
          <w:tab w:val="left" w:leader="underscore" w:pos="7336"/>
        </w:tabs>
        <w:spacing w:line="360" w:lineRule="auto"/>
        <w:rPr>
          <w:rFonts w:eastAsia="Times New Roman" w:cs="Times New Roman"/>
          <w:bCs/>
        </w:rPr>
      </w:pPr>
    </w:p>
    <w:p w14:paraId="0C6C61FE">
      <w:pPr>
        <w:spacing w:line="360" w:lineRule="auto"/>
        <w:jc w:val="both"/>
        <w:rPr>
          <w:rFonts w:eastAsia="Cambria Math"/>
          <w:b/>
        </w:rPr>
      </w:pPr>
      <w:r>
        <w:rPr>
          <w:rFonts w:eastAsia="Cambria Math"/>
          <w:b/>
        </w:rPr>
        <w:t>1 – OBJETO</w:t>
      </w:r>
    </w:p>
    <w:p w14:paraId="08C02759">
      <w:pPr>
        <w:pStyle w:val="77"/>
        <w:spacing w:line="360" w:lineRule="auto"/>
        <w:jc w:val="both"/>
        <w:rPr>
          <w:rFonts w:ascii="Times New Roman" w:hAnsi="Times New Roman" w:cs="Times New Roman"/>
          <w:sz w:val="24"/>
          <w:szCs w:val="24"/>
        </w:rPr>
      </w:pPr>
      <w:r>
        <w:rPr>
          <w:rFonts w:ascii="Times New Roman" w:hAnsi="Times New Roman" w:eastAsia="Helvetica" w:cs="Times New Roman"/>
          <w:sz w:val="24"/>
          <w:szCs w:val="24"/>
          <w:shd w:val="clear" w:color="auto" w:fill="FFFFFF"/>
          <w:lang w:eastAsia="zh-CN" w:bidi="ar"/>
        </w:rPr>
        <w:t xml:space="preserve">Aquisição de cateteres uretrais destinados a atender pacientes </w:t>
      </w:r>
      <w:r>
        <w:rPr>
          <w:rFonts w:ascii="Times New Roman" w:hAnsi="Times New Roman" w:cs="Times New Roman"/>
          <w:sz w:val="24"/>
          <w:szCs w:val="24"/>
        </w:rPr>
        <w:t>assistidos pelo Município de Valença – RJ, por meio do Centro Assistencial e de Mandados por vias administrativas e judiciais.</w:t>
      </w:r>
    </w:p>
    <w:p w14:paraId="52E2E877">
      <w:pPr>
        <w:spacing w:before="288" w:beforeLines="120" w:after="288" w:afterLines="120" w:line="288" w:lineRule="auto"/>
        <w:rPr>
          <w:sz w:val="24"/>
          <w:szCs w:val="24"/>
        </w:rPr>
      </w:pPr>
      <w:r>
        <w:rPr>
          <w:sz w:val="24"/>
          <w:szCs w:val="24"/>
          <w:highlight w:val="yellow"/>
        </w:rPr>
        <w:t>Havendo qualquer discordância entre a descrição e a unidade de medida do CATMAT e a do Edital, prevalecerá à descrição e a unidade de medida constante no Edital.</w:t>
      </w:r>
    </w:p>
    <w:p w14:paraId="7526CBC5">
      <w:pPr>
        <w:pStyle w:val="271"/>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rPr>
        <w:t>2</w:t>
      </w:r>
      <w:r>
        <w:rPr>
          <w:rFonts w:ascii="Times New Roman" w:hAnsi="Times New Roman" w:eastAsia="Cambria Math" w:cs="Times New Roman"/>
          <w:b/>
          <w:lang w:val="en-US"/>
        </w:rPr>
        <w:t xml:space="preserve"> - </w:t>
      </w:r>
      <w:r>
        <w:rPr>
          <w:rFonts w:ascii="Times New Roman" w:hAnsi="Times New Roman" w:eastAsia="Times New Roman" w:cs="Times New Roman"/>
          <w:b/>
          <w:sz w:val="24"/>
          <w:szCs w:val="24"/>
        </w:rPr>
        <w:t>NECESSIDADE DA CONTRATAÇÃO</w:t>
      </w:r>
    </w:p>
    <w:p w14:paraId="6C644691">
      <w:pPr>
        <w:pStyle w:val="24"/>
        <w:spacing w:line="360" w:lineRule="auto"/>
        <w:jc w:val="both"/>
      </w:pPr>
      <w:r>
        <w:t>A aquisição de cateteres uretrais é indispensável pois se trata de insumo essencial para pacientes com retenção urinária, bexiga neurogênica, pós-operatórios e outras condições clínicas que necessitam de cateterização intermitente ou de demora, sendo fundamental para a prevenção de infecções, complicações urológicas e internações evitáveis.</w:t>
      </w:r>
    </w:p>
    <w:p w14:paraId="5DF40835">
      <w:pPr>
        <w:pStyle w:val="24"/>
        <w:spacing w:line="360" w:lineRule="auto"/>
        <w:jc w:val="both"/>
      </w:pPr>
      <w:r>
        <w:t>A ausência desse material compromete diretamente a saúde e a dignidade dos usuários do Sistema Único de Saúde (SUS), além de expor o Município ao descumprimento de determinações judiciais e administrativas. Dessa forma, a aquisição visa assegurar o atendimento regular, contínuo e humanizado, garantindo o direito constitucional à saúde e a integralidade da assistência prestada à população.</w:t>
      </w:r>
    </w:p>
    <w:p w14:paraId="75EBC9DE">
      <w:pPr>
        <w:spacing w:line="360" w:lineRule="auto"/>
        <w:jc w:val="both"/>
        <w:rPr>
          <w:rFonts w:eastAsia="SimSun"/>
          <w:sz w:val="24"/>
          <w:szCs w:val="24"/>
        </w:rPr>
      </w:pPr>
      <w:r>
        <w:rPr>
          <w:rFonts w:eastAsia="SimSun"/>
          <w:sz w:val="24"/>
          <w:szCs w:val="24"/>
        </w:rPr>
        <w:t>O cateter com revestimento hidrofílico reduz o risco de lesões uretrais ao reduzir a fricção exercida quando o dispositivo é introduzido e retirado da uretra em relação aos cateteres sem revestimento. Complicações uretrais associadas a repetidos cateterismos variam desde irritação da mucosa uretral e lesões na uretra com riscos para infecções, estenoses e falsos trajetos;</w:t>
      </w:r>
    </w:p>
    <w:p w14:paraId="71AC4A13">
      <w:pPr>
        <w:spacing w:line="360" w:lineRule="auto"/>
        <w:jc w:val="both"/>
        <w:rPr>
          <w:rFonts w:eastAsia="SimSun"/>
          <w:sz w:val="24"/>
          <w:szCs w:val="24"/>
        </w:rPr>
      </w:pPr>
      <w:r>
        <w:rPr>
          <w:rFonts w:eastAsia="SimSun"/>
          <w:sz w:val="24"/>
          <w:szCs w:val="24"/>
        </w:rPr>
        <w:t xml:space="preserve"> A sociedade Brasileira de urologia, em sua recomendação em 2016, já posiciona o cateter hidrofílico como tecnologia de escolha para redução de complicações associadas ao cateterismo intermitente, bem como adesão ao tratamento e melhor qualidade de vida; </w:t>
      </w:r>
    </w:p>
    <w:p w14:paraId="79A2A1A0">
      <w:pPr>
        <w:spacing w:line="360" w:lineRule="auto"/>
        <w:jc w:val="both"/>
        <w:rPr>
          <w:rFonts w:eastAsia="SimSun"/>
          <w:sz w:val="24"/>
          <w:szCs w:val="24"/>
        </w:rPr>
      </w:pPr>
      <w:r>
        <w:rPr>
          <w:rFonts w:eastAsia="SimSun"/>
          <w:sz w:val="24"/>
          <w:szCs w:val="24"/>
        </w:rPr>
        <w:t xml:space="preserve">Desta forma, a presente aquisição faz-se necessária para garantir qualidade de vida e presteza no atendimento dos paciente. </w:t>
      </w:r>
    </w:p>
    <w:p w14:paraId="6F1F7886">
      <w:pPr>
        <w:spacing w:line="360" w:lineRule="auto"/>
        <w:jc w:val="both"/>
        <w:rPr>
          <w:rFonts w:eastAsia="SimSun"/>
          <w:sz w:val="24"/>
          <w:szCs w:val="24"/>
        </w:rPr>
      </w:pPr>
      <w:r>
        <w:rPr>
          <w:rFonts w:eastAsia="SimSun"/>
          <w:sz w:val="24"/>
          <w:szCs w:val="24"/>
        </w:rPr>
        <w:t>Seguindo a recomendação da CONITEC através da Portaria nº 37 de 24 de julho de 2019, onde “Torna pública a decisão de incorporar o cateter hidrofílico para cateterismo vesical intermitente em indivíduos com lesão medular e bexiga neurogênica, conforme estabelecido pelo Ministério da Saúde, no âmbito do Sistema Único de Saúde – SUS” baseado na análise de custo x efetividade comparando o cateter com revestimento hidrofílico com o cateter uretral de PVC sem revestimento em adultos com retenção urinária decorrente de lesão medular que realizam cateterismo intermitente. É comprovada a viabilidade da utilização do cateter hidrofílico em substituição ao cateter convencional.</w:t>
      </w:r>
    </w:p>
    <w:p w14:paraId="255FA132">
      <w:pPr>
        <w:pStyle w:val="74"/>
        <w:rPr>
          <w:rFonts w:ascii="Times New Roman" w:hAnsi="Times New Roman" w:cs="Times New Roman"/>
          <w:lang w:eastAsia="pt-BR"/>
        </w:rPr>
      </w:pPr>
      <w:r>
        <w:rPr>
          <w:rFonts w:ascii="Times New Roman" w:hAnsi="Times New Roman" w:eastAsia="Cambria Math" w:cs="Times New Roman"/>
          <w:b/>
          <w:lang w:eastAsia="pt-BR"/>
        </w:rPr>
        <w:t xml:space="preserve">3 - </w:t>
      </w:r>
      <w:r>
        <w:rPr>
          <w:rFonts w:ascii="Times New Roman" w:hAnsi="Times New Roman" w:cs="Times New Roman"/>
          <w:b/>
          <w:bCs/>
          <w:lang w:eastAsia="pt-BR"/>
        </w:rPr>
        <w:t xml:space="preserve">ESPECIFICAÇÕES E QUANTIDADE </w:t>
      </w:r>
    </w:p>
    <w:p w14:paraId="60B7C006">
      <w:pPr>
        <w:autoSpaceDE w:val="0"/>
        <w:autoSpaceDN w:val="0"/>
        <w:adjustRightInd w:val="0"/>
        <w:rPr>
          <w:color w:val="000000"/>
          <w:sz w:val="24"/>
          <w:szCs w:val="24"/>
        </w:rPr>
      </w:pPr>
    </w:p>
    <w:p w14:paraId="044E7D40">
      <w:pPr>
        <w:spacing w:line="360" w:lineRule="auto"/>
        <w:jc w:val="both"/>
        <w:rPr>
          <w:sz w:val="24"/>
          <w:szCs w:val="24"/>
        </w:rPr>
      </w:pPr>
      <w:r>
        <w:rPr>
          <w:sz w:val="24"/>
          <w:szCs w:val="24"/>
        </w:rPr>
        <w:t>Considerando que os padrões de desempenho e qualidade dos itens objeto deste Termo de Referência pode ser objetivamente definidos pelo edital, por meio de especificações usuais de mercado, classificamos os referidos itens como ‘bens comuns’</w:t>
      </w:r>
    </w:p>
    <w:tbl>
      <w:tblPr>
        <w:tblStyle w:val="10"/>
        <w:tblW w:w="10916" w:type="dxa"/>
        <w:tblInd w:w="-998" w:type="dxa"/>
        <w:tblLayout w:type="fixed"/>
        <w:tblCellMar>
          <w:top w:w="0" w:type="dxa"/>
          <w:left w:w="10" w:type="dxa"/>
          <w:bottom w:w="0" w:type="dxa"/>
          <w:right w:w="10" w:type="dxa"/>
        </w:tblCellMar>
      </w:tblPr>
      <w:tblGrid>
        <w:gridCol w:w="709"/>
        <w:gridCol w:w="5671"/>
        <w:gridCol w:w="992"/>
        <w:gridCol w:w="851"/>
        <w:gridCol w:w="1134"/>
        <w:gridCol w:w="1559"/>
      </w:tblGrid>
      <w:tr w14:paraId="641E3AA9">
        <w:tblPrEx>
          <w:tblCellMar>
            <w:top w:w="0" w:type="dxa"/>
            <w:left w:w="10" w:type="dxa"/>
            <w:bottom w:w="0" w:type="dxa"/>
            <w:right w:w="10" w:type="dxa"/>
          </w:tblCellMar>
        </w:tblPrEx>
        <w:trPr>
          <w:trHeight w:val="370"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227B646">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Item</w:t>
            </w:r>
          </w:p>
        </w:tc>
        <w:tc>
          <w:tcPr>
            <w:tcW w:w="567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88873D8">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Descrição</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5D10C3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Qtde.</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FCDB52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Catmat</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1AA7A18">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Valor Unit.</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41AD306">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r>
              <w:rPr>
                <w:rFonts w:ascii="Times New Roman" w:hAnsi="Times New Roman" w:cs="Times New Roman"/>
                <w:color w:val="auto"/>
                <w:sz w:val="18"/>
                <w:szCs w:val="18"/>
              </w:rPr>
              <w:t>Valor total</w:t>
            </w:r>
          </w:p>
        </w:tc>
      </w:tr>
      <w:tr w14:paraId="00EF930F">
        <w:tblPrEx>
          <w:tblCellMar>
            <w:top w:w="0" w:type="dxa"/>
            <w:left w:w="10" w:type="dxa"/>
            <w:bottom w:w="0" w:type="dxa"/>
            <w:right w:w="10" w:type="dxa"/>
          </w:tblCellMar>
        </w:tblPrEx>
        <w:trPr>
          <w:trHeight w:val="37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6BD490C">
            <w:pPr>
              <w:jc w:val="center"/>
              <w:rPr>
                <w:rFonts w:eastAsia="SimSun"/>
                <w:kern w:val="3"/>
                <w:sz w:val="18"/>
                <w:szCs w:val="18"/>
                <w:lang w:eastAsia="hi-IN" w:bidi="hi-IN"/>
              </w:rPr>
            </w:pPr>
            <w:r>
              <w:rPr>
                <w:rFonts w:eastAsia="SimSun"/>
                <w:kern w:val="3"/>
                <w:sz w:val="18"/>
                <w:szCs w:val="18"/>
                <w:lang w:eastAsia="hi-IN" w:bidi="hi-IN"/>
              </w:rPr>
              <w:t>1</w:t>
            </w:r>
          </w:p>
        </w:tc>
        <w:tc>
          <w:tcPr>
            <w:tcW w:w="567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6A84187">
            <w:pPr>
              <w:jc w:val="both"/>
              <w:rPr>
                <w:rFonts w:eastAsia="SimSun"/>
                <w:sz w:val="16"/>
                <w:szCs w:val="16"/>
                <w:lang w:eastAsia="zh-CN" w:bidi="ar"/>
              </w:rPr>
            </w:pPr>
            <w:r>
              <w:rPr>
                <w:rFonts w:eastAsia="SimSun"/>
                <w:sz w:val="16"/>
                <w:szCs w:val="16"/>
                <w:lang w:val="en-US" w:eastAsia="zh-CN" w:bidi="ar"/>
              </w:rPr>
              <w:t xml:space="preserve">CATÉTER URETRAL COM </w:t>
            </w:r>
            <w:r>
              <w:rPr>
                <w:rFonts w:eastAsia="SimSun"/>
                <w:sz w:val="16"/>
                <w:szCs w:val="16"/>
                <w:lang w:eastAsia="zh-CN" w:bidi="ar"/>
              </w:rPr>
              <w:t xml:space="preserve"> </w:t>
            </w:r>
            <w:r>
              <w:rPr>
                <w:rFonts w:eastAsia="SimSun"/>
                <w:sz w:val="16"/>
                <w:szCs w:val="16"/>
                <w:lang w:val="en-US" w:eastAsia="zh-CN" w:bidi="ar"/>
              </w:rPr>
              <w:t xml:space="preserve">REVESTIMENTO HIDROFÍLICO </w:t>
            </w:r>
            <w:r>
              <w:rPr>
                <w:rFonts w:eastAsia="SimSun"/>
                <w:sz w:val="16"/>
                <w:szCs w:val="16"/>
                <w:lang w:eastAsia="zh-CN" w:bidi="ar"/>
              </w:rPr>
              <w:t xml:space="preserve"> </w:t>
            </w:r>
            <w:r>
              <w:rPr>
                <w:rFonts w:eastAsia="SimSun"/>
                <w:sz w:val="16"/>
                <w:szCs w:val="16"/>
                <w:lang w:val="en-US" w:eastAsia="zh-CN" w:bidi="ar"/>
              </w:rPr>
              <w:t>MASCULINO</w:t>
            </w:r>
            <w:r>
              <w:rPr>
                <w:rFonts w:eastAsia="SimSun"/>
                <w:sz w:val="16"/>
                <w:szCs w:val="16"/>
                <w:lang w:eastAsia="zh-CN" w:bidi="ar"/>
              </w:rPr>
              <w:t xml:space="preserve"> (</w:t>
            </w:r>
            <w:r>
              <w:rPr>
                <w:rFonts w:eastAsia="SimSun"/>
                <w:sz w:val="16"/>
                <w:szCs w:val="16"/>
                <w:lang w:val="en-US" w:eastAsia="zh-CN" w:bidi="ar"/>
              </w:rPr>
              <w:t>Calibre 08 ao 14</w:t>
            </w:r>
            <w:r>
              <w:rPr>
                <w:rFonts w:eastAsia="SimSun"/>
                <w:sz w:val="16"/>
                <w:szCs w:val="16"/>
                <w:lang w:eastAsia="zh-CN" w:bidi="ar"/>
              </w:rPr>
              <w:t>)</w:t>
            </w:r>
            <w:r>
              <w:rPr>
                <w:rFonts w:eastAsia="SimSun"/>
                <w:sz w:val="16"/>
                <w:szCs w:val="16"/>
                <w:lang w:val="en-US" w:eastAsia="zh-CN" w:bidi="ar"/>
              </w:rPr>
              <w:t xml:space="preserve"> APROVADO </w:t>
            </w:r>
            <w:r>
              <w:rPr>
                <w:rFonts w:eastAsia="SimSun"/>
                <w:sz w:val="16"/>
                <w:szCs w:val="16"/>
                <w:lang w:eastAsia="zh-CN" w:bidi="ar"/>
              </w:rPr>
              <w:t xml:space="preserve"> </w:t>
            </w:r>
            <w:r>
              <w:rPr>
                <w:rFonts w:eastAsia="SimSun"/>
                <w:sz w:val="16"/>
                <w:szCs w:val="16"/>
                <w:lang w:val="en-US" w:eastAsia="zh-CN" w:bidi="ar"/>
              </w:rPr>
              <w:t xml:space="preserve">PELA CONITEC. EMBALADO EM </w:t>
            </w:r>
            <w:r>
              <w:rPr>
                <w:rFonts w:eastAsia="SimSun"/>
                <w:sz w:val="16"/>
                <w:szCs w:val="16"/>
                <w:lang w:eastAsia="zh-CN" w:bidi="ar"/>
              </w:rPr>
              <w:t xml:space="preserve"> </w:t>
            </w:r>
            <w:r>
              <w:rPr>
                <w:rFonts w:eastAsia="SimSun"/>
                <w:sz w:val="16"/>
                <w:szCs w:val="16"/>
                <w:lang w:val="en-US" w:eastAsia="zh-CN" w:bidi="ar"/>
              </w:rPr>
              <w:t xml:space="preserve">ALUMÍNIO PARA PROMOVER BARREIRA </w:t>
            </w:r>
            <w:r>
              <w:rPr>
                <w:rFonts w:eastAsia="SimSun"/>
                <w:sz w:val="16"/>
                <w:szCs w:val="16"/>
                <w:lang w:eastAsia="zh-CN" w:bidi="ar"/>
              </w:rPr>
              <w:t xml:space="preserve"> </w:t>
            </w:r>
            <w:r>
              <w:rPr>
                <w:rFonts w:eastAsia="SimSun"/>
                <w:sz w:val="16"/>
                <w:szCs w:val="16"/>
                <w:lang w:val="en-US" w:eastAsia="zh-CN" w:bidi="ar"/>
              </w:rPr>
              <w:t>MICROBIANA E ABERTURA ASSÉPTICA.</w:t>
            </w:r>
            <w:r>
              <w:rPr>
                <w:rFonts w:eastAsia="SimSun"/>
                <w:sz w:val="16"/>
                <w:szCs w:val="16"/>
                <w:lang w:eastAsia="zh-CN" w:bidi="ar"/>
              </w:rPr>
              <w:t xml:space="preserve"> </w:t>
            </w:r>
            <w:r>
              <w:rPr>
                <w:rFonts w:eastAsia="SimSun"/>
                <w:sz w:val="16"/>
                <w:szCs w:val="16"/>
                <w:lang w:val="en-US" w:eastAsia="zh-CN" w:bidi="ar"/>
              </w:rPr>
              <w:t xml:space="preserve">O PRODUTO DEVERÁ TER REGISTRO </w:t>
            </w:r>
            <w:r>
              <w:rPr>
                <w:rFonts w:eastAsia="SimSun"/>
                <w:sz w:val="16"/>
                <w:szCs w:val="16"/>
                <w:lang w:eastAsia="zh-CN" w:bidi="ar"/>
              </w:rPr>
              <w:t xml:space="preserve"> </w:t>
            </w:r>
            <w:r>
              <w:rPr>
                <w:rFonts w:eastAsia="SimSun"/>
                <w:sz w:val="16"/>
                <w:szCs w:val="16"/>
                <w:lang w:val="en-US" w:eastAsia="zh-CN" w:bidi="ar"/>
              </w:rPr>
              <w:t xml:space="preserve">COMO PRODUTO MÉDICO PARA SAÚDE, </w:t>
            </w:r>
            <w:r>
              <w:rPr>
                <w:rFonts w:eastAsia="SimSun"/>
                <w:sz w:val="16"/>
                <w:szCs w:val="16"/>
                <w:lang w:eastAsia="zh-CN" w:bidi="ar"/>
              </w:rPr>
              <w:t xml:space="preserve"> </w:t>
            </w:r>
            <w:r>
              <w:rPr>
                <w:rFonts w:eastAsia="SimSun"/>
                <w:sz w:val="16"/>
                <w:szCs w:val="16"/>
                <w:lang w:val="en-US" w:eastAsia="zh-CN" w:bidi="ar"/>
              </w:rPr>
              <w:t xml:space="preserve">APRESENTANDO BOAS PRÁTICAS DE FABRICAÇÃO E CARTA DE </w:t>
            </w:r>
            <w:r>
              <w:rPr>
                <w:rFonts w:eastAsia="SimSun"/>
                <w:sz w:val="16"/>
                <w:szCs w:val="16"/>
                <w:lang w:eastAsia="zh-CN" w:bidi="ar"/>
              </w:rPr>
              <w:t xml:space="preserve"> </w:t>
            </w:r>
            <w:r>
              <w:rPr>
                <w:rFonts w:eastAsia="SimSun"/>
                <w:sz w:val="16"/>
                <w:szCs w:val="16"/>
                <w:lang w:val="en-US" w:eastAsia="zh-CN" w:bidi="ar"/>
              </w:rPr>
              <w:t>RECOMENDAÇÃO</w:t>
            </w:r>
            <w:r>
              <w:rPr>
                <w:rFonts w:eastAsia="SimSun"/>
                <w:sz w:val="16"/>
                <w:szCs w:val="16"/>
                <w:lang w:eastAsia="zh-CN" w:bidi="ar"/>
              </w:rPr>
              <w:t>.</w:t>
            </w:r>
          </w:p>
          <w:p w14:paraId="0FE6AEBD">
            <w:pPr>
              <w:jc w:val="both"/>
              <w:rPr>
                <w:rFonts w:eastAsia="SimSun"/>
                <w:sz w:val="16"/>
                <w:szCs w:val="16"/>
                <w:lang w:eastAsia="zh-CN" w:bidi="ar"/>
              </w:rPr>
            </w:pPr>
            <w:r>
              <w:rPr>
                <w:rFonts w:eastAsia="SimSun"/>
                <w:sz w:val="16"/>
                <w:szCs w:val="16"/>
                <w:lang w:val="en-US" w:eastAsia="zh-CN" w:bidi="ar"/>
              </w:rPr>
              <w:t xml:space="preserve">CATÉTER URETRAL COM </w:t>
            </w:r>
            <w:r>
              <w:rPr>
                <w:rFonts w:eastAsia="SimSun"/>
                <w:sz w:val="16"/>
                <w:szCs w:val="16"/>
                <w:lang w:eastAsia="zh-CN" w:bidi="ar"/>
              </w:rPr>
              <w:t xml:space="preserve"> </w:t>
            </w:r>
            <w:r>
              <w:rPr>
                <w:rFonts w:eastAsia="SimSun"/>
                <w:sz w:val="16"/>
                <w:szCs w:val="16"/>
                <w:lang w:val="en-US" w:eastAsia="zh-CN" w:bidi="ar"/>
              </w:rPr>
              <w:t xml:space="preserve">REVESTIMENTO HIDROFÍLICO </w:t>
            </w:r>
            <w:r>
              <w:rPr>
                <w:rFonts w:eastAsia="SimSun"/>
                <w:sz w:val="16"/>
                <w:szCs w:val="16"/>
                <w:lang w:eastAsia="zh-CN" w:bidi="ar"/>
              </w:rPr>
              <w:t xml:space="preserve"> FEMININO (</w:t>
            </w:r>
            <w:r>
              <w:rPr>
                <w:rFonts w:eastAsia="SimSun"/>
                <w:sz w:val="16"/>
                <w:szCs w:val="16"/>
                <w:lang w:val="en-US" w:eastAsia="zh-CN" w:bidi="ar"/>
              </w:rPr>
              <w:t>Calibre 0</w:t>
            </w:r>
            <w:r>
              <w:rPr>
                <w:rFonts w:eastAsia="SimSun"/>
                <w:sz w:val="16"/>
                <w:szCs w:val="16"/>
                <w:lang w:eastAsia="zh-CN" w:bidi="ar"/>
              </w:rPr>
              <w:t>6</w:t>
            </w:r>
            <w:r>
              <w:rPr>
                <w:rFonts w:eastAsia="SimSun"/>
                <w:sz w:val="16"/>
                <w:szCs w:val="16"/>
                <w:lang w:val="en-US" w:eastAsia="zh-CN" w:bidi="ar"/>
              </w:rPr>
              <w:t xml:space="preserve"> ao 1</w:t>
            </w:r>
            <w:r>
              <w:rPr>
                <w:rFonts w:eastAsia="SimSun"/>
                <w:sz w:val="16"/>
                <w:szCs w:val="16"/>
                <w:lang w:eastAsia="zh-CN" w:bidi="ar"/>
              </w:rPr>
              <w:t>2)</w:t>
            </w:r>
            <w:r>
              <w:rPr>
                <w:rFonts w:eastAsia="SimSun"/>
                <w:sz w:val="16"/>
                <w:szCs w:val="16"/>
                <w:lang w:val="en-US" w:eastAsia="zh-CN" w:bidi="ar"/>
              </w:rPr>
              <w:t xml:space="preserve"> APROVADO </w:t>
            </w:r>
            <w:r>
              <w:rPr>
                <w:rFonts w:eastAsia="SimSun"/>
                <w:sz w:val="16"/>
                <w:szCs w:val="16"/>
                <w:lang w:eastAsia="zh-CN" w:bidi="ar"/>
              </w:rPr>
              <w:t xml:space="preserve"> </w:t>
            </w:r>
            <w:r>
              <w:rPr>
                <w:rFonts w:eastAsia="SimSun"/>
                <w:sz w:val="16"/>
                <w:szCs w:val="16"/>
                <w:lang w:val="en-US" w:eastAsia="zh-CN" w:bidi="ar"/>
              </w:rPr>
              <w:t xml:space="preserve">PELA CONITEC. EMBALADO EM </w:t>
            </w:r>
            <w:r>
              <w:rPr>
                <w:rFonts w:eastAsia="SimSun"/>
                <w:sz w:val="16"/>
                <w:szCs w:val="16"/>
                <w:lang w:eastAsia="zh-CN" w:bidi="ar"/>
              </w:rPr>
              <w:t xml:space="preserve"> </w:t>
            </w:r>
            <w:r>
              <w:rPr>
                <w:rFonts w:eastAsia="SimSun"/>
                <w:sz w:val="16"/>
                <w:szCs w:val="16"/>
                <w:lang w:val="en-US" w:eastAsia="zh-CN" w:bidi="ar"/>
              </w:rPr>
              <w:t xml:space="preserve">ALUMÍNIO PARA PROMOVER BARREIRA </w:t>
            </w:r>
            <w:r>
              <w:rPr>
                <w:rFonts w:eastAsia="SimSun"/>
                <w:sz w:val="16"/>
                <w:szCs w:val="16"/>
                <w:lang w:eastAsia="zh-CN" w:bidi="ar"/>
              </w:rPr>
              <w:t xml:space="preserve"> </w:t>
            </w:r>
            <w:r>
              <w:rPr>
                <w:rFonts w:eastAsia="SimSun"/>
                <w:sz w:val="16"/>
                <w:szCs w:val="16"/>
                <w:lang w:val="en-US" w:eastAsia="zh-CN" w:bidi="ar"/>
              </w:rPr>
              <w:t>MICROBIANA E ABERTURA ASSÉPTICA.</w:t>
            </w:r>
            <w:r>
              <w:rPr>
                <w:rFonts w:eastAsia="SimSun"/>
                <w:sz w:val="16"/>
                <w:szCs w:val="16"/>
                <w:lang w:eastAsia="zh-CN" w:bidi="ar"/>
              </w:rPr>
              <w:t xml:space="preserve"> </w:t>
            </w:r>
            <w:r>
              <w:rPr>
                <w:rFonts w:eastAsia="SimSun"/>
                <w:sz w:val="16"/>
                <w:szCs w:val="16"/>
                <w:lang w:val="en-US" w:eastAsia="zh-CN" w:bidi="ar"/>
              </w:rPr>
              <w:t xml:space="preserve">O PRODUTO DEVERÁ TER REGISTRO </w:t>
            </w:r>
            <w:r>
              <w:rPr>
                <w:rFonts w:eastAsia="SimSun"/>
                <w:sz w:val="16"/>
                <w:szCs w:val="16"/>
                <w:lang w:eastAsia="zh-CN" w:bidi="ar"/>
              </w:rPr>
              <w:t xml:space="preserve"> </w:t>
            </w:r>
            <w:r>
              <w:rPr>
                <w:rFonts w:eastAsia="SimSun"/>
                <w:sz w:val="16"/>
                <w:szCs w:val="16"/>
                <w:lang w:val="en-US" w:eastAsia="zh-CN" w:bidi="ar"/>
              </w:rPr>
              <w:t xml:space="preserve">COMO PRODUTO MÉDICO PARA SAÚDE, </w:t>
            </w:r>
            <w:r>
              <w:rPr>
                <w:rFonts w:eastAsia="SimSun"/>
                <w:sz w:val="16"/>
                <w:szCs w:val="16"/>
                <w:lang w:eastAsia="zh-CN" w:bidi="ar"/>
              </w:rPr>
              <w:t xml:space="preserve"> </w:t>
            </w:r>
            <w:r>
              <w:rPr>
                <w:rFonts w:eastAsia="SimSun"/>
                <w:sz w:val="16"/>
                <w:szCs w:val="16"/>
                <w:lang w:val="en-US" w:eastAsia="zh-CN" w:bidi="ar"/>
              </w:rPr>
              <w:t xml:space="preserve">APRESENTANDO BOAS PRÁTICAS DE FABRICAÇÃO E CARTA DE </w:t>
            </w:r>
            <w:r>
              <w:rPr>
                <w:rFonts w:eastAsia="SimSun"/>
                <w:sz w:val="16"/>
                <w:szCs w:val="16"/>
                <w:lang w:eastAsia="zh-CN" w:bidi="ar"/>
              </w:rPr>
              <w:t xml:space="preserve"> </w:t>
            </w:r>
            <w:r>
              <w:rPr>
                <w:rFonts w:eastAsia="SimSun"/>
                <w:sz w:val="16"/>
                <w:szCs w:val="16"/>
                <w:lang w:val="en-US" w:eastAsia="zh-CN" w:bidi="ar"/>
              </w:rPr>
              <w:t>RECOMENDAÇÃO</w:t>
            </w:r>
            <w:r>
              <w:rPr>
                <w:rFonts w:eastAsia="SimSun"/>
                <w:sz w:val="16"/>
                <w:szCs w:val="16"/>
                <w:lang w:eastAsia="zh-CN" w:bidi="ar"/>
              </w:rPr>
              <w:t>.</w:t>
            </w:r>
          </w:p>
          <w:p w14:paraId="1FCA4235">
            <w:pPr>
              <w:jc w:val="both"/>
              <w:rPr>
                <w:sz w:val="16"/>
                <w:szCs w:val="16"/>
              </w:rPr>
            </w:pPr>
            <w:r>
              <w:rPr>
                <w:rFonts w:eastAsia="SimSun"/>
                <w:sz w:val="16"/>
                <w:szCs w:val="16"/>
                <w:lang w:val="en-US" w:eastAsia="zh-CN" w:bidi="ar"/>
              </w:rPr>
              <w:t xml:space="preserve">COM </w:t>
            </w:r>
            <w:r>
              <w:rPr>
                <w:rFonts w:eastAsia="SimSun"/>
                <w:sz w:val="16"/>
                <w:szCs w:val="16"/>
                <w:lang w:eastAsia="zh-CN" w:bidi="ar"/>
              </w:rPr>
              <w:t xml:space="preserve"> </w:t>
            </w:r>
            <w:r>
              <w:rPr>
                <w:rFonts w:eastAsia="SimSun"/>
                <w:sz w:val="16"/>
                <w:szCs w:val="16"/>
                <w:lang w:val="en-US" w:eastAsia="zh-CN" w:bidi="ar"/>
              </w:rPr>
              <w:t xml:space="preserve">REVESTIMENTO HIDROFÍLICO </w:t>
            </w:r>
            <w:r>
              <w:rPr>
                <w:rFonts w:eastAsia="SimSun"/>
                <w:sz w:val="16"/>
                <w:szCs w:val="16"/>
                <w:lang w:eastAsia="zh-CN" w:bidi="ar"/>
              </w:rPr>
              <w:t xml:space="preserve"> </w:t>
            </w:r>
            <w:r>
              <w:rPr>
                <w:rFonts w:eastAsia="SimSun"/>
                <w:sz w:val="16"/>
                <w:szCs w:val="16"/>
                <w:lang w:val="en-US" w:eastAsia="zh-CN" w:bidi="ar"/>
              </w:rPr>
              <w:t xml:space="preserve">COMPOSTO POR POLIVILPIRROLIDONA </w:t>
            </w:r>
            <w:r>
              <w:rPr>
                <w:rFonts w:eastAsia="SimSun"/>
                <w:sz w:val="16"/>
                <w:szCs w:val="16"/>
                <w:lang w:eastAsia="zh-CN" w:bidi="ar"/>
              </w:rPr>
              <w:t xml:space="preserve"> </w:t>
            </w:r>
            <w:r>
              <w:rPr>
                <w:rFonts w:eastAsia="SimSun"/>
                <w:sz w:val="16"/>
                <w:szCs w:val="16"/>
                <w:lang w:val="en-US" w:eastAsia="zh-CN" w:bidi="ar"/>
              </w:rPr>
              <w:t xml:space="preserve">(PVP) E SOLUÇÃO SALINA (NACL 0,9%), MASCULINO, ESTÉRIL, DO TIPO </w:t>
            </w:r>
            <w:r>
              <w:rPr>
                <w:rFonts w:eastAsia="SimSun"/>
                <w:sz w:val="16"/>
                <w:szCs w:val="16"/>
                <w:lang w:eastAsia="zh-CN" w:bidi="ar"/>
              </w:rPr>
              <w:t xml:space="preserve"> </w:t>
            </w:r>
            <w:r>
              <w:rPr>
                <w:rFonts w:eastAsia="SimSun"/>
                <w:sz w:val="16"/>
                <w:szCs w:val="16"/>
                <w:lang w:val="en-US" w:eastAsia="zh-CN" w:bidi="ar"/>
              </w:rPr>
              <w:t xml:space="preserve">INTERMITENTE, CONFECCIONADO EM </w:t>
            </w:r>
          </w:p>
          <w:p w14:paraId="2D5AB1EA">
            <w:pPr>
              <w:jc w:val="both"/>
              <w:rPr>
                <w:sz w:val="16"/>
                <w:szCs w:val="16"/>
              </w:rPr>
            </w:pPr>
            <w:r>
              <w:rPr>
                <w:rFonts w:eastAsia="SimSun"/>
                <w:sz w:val="16"/>
                <w:szCs w:val="16"/>
                <w:lang w:val="en-US" w:eastAsia="zh-CN" w:bidi="ar"/>
              </w:rPr>
              <w:t xml:space="preserve">POLIURETANO, ATÓXICO, HIPOALERGÊNICO. ISENTO DE PVC E </w:t>
            </w:r>
            <w:r>
              <w:rPr>
                <w:rFonts w:eastAsia="SimSun"/>
                <w:sz w:val="16"/>
                <w:szCs w:val="16"/>
                <w:lang w:eastAsia="zh-CN" w:bidi="ar"/>
              </w:rPr>
              <w:t xml:space="preserve"> </w:t>
            </w:r>
            <w:r>
              <w:rPr>
                <w:rFonts w:eastAsia="SimSun"/>
                <w:sz w:val="16"/>
                <w:szCs w:val="16"/>
                <w:lang w:val="en-US" w:eastAsia="zh-CN" w:bidi="ar"/>
              </w:rPr>
              <w:t xml:space="preserve">FTALATO. APRESENTANDO ORIFÍCIOS DE DRENAGEM RADIAIS, POLIDOS E LUBRIFICADOS. PRONTO PARA USO, </w:t>
            </w:r>
          </w:p>
          <w:p w14:paraId="0B681C80">
            <w:pPr>
              <w:jc w:val="both"/>
              <w:rPr>
                <w:sz w:val="16"/>
                <w:szCs w:val="16"/>
              </w:rPr>
            </w:pPr>
            <w:r>
              <w:rPr>
                <w:rFonts w:eastAsia="SimSun"/>
                <w:sz w:val="16"/>
                <w:szCs w:val="16"/>
                <w:lang w:val="en-US" w:eastAsia="zh-CN" w:bidi="ar"/>
              </w:rPr>
              <w:t xml:space="preserve">SEM NECESSIDADE DE ADIÇÃO DE ÁGUA PARA DILUIR SUBSTÂNCIA </w:t>
            </w:r>
            <w:r>
              <w:rPr>
                <w:rFonts w:eastAsia="SimSun"/>
                <w:sz w:val="16"/>
                <w:szCs w:val="16"/>
                <w:lang w:eastAsia="zh-CN" w:bidi="ar"/>
              </w:rPr>
              <w:t xml:space="preserve"> </w:t>
            </w:r>
            <w:r>
              <w:rPr>
                <w:rFonts w:eastAsia="SimSun"/>
                <w:sz w:val="16"/>
                <w:szCs w:val="16"/>
                <w:lang w:val="en-US" w:eastAsia="zh-CN" w:bidi="ar"/>
              </w:rPr>
              <w:t xml:space="preserve">LUBRIFICANTE E ACIONAR OU ROMPER </w:t>
            </w:r>
            <w:r>
              <w:rPr>
                <w:rFonts w:eastAsia="SimSun"/>
                <w:sz w:val="16"/>
                <w:szCs w:val="16"/>
                <w:lang w:eastAsia="zh-CN" w:bidi="ar"/>
              </w:rPr>
              <w:t xml:space="preserve"> </w:t>
            </w:r>
            <w:r>
              <w:rPr>
                <w:rFonts w:eastAsia="SimSun"/>
                <w:sz w:val="16"/>
                <w:szCs w:val="16"/>
                <w:lang w:val="en-US" w:eastAsia="zh-CN" w:bidi="ar"/>
              </w:rPr>
              <w:t xml:space="preserve">QUALQUER TIPO DE DISPOSITIVO COM </w:t>
            </w:r>
            <w:r>
              <w:rPr>
                <w:rFonts w:eastAsia="SimSun"/>
                <w:sz w:val="16"/>
                <w:szCs w:val="16"/>
                <w:lang w:eastAsia="zh-CN" w:bidi="ar"/>
              </w:rPr>
              <w:t xml:space="preserve"> </w:t>
            </w:r>
            <w:r>
              <w:rPr>
                <w:rFonts w:eastAsia="SimSun"/>
                <w:sz w:val="16"/>
                <w:szCs w:val="16"/>
                <w:lang w:val="en-US" w:eastAsia="zh-CN" w:bidi="ar"/>
              </w:rPr>
              <w:t xml:space="preserve">SUBSTÂNCIA LUBRIFICANTE E DE USO </w:t>
            </w:r>
            <w:r>
              <w:rPr>
                <w:rFonts w:eastAsia="SimSun"/>
                <w:sz w:val="16"/>
                <w:szCs w:val="16"/>
                <w:lang w:eastAsia="zh-CN" w:bidi="ar"/>
              </w:rPr>
              <w:t xml:space="preserve"> </w:t>
            </w:r>
            <w:r>
              <w:rPr>
                <w:rFonts w:eastAsia="SimSun"/>
                <w:sz w:val="16"/>
                <w:szCs w:val="16"/>
                <w:lang w:val="en-US" w:eastAsia="zh-CN" w:bidi="ar"/>
              </w:rPr>
              <w:t xml:space="preserve">ÚNICO. </w:t>
            </w:r>
          </w:p>
          <w:p w14:paraId="341A20B5">
            <w:pPr>
              <w:jc w:val="both"/>
              <w:rPr>
                <w:sz w:val="16"/>
                <w:szCs w:val="16"/>
                <w:lang w:eastAsia="hi-IN"/>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965A129">
            <w:pPr>
              <w:jc w:val="center"/>
              <w:rPr>
                <w:sz w:val="24"/>
                <w:szCs w:val="24"/>
                <w:lang w:eastAsia="hi-IN"/>
              </w:rPr>
            </w:pPr>
          </w:p>
          <w:p w14:paraId="7AE480D3">
            <w:pPr>
              <w:jc w:val="center"/>
              <w:rPr>
                <w:sz w:val="24"/>
                <w:szCs w:val="24"/>
                <w:lang w:eastAsia="hi-IN"/>
              </w:rPr>
            </w:pPr>
          </w:p>
          <w:p w14:paraId="2B2F242D">
            <w:pPr>
              <w:jc w:val="center"/>
              <w:rPr>
                <w:sz w:val="24"/>
                <w:szCs w:val="24"/>
                <w:lang w:eastAsia="hi-IN"/>
              </w:rPr>
            </w:pPr>
          </w:p>
          <w:p w14:paraId="4A8BA033">
            <w:pPr>
              <w:jc w:val="center"/>
              <w:rPr>
                <w:sz w:val="24"/>
                <w:szCs w:val="24"/>
                <w:lang w:eastAsia="hi-IN"/>
              </w:rPr>
            </w:pPr>
          </w:p>
          <w:p w14:paraId="698D93CD">
            <w:pPr>
              <w:jc w:val="center"/>
              <w:rPr>
                <w:sz w:val="24"/>
                <w:szCs w:val="24"/>
                <w:lang w:eastAsia="hi-IN"/>
              </w:rPr>
            </w:pPr>
          </w:p>
          <w:p w14:paraId="776C000D">
            <w:pPr>
              <w:jc w:val="center"/>
              <w:rPr>
                <w:sz w:val="24"/>
                <w:szCs w:val="24"/>
                <w:lang w:eastAsia="hi-IN"/>
              </w:rPr>
            </w:pPr>
          </w:p>
          <w:p w14:paraId="054AF819">
            <w:pPr>
              <w:jc w:val="center"/>
              <w:rPr>
                <w:sz w:val="24"/>
                <w:szCs w:val="24"/>
                <w:lang w:eastAsia="hi-IN"/>
              </w:rPr>
            </w:pPr>
          </w:p>
          <w:p w14:paraId="281C96D9">
            <w:pPr>
              <w:jc w:val="center"/>
              <w:rPr>
                <w:sz w:val="24"/>
                <w:szCs w:val="24"/>
                <w:lang w:eastAsia="hi-IN"/>
              </w:rPr>
            </w:pPr>
          </w:p>
          <w:p w14:paraId="6BD3CC69">
            <w:pPr>
              <w:jc w:val="center"/>
              <w:rPr>
                <w:sz w:val="24"/>
                <w:szCs w:val="24"/>
                <w:lang w:eastAsia="hi-IN"/>
              </w:rPr>
            </w:pPr>
          </w:p>
          <w:p w14:paraId="3755C039">
            <w:pPr>
              <w:jc w:val="center"/>
              <w:rPr>
                <w:sz w:val="24"/>
                <w:szCs w:val="24"/>
                <w:lang w:eastAsia="hi-IN"/>
              </w:rPr>
            </w:pPr>
          </w:p>
          <w:p w14:paraId="6FBC09B8">
            <w:pPr>
              <w:jc w:val="center"/>
              <w:rPr>
                <w:sz w:val="24"/>
                <w:szCs w:val="24"/>
                <w:lang w:eastAsia="hi-IN"/>
              </w:rPr>
            </w:pPr>
          </w:p>
          <w:p w14:paraId="1BCDCED5">
            <w:pPr>
              <w:jc w:val="center"/>
              <w:rPr>
                <w:sz w:val="24"/>
                <w:szCs w:val="24"/>
                <w:lang w:eastAsia="hi-IN"/>
              </w:rPr>
            </w:pPr>
          </w:p>
          <w:p w14:paraId="418485F0">
            <w:pPr>
              <w:jc w:val="center"/>
              <w:rPr>
                <w:sz w:val="24"/>
                <w:szCs w:val="24"/>
                <w:lang w:eastAsia="hi-IN"/>
              </w:rPr>
            </w:pPr>
            <w:r>
              <w:rPr>
                <w:sz w:val="24"/>
                <w:szCs w:val="24"/>
                <w:lang w:eastAsia="hi-IN"/>
              </w:rPr>
              <w:t>36.000</w:t>
            </w: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41329BF">
            <w:pPr>
              <w:jc w:val="center"/>
              <w:textAlignment w:val="bottom"/>
              <w:rPr>
                <w:rFonts w:eastAsia="SimSun"/>
                <w:sz w:val="24"/>
                <w:szCs w:val="24"/>
                <w:lang w:eastAsia="zh-CN" w:bidi="ar"/>
              </w:rPr>
            </w:pPr>
          </w:p>
          <w:p w14:paraId="3E354AE5">
            <w:pPr>
              <w:jc w:val="center"/>
              <w:textAlignment w:val="bottom"/>
              <w:rPr>
                <w:rFonts w:eastAsia="SimSun"/>
                <w:sz w:val="24"/>
                <w:szCs w:val="24"/>
                <w:lang w:eastAsia="zh-CN" w:bidi="ar"/>
              </w:rPr>
            </w:pPr>
          </w:p>
          <w:p w14:paraId="1D870A1C">
            <w:pPr>
              <w:jc w:val="center"/>
              <w:textAlignment w:val="bottom"/>
              <w:rPr>
                <w:rFonts w:eastAsia="SimSun"/>
                <w:sz w:val="24"/>
                <w:szCs w:val="24"/>
                <w:lang w:eastAsia="zh-CN" w:bidi="ar"/>
              </w:rPr>
            </w:pPr>
          </w:p>
          <w:p w14:paraId="609BA29F">
            <w:pPr>
              <w:jc w:val="center"/>
              <w:textAlignment w:val="bottom"/>
              <w:rPr>
                <w:rFonts w:eastAsia="SimSun"/>
                <w:sz w:val="24"/>
                <w:szCs w:val="24"/>
                <w:lang w:eastAsia="zh-CN" w:bidi="ar"/>
              </w:rPr>
            </w:pPr>
          </w:p>
          <w:p w14:paraId="4DBA8E6B">
            <w:pPr>
              <w:jc w:val="center"/>
              <w:textAlignment w:val="bottom"/>
              <w:rPr>
                <w:rFonts w:eastAsia="SimSun"/>
                <w:sz w:val="24"/>
                <w:szCs w:val="24"/>
                <w:lang w:eastAsia="zh-CN" w:bidi="ar"/>
              </w:rPr>
            </w:pPr>
          </w:p>
          <w:p w14:paraId="08F684DA">
            <w:pPr>
              <w:jc w:val="center"/>
              <w:textAlignment w:val="bottom"/>
              <w:rPr>
                <w:rFonts w:eastAsia="SimSun"/>
                <w:sz w:val="24"/>
                <w:szCs w:val="24"/>
                <w:lang w:eastAsia="zh-CN" w:bidi="ar"/>
              </w:rPr>
            </w:pPr>
          </w:p>
          <w:p w14:paraId="74535AD6">
            <w:pPr>
              <w:jc w:val="center"/>
              <w:textAlignment w:val="bottom"/>
              <w:rPr>
                <w:rFonts w:eastAsia="SimSun"/>
                <w:sz w:val="24"/>
                <w:szCs w:val="24"/>
                <w:lang w:eastAsia="zh-CN" w:bidi="ar"/>
              </w:rPr>
            </w:pPr>
          </w:p>
          <w:p w14:paraId="3CD0B40F">
            <w:pPr>
              <w:jc w:val="center"/>
              <w:textAlignment w:val="bottom"/>
              <w:rPr>
                <w:rFonts w:eastAsia="SimSun"/>
                <w:sz w:val="24"/>
                <w:szCs w:val="24"/>
                <w:lang w:eastAsia="zh-CN" w:bidi="ar"/>
              </w:rPr>
            </w:pPr>
          </w:p>
          <w:p w14:paraId="2D988814">
            <w:pPr>
              <w:jc w:val="center"/>
              <w:textAlignment w:val="bottom"/>
              <w:rPr>
                <w:rFonts w:eastAsia="SimSun"/>
                <w:sz w:val="24"/>
                <w:szCs w:val="24"/>
                <w:lang w:eastAsia="zh-CN" w:bidi="ar"/>
              </w:rPr>
            </w:pPr>
          </w:p>
          <w:p w14:paraId="4FA93EEE">
            <w:pPr>
              <w:jc w:val="center"/>
              <w:textAlignment w:val="bottom"/>
              <w:rPr>
                <w:rFonts w:eastAsia="SimSun"/>
                <w:sz w:val="24"/>
                <w:szCs w:val="24"/>
                <w:lang w:eastAsia="zh-CN" w:bidi="ar"/>
              </w:rPr>
            </w:pPr>
          </w:p>
          <w:p w14:paraId="2AE01E3C">
            <w:pPr>
              <w:jc w:val="center"/>
              <w:textAlignment w:val="bottom"/>
              <w:rPr>
                <w:rFonts w:eastAsia="SimSun"/>
                <w:sz w:val="24"/>
                <w:szCs w:val="24"/>
                <w:lang w:eastAsia="zh-CN" w:bidi="ar"/>
              </w:rPr>
            </w:pPr>
          </w:p>
          <w:p w14:paraId="72F49B3E">
            <w:pPr>
              <w:jc w:val="center"/>
              <w:textAlignment w:val="bottom"/>
              <w:rPr>
                <w:rFonts w:eastAsia="SimSun"/>
                <w:sz w:val="24"/>
                <w:szCs w:val="24"/>
                <w:lang w:eastAsia="zh-CN" w:bidi="ar"/>
              </w:rPr>
            </w:pPr>
          </w:p>
          <w:p w14:paraId="2CF48340">
            <w:pPr>
              <w:jc w:val="center"/>
              <w:textAlignment w:val="bottom"/>
              <w:rPr>
                <w:rFonts w:eastAsia="SimSun"/>
                <w:sz w:val="24"/>
                <w:szCs w:val="24"/>
                <w:lang w:eastAsia="zh-CN" w:bidi="ar"/>
              </w:rPr>
            </w:pPr>
          </w:p>
          <w:p w14:paraId="3B5BED1E">
            <w:pPr>
              <w:jc w:val="center"/>
              <w:textAlignment w:val="bottom"/>
              <w:rPr>
                <w:rFonts w:eastAsia="SimSun"/>
                <w:sz w:val="24"/>
                <w:szCs w:val="24"/>
                <w:lang w:eastAsia="zh-CN" w:bidi="ar"/>
              </w:rPr>
            </w:pPr>
            <w:r>
              <w:rPr>
                <w:rFonts w:eastAsia="SimSun"/>
                <w:sz w:val="24"/>
                <w:szCs w:val="24"/>
                <w:lang w:eastAsia="zh-CN" w:bidi="ar"/>
              </w:rPr>
              <w:t>469441</w:t>
            </w: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50A45A95">
            <w:pPr>
              <w:jc w:val="center"/>
              <w:textAlignment w:val="bottom"/>
              <w:rPr>
                <w:rFonts w:eastAsia="SimSun"/>
                <w:sz w:val="24"/>
                <w:szCs w:val="24"/>
                <w:lang w:eastAsia="zh-CN" w:bidi="ar"/>
              </w:rPr>
            </w:pPr>
            <w:r>
              <w:rPr>
                <w:rFonts w:eastAsia="SimSun"/>
                <w:sz w:val="24"/>
                <w:szCs w:val="24"/>
                <w:lang w:eastAsia="zh-CN" w:bidi="ar"/>
              </w:rPr>
              <w:t>19,13</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C33F94B">
            <w:pPr>
              <w:jc w:val="center"/>
              <w:textAlignment w:val="bottom"/>
              <w:rPr>
                <w:rFonts w:eastAsia="SimSun"/>
                <w:sz w:val="24"/>
                <w:szCs w:val="24"/>
                <w:lang w:eastAsia="zh-CN" w:bidi="ar"/>
              </w:rPr>
            </w:pPr>
            <w:r>
              <w:rPr>
                <w:rFonts w:eastAsia="SimSun"/>
                <w:sz w:val="24"/>
                <w:szCs w:val="24"/>
                <w:lang w:eastAsia="zh-CN" w:bidi="ar"/>
              </w:rPr>
              <w:t>688.680,00</w:t>
            </w:r>
          </w:p>
        </w:tc>
      </w:tr>
      <w:tr w14:paraId="7616640D">
        <w:tblPrEx>
          <w:tblCellMar>
            <w:top w:w="0" w:type="dxa"/>
            <w:left w:w="10" w:type="dxa"/>
            <w:bottom w:w="0" w:type="dxa"/>
            <w:right w:w="10" w:type="dxa"/>
          </w:tblCellMar>
        </w:tblPrEx>
        <w:trPr>
          <w:trHeight w:val="376" w:hRule="atLeast"/>
        </w:trPr>
        <w:tc>
          <w:tcPr>
            <w:tcW w:w="70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01E94DA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sz w:val="18"/>
                <w:szCs w:val="18"/>
              </w:rPr>
            </w:pPr>
          </w:p>
        </w:tc>
        <w:tc>
          <w:tcPr>
            <w:tcW w:w="567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E543FFA">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rPr>
                <w:rFonts w:cs="Times New Roman"/>
                <w:sz w:val="18"/>
                <w:szCs w:val="18"/>
              </w:rPr>
            </w:pPr>
            <w:r>
              <w:rPr>
                <w:rFonts w:ascii="Times New Roman" w:hAnsi="Times New Roman" w:cs="Times New Roman"/>
                <w:color w:val="auto"/>
                <w:sz w:val="18"/>
                <w:szCs w:val="18"/>
              </w:rPr>
              <w:t>TOTAL</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127566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rPr>
            </w:pPr>
          </w:p>
        </w:tc>
        <w:tc>
          <w:tcPr>
            <w:tcW w:w="85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D29E928">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BE29186">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cs="Times New Roman"/>
              </w:rPr>
            </w:pP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1DF5B466">
            <w:pPr>
              <w:jc w:val="center"/>
              <w:textAlignment w:val="center"/>
              <w:rPr>
                <w:sz w:val="24"/>
                <w:szCs w:val="24"/>
              </w:rPr>
            </w:pPr>
            <w:r>
              <w:rPr>
                <w:rFonts w:eastAsia="SimSun"/>
                <w:sz w:val="24"/>
                <w:szCs w:val="24"/>
                <w:lang w:eastAsia="zh-CN" w:bidi="ar"/>
              </w:rPr>
              <w:t>688.680,00</w:t>
            </w:r>
          </w:p>
        </w:tc>
      </w:tr>
    </w:tbl>
    <w:p w14:paraId="54092D00">
      <w:pPr>
        <w:rPr>
          <w:color w:val="C00000"/>
          <w:sz w:val="24"/>
          <w:szCs w:val="24"/>
        </w:rPr>
      </w:pPr>
    </w:p>
    <w:p w14:paraId="7F103096">
      <w:pPr>
        <w:jc w:val="both"/>
        <w:rPr>
          <w:rFonts w:eastAsia="Cambria Math"/>
          <w:b/>
          <w:color w:val="C00000"/>
        </w:rPr>
      </w:pPr>
    </w:p>
    <w:p w14:paraId="2B24F7A9">
      <w:pPr>
        <w:jc w:val="both"/>
        <w:rPr>
          <w:rFonts w:eastAsia="Cambria Math"/>
          <w:b/>
          <w:color w:val="C00000"/>
        </w:rPr>
      </w:pPr>
    </w:p>
    <w:p w14:paraId="443DC9F6">
      <w:pPr>
        <w:jc w:val="both"/>
        <w:rPr>
          <w:rFonts w:eastAsia="Cambria Math"/>
          <w:b/>
          <w:color w:val="C00000"/>
        </w:rPr>
      </w:pPr>
    </w:p>
    <w:p w14:paraId="4D3D8957">
      <w:pPr>
        <w:jc w:val="both"/>
        <w:rPr>
          <w:rFonts w:eastAsia="Cambria Math"/>
          <w:b/>
          <w:color w:val="C00000"/>
        </w:rPr>
      </w:pPr>
    </w:p>
    <w:p w14:paraId="2F58BD29">
      <w:pPr>
        <w:jc w:val="both"/>
        <w:rPr>
          <w:rFonts w:eastAsia="Cambria Math"/>
          <w:b/>
          <w:color w:val="C00000"/>
        </w:rPr>
      </w:pPr>
    </w:p>
    <w:p w14:paraId="3EB9D682">
      <w:pPr>
        <w:jc w:val="both"/>
        <w:rPr>
          <w:rFonts w:eastAsia="Cambria Math"/>
          <w:b/>
          <w:color w:val="C00000"/>
        </w:rPr>
      </w:pPr>
    </w:p>
    <w:p w14:paraId="31DDC273">
      <w:pPr>
        <w:jc w:val="both"/>
        <w:rPr>
          <w:rFonts w:eastAsia="Cambria Math"/>
          <w:b/>
          <w:color w:val="C00000"/>
        </w:rPr>
      </w:pPr>
    </w:p>
    <w:p w14:paraId="1A07CFF9">
      <w:pPr>
        <w:jc w:val="both"/>
        <w:rPr>
          <w:rFonts w:eastAsia="Cambria Math"/>
          <w:b/>
          <w:color w:val="C00000"/>
        </w:rPr>
      </w:pPr>
    </w:p>
    <w:p w14:paraId="1179CBB8">
      <w:pPr>
        <w:jc w:val="both"/>
        <w:rPr>
          <w:rFonts w:eastAsia="Cambria Math"/>
          <w:b/>
          <w:sz w:val="24"/>
          <w:szCs w:val="24"/>
        </w:rPr>
      </w:pPr>
      <w:r>
        <w:rPr>
          <w:rFonts w:eastAsia="Cambria Math"/>
          <w:b/>
          <w:sz w:val="24"/>
          <w:szCs w:val="24"/>
          <w:lang w:val="en-US"/>
        </w:rPr>
        <w:t>4</w:t>
      </w:r>
      <w:r>
        <w:rPr>
          <w:rFonts w:eastAsia="Cambria Math"/>
          <w:b/>
          <w:sz w:val="24"/>
          <w:szCs w:val="24"/>
        </w:rPr>
        <w:t xml:space="preserve"> – JUSTIFICATIVA</w:t>
      </w:r>
    </w:p>
    <w:p w14:paraId="08891429">
      <w:pPr>
        <w:jc w:val="both"/>
        <w:rPr>
          <w:rFonts w:ascii="Arial" w:hAnsi="Arial" w:eastAsia="Cambria Math" w:cs="Arial"/>
          <w:b/>
        </w:rPr>
      </w:pPr>
    </w:p>
    <w:p w14:paraId="0DD712DC">
      <w:pPr>
        <w:spacing w:line="360" w:lineRule="auto"/>
        <w:jc w:val="both"/>
        <w:rPr>
          <w:rFonts w:eastAsia="MontserratThin"/>
          <w:color w:val="000000"/>
          <w:sz w:val="24"/>
          <w:szCs w:val="24"/>
          <w:lang w:val="en-US" w:eastAsia="zh-CN" w:bidi="ar"/>
        </w:rPr>
      </w:pPr>
      <w:r>
        <w:rPr>
          <w:rFonts w:eastAsia="MontserratThin"/>
          <w:color w:val="000000"/>
          <w:sz w:val="24"/>
          <w:szCs w:val="24"/>
          <w:lang w:val="en-US" w:eastAsia="zh-CN" w:bidi="ar"/>
        </w:rPr>
        <w:t xml:space="preserve">A contratação de empresa especializada para a </w:t>
      </w:r>
      <w:r>
        <w:rPr>
          <w:rFonts w:eastAsia="MontserratThin"/>
          <w:color w:val="000000"/>
          <w:sz w:val="24"/>
          <w:szCs w:val="24"/>
          <w:lang w:eastAsia="zh-CN" w:bidi="ar"/>
        </w:rPr>
        <w:t>a</w:t>
      </w:r>
      <w:r>
        <w:rPr>
          <w:rFonts w:eastAsia="Helvetica"/>
          <w:sz w:val="24"/>
          <w:szCs w:val="24"/>
          <w:shd w:val="clear" w:color="auto" w:fill="FFFFFF"/>
          <w:lang w:eastAsia="zh-CN" w:bidi="ar"/>
        </w:rPr>
        <w:t xml:space="preserve">quisição de cateteres uretrais destinados a atender pacientes </w:t>
      </w:r>
      <w:r>
        <w:rPr>
          <w:sz w:val="24"/>
          <w:szCs w:val="24"/>
        </w:rPr>
        <w:t>assistidos pelo Município de Valença – RJ, por meio do Centro Assistencial e de Mandados por vias administrativas e judiciais</w:t>
      </w:r>
    </w:p>
    <w:p w14:paraId="0EFB2A9C">
      <w:pPr>
        <w:spacing w:line="360" w:lineRule="auto"/>
        <w:jc w:val="both"/>
        <w:rPr>
          <w:rFonts w:eastAsia="SimSun"/>
          <w:sz w:val="24"/>
          <w:szCs w:val="24"/>
        </w:rPr>
      </w:pPr>
      <w:r>
        <w:rPr>
          <w:rFonts w:eastAsia="SimSun"/>
          <w:sz w:val="24"/>
          <w:szCs w:val="24"/>
        </w:rPr>
        <w:t xml:space="preserve">A solução especificada e que se pretende adquirir, refere-se à contratação, na modalidade Pregão Eletrônico para Registro de Preços. </w:t>
      </w:r>
    </w:p>
    <w:p w14:paraId="796A1D2E">
      <w:pPr>
        <w:pStyle w:val="274"/>
        <w:spacing w:line="360" w:lineRule="auto"/>
        <w:jc w:val="both"/>
        <w:rPr>
          <w:rFonts w:ascii="Times New Roman" w:hAnsi="Times New Roman" w:eastAsia="Cambria Math" w:cs="Times New Roman"/>
          <w:b/>
        </w:rPr>
      </w:pPr>
    </w:p>
    <w:p w14:paraId="52F1D965">
      <w:pPr>
        <w:pStyle w:val="274"/>
        <w:spacing w:line="360" w:lineRule="auto"/>
        <w:jc w:val="both"/>
        <w:rPr>
          <w:rFonts w:ascii="Times New Roman" w:hAnsi="Times New Roman" w:eastAsia="Times New Roman" w:cs="Times New Roman"/>
          <w:b/>
          <w:sz w:val="24"/>
          <w:szCs w:val="24"/>
        </w:rPr>
      </w:pPr>
      <w:r>
        <w:rPr>
          <w:rFonts w:ascii="Times New Roman" w:hAnsi="Times New Roman" w:eastAsia="Cambria Math" w:cs="Times New Roman"/>
          <w:b/>
        </w:rPr>
        <w:t xml:space="preserve">5 - </w:t>
      </w:r>
      <w:r>
        <w:rPr>
          <w:rFonts w:ascii="Times New Roman" w:hAnsi="Times New Roman" w:eastAsia="Times New Roman" w:cs="Times New Roman"/>
          <w:b/>
          <w:sz w:val="24"/>
          <w:szCs w:val="24"/>
        </w:rPr>
        <w:t xml:space="preserve">REQUISITOS DA CONTRATAÇÃO  </w:t>
      </w:r>
    </w:p>
    <w:p w14:paraId="232DCBD7">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 realizar o fornecimento do objeto de acordo com a solicitação do Setor Demandante, e conforme condições, quantidades, exigências e estimativa  estabelecidas no Termo de Referência;</w:t>
      </w:r>
    </w:p>
    <w:p w14:paraId="2EF1A9E9">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executar diretamente o objeto, não podendo transferir a responsabilidade pelo objeto demandado para nenhuma outra empresa ou instituição de qualquer natureza</w:t>
      </w:r>
      <w:r>
        <w:rPr>
          <w:rFonts w:cs="Times New Roman"/>
          <w:color w:val="auto"/>
        </w:rPr>
        <w:t>;</w:t>
      </w:r>
    </w:p>
    <w:p w14:paraId="081008F8">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prestar todos os esclarecimentos técnicos que lhe forem solicitados, relacionados com as características do exame realizado</w:t>
      </w:r>
      <w:r>
        <w:rPr>
          <w:rFonts w:cs="Times New Roman"/>
          <w:color w:val="auto"/>
        </w:rPr>
        <w:t>;</w:t>
      </w:r>
      <w:r>
        <w:rPr>
          <w:rFonts w:ascii="Times New Roman" w:hAnsi="Times New Roman" w:cs="Times New Roman"/>
          <w:color w:val="auto"/>
        </w:rPr>
        <w:t xml:space="preserve"> </w:t>
      </w:r>
    </w:p>
    <w:p w14:paraId="6A34C3D8">
      <w:pPr>
        <w:pStyle w:val="74"/>
        <w:spacing w:line="360" w:lineRule="auto"/>
        <w:jc w:val="both"/>
        <w:rPr>
          <w:rFonts w:ascii="Times New Roman" w:hAnsi="Times New Roman" w:cs="Times New Roman"/>
          <w:color w:val="auto"/>
        </w:rPr>
      </w:pPr>
      <w:r>
        <w:rPr>
          <w:rFonts w:ascii="Times New Roman" w:hAnsi="Times New Roman" w:cs="Times New Roman"/>
          <w:color w:val="auto"/>
        </w:rPr>
        <w:t>O contratado deverá arcar com todas as despesas, diretas ou indiretas, sem qualquer ônus para a municipalidade</w:t>
      </w:r>
      <w:r>
        <w:rPr>
          <w:rFonts w:cs="Times New Roman"/>
          <w:color w:val="auto"/>
        </w:rPr>
        <w:t>;</w:t>
      </w:r>
    </w:p>
    <w:p w14:paraId="054A26B0">
      <w:pPr>
        <w:spacing w:line="360" w:lineRule="auto"/>
        <w:jc w:val="both"/>
        <w:rPr>
          <w:sz w:val="24"/>
          <w:szCs w:val="24"/>
        </w:rPr>
      </w:pPr>
      <w:r>
        <w:rPr>
          <w:sz w:val="24"/>
          <w:szCs w:val="24"/>
        </w:rPr>
        <w:t>O contratado deverá repetir procedimentos às suas próprias custas para correção de falhas verificadas, principalmente na hipótese de aquisição do objeto em desacordo com as condições pactuadas;</w:t>
      </w:r>
    </w:p>
    <w:p w14:paraId="08BAF306">
      <w:pPr>
        <w:spacing w:line="360" w:lineRule="auto"/>
        <w:jc w:val="both"/>
        <w:rPr>
          <w:rFonts w:eastAsia="SimSun"/>
          <w:sz w:val="24"/>
          <w:szCs w:val="24"/>
        </w:rPr>
      </w:pPr>
      <w:r>
        <w:rPr>
          <w:rFonts w:eastAsia="SimSun"/>
          <w:sz w:val="24"/>
          <w:szCs w:val="24"/>
        </w:rPr>
        <w:t xml:space="preserve">O contratado deverá assegurar a qualidade e garantia dos materiais e serviços entregues em conformidade com o termo de referencia e Estudo Técnico Preliminar </w:t>
      </w:r>
    </w:p>
    <w:p w14:paraId="0709F2CB">
      <w:pPr>
        <w:spacing w:line="360" w:lineRule="auto"/>
        <w:jc w:val="both"/>
        <w:rPr>
          <w:rFonts w:eastAsia="SimSun"/>
          <w:sz w:val="24"/>
          <w:szCs w:val="24"/>
        </w:rPr>
      </w:pPr>
      <w:r>
        <w:rPr>
          <w:rFonts w:eastAsia="SimSun"/>
          <w:sz w:val="24"/>
          <w:szCs w:val="24"/>
        </w:rPr>
        <w:t xml:space="preserve">O contratado deverpa reparar, corrigir, reconstruir ou substituir, imediatamente, às suas expensas, no total ou em parte, o objeto em que se verificarem vícios, defeitos ou incorreções resultantes de materiais entregues, independentemente das penalidades aplicáveis ou cabíveis; </w:t>
      </w:r>
    </w:p>
    <w:p w14:paraId="23B3FF69">
      <w:pPr>
        <w:spacing w:line="360" w:lineRule="auto"/>
        <w:jc w:val="both"/>
        <w:rPr>
          <w:rFonts w:eastAsia="SimSun"/>
          <w:sz w:val="24"/>
          <w:szCs w:val="24"/>
        </w:rPr>
      </w:pPr>
      <w:r>
        <w:rPr>
          <w:rFonts w:eastAsia="SimSun"/>
          <w:sz w:val="24"/>
          <w:szCs w:val="24"/>
        </w:rPr>
        <w:t xml:space="preserve">O contratado deverá permitir e facilitar à fiscalização ou supervisão da Secretaria Municipal de Saúde, devendo prestar todas as informações e esclarecimentos solicitados; </w:t>
      </w:r>
    </w:p>
    <w:p w14:paraId="4B5A1252">
      <w:pPr>
        <w:spacing w:line="360" w:lineRule="auto"/>
        <w:jc w:val="both"/>
        <w:rPr>
          <w:rFonts w:eastAsia="SimSun"/>
          <w:sz w:val="24"/>
          <w:szCs w:val="24"/>
        </w:rPr>
      </w:pPr>
      <w:r>
        <w:rPr>
          <w:rFonts w:eastAsia="SimSun"/>
          <w:sz w:val="24"/>
          <w:szCs w:val="24"/>
        </w:rPr>
        <w:t xml:space="preserve">O contratado deverá informar à fiscalização ou supervisão da Secretaria Municipal de Saúde, a ocorrência de qualquer fato ou condição que possa atrasar ou impedir a entrega dos materiais, no todo ou em parte, indicando as medidas para corrigir a situação; </w:t>
      </w:r>
    </w:p>
    <w:p w14:paraId="597DAFF3">
      <w:pPr>
        <w:spacing w:line="360" w:lineRule="auto"/>
        <w:jc w:val="both"/>
        <w:rPr>
          <w:rFonts w:eastAsia="SimSun"/>
          <w:sz w:val="24"/>
          <w:szCs w:val="24"/>
        </w:rPr>
      </w:pPr>
      <w:r>
        <w:rPr>
          <w:rFonts w:eastAsia="SimSun"/>
          <w:sz w:val="24"/>
          <w:szCs w:val="24"/>
        </w:rPr>
        <w:t xml:space="preserve">O contratado deverá responsabilizar-se pelos danos causados diretamente ao Município de Valença ou a terceiros decorrentes de sua culpa ou dolo, referente ao material solicitado, não excluindo ou reduzindo essa responsabilidade à fiscalização ou ao acompanhamento pela Secretaria Municipal de Saúde; </w:t>
      </w:r>
    </w:p>
    <w:p w14:paraId="45D3E727">
      <w:pPr>
        <w:spacing w:line="360" w:lineRule="auto"/>
        <w:jc w:val="both"/>
        <w:rPr>
          <w:rFonts w:eastAsia="SimSun"/>
          <w:sz w:val="24"/>
          <w:szCs w:val="24"/>
        </w:rPr>
      </w:pPr>
      <w:r>
        <w:rPr>
          <w:rFonts w:eastAsia="SimSun"/>
          <w:sz w:val="24"/>
          <w:szCs w:val="24"/>
        </w:rPr>
        <w:t xml:space="preserve">O contratado deverá cumprir, dentro dos prazos estabelecidos, as obrigações assumidas; </w:t>
      </w:r>
    </w:p>
    <w:p w14:paraId="6D578FE4">
      <w:pPr>
        <w:spacing w:line="360" w:lineRule="auto"/>
        <w:jc w:val="both"/>
        <w:rPr>
          <w:rFonts w:eastAsia="SimSun"/>
          <w:sz w:val="24"/>
          <w:szCs w:val="24"/>
        </w:rPr>
      </w:pPr>
      <w:r>
        <w:rPr>
          <w:rFonts w:eastAsia="SimSun"/>
          <w:sz w:val="24"/>
          <w:szCs w:val="24"/>
        </w:rPr>
        <w:t>O contratado deverá manter durante a vigência da Ata em compatibilidade com as obrigações assumidas todas de habilitação exigidas na licitação;</w:t>
      </w:r>
    </w:p>
    <w:p w14:paraId="53381E08">
      <w:pPr>
        <w:spacing w:line="360" w:lineRule="auto"/>
        <w:jc w:val="both"/>
        <w:rPr>
          <w:rFonts w:eastAsia="SimSun"/>
          <w:sz w:val="24"/>
          <w:szCs w:val="24"/>
        </w:rPr>
      </w:pPr>
      <w:r>
        <w:rPr>
          <w:rFonts w:eastAsia="SimSun"/>
          <w:sz w:val="24"/>
          <w:szCs w:val="24"/>
        </w:rPr>
        <w:t xml:space="preserve">O contratado deverá conhecer o material objeto desta ata que deverão estar em conformidade com as normas técnicas publicadas pela ABNT, e sanitárias publicadas pela ANVISA ( especifico para itens de saúde) empregando sempre a melhor técnica construtiva, bem como conhecer as exigências legais, respeitando e aplicando as prescrições, orientações e procedimentos específicos pelos fabricantes de materiais; </w:t>
      </w:r>
    </w:p>
    <w:p w14:paraId="2AE4EAA8">
      <w:pPr>
        <w:spacing w:line="360" w:lineRule="auto"/>
        <w:jc w:val="both"/>
        <w:rPr>
          <w:rFonts w:eastAsia="SimSun"/>
          <w:sz w:val="24"/>
          <w:szCs w:val="24"/>
        </w:rPr>
      </w:pPr>
      <w:r>
        <w:rPr>
          <w:rFonts w:eastAsia="SimSun"/>
          <w:sz w:val="24"/>
          <w:szCs w:val="24"/>
        </w:rPr>
        <w:t xml:space="preserve">O contratado deverá garantir que todos os materiais sejam de primeira linha e apresentem características de qualidade, resistência, durabilidade, desempenho de uso e de aspecto, suficientes e capazes de atender integralmente as demandas e solicitações de uso funcional corrente, respeitando as especificações e determinações constantes dos projetos, dos memoriais e das instituições normativas da ABNT , ANVISA e dos fabricantes; </w:t>
      </w:r>
    </w:p>
    <w:p w14:paraId="2B0AE907">
      <w:pPr>
        <w:spacing w:line="360" w:lineRule="auto"/>
        <w:jc w:val="both"/>
        <w:rPr>
          <w:rFonts w:eastAsia="SimSun"/>
          <w:sz w:val="24"/>
          <w:szCs w:val="24"/>
        </w:rPr>
      </w:pPr>
      <w:r>
        <w:rPr>
          <w:rFonts w:eastAsia="SimSun"/>
          <w:sz w:val="24"/>
          <w:szCs w:val="24"/>
        </w:rPr>
        <w:t xml:space="preserve">O contratado deverá garantir que todos os materiais a serem entregues sejam  isentos de quaisquer defeitos ou alteração que os modifique em relação às especificações normativas originais de fabricante, independentemente das razões que as produziram. </w:t>
      </w:r>
    </w:p>
    <w:p w14:paraId="5C9A7BA5">
      <w:pPr>
        <w:spacing w:line="360" w:lineRule="auto"/>
        <w:jc w:val="both"/>
        <w:rPr>
          <w:rFonts w:eastAsia="SimSun"/>
          <w:sz w:val="24"/>
          <w:szCs w:val="24"/>
        </w:rPr>
      </w:pPr>
      <w:r>
        <w:rPr>
          <w:rFonts w:eastAsia="SimSun"/>
          <w:sz w:val="24"/>
          <w:szCs w:val="24"/>
        </w:rPr>
        <w:t xml:space="preserve">O contratado deverá substituir, imediatamente, às suas expensas, caso os produtos sejam entregues com defeitos, incorreções, prazo de validade muito próximo, vencido, deformidades, embalados incorretamente, não refrigerados, impróprios para o consumo humano, independentemente das penalidades aplicáveis ou cabíveis; </w:t>
      </w:r>
    </w:p>
    <w:p w14:paraId="2D865B6F">
      <w:pPr>
        <w:spacing w:line="360" w:lineRule="auto"/>
        <w:jc w:val="both"/>
        <w:rPr>
          <w:rFonts w:eastAsia="SimSun"/>
          <w:sz w:val="24"/>
          <w:szCs w:val="24"/>
        </w:rPr>
      </w:pPr>
      <w:r>
        <w:rPr>
          <w:rFonts w:eastAsia="SimSun"/>
          <w:sz w:val="24"/>
          <w:szCs w:val="24"/>
        </w:rPr>
        <w:t xml:space="preserve">O contratado deverá responsabilizar-se pelos danos causados diretamente ao Município de Valença ou a terceiros decorrentes de sua culpa ou dolo, quando da entrega ou uso dos produtos entregues com defeitos, incorreções, prazo de validade muito próximo, vencido, deformidades, embalados incorretamente, não refrigerados, impróprios para o consumo humano ou avarias de fabricação, não excluindo ou reduzindo essa responsabilidade à fiscalização ou ao acompanhamento pela Secretaria Municipal de Saúde; </w:t>
      </w:r>
    </w:p>
    <w:p w14:paraId="166E79C8">
      <w:pPr>
        <w:spacing w:line="360" w:lineRule="auto"/>
        <w:jc w:val="both"/>
        <w:rPr>
          <w:rFonts w:eastAsia="SimSun"/>
          <w:sz w:val="24"/>
          <w:szCs w:val="24"/>
        </w:rPr>
      </w:pPr>
      <w:r>
        <w:rPr>
          <w:rFonts w:eastAsia="SimSun"/>
          <w:sz w:val="24"/>
          <w:szCs w:val="24"/>
        </w:rPr>
        <w:t xml:space="preserve">O contratado deverá responsabilizar-se com o transporte adequado, seja em termos de refrigeração, acondicionamento, de acordo com normas vigentes sejam elas sanitárias, de transporte, quando for o caso. </w:t>
      </w:r>
    </w:p>
    <w:p w14:paraId="2742B9EF">
      <w:pPr>
        <w:spacing w:line="360" w:lineRule="auto"/>
        <w:jc w:val="both"/>
        <w:rPr>
          <w:rFonts w:eastAsia="SimSun"/>
          <w:sz w:val="24"/>
          <w:szCs w:val="24"/>
        </w:rPr>
      </w:pPr>
      <w:r>
        <w:rPr>
          <w:rFonts w:eastAsia="SimSun"/>
          <w:sz w:val="24"/>
          <w:szCs w:val="24"/>
        </w:rPr>
        <w:t xml:space="preserve">A empresa será responsável pelo recolhimento do produto não aceito e o envio do produto correto dentro do prazo de 24 (vinte e quatro) horas a partir da notificação da Secretaria Municipal de Saúde. </w:t>
      </w:r>
    </w:p>
    <w:p w14:paraId="45E3DC37">
      <w:pPr>
        <w:spacing w:line="360" w:lineRule="auto"/>
        <w:jc w:val="both"/>
        <w:rPr>
          <w:rFonts w:eastAsia="SimSun"/>
          <w:sz w:val="24"/>
          <w:szCs w:val="24"/>
        </w:rPr>
      </w:pPr>
      <w:r>
        <w:rPr>
          <w:rFonts w:eastAsia="SimSun"/>
          <w:sz w:val="24"/>
          <w:szCs w:val="24"/>
        </w:rPr>
        <w:t xml:space="preserve">O contratado deverá se responsabilizar pela entrega em qualquer quantidade solicitada pelo Município nos prazos e condições estabelecidas na ordem de compra. </w:t>
      </w:r>
    </w:p>
    <w:p w14:paraId="51841461">
      <w:pPr>
        <w:spacing w:line="360" w:lineRule="auto"/>
        <w:jc w:val="both"/>
        <w:rPr>
          <w:rFonts w:eastAsia="SimSun"/>
          <w:sz w:val="24"/>
          <w:szCs w:val="24"/>
        </w:rPr>
      </w:pPr>
      <w:r>
        <w:rPr>
          <w:rFonts w:eastAsia="SimSun"/>
          <w:sz w:val="24"/>
          <w:szCs w:val="24"/>
        </w:rPr>
        <w:t>Fornecer garantia dos produtos.</w:t>
      </w:r>
    </w:p>
    <w:p w14:paraId="4432796A">
      <w:pPr>
        <w:spacing w:line="360" w:lineRule="auto"/>
        <w:jc w:val="both"/>
        <w:rPr>
          <w:sz w:val="24"/>
          <w:szCs w:val="24"/>
        </w:rPr>
      </w:pPr>
    </w:p>
    <w:p w14:paraId="530EA461">
      <w:pPr>
        <w:spacing w:line="360" w:lineRule="auto"/>
        <w:jc w:val="both"/>
        <w:rPr>
          <w:rFonts w:eastAsia="SimSun"/>
          <w:b/>
          <w:sz w:val="24"/>
          <w:szCs w:val="24"/>
          <w:lang w:eastAsia="zh-CN" w:bidi="ar"/>
        </w:rPr>
      </w:pPr>
      <w:r>
        <w:rPr>
          <w:rFonts w:eastAsia="Cambria Math"/>
          <w:b/>
          <w:sz w:val="22"/>
          <w:szCs w:val="22"/>
          <w:lang w:val="en-US"/>
        </w:rPr>
        <w:t>6</w:t>
      </w:r>
      <w:r>
        <w:rPr>
          <w:rFonts w:eastAsia="Cambria Math"/>
          <w:b/>
          <w:sz w:val="22"/>
          <w:szCs w:val="22"/>
        </w:rPr>
        <w:t xml:space="preserve"> - </w:t>
      </w:r>
      <w:r>
        <w:rPr>
          <w:rFonts w:eastAsia="Cambria Math"/>
          <w:b/>
          <w:sz w:val="22"/>
          <w:szCs w:val="22"/>
          <w:lang w:val="en-US"/>
        </w:rPr>
        <w:t>DA</w:t>
      </w:r>
      <w:r>
        <w:rPr>
          <w:rFonts w:eastAsia="SimSun"/>
          <w:b/>
          <w:sz w:val="24"/>
          <w:szCs w:val="24"/>
          <w:lang w:eastAsia="zh-CN" w:bidi="ar"/>
        </w:rPr>
        <w:t xml:space="preserve"> SUBCONTRATAÇÃO</w:t>
      </w:r>
    </w:p>
    <w:p w14:paraId="73C50097">
      <w:pPr>
        <w:pStyle w:val="24"/>
        <w:spacing w:line="360" w:lineRule="auto"/>
        <w:jc w:val="both"/>
      </w:pPr>
      <w:r>
        <w:rPr>
          <w:rStyle w:val="11"/>
          <w:b w:val="0"/>
        </w:rPr>
        <w:t>Não será permitida a subcontratação total ou parcial do objeto contratado</w:t>
      </w:r>
      <w:r>
        <w:t>, não sendo possível à contratada transferir a terceiros qualquer parcela das obrigações assumidas.</w:t>
      </w:r>
    </w:p>
    <w:p w14:paraId="67B49B83">
      <w:pPr>
        <w:pStyle w:val="24"/>
        <w:spacing w:line="360" w:lineRule="auto"/>
        <w:jc w:val="both"/>
      </w:pPr>
      <w:r>
        <w:t xml:space="preserve">O descumprimento desta cláusula acarretará sanções previstas na legislação aplicável e poderá ensejar </w:t>
      </w:r>
      <w:r>
        <w:rPr>
          <w:rStyle w:val="11"/>
          <w:b w:val="0"/>
        </w:rPr>
        <w:t>rescisão contratual imediata</w:t>
      </w:r>
      <w:r>
        <w:t>, sem prejuízo das demais penalidades cabíveis e da responsabilidade por perdas e danos.</w:t>
      </w:r>
    </w:p>
    <w:p w14:paraId="16BED7C5">
      <w:pPr>
        <w:jc w:val="both"/>
        <w:rPr>
          <w:rFonts w:eastAsia="Cambria Math"/>
          <w:b/>
          <w:sz w:val="24"/>
          <w:szCs w:val="24"/>
        </w:rPr>
      </w:pPr>
      <w:r>
        <w:rPr>
          <w:rFonts w:eastAsia="SimSun"/>
          <w:sz w:val="24"/>
          <w:szCs w:val="24"/>
        </w:rPr>
        <w:t xml:space="preserve"> </w:t>
      </w:r>
      <w:r>
        <w:rPr>
          <w:rFonts w:eastAsia="SimSun"/>
          <w:b/>
          <w:sz w:val="24"/>
          <w:szCs w:val="24"/>
        </w:rPr>
        <w:t>7</w:t>
      </w:r>
      <w:r>
        <w:rPr>
          <w:rFonts w:eastAsia="Cambria Math"/>
          <w:b/>
          <w:sz w:val="24"/>
          <w:szCs w:val="24"/>
        </w:rPr>
        <w:t xml:space="preserve"> - RECEBIMENTO E CRITÉRIO DE ACEITAÇÃO</w:t>
      </w:r>
    </w:p>
    <w:p w14:paraId="0EA7EB97">
      <w:pPr>
        <w:jc w:val="both"/>
        <w:rPr>
          <w:rFonts w:eastAsia="Cambria Math"/>
          <w:b/>
          <w:sz w:val="24"/>
          <w:szCs w:val="24"/>
        </w:rPr>
      </w:pPr>
    </w:p>
    <w:p w14:paraId="3268589D">
      <w:pPr>
        <w:pStyle w:val="74"/>
        <w:spacing w:line="360" w:lineRule="auto"/>
        <w:jc w:val="both"/>
        <w:rPr>
          <w:rFonts w:ascii="Times New Roman" w:hAnsi="Times New Roman" w:cs="Times New Roman"/>
        </w:rPr>
      </w:pPr>
      <w:r>
        <w:rPr>
          <w:rFonts w:ascii="Times New Roman" w:hAnsi="Times New Roman" w:cs="Times New Roman"/>
        </w:rPr>
        <w:t xml:space="preserve">O licitante deve proporcionar entrega dos produtos, para atender as necessidades da Secretaria Municipal de Saúde, conforme condições, quantidades, exigências e estimativas a serem estabelecidas neste instrumento e também estabelecidas no Termo de Referência. </w:t>
      </w:r>
    </w:p>
    <w:p w14:paraId="681C53C7">
      <w:pPr>
        <w:pStyle w:val="74"/>
        <w:spacing w:line="360" w:lineRule="auto"/>
        <w:jc w:val="both"/>
        <w:rPr>
          <w:rFonts w:ascii="Times New Roman" w:hAnsi="Times New Roman" w:cs="Times New Roman"/>
        </w:rPr>
      </w:pPr>
      <w:r>
        <w:rPr>
          <w:rFonts w:ascii="Times New Roman" w:hAnsi="Times New Roman" w:cs="Times New Roman"/>
        </w:rPr>
        <w:t xml:space="preserve">O contratado deverá assumir a responsabilidade por todas as providências e obrigações estabelecidas na legislação específica sobre a qualidade e especificação dos medicamentos que serão entregues. </w:t>
      </w:r>
    </w:p>
    <w:p w14:paraId="21C6E3D8">
      <w:pPr>
        <w:pStyle w:val="74"/>
        <w:spacing w:line="360" w:lineRule="auto"/>
        <w:jc w:val="both"/>
        <w:rPr>
          <w:rFonts w:ascii="Times New Roman" w:hAnsi="Times New Roman" w:cs="Times New Roman"/>
        </w:rPr>
      </w:pPr>
      <w:r>
        <w:rPr>
          <w:rFonts w:ascii="Times New Roman" w:hAnsi="Times New Roman" w:cs="Times New Roman"/>
        </w:rPr>
        <w:t xml:space="preserve">O contratado deverá fornecer diretamente o objeto, não podendo transferir a responsabilidade pelo objeto demandado para nenhuma outra empresa ou instituição de qualquer natureza. </w:t>
      </w:r>
    </w:p>
    <w:p w14:paraId="661F942F">
      <w:pPr>
        <w:pStyle w:val="74"/>
        <w:spacing w:line="360" w:lineRule="auto"/>
        <w:jc w:val="both"/>
        <w:rPr>
          <w:rFonts w:ascii="Times New Roman" w:hAnsi="Times New Roman" w:cs="Times New Roman"/>
        </w:rPr>
      </w:pPr>
      <w:r>
        <w:rPr>
          <w:rFonts w:ascii="Times New Roman" w:hAnsi="Times New Roman" w:cs="Times New Roman"/>
        </w:rPr>
        <w:t xml:space="preserve">O contratado deverá fornecer os produtos de acordo com as normas vigentes, de boa qualidade e de excelente aceitação no mercado.  Os itens deverão possuir garantia contra não conformidades de fabricação, a contar do recebimento definitivo dos mesmos, sendo esta garantia de sua total responsabilidade, inclusive os custos no que tange o transporte da CONTRATANTE à CONTRATADA e seu devido retorno a CONTRATANTE. </w:t>
      </w:r>
    </w:p>
    <w:p w14:paraId="6484AA2F">
      <w:pPr>
        <w:pStyle w:val="74"/>
        <w:spacing w:line="360" w:lineRule="auto"/>
        <w:jc w:val="both"/>
        <w:rPr>
          <w:rFonts w:ascii="Times New Roman" w:hAnsi="Times New Roman" w:cs="Times New Roman"/>
        </w:rPr>
      </w:pPr>
      <w:r>
        <w:rPr>
          <w:rFonts w:ascii="Times New Roman" w:hAnsi="Times New Roman" w:cs="Times New Roman"/>
        </w:rPr>
        <w:t xml:space="preserve">O contratado deverá prestar todos os esclarecimentos técnicos que lhe forem solicitados, relacionados com as características dos itens fornecidos. </w:t>
      </w:r>
    </w:p>
    <w:p w14:paraId="5081C87B">
      <w:pPr>
        <w:pStyle w:val="74"/>
        <w:spacing w:line="360" w:lineRule="auto"/>
        <w:jc w:val="both"/>
        <w:rPr>
          <w:rFonts w:ascii="Times New Roman" w:hAnsi="Times New Roman" w:cs="Times New Roman"/>
        </w:rPr>
      </w:pPr>
      <w:r>
        <w:rPr>
          <w:rFonts w:ascii="Times New Roman" w:hAnsi="Times New Roman" w:cs="Times New Roman"/>
        </w:rPr>
        <w:t xml:space="preserve">O contratado deverá arcar com todas as despesas, diretas ou indiretas, decorrentes do fornecimento dos produtos, sem qualquer ônus para a municipalidade. </w:t>
      </w:r>
    </w:p>
    <w:p w14:paraId="1DF4F6BE">
      <w:pPr>
        <w:pStyle w:val="74"/>
        <w:spacing w:line="360" w:lineRule="auto"/>
        <w:jc w:val="both"/>
        <w:rPr>
          <w:rFonts w:ascii="Times New Roman" w:hAnsi="Times New Roman" w:cs="Times New Roman"/>
        </w:rPr>
      </w:pPr>
      <w:r>
        <w:rPr>
          <w:rFonts w:ascii="Times New Roman" w:hAnsi="Times New Roman" w:cs="Times New Roman"/>
        </w:rPr>
        <w:t xml:space="preserve">O contratado deverá repetir procedimentos às suas próprias custas para correção de falhas verificadas, principalmente na hipótese de aquisição do objeto em desacordo com as condições pactuadas. </w:t>
      </w:r>
    </w:p>
    <w:p w14:paraId="59AAAB9E">
      <w:pPr>
        <w:pStyle w:val="74"/>
        <w:spacing w:line="360" w:lineRule="auto"/>
        <w:jc w:val="both"/>
        <w:rPr>
          <w:rFonts w:ascii="Times New Roman" w:hAnsi="Times New Roman" w:cs="Times New Roman"/>
        </w:rPr>
      </w:pPr>
      <w:r>
        <w:rPr>
          <w:rFonts w:ascii="Times New Roman" w:hAnsi="Times New Roman" w:cs="Times New Roman"/>
        </w:rPr>
        <w:t xml:space="preserve">Os riscos de impactos ocasionados devido a produção nas indústrias, as empresas deverão atentar para as práticas de mitigação dos impactos na produção, em como as lei e Resoluções que orientam a produção sustentável dessas atividades. </w:t>
      </w:r>
    </w:p>
    <w:p w14:paraId="0386A904">
      <w:pPr>
        <w:pStyle w:val="74"/>
        <w:spacing w:line="360" w:lineRule="auto"/>
        <w:jc w:val="both"/>
        <w:rPr>
          <w:rFonts w:ascii="Times New Roman" w:hAnsi="Times New Roman" w:cs="Times New Roman"/>
        </w:rPr>
      </w:pPr>
      <w:r>
        <w:rPr>
          <w:rFonts w:ascii="Times New Roman" w:hAnsi="Times New Roman" w:cs="Times New Roman"/>
        </w:rPr>
        <w:t xml:space="preserve">A aquisição deve considerar as consequências ambientais, sociais e econômicos de: projeto; uso de materiais não renováveis; fabricação e métodos de produção, logística, prestação de serviços; uso, operação, manutenção, reutilização; opções de reciclagem; disposição, e as capacidades dos fornecedores para resolver essas consequências em toda a cadeia de abastecimento. </w:t>
      </w:r>
    </w:p>
    <w:p w14:paraId="600E9F0C">
      <w:pPr>
        <w:spacing w:line="360" w:lineRule="auto"/>
        <w:jc w:val="both"/>
        <w:rPr>
          <w:sz w:val="24"/>
          <w:szCs w:val="24"/>
        </w:rPr>
      </w:pPr>
      <w:r>
        <w:rPr>
          <w:sz w:val="24"/>
          <w:szCs w:val="24"/>
        </w:rPr>
        <w:t>As entregas serão realizadas no Almoxarifado/FMS, localizada na Rua Dom Rodolfo Pena, nº 156, Bairro de Fatima, nesta cidade;</w:t>
      </w:r>
    </w:p>
    <w:p w14:paraId="0A2C363B">
      <w:pPr>
        <w:spacing w:line="360" w:lineRule="auto"/>
        <w:jc w:val="both"/>
        <w:rPr>
          <w:sz w:val="24"/>
          <w:szCs w:val="24"/>
        </w:rPr>
      </w:pPr>
    </w:p>
    <w:p w14:paraId="2BF869B9">
      <w:pPr>
        <w:jc w:val="both"/>
        <w:rPr>
          <w:rFonts w:eastAsia="Cambria Math"/>
          <w:b/>
          <w:sz w:val="24"/>
          <w:szCs w:val="24"/>
          <w:lang w:val="en-US"/>
        </w:rPr>
      </w:pPr>
      <w:r>
        <w:rPr>
          <w:rFonts w:eastAsia="Cambria Math"/>
          <w:b/>
          <w:sz w:val="24"/>
          <w:szCs w:val="24"/>
          <w:lang w:val="en-US"/>
        </w:rPr>
        <w:t>8</w:t>
      </w:r>
      <w:r>
        <w:rPr>
          <w:rFonts w:eastAsia="Cambria Math"/>
          <w:b/>
          <w:sz w:val="24"/>
          <w:szCs w:val="24"/>
        </w:rPr>
        <w:t xml:space="preserve"> - OBRIGAÇÕES DA </w:t>
      </w:r>
      <w:r>
        <w:rPr>
          <w:rFonts w:eastAsia="Cambria Math"/>
          <w:b/>
          <w:sz w:val="24"/>
          <w:szCs w:val="24"/>
          <w:lang w:val="en-US"/>
        </w:rPr>
        <w:t>CONTRATADA</w:t>
      </w:r>
    </w:p>
    <w:p w14:paraId="73FCBA4B"/>
    <w:p w14:paraId="4183B227">
      <w:pPr>
        <w:pStyle w:val="74"/>
        <w:spacing w:after="160" w:line="360" w:lineRule="auto"/>
        <w:jc w:val="both"/>
        <w:rPr>
          <w:rFonts w:ascii="Times New Roman" w:hAnsi="Times New Roman" w:cs="Times New Roman"/>
          <w:color w:val="auto"/>
        </w:rPr>
      </w:pPr>
      <w:r>
        <w:rPr>
          <w:rFonts w:ascii="Times New Roman" w:hAnsi="Times New Roman" w:cs="Times New Roman"/>
          <w:color w:val="auto"/>
        </w:rPr>
        <w:t xml:space="preserve">A Contratada deve cumprir todas as obrigações e executar objeto nas condições previstas, seus anexos e sua proposta, assumindo como exclusivamente seus riscos e as despesas decorrentes da boa e perfeita execução do objeto e, ainda: </w:t>
      </w:r>
    </w:p>
    <w:p w14:paraId="74565303">
      <w:pPr>
        <w:pStyle w:val="74"/>
        <w:spacing w:line="360" w:lineRule="auto"/>
        <w:jc w:val="both"/>
        <w:rPr>
          <w:rFonts w:ascii="Times New Roman" w:hAnsi="Times New Roman" w:cs="Times New Roman"/>
          <w:color w:val="auto"/>
        </w:rPr>
      </w:pPr>
      <w:r>
        <w:rPr>
          <w:rFonts w:ascii="Times New Roman" w:hAnsi="Times New Roman" w:cs="Times New Roman"/>
          <w:color w:val="auto"/>
        </w:rPr>
        <w:t>Executar o serviço contratado, conforme especificações, prazo e local constantes no Termo de Referência, acompanhado da  respectiva nota fiscal;</w:t>
      </w:r>
    </w:p>
    <w:p w14:paraId="2EBB99EB">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vícios e danos decorrentes do objeto, de acordo com os artigos 12, 13 e 17 a 27, do Código de Defesa do Consumidor (Lei nº 8.078, de 1990); </w:t>
      </w:r>
    </w:p>
    <w:p w14:paraId="6E0CA1B6">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Responsabilizar-se pelos danos causados diretamente à Administração ou a terceiros, decorrentes de sua culpa ou dolo na execução do contrato, não excluindo ou reduzindo essa responsabilidade à fiscalização ou o acompanhamento; </w:t>
      </w:r>
    </w:p>
    <w:p w14:paraId="75A4BF0C">
      <w:pPr>
        <w:pStyle w:val="74"/>
        <w:spacing w:after="157" w:line="360" w:lineRule="auto"/>
        <w:jc w:val="both"/>
        <w:rPr>
          <w:rFonts w:ascii="Times New Roman" w:hAnsi="Times New Roman" w:cs="Times New Roman"/>
          <w:color w:val="auto"/>
        </w:rPr>
      </w:pPr>
      <w:r>
        <w:rPr>
          <w:rFonts w:ascii="Times New Roman" w:hAnsi="Times New Roman" w:cs="Times New Roman"/>
          <w:color w:val="auto"/>
        </w:rPr>
        <w:t xml:space="preserve">Manter durante toda a execução do contrato, todas as condições de habilitação e qualificação exigidas para a licitação; </w:t>
      </w:r>
    </w:p>
    <w:p w14:paraId="4C4219FB">
      <w:pPr>
        <w:pStyle w:val="74"/>
        <w:spacing w:line="360" w:lineRule="auto"/>
        <w:jc w:val="both"/>
        <w:rPr>
          <w:rFonts w:ascii="Times New Roman" w:hAnsi="Times New Roman" w:cs="Times New Roman"/>
          <w:color w:val="auto"/>
        </w:rPr>
      </w:pPr>
      <w:r>
        <w:rPr>
          <w:rFonts w:ascii="Times New Roman" w:hAnsi="Times New Roman" w:cs="Times New Roman"/>
          <w:color w:val="auto"/>
        </w:rPr>
        <w:t>Responder pelos encargos trabalhistas, previdenciários, fiscais e comerciais resultantes da execução da prestação de serviço.</w:t>
      </w:r>
    </w:p>
    <w:p w14:paraId="1EEB9E4F">
      <w:pPr>
        <w:pStyle w:val="74"/>
        <w:spacing w:line="360" w:lineRule="auto"/>
        <w:jc w:val="both"/>
        <w:rPr>
          <w:rFonts w:ascii="Times New Roman" w:hAnsi="Times New Roman" w:cs="Times New Roman"/>
          <w:color w:val="C00000"/>
        </w:rPr>
      </w:pPr>
    </w:p>
    <w:p w14:paraId="5024F44C">
      <w:pPr>
        <w:jc w:val="both"/>
        <w:rPr>
          <w:rFonts w:eastAsia="Cambria Math"/>
          <w:b/>
          <w:sz w:val="24"/>
          <w:szCs w:val="24"/>
        </w:rPr>
      </w:pPr>
      <w:r>
        <w:rPr>
          <w:rFonts w:eastAsia="Cambria Math"/>
          <w:b/>
          <w:sz w:val="24"/>
          <w:szCs w:val="24"/>
          <w:lang w:val="en-US"/>
        </w:rPr>
        <w:t>9</w:t>
      </w:r>
      <w:r>
        <w:rPr>
          <w:rFonts w:eastAsia="Cambria Math"/>
          <w:b/>
          <w:sz w:val="24"/>
          <w:szCs w:val="24"/>
        </w:rPr>
        <w:t xml:space="preserve"> - OBRIGAÇÕES DA CONTRATANTE</w:t>
      </w:r>
    </w:p>
    <w:p w14:paraId="34BCD8E8">
      <w:pPr>
        <w:jc w:val="both"/>
      </w:pPr>
    </w:p>
    <w:p w14:paraId="4BDA1931">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Disponibilizar profissional específico, para acompanhar a execução do objeto licitado; </w:t>
      </w:r>
    </w:p>
    <w:p w14:paraId="09054FA3">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Encaminhar formalmente a demanda, de acordo com os critérios estabelecidos no Termo de Referência; </w:t>
      </w:r>
    </w:p>
    <w:p w14:paraId="2BCCC3BB">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Verificar se o objeto contratado se encontra em conformidade com a proposta, conforme inspeções realizadas no prazo e condições estabelecidas no Edital e seus anexos; </w:t>
      </w:r>
    </w:p>
    <w:p w14:paraId="697DBA84">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Comunicar à contratada, por escrito, sobre imperfeições, falhas ou irregularidades verificadas; </w:t>
      </w:r>
    </w:p>
    <w:p w14:paraId="17695523">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Acompanhar e fiscalizar o cumprimento das obrigações servidor especialmente designado; </w:t>
      </w:r>
    </w:p>
    <w:p w14:paraId="3EF3EADE">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Aplicar as sanções administrativas regulamentares e contratuais cabíveis; </w:t>
      </w:r>
    </w:p>
    <w:p w14:paraId="2E86279B">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Efetuar o pagamento do objeto, no prazo e forma estabelecidos no Edital e seus anexos; </w:t>
      </w:r>
    </w:p>
    <w:p w14:paraId="6BAA40CB">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A Administração não responderá por quaisquer compromissos assumidos pela com terceiros, ainda que vinculados à execução do presente Termo de Contrato, bem como por qualquer dano causado a terceiros em decorrência de ato da Contratada, de seus empregados, prepostos ou subordinados; </w:t>
      </w:r>
    </w:p>
    <w:p w14:paraId="7D84A3A1">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Nos termos do art. 117 Lei nº 14.133/21, a execução do contrato deverá ser acompanhada e fiscalizada por 1 (um) ou mais fiscais do contrato, representantes da Administração especialmente designados conforme requisitos estabelecidos no art. 7º desta Lei, ou pelos respectivos substitutos, permitida a contratação de terceiros para assisti-los e subsidiá-los com informações pertinentes a essa atribuição; </w:t>
      </w:r>
    </w:p>
    <w:p w14:paraId="6486494D">
      <w:pPr>
        <w:pStyle w:val="74"/>
        <w:spacing w:line="360" w:lineRule="auto"/>
        <w:jc w:val="both"/>
        <w:rPr>
          <w:rFonts w:ascii="Times New Roman" w:hAnsi="Times New Roman" w:cs="Times New Roman"/>
          <w:color w:val="auto"/>
        </w:rPr>
      </w:pPr>
      <w:r>
        <w:rPr>
          <w:rFonts w:ascii="Times New Roman" w:hAnsi="Times New Roman" w:cs="Times New Roman"/>
          <w:color w:val="auto"/>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0EB70BE2">
      <w:pPr>
        <w:pStyle w:val="74"/>
        <w:ind w:firstLine="708"/>
        <w:jc w:val="both"/>
        <w:rPr>
          <w:rFonts w:ascii="Times New Roman" w:hAnsi="Times New Roman" w:cs="Times New Roman"/>
          <w:color w:val="C00000"/>
        </w:rPr>
      </w:pPr>
    </w:p>
    <w:p w14:paraId="1F4F88B6">
      <w:pPr>
        <w:pStyle w:val="74"/>
        <w:rPr>
          <w:rFonts w:ascii="Times New Roman" w:hAnsi="Times New Roman" w:cs="Times New Roman"/>
          <w:color w:val="auto"/>
        </w:rPr>
      </w:pPr>
      <w:r>
        <w:rPr>
          <w:rFonts w:ascii="Times New Roman" w:hAnsi="Times New Roman" w:eastAsia="Cambria Math" w:cs="Times New Roman"/>
          <w:b/>
          <w:color w:val="auto"/>
          <w:lang w:val="en-US" w:eastAsia="pt-BR"/>
        </w:rPr>
        <w:t>10</w:t>
      </w:r>
      <w:r>
        <w:rPr>
          <w:rFonts w:ascii="Times New Roman" w:hAnsi="Times New Roman" w:eastAsia="Cambria Math" w:cs="Times New Roman"/>
          <w:b/>
          <w:color w:val="auto"/>
          <w:lang w:eastAsia="pt-BR"/>
        </w:rPr>
        <w:t xml:space="preserve"> - </w:t>
      </w:r>
      <w:r>
        <w:rPr>
          <w:rFonts w:ascii="Times New Roman" w:hAnsi="Times New Roman" w:cs="Times New Roman"/>
          <w:b/>
          <w:bCs/>
          <w:color w:val="auto"/>
        </w:rPr>
        <w:t xml:space="preserve">FORMA E CRITÉRIO DE SELEÇÃO DO FORNECEDOR </w:t>
      </w:r>
    </w:p>
    <w:p w14:paraId="493C7D04">
      <w:pPr>
        <w:pStyle w:val="74"/>
        <w:rPr>
          <w:rFonts w:ascii="Times New Roman" w:hAnsi="Times New Roman" w:cs="Times New Roman"/>
          <w:color w:val="auto"/>
        </w:rPr>
      </w:pPr>
    </w:p>
    <w:p w14:paraId="3094E68F">
      <w:pPr>
        <w:spacing w:line="360" w:lineRule="auto"/>
        <w:jc w:val="both"/>
        <w:rPr>
          <w:sz w:val="24"/>
          <w:szCs w:val="24"/>
        </w:rPr>
      </w:pPr>
      <w:r>
        <w:rPr>
          <w:sz w:val="24"/>
          <w:szCs w:val="24"/>
        </w:rPr>
        <w:t xml:space="preserve">Forma de seleção e critério de julgamento da </w:t>
      </w:r>
      <w:r>
        <w:rPr>
          <w:spacing w:val="-2"/>
          <w:sz w:val="24"/>
          <w:szCs w:val="24"/>
        </w:rPr>
        <w:t>proposta</w:t>
      </w:r>
    </w:p>
    <w:p w14:paraId="5B5DC933">
      <w:pPr>
        <w:spacing w:line="360" w:lineRule="auto"/>
        <w:jc w:val="both"/>
        <w:rPr>
          <w:sz w:val="24"/>
          <w:szCs w:val="24"/>
        </w:rPr>
      </w:pPr>
      <w:r>
        <w:rPr>
          <w:sz w:val="24"/>
          <w:szCs w:val="24"/>
        </w:rPr>
        <w:t>O fornecedor será selecionado por meio de Pregão Eletrônico para Registro de Preços.</w:t>
      </w:r>
    </w:p>
    <w:p w14:paraId="37FC8DC8">
      <w:pPr>
        <w:spacing w:line="360" w:lineRule="auto"/>
        <w:jc w:val="both"/>
        <w:rPr>
          <w:sz w:val="24"/>
          <w:szCs w:val="24"/>
        </w:rPr>
      </w:pPr>
      <w:r>
        <w:rPr>
          <w:sz w:val="24"/>
          <w:szCs w:val="24"/>
        </w:rPr>
        <w:t xml:space="preserve">A aquisição será mediante a assinatura do contrato e emissão da nota de empenho, conforme necessidade desta </w:t>
      </w:r>
      <w:r>
        <w:rPr>
          <w:spacing w:val="-2"/>
          <w:sz w:val="24"/>
          <w:szCs w:val="24"/>
        </w:rPr>
        <w:t>secretaria</w:t>
      </w:r>
    </w:p>
    <w:p w14:paraId="6ED80CD7">
      <w:pPr>
        <w:spacing w:line="360" w:lineRule="auto"/>
        <w:jc w:val="both"/>
        <w:rPr>
          <w:sz w:val="24"/>
          <w:szCs w:val="24"/>
        </w:rPr>
      </w:pPr>
      <w:r>
        <w:rPr>
          <w:sz w:val="24"/>
          <w:szCs w:val="24"/>
        </w:rPr>
        <w:t xml:space="preserve">Exigências de </w:t>
      </w:r>
      <w:r>
        <w:rPr>
          <w:spacing w:val="-2"/>
          <w:sz w:val="24"/>
          <w:szCs w:val="24"/>
        </w:rPr>
        <w:t>habilitação</w:t>
      </w:r>
    </w:p>
    <w:p w14:paraId="7171967A">
      <w:pPr>
        <w:spacing w:line="360" w:lineRule="auto"/>
        <w:jc w:val="both"/>
        <w:rPr>
          <w:sz w:val="24"/>
          <w:szCs w:val="24"/>
        </w:rPr>
      </w:pPr>
      <w:r>
        <w:rPr>
          <w:sz w:val="24"/>
          <w:szCs w:val="24"/>
        </w:rPr>
        <w:t xml:space="preserve">Para fins de habilitação, deverá o licitante comprovar os seguintes </w:t>
      </w:r>
      <w:r>
        <w:rPr>
          <w:spacing w:val="-2"/>
          <w:sz w:val="24"/>
          <w:szCs w:val="24"/>
        </w:rPr>
        <w:t>requisitos:</w:t>
      </w:r>
    </w:p>
    <w:p w14:paraId="2DA6C89F">
      <w:pPr>
        <w:spacing w:line="360" w:lineRule="auto"/>
        <w:jc w:val="both"/>
        <w:rPr>
          <w:sz w:val="24"/>
          <w:szCs w:val="24"/>
        </w:rPr>
      </w:pPr>
      <w:r>
        <w:rPr>
          <w:sz w:val="24"/>
          <w:szCs w:val="24"/>
        </w:rPr>
        <w:t xml:space="preserve">Habilitação </w:t>
      </w:r>
      <w:r>
        <w:rPr>
          <w:spacing w:val="-2"/>
          <w:sz w:val="24"/>
          <w:szCs w:val="24"/>
        </w:rPr>
        <w:t>jurídica</w:t>
      </w:r>
    </w:p>
    <w:p w14:paraId="726B50CD">
      <w:pPr>
        <w:spacing w:line="360" w:lineRule="auto"/>
        <w:jc w:val="both"/>
        <w:rPr>
          <w:sz w:val="24"/>
          <w:szCs w:val="24"/>
        </w:rPr>
      </w:pPr>
      <w:r>
        <w:rPr>
          <w:b/>
          <w:sz w:val="24"/>
          <w:szCs w:val="24"/>
        </w:rPr>
        <w:t xml:space="preserve">Microempreendedor Individual - MEI: </w:t>
      </w:r>
      <w:r>
        <w:rPr>
          <w:sz w:val="24"/>
          <w:szCs w:val="24"/>
        </w:rPr>
        <w:t xml:space="preserve">Certificado da Condição de Microempreendedor Individual - CCMEI, cuja aceitação ficará condicionada à verificação da autenticidade no sítio </w:t>
      </w:r>
      <w:r>
        <w:fldChar w:fldCharType="begin"/>
      </w:r>
      <w:r>
        <w:instrText xml:space="preserve"> HYPERLINK "http://www.gov.br/empresas-e-negocios/pt-br/empreendedor%3B" \h </w:instrText>
      </w:r>
      <w:r>
        <w:fldChar w:fldCharType="separate"/>
      </w:r>
      <w:r>
        <w:rPr>
          <w:sz w:val="24"/>
          <w:szCs w:val="24"/>
        </w:rPr>
        <w:t>https://www.gov.br/empresas-e-negocios/pt-br/empreendedor;</w:t>
      </w:r>
      <w:r>
        <w:rPr>
          <w:sz w:val="24"/>
          <w:szCs w:val="24"/>
        </w:rPr>
        <w:fldChar w:fldCharType="end"/>
      </w:r>
    </w:p>
    <w:p w14:paraId="1A07CEE6">
      <w:pPr>
        <w:spacing w:line="360" w:lineRule="auto"/>
        <w:jc w:val="both"/>
        <w:rPr>
          <w:sz w:val="24"/>
          <w:szCs w:val="24"/>
        </w:rPr>
      </w:pPr>
      <w:r>
        <w:rPr>
          <w:sz w:val="24"/>
          <w:szCs w:val="24"/>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w:t>
      </w:r>
      <w:r>
        <w:rPr>
          <w:spacing w:val="-2"/>
          <w:sz w:val="24"/>
          <w:szCs w:val="24"/>
        </w:rPr>
        <w:t>administradores;</w:t>
      </w:r>
    </w:p>
    <w:p w14:paraId="3898FBF0">
      <w:pPr>
        <w:spacing w:line="360" w:lineRule="auto"/>
        <w:jc w:val="both"/>
        <w:rPr>
          <w:sz w:val="24"/>
          <w:szCs w:val="24"/>
        </w:rPr>
      </w:pPr>
      <w:r>
        <w:rPr>
          <w:b/>
          <w:sz w:val="24"/>
          <w:szCs w:val="24"/>
        </w:rPr>
        <w:t xml:space="preserve">Sociedade empresária estrangeira: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005EA5F">
      <w:pPr>
        <w:spacing w:line="360" w:lineRule="auto"/>
        <w:jc w:val="both"/>
        <w:rPr>
          <w:sz w:val="24"/>
          <w:szCs w:val="24"/>
        </w:rPr>
      </w:pPr>
      <w:r>
        <w:rPr>
          <w:b/>
          <w:sz w:val="24"/>
          <w:szCs w:val="24"/>
        </w:rPr>
        <w:t xml:space="preserve">Sociedade simples: </w:t>
      </w:r>
      <w:r>
        <w:rPr>
          <w:sz w:val="24"/>
          <w:szCs w:val="24"/>
        </w:rPr>
        <w:t>inscrição do ato constitutivo no Registro Civil de Pessoas Jurídicas do local de sua sede, acompanhada de documento comprobatório de seus administradores;</w:t>
      </w:r>
    </w:p>
    <w:p w14:paraId="5DFD2397">
      <w:pPr>
        <w:spacing w:line="360" w:lineRule="auto"/>
        <w:jc w:val="both"/>
        <w:rPr>
          <w:sz w:val="24"/>
          <w:szCs w:val="24"/>
        </w:rPr>
      </w:pPr>
      <w:r>
        <w:rPr>
          <w:b/>
          <w:sz w:val="24"/>
          <w:szCs w:val="24"/>
        </w:rPr>
        <w:t xml:space="preserve">Filial, sucursal ou agência de sociedade simples ou empresária: </w:t>
      </w:r>
      <w:r>
        <w:rPr>
          <w:sz w:val="24"/>
          <w:szCs w:val="24"/>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4B32F8">
      <w:pPr>
        <w:spacing w:line="360" w:lineRule="auto"/>
        <w:jc w:val="both"/>
        <w:rPr>
          <w:sz w:val="24"/>
          <w:szCs w:val="24"/>
        </w:rPr>
      </w:pPr>
      <w:r>
        <w:rPr>
          <w:b/>
          <w:sz w:val="24"/>
          <w:szCs w:val="24"/>
        </w:rPr>
        <w:t xml:space="preserve">Sociedade cooperativa: </w:t>
      </w:r>
      <w:r>
        <w:rPr>
          <w:sz w:val="24"/>
          <w:szCs w:val="24"/>
        </w:rPr>
        <w:t>ata de fundação e estatuto social, com a ata da assembleia que o aprovou, devidamente arquivado na Junta Comercial ou inscrito no Registro Civil das Pessoas Jurídicas da respectiva sede além doregistrodequetrataoart.107daLeinº5.764, de 16 de dezembro 1971.</w:t>
      </w:r>
    </w:p>
    <w:p w14:paraId="06EF2924">
      <w:pPr>
        <w:spacing w:line="360" w:lineRule="auto"/>
        <w:jc w:val="both"/>
        <w:rPr>
          <w:b/>
          <w:spacing w:val="-2"/>
          <w:sz w:val="36"/>
          <w:szCs w:val="36"/>
        </w:rPr>
      </w:pPr>
      <w:r>
        <w:rPr>
          <w:b/>
          <w:sz w:val="24"/>
          <w:szCs w:val="24"/>
        </w:rPr>
        <w:t xml:space="preserve">Habilitação fiscal, social e </w:t>
      </w:r>
      <w:r>
        <w:rPr>
          <w:b/>
          <w:spacing w:val="-2"/>
          <w:sz w:val="24"/>
          <w:szCs w:val="24"/>
        </w:rPr>
        <w:t xml:space="preserve">trabalhista  </w:t>
      </w:r>
      <w:r>
        <w:rPr>
          <w:b/>
          <w:spacing w:val="-2"/>
          <w:sz w:val="36"/>
          <w:szCs w:val="36"/>
        </w:rPr>
        <w:t xml:space="preserve"> </w:t>
      </w:r>
    </w:p>
    <w:p w14:paraId="200A03C6">
      <w:pPr>
        <w:spacing w:line="360" w:lineRule="auto"/>
        <w:jc w:val="both"/>
        <w:rPr>
          <w:sz w:val="24"/>
          <w:szCs w:val="24"/>
        </w:rPr>
      </w:pPr>
      <w:r>
        <w:rPr>
          <w:sz w:val="24"/>
          <w:szCs w:val="24"/>
        </w:rPr>
        <w:t xml:space="preserve">Prova de inscrição no Cadastro Nacional de Pessoas </w:t>
      </w:r>
      <w:r>
        <w:rPr>
          <w:spacing w:val="-2"/>
          <w:sz w:val="24"/>
          <w:szCs w:val="24"/>
        </w:rPr>
        <w:t>Jurídicas;</w:t>
      </w:r>
    </w:p>
    <w:p w14:paraId="3B3F9786">
      <w:pPr>
        <w:spacing w:line="360" w:lineRule="auto"/>
        <w:jc w:val="both"/>
        <w:rPr>
          <w:spacing w:val="-2"/>
          <w:sz w:val="24"/>
          <w:szCs w:val="24"/>
        </w:rPr>
      </w:pPr>
      <w:r>
        <w:rPr>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nº1.751, de 02 de outubro de 2014, do Secretário da Receita Federal do Brasil e da Procuradora-Geral da Fazenda </w:t>
      </w:r>
      <w:r>
        <w:rPr>
          <w:spacing w:val="-2"/>
          <w:sz w:val="24"/>
          <w:szCs w:val="24"/>
        </w:rPr>
        <w:t>Nacional.</w:t>
      </w:r>
    </w:p>
    <w:p w14:paraId="11A4CC4B">
      <w:pPr>
        <w:spacing w:line="360" w:lineRule="auto"/>
        <w:jc w:val="both"/>
        <w:rPr>
          <w:sz w:val="24"/>
          <w:szCs w:val="24"/>
        </w:rPr>
      </w:pPr>
      <w:r>
        <w:rPr>
          <w:sz w:val="24"/>
          <w:szCs w:val="24"/>
        </w:rPr>
        <w:t xml:space="preserve">Prova de regularidade com o Fundo de Garantia do Tempo de Serviço </w:t>
      </w:r>
      <w:r>
        <w:rPr>
          <w:spacing w:val="-2"/>
          <w:sz w:val="24"/>
          <w:szCs w:val="24"/>
        </w:rPr>
        <w:t>(FGTS);</w:t>
      </w:r>
    </w:p>
    <w:p w14:paraId="7A3E2033">
      <w:pPr>
        <w:spacing w:line="360" w:lineRule="auto"/>
        <w:jc w:val="both"/>
        <w:rPr>
          <w:sz w:val="24"/>
          <w:szCs w:val="24"/>
        </w:rPr>
      </w:pPr>
      <w:r>
        <w:rPr>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de1ºde maio de 1943;</w:t>
      </w:r>
    </w:p>
    <w:p w14:paraId="3C664541">
      <w:pPr>
        <w:spacing w:line="360" w:lineRule="auto"/>
        <w:jc w:val="both"/>
        <w:rPr>
          <w:sz w:val="24"/>
          <w:szCs w:val="24"/>
        </w:rPr>
      </w:pPr>
      <w:r>
        <w:rPr>
          <w:sz w:val="24"/>
          <w:szCs w:val="24"/>
        </w:rPr>
        <w:t xml:space="preserve">Prova de inscrição no cadastro de contribuintes </w:t>
      </w:r>
      <w:r>
        <w:rPr>
          <w:i/>
          <w:sz w:val="24"/>
          <w:szCs w:val="24"/>
        </w:rPr>
        <w:t xml:space="preserve">[Estadual/Distrital] </w:t>
      </w:r>
      <w:r>
        <w:rPr>
          <w:sz w:val="24"/>
          <w:szCs w:val="24"/>
        </w:rPr>
        <w:t xml:space="preserve">e </w:t>
      </w:r>
      <w:r>
        <w:rPr>
          <w:i/>
          <w:spacing w:val="-2"/>
          <w:sz w:val="24"/>
          <w:szCs w:val="24"/>
        </w:rPr>
        <w:t>[Municipal/Distrital]</w:t>
      </w:r>
    </w:p>
    <w:p w14:paraId="3A7BAADA">
      <w:pPr>
        <w:spacing w:line="360" w:lineRule="auto"/>
        <w:jc w:val="both"/>
        <w:rPr>
          <w:sz w:val="24"/>
          <w:szCs w:val="24"/>
        </w:rPr>
      </w:pPr>
      <w:r>
        <w:rPr>
          <w:sz w:val="24"/>
          <w:szCs w:val="24"/>
        </w:rPr>
        <w:t>Relativo ao domicílio ou sede do fornecedor, pertinente ao seu ramo de atividade e compatível com o objeto contratual;</w:t>
      </w:r>
    </w:p>
    <w:p w14:paraId="355637AD">
      <w:pPr>
        <w:spacing w:line="360" w:lineRule="auto"/>
        <w:jc w:val="both"/>
        <w:rPr>
          <w:sz w:val="24"/>
          <w:szCs w:val="24"/>
        </w:rPr>
      </w:pPr>
      <w:r>
        <w:rPr>
          <w:sz w:val="24"/>
          <w:szCs w:val="24"/>
        </w:rPr>
        <w:t xml:space="preserve">Prova de regularidade com a Fazenda </w:t>
      </w:r>
      <w:r>
        <w:rPr>
          <w:i/>
          <w:sz w:val="24"/>
          <w:szCs w:val="24"/>
        </w:rPr>
        <w:t xml:space="preserve">Estadual/Distrital e Municipal/Distrital </w:t>
      </w:r>
      <w:r>
        <w:rPr>
          <w:sz w:val="24"/>
          <w:szCs w:val="24"/>
        </w:rPr>
        <w:t>do domicílio ou sede do fornecedor, relativa à atividade em cujo exercício contrata ou concorre;</w:t>
      </w:r>
    </w:p>
    <w:p w14:paraId="47A2B074">
      <w:pPr>
        <w:spacing w:line="360" w:lineRule="auto"/>
        <w:jc w:val="both"/>
        <w:rPr>
          <w:sz w:val="24"/>
          <w:szCs w:val="24"/>
        </w:rPr>
      </w:pPr>
      <w:r>
        <w:rPr>
          <w:sz w:val="24"/>
          <w:szCs w:val="24"/>
        </w:rPr>
        <w:t xml:space="preserve">Caso o fornecedor seja considerado isento dos tributos </w:t>
      </w:r>
      <w:r>
        <w:rPr>
          <w:i/>
          <w:sz w:val="24"/>
          <w:szCs w:val="24"/>
        </w:rPr>
        <w:t xml:space="preserve">[Estadual/Distrital] e [Municipal/Distrital] </w:t>
      </w:r>
      <w:r>
        <w:rPr>
          <w:sz w:val="24"/>
          <w:szCs w:val="24"/>
        </w:rPr>
        <w:t>relacionados ao objeto contratual, deverá comprovar tal condição mediante a apresentação de declaração da Fazenda respectiva do seu domicílio ou sede, ou outra equivalente, na forma da lei.</w:t>
      </w:r>
    </w:p>
    <w:p w14:paraId="47582C5B">
      <w:pPr>
        <w:spacing w:line="360" w:lineRule="auto"/>
        <w:jc w:val="both"/>
        <w:rPr>
          <w:sz w:val="24"/>
          <w:szCs w:val="24"/>
        </w:rPr>
      </w:pPr>
      <w:r>
        <w:rPr>
          <w:sz w:val="24"/>
          <w:szCs w:val="24"/>
        </w:rPr>
        <w:t>O fornecedor enquadrado como microempreendedor individual que pretenda auferir os benefícios do tratamento diferenciado previstos na Lei Complementar n.123, de 2006, estará dispensado da prova de inscrição nos cadastros de contribuintes estadual e municipal.</w:t>
      </w:r>
    </w:p>
    <w:p w14:paraId="1CAA6D36">
      <w:pPr>
        <w:spacing w:line="360" w:lineRule="auto"/>
        <w:jc w:val="both"/>
        <w:rPr>
          <w:sz w:val="24"/>
          <w:szCs w:val="24"/>
        </w:rPr>
      </w:pPr>
      <w:r>
        <w:rPr>
          <w:sz w:val="24"/>
          <w:szCs w:val="24"/>
        </w:rPr>
        <w:t>Qualificação Técnica</w:t>
      </w:r>
    </w:p>
    <w:p w14:paraId="512C7567">
      <w:pPr>
        <w:pStyle w:val="20"/>
        <w:rPr>
          <w:rFonts w:ascii="Times New Roman" w:hAnsi="Times New Roman"/>
        </w:rPr>
      </w:pPr>
      <w:r>
        <w:rPr>
          <w:rFonts w:ascii="Times New Roman" w:hAnsi="Times New Roman"/>
        </w:rPr>
        <w:t xml:space="preserve">Comprovação através da apresentação de atestado(s) fornecido(s) por pessoa jurídica de direito público ou privado de que atua no ramo de atividade do fornecimento do objeto desta licitação e de que cumpriu, ou vem cumprindo, integralmente e de modo satisfatório Contrato anteriormente mantido com o emitente do atestado; </w:t>
      </w:r>
    </w:p>
    <w:p w14:paraId="31A0C084">
      <w:pPr>
        <w:pStyle w:val="20"/>
        <w:spacing w:line="360" w:lineRule="auto"/>
        <w:rPr>
          <w:rFonts w:ascii="Times New Roman" w:hAnsi="Times New Roman"/>
        </w:rPr>
      </w:pPr>
      <w:r>
        <w:rPr>
          <w:rFonts w:ascii="Times New Roman" w:hAnsi="Times New Roman"/>
        </w:rPr>
        <w:t>Alvará Sanitário atualizado emitido por Orgão de Vigilância Sanitária do Municipio da empresa licitante</w:t>
      </w:r>
      <w:r>
        <w:rPr>
          <w:rFonts w:ascii="Times New Roman" w:hAnsi="Times New Roman"/>
          <w:lang w:val="pt-BR"/>
        </w:rPr>
        <w:t>;</w:t>
      </w:r>
    </w:p>
    <w:p w14:paraId="7F066875">
      <w:pPr>
        <w:rPr>
          <w:sz w:val="24"/>
          <w:szCs w:val="24"/>
        </w:rPr>
      </w:pPr>
      <w:r>
        <w:rPr>
          <w:rStyle w:val="11"/>
          <w:b w:val="0"/>
          <w:sz w:val="24"/>
          <w:szCs w:val="24"/>
        </w:rPr>
        <w:t xml:space="preserve">Registro ou cadastro do produto na ANVISA </w:t>
      </w:r>
      <w:r>
        <w:rPr>
          <w:sz w:val="24"/>
          <w:szCs w:val="24"/>
        </w:rPr>
        <w:t>ou comprovação de dispensa, se aplicável</w:t>
      </w:r>
    </w:p>
    <w:p w14:paraId="33E24EE9">
      <w:pPr>
        <w:rPr>
          <w:sz w:val="24"/>
          <w:szCs w:val="24"/>
        </w:rPr>
      </w:pPr>
      <w:r>
        <w:rPr>
          <w:rStyle w:val="11"/>
          <w:b w:val="0"/>
          <w:sz w:val="24"/>
          <w:szCs w:val="24"/>
        </w:rPr>
        <w:t>Autorização de Funcionamento de Empresa (AFE)</w:t>
      </w:r>
      <w:r>
        <w:rPr>
          <w:sz w:val="24"/>
          <w:szCs w:val="24"/>
        </w:rPr>
        <w:t xml:space="preserve"> emitida pela ANVISA</w:t>
      </w:r>
    </w:p>
    <w:p w14:paraId="0BFA049C">
      <w:pPr>
        <w:pStyle w:val="74"/>
        <w:ind w:firstLine="708"/>
        <w:jc w:val="both"/>
        <w:rPr>
          <w:rFonts w:ascii="Times New Roman" w:hAnsi="Times New Roman" w:cs="Times New Roman"/>
          <w:color w:val="C00000"/>
        </w:rPr>
      </w:pPr>
    </w:p>
    <w:p w14:paraId="118F7E7C">
      <w:pPr>
        <w:pStyle w:val="74"/>
        <w:rPr>
          <w:rFonts w:ascii="Times New Roman" w:hAnsi="Times New Roman" w:cs="Times New Roman"/>
          <w:b/>
          <w:color w:val="auto"/>
        </w:rPr>
      </w:pPr>
      <w:r>
        <w:rPr>
          <w:rFonts w:ascii="Times New Roman" w:hAnsi="Times New Roman" w:cs="Times New Roman"/>
          <w:b/>
          <w:color w:val="auto"/>
        </w:rPr>
        <w:t>11 - DOTAÇÃO ORÇAMENTÁRIA</w:t>
      </w:r>
    </w:p>
    <w:p w14:paraId="48F41C29">
      <w:pPr>
        <w:pStyle w:val="74"/>
        <w:rPr>
          <w:rFonts w:ascii="Times New Roman" w:hAnsi="Times New Roman" w:cs="Times New Roman"/>
          <w:color w:val="auto"/>
        </w:rPr>
      </w:pPr>
      <w:r>
        <w:rPr>
          <w:rFonts w:ascii="Times New Roman" w:hAnsi="Times New Roman" w:cs="Times New Roman"/>
          <w:color w:val="auto"/>
        </w:rPr>
        <w:t xml:space="preserve"> </w:t>
      </w:r>
    </w:p>
    <w:p w14:paraId="57E924D0">
      <w:pPr>
        <w:jc w:val="both"/>
        <w:rPr>
          <w:rFonts w:eastAsia="Cambria Math"/>
          <w:sz w:val="24"/>
          <w:szCs w:val="24"/>
          <w:lang w:val="en-US"/>
        </w:rPr>
      </w:pPr>
      <w:r>
        <w:rPr>
          <w:rFonts w:eastAsia="Cambria Math"/>
          <w:sz w:val="24"/>
          <w:szCs w:val="24"/>
          <w:lang w:val="en-US"/>
        </w:rPr>
        <w:t>03.01.10.303.0032.2484.33.90.32.00.00.00.1635</w:t>
      </w:r>
    </w:p>
    <w:p w14:paraId="26362A30">
      <w:pPr>
        <w:jc w:val="both"/>
        <w:rPr>
          <w:rFonts w:eastAsia="Cambria Math"/>
          <w:sz w:val="24"/>
          <w:szCs w:val="24"/>
          <w:lang w:val="en-US"/>
        </w:rPr>
      </w:pPr>
      <w:r>
        <w:rPr>
          <w:rFonts w:eastAsia="Cambria Math"/>
          <w:sz w:val="24"/>
          <w:szCs w:val="24"/>
          <w:lang w:val="en-US"/>
        </w:rPr>
        <w:t>03.01.10.303.0032.2484.33.90.32.00.00.00.1500</w:t>
      </w:r>
    </w:p>
    <w:p w14:paraId="06FD3920">
      <w:pPr>
        <w:jc w:val="both"/>
        <w:rPr>
          <w:rFonts w:eastAsia="Cambria Math"/>
          <w:sz w:val="24"/>
          <w:szCs w:val="24"/>
          <w:lang w:val="en-US"/>
        </w:rPr>
      </w:pPr>
      <w:r>
        <w:rPr>
          <w:rFonts w:eastAsia="Cambria Math"/>
          <w:sz w:val="24"/>
          <w:szCs w:val="24"/>
          <w:lang w:val="en-US"/>
        </w:rPr>
        <w:t>03.01.10.303.0032.2484.33.90.91.00.00.00.1500</w:t>
      </w:r>
    </w:p>
    <w:p w14:paraId="3B853141">
      <w:pPr>
        <w:jc w:val="both"/>
        <w:rPr>
          <w:rFonts w:eastAsia="Cambria Math"/>
          <w:lang w:val="en-US"/>
        </w:rPr>
      </w:pPr>
    </w:p>
    <w:p w14:paraId="7FBF6007">
      <w:pPr>
        <w:jc w:val="both"/>
        <w:rPr>
          <w:rFonts w:eastAsia="Cambria Math"/>
          <w:b/>
          <w:lang w:val="en-US"/>
        </w:rPr>
      </w:pPr>
    </w:p>
    <w:p w14:paraId="6BD3EF71">
      <w:pPr>
        <w:spacing w:line="360" w:lineRule="auto"/>
        <w:jc w:val="both"/>
        <w:rPr>
          <w:rFonts w:eastAsia="Cambria Math"/>
          <w:b/>
          <w:sz w:val="24"/>
          <w:szCs w:val="24"/>
          <w:u w:val="single"/>
        </w:rPr>
      </w:pPr>
      <w:r>
        <w:rPr>
          <w:rFonts w:eastAsia="Cambria Math"/>
          <w:b/>
          <w:sz w:val="24"/>
          <w:szCs w:val="24"/>
          <w:lang w:val="en-US"/>
        </w:rPr>
        <w:t>12</w:t>
      </w:r>
      <w:r>
        <w:rPr>
          <w:rFonts w:eastAsia="Cambria Math"/>
          <w:b/>
          <w:sz w:val="24"/>
          <w:szCs w:val="24"/>
        </w:rPr>
        <w:t xml:space="preserve"> - DO PAGAMENTO</w:t>
      </w:r>
    </w:p>
    <w:p w14:paraId="3C95A87A">
      <w:pPr>
        <w:spacing w:line="360" w:lineRule="auto"/>
      </w:pPr>
    </w:p>
    <w:p w14:paraId="546D35D9">
      <w:pPr>
        <w:spacing w:line="360" w:lineRule="auto"/>
        <w:jc w:val="both"/>
      </w:pPr>
      <w:r>
        <w:rPr>
          <w:sz w:val="24"/>
          <w:szCs w:val="24"/>
        </w:rPr>
        <w:t>O pagamento será efetuado até o 15º (décimo quinto) dia do mês subsequente ao da prestação do serviço, mediante crédito em conta corrente, após liberação da respectiva Nota Fiscal/Fatura, devidamente atestada pelo setor competente, que deverá vir acompanhada de ordem de serviço, relatório detalhado dos serviços efetuados e das peças substituídas.</w:t>
      </w:r>
      <w:r>
        <w:t xml:space="preserve"> </w:t>
      </w:r>
    </w:p>
    <w:p w14:paraId="7CB7A463">
      <w:pPr>
        <w:jc w:val="both"/>
      </w:pPr>
    </w:p>
    <w:p w14:paraId="2C2A7303">
      <w:pPr>
        <w:jc w:val="both"/>
        <w:rPr>
          <w:rFonts w:eastAsia="Cambria Math"/>
          <w:b/>
          <w:sz w:val="24"/>
          <w:szCs w:val="24"/>
        </w:rPr>
      </w:pPr>
      <w:r>
        <w:rPr>
          <w:b/>
          <w:sz w:val="24"/>
          <w:szCs w:val="24"/>
        </w:rPr>
        <w:t xml:space="preserve">13 - </w:t>
      </w:r>
      <w:r>
        <w:rPr>
          <w:rFonts w:eastAsia="Cambria Math"/>
          <w:b/>
          <w:sz w:val="24"/>
          <w:szCs w:val="24"/>
        </w:rPr>
        <w:t>VIGÊNCIA</w:t>
      </w:r>
    </w:p>
    <w:p w14:paraId="738AF61B">
      <w:pPr>
        <w:pStyle w:val="272"/>
        <w:spacing w:line="360" w:lineRule="auto"/>
        <w:jc w:val="both"/>
        <w:rPr>
          <w:rFonts w:ascii="Times New Roman" w:hAnsi="Times New Roman" w:cs="Times New Roman"/>
        </w:rPr>
      </w:pPr>
    </w:p>
    <w:p w14:paraId="3510569B">
      <w:pPr>
        <w:pStyle w:val="272"/>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 contrato deverá ter vigência pelo </w:t>
      </w:r>
      <w:r>
        <w:rPr>
          <w:rFonts w:ascii="Times New Roman" w:hAnsi="Times New Roman" w:eastAsia="Cambria Math" w:cs="Times New Roman"/>
          <w:sz w:val="24"/>
          <w:szCs w:val="24"/>
        </w:rPr>
        <w:t>período de 12 meses podendo ser prorrogado por igual período</w:t>
      </w:r>
      <w:r>
        <w:rPr>
          <w:rFonts w:ascii="Times New Roman" w:hAnsi="Times New Roman" w:eastAsia="Times New Roman" w:cs="Times New Roman"/>
          <w:sz w:val="24"/>
          <w:szCs w:val="24"/>
        </w:rPr>
        <w:t>.</w:t>
      </w:r>
    </w:p>
    <w:p w14:paraId="4ED74842">
      <w:pPr>
        <w:jc w:val="both"/>
      </w:pPr>
    </w:p>
    <w:p w14:paraId="33FBDE8C">
      <w:pPr>
        <w:jc w:val="both"/>
        <w:rPr>
          <w:rFonts w:eastAsia="Cambria Math"/>
          <w:b/>
          <w:sz w:val="24"/>
          <w:szCs w:val="24"/>
        </w:rPr>
      </w:pPr>
      <w:r>
        <w:rPr>
          <w:rFonts w:eastAsia="Cambria Math"/>
          <w:b/>
          <w:sz w:val="24"/>
          <w:szCs w:val="24"/>
          <w:lang w:val="en-US"/>
        </w:rPr>
        <w:t>14</w:t>
      </w:r>
      <w:r>
        <w:rPr>
          <w:rFonts w:eastAsia="Cambria Math"/>
          <w:b/>
          <w:sz w:val="24"/>
          <w:szCs w:val="24"/>
        </w:rPr>
        <w:t xml:space="preserve"> - VALOR ESTIMADO DA CONTRATAÇÃO</w:t>
      </w:r>
    </w:p>
    <w:p w14:paraId="60958124">
      <w:pPr>
        <w:jc w:val="both"/>
        <w:rPr>
          <w:rFonts w:eastAsia="Cambria Math"/>
          <w:b/>
          <w:sz w:val="24"/>
          <w:szCs w:val="24"/>
        </w:rPr>
      </w:pPr>
    </w:p>
    <w:p w14:paraId="62882B93">
      <w:pPr>
        <w:jc w:val="both"/>
        <w:rPr>
          <w:sz w:val="24"/>
          <w:szCs w:val="24"/>
        </w:rPr>
      </w:pPr>
      <w:r>
        <w:rPr>
          <w:sz w:val="24"/>
          <w:szCs w:val="24"/>
        </w:rPr>
        <w:t xml:space="preserve">O custo estimado total da contratação pelo menor preço é de </w:t>
      </w:r>
      <w:r>
        <w:rPr>
          <w:rFonts w:eastAsia="SimSun"/>
          <w:sz w:val="24"/>
          <w:szCs w:val="24"/>
          <w:lang w:val="en-US" w:eastAsia="zh-CN" w:bidi="ar"/>
        </w:rPr>
        <w:t xml:space="preserve">R$ </w:t>
      </w:r>
      <w:r>
        <w:rPr>
          <w:rFonts w:eastAsia="SimSun"/>
          <w:sz w:val="24"/>
          <w:szCs w:val="24"/>
          <w:lang w:eastAsia="zh-CN" w:bidi="ar"/>
        </w:rPr>
        <w:t>688.680,00 (seiscentos e oitenta e oito mil seiscentos e oitenta reais),</w:t>
      </w:r>
      <w:r>
        <w:rPr>
          <w:sz w:val="24"/>
          <w:szCs w:val="24"/>
        </w:rPr>
        <w:t xml:space="preserve"> conforme custos avaliados através de pesquisa de preço realizada.</w:t>
      </w:r>
    </w:p>
    <w:p w14:paraId="1CFC9D04">
      <w:pPr>
        <w:jc w:val="both"/>
        <w:rPr>
          <w:sz w:val="24"/>
          <w:szCs w:val="24"/>
        </w:rPr>
      </w:pPr>
    </w:p>
    <w:p w14:paraId="22206A89">
      <w:pPr>
        <w:jc w:val="both"/>
        <w:rPr>
          <w:rFonts w:eastAsia="Cambria Math"/>
          <w:b/>
          <w:sz w:val="24"/>
          <w:szCs w:val="24"/>
          <w:lang w:val="en-US"/>
        </w:rPr>
      </w:pPr>
      <w:r>
        <w:rPr>
          <w:rFonts w:eastAsia="Cambria Math"/>
          <w:b/>
          <w:sz w:val="24"/>
          <w:szCs w:val="24"/>
          <w:lang w:val="en-US"/>
        </w:rPr>
        <w:t>15</w:t>
      </w:r>
      <w:r>
        <w:rPr>
          <w:rFonts w:eastAsia="Cambria Math"/>
          <w:b/>
          <w:sz w:val="24"/>
          <w:szCs w:val="24"/>
        </w:rPr>
        <w:t xml:space="preserve"> - RESPONSÁVE</w:t>
      </w:r>
      <w:r>
        <w:rPr>
          <w:rFonts w:eastAsia="Cambria Math"/>
          <w:b/>
          <w:sz w:val="24"/>
          <w:szCs w:val="24"/>
          <w:lang w:val="en-US"/>
        </w:rPr>
        <w:t>L:</w:t>
      </w:r>
    </w:p>
    <w:p w14:paraId="50A3D991">
      <w:pPr>
        <w:jc w:val="both"/>
        <w:rPr>
          <w:rFonts w:eastAsia="Cambria Math"/>
          <w:b/>
          <w:lang w:val="en-US"/>
        </w:rPr>
      </w:pPr>
    </w:p>
    <w:p w14:paraId="38DE7AAD">
      <w:pPr>
        <w:jc w:val="both"/>
        <w:rPr>
          <w:rFonts w:eastAsia="Cambria Math"/>
          <w:b/>
          <w:lang w:val="en-US"/>
        </w:rPr>
      </w:pPr>
    </w:p>
    <w:p w14:paraId="4A150102">
      <w:pPr>
        <w:jc w:val="both"/>
        <w:rPr>
          <w:rFonts w:eastAsia="Cambria Math"/>
          <w:b/>
          <w:lang w:val="en-US"/>
        </w:rPr>
      </w:pPr>
    </w:p>
    <w:p w14:paraId="22D4927A">
      <w:pPr>
        <w:shd w:val="clear" w:color="auto" w:fill="FFFFFF"/>
        <w:spacing w:line="360" w:lineRule="auto"/>
        <w:jc w:val="center"/>
        <w:rPr>
          <w:sz w:val="24"/>
          <w:szCs w:val="24"/>
        </w:rPr>
      </w:pPr>
      <w:r>
        <w:rPr>
          <w:sz w:val="24"/>
          <w:szCs w:val="24"/>
        </w:rPr>
        <w:t>Valença, 16 de abril de 2026.</w:t>
      </w:r>
    </w:p>
    <w:p w14:paraId="5004299C">
      <w:pPr>
        <w:widowControl w:val="0"/>
        <w:shd w:val="clear" w:color="auto" w:fill="FFFFFF"/>
        <w:suppressAutoHyphens/>
        <w:spacing w:line="360" w:lineRule="auto"/>
        <w:jc w:val="center"/>
        <w:rPr>
          <w:b/>
          <w:sz w:val="24"/>
          <w:szCs w:val="24"/>
        </w:rPr>
      </w:pPr>
    </w:p>
    <w:p w14:paraId="4ABD36F7">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cs="Times New Roman"/>
        </w:rPr>
      </w:pPr>
      <w:r>
        <w:rPr>
          <w:rFonts w:ascii="Times New Roman" w:hAnsi="Times New Roman" w:cs="Times New Roman"/>
          <w:color w:val="auto"/>
          <w:kern w:val="3"/>
          <w:szCs w:val="24"/>
          <w:lang w:eastAsia="zh-CN" w:bidi="hi-IN"/>
        </w:rPr>
        <w:t>Eduardo Eiji Rodrigues Okabayashi</w:t>
      </w:r>
    </w:p>
    <w:p w14:paraId="6758D483">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cs="Times New Roman"/>
          <w:color w:val="auto"/>
          <w:kern w:val="3"/>
          <w:szCs w:val="24"/>
          <w:lang w:eastAsia="zh-CN" w:bidi="hi-IN"/>
        </w:rPr>
      </w:pPr>
      <w:r>
        <w:rPr>
          <w:rFonts w:ascii="Times New Roman" w:hAnsi="Times New Roman" w:eastAsia="Times New Roman" w:cs="Times New Roman"/>
          <w:color w:val="auto"/>
          <w:szCs w:val="24"/>
        </w:rPr>
        <w:t xml:space="preserve">Matricula: </w:t>
      </w:r>
      <w:r>
        <w:rPr>
          <w:rFonts w:ascii="Times New Roman" w:hAnsi="Times New Roman" w:cs="Times New Roman"/>
          <w:color w:val="auto"/>
          <w:kern w:val="3"/>
          <w:szCs w:val="24"/>
          <w:lang w:eastAsia="zh-CN" w:bidi="hi-IN"/>
        </w:rPr>
        <w:t>211.930</w:t>
      </w:r>
    </w:p>
    <w:p w14:paraId="4507CBFC">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eastAsia="Times New Roman" w:cs="Times New Roman"/>
          <w:b/>
          <w:bCs/>
        </w:rPr>
      </w:pPr>
    </w:p>
    <w:p w14:paraId="5C62A0E7">
      <w:pPr>
        <w:spacing w:before="288" w:beforeLines="120" w:after="288" w:afterLines="120" w:line="288" w:lineRule="auto"/>
        <w:ind w:left="284"/>
        <w:contextualSpacing/>
        <w:jc w:val="center"/>
        <w:rPr>
          <w:rFonts w:eastAsia="MS Mincho"/>
          <w:b/>
          <w:sz w:val="24"/>
          <w:szCs w:val="24"/>
        </w:rPr>
      </w:pPr>
      <w:r>
        <w:rPr>
          <w:rFonts w:eastAsia="MS Mincho"/>
          <w:b/>
          <w:sz w:val="24"/>
          <w:szCs w:val="24"/>
        </w:rPr>
        <w:t>ANEXO II</w:t>
      </w:r>
    </w:p>
    <w:p w14:paraId="7AE0F782">
      <w:pPr>
        <w:spacing w:before="288" w:beforeLines="120" w:after="288" w:afterLines="120" w:line="288" w:lineRule="auto"/>
        <w:ind w:left="284"/>
        <w:contextualSpacing/>
        <w:jc w:val="center"/>
        <w:rPr>
          <w:rFonts w:eastAsia="MS Mincho" w:asciiTheme="minorHAnsi" w:hAnsiTheme="minorHAnsi" w:cstheme="minorHAnsi"/>
          <w:b/>
          <w:sz w:val="24"/>
          <w:szCs w:val="24"/>
        </w:rPr>
      </w:pPr>
    </w:p>
    <w:p w14:paraId="4EC3A7CB">
      <w:pPr>
        <w:ind w:left="284"/>
        <w:jc w:val="center"/>
        <w:rPr>
          <w:b/>
          <w:color w:val="000000"/>
          <w:sz w:val="24"/>
          <w:szCs w:val="24"/>
          <w:u w:val="single"/>
        </w:rPr>
      </w:pPr>
      <w:r>
        <w:rPr>
          <w:b/>
          <w:color w:val="000000"/>
          <w:sz w:val="24"/>
          <w:szCs w:val="24"/>
        </w:rPr>
        <w:t xml:space="preserve">    </w:t>
      </w:r>
      <w:r>
        <w:rPr>
          <w:b/>
          <w:color w:val="000000"/>
          <w:sz w:val="24"/>
          <w:szCs w:val="24"/>
          <w:highlight w:val="yellow"/>
          <w:u w:val="single"/>
        </w:rPr>
        <w:t>ESTUDO TÉCNICO PRELIMINAR</w:t>
      </w:r>
    </w:p>
    <w:p w14:paraId="4308E379">
      <w:pPr>
        <w:ind w:left="284"/>
        <w:jc w:val="center"/>
        <w:rPr>
          <w:b/>
          <w:sz w:val="24"/>
          <w:szCs w:val="24"/>
          <w:u w:val="single"/>
        </w:rPr>
      </w:pPr>
    </w:p>
    <w:p w14:paraId="470B72CC">
      <w:pPr>
        <w:ind w:left="284"/>
        <w:jc w:val="center"/>
        <w:rPr>
          <w:b/>
          <w:sz w:val="24"/>
          <w:szCs w:val="24"/>
          <w:u w:val="single"/>
        </w:rPr>
      </w:pPr>
    </w:p>
    <w:p w14:paraId="56F0EA04">
      <w:pPr>
        <w:spacing w:before="288" w:beforeLines="120" w:after="288" w:afterLines="120" w:line="288" w:lineRule="auto"/>
        <w:contextualSpacing/>
        <w:rPr>
          <w:sz w:val="16"/>
          <w:szCs w:val="16"/>
        </w:rPr>
      </w:pPr>
    </w:p>
    <w:p w14:paraId="7432C3FE">
      <w:pPr>
        <w:spacing w:before="288" w:beforeLines="120" w:after="288" w:afterLines="120" w:line="288" w:lineRule="auto"/>
        <w:contextualSpacing/>
        <w:rPr>
          <w:sz w:val="16"/>
          <w:szCs w:val="16"/>
        </w:rPr>
      </w:pPr>
    </w:p>
    <w:p w14:paraId="0FB613F5">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eastAsia="Times New Roman" w:cs="Times New Roman"/>
          <w:color w:val="auto"/>
          <w:szCs w:val="24"/>
        </w:rPr>
      </w:pPr>
      <w:r>
        <w:rPr>
          <w:rFonts w:ascii="Times New Roman" w:hAnsi="Times New Roman" w:eastAsia="Times New Roman" w:cs="Times New Roman"/>
          <w:b/>
          <w:bCs/>
          <w:color w:val="auto"/>
          <w:szCs w:val="24"/>
        </w:rPr>
        <w:t xml:space="preserve">ÓRGÃO: </w:t>
      </w:r>
      <w:r>
        <w:rPr>
          <w:rFonts w:ascii="Times New Roman" w:hAnsi="Times New Roman" w:eastAsia="Times New Roman" w:cs="Times New Roman"/>
          <w:color w:val="auto"/>
          <w:szCs w:val="24"/>
        </w:rPr>
        <w:t>Secretaria Municipal de Saúde</w:t>
      </w:r>
    </w:p>
    <w:p w14:paraId="57284BB6">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color w:val="auto"/>
          <w:szCs w:val="24"/>
        </w:rPr>
      </w:pPr>
      <w:r>
        <w:rPr>
          <w:rFonts w:ascii="Times New Roman" w:hAnsi="Times New Roman" w:eastAsia="Times New Roman" w:cs="Times New Roman"/>
          <w:b/>
          <w:bCs/>
          <w:color w:val="auto"/>
          <w:szCs w:val="24"/>
        </w:rPr>
        <w:t xml:space="preserve">SETOR REQUISITANTE: </w:t>
      </w:r>
      <w:r>
        <w:rPr>
          <w:rFonts w:ascii="Times New Roman" w:hAnsi="Times New Roman" w:cs="Times New Roman"/>
          <w:color w:val="auto"/>
          <w:szCs w:val="24"/>
        </w:rPr>
        <w:t>Farmácia Assistencial e de Mandado</w:t>
      </w:r>
    </w:p>
    <w:p w14:paraId="3FED5750">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color w:val="auto"/>
          <w:kern w:val="3"/>
          <w:szCs w:val="24"/>
          <w:lang w:eastAsia="zh-CN" w:bidi="hi-IN"/>
        </w:rPr>
      </w:pPr>
      <w:r>
        <w:rPr>
          <w:rFonts w:ascii="Times New Roman" w:hAnsi="Times New Roman" w:eastAsia="Times New Roman" w:cs="Times New Roman"/>
          <w:b/>
          <w:bCs/>
          <w:color w:val="auto"/>
          <w:szCs w:val="24"/>
        </w:rPr>
        <w:t xml:space="preserve">RESPONSÁVEL PELA DEMANDA: </w:t>
      </w:r>
      <w:r>
        <w:rPr>
          <w:rFonts w:ascii="Times New Roman" w:hAnsi="Times New Roman" w:cs="Times New Roman"/>
          <w:color w:val="auto"/>
          <w:kern w:val="3"/>
          <w:szCs w:val="24"/>
          <w:lang w:eastAsia="zh-CN" w:bidi="hi-IN"/>
        </w:rPr>
        <w:t>Eduardo Eiji Rodrigues Okabayashi</w:t>
      </w:r>
    </w:p>
    <w:p w14:paraId="0F3B7BDF">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color w:val="auto"/>
          <w:kern w:val="3"/>
          <w:szCs w:val="24"/>
          <w:lang w:eastAsia="zh-CN" w:bidi="hi-IN"/>
        </w:rPr>
      </w:pPr>
      <w:r>
        <w:rPr>
          <w:rFonts w:ascii="Times New Roman" w:hAnsi="Times New Roman" w:eastAsia="Times New Roman" w:cs="Times New Roman"/>
          <w:b/>
          <w:bCs/>
          <w:color w:val="auto"/>
          <w:szCs w:val="24"/>
        </w:rPr>
        <w:t xml:space="preserve">MATRÍCULA: </w:t>
      </w:r>
      <w:r>
        <w:rPr>
          <w:rFonts w:ascii="Times New Roman" w:hAnsi="Times New Roman" w:cs="Times New Roman"/>
          <w:color w:val="auto"/>
          <w:kern w:val="3"/>
          <w:szCs w:val="24"/>
          <w:lang w:eastAsia="zh-CN" w:bidi="hi-IN"/>
        </w:rPr>
        <w:t>211.930</w:t>
      </w:r>
    </w:p>
    <w:p w14:paraId="780BCB63">
      <w:pPr>
        <w:pStyle w:val="19"/>
        <w:tabs>
          <w:tab w:val="left" w:pos="555"/>
          <w:tab w:val="left" w:pos="840"/>
          <w:tab w:val="left" w:pos="1140"/>
          <w:tab w:val="left" w:pos="1395"/>
          <w:tab w:val="left" w:pos="1650"/>
          <w:tab w:val="left" w:pos="1965"/>
          <w:tab w:val="left" w:pos="2220"/>
          <w:tab w:val="left" w:leader="underscore" w:pos="7336"/>
        </w:tabs>
        <w:spacing w:line="360" w:lineRule="auto"/>
        <w:rPr>
          <w:rFonts w:ascii="Times New Roman" w:hAnsi="Times New Roman" w:cs="Times New Roman"/>
          <w:color w:val="auto"/>
          <w:kern w:val="3"/>
          <w:szCs w:val="24"/>
          <w:lang w:eastAsia="zh-CN" w:bidi="hi-IN"/>
        </w:rPr>
      </w:pPr>
    </w:p>
    <w:p w14:paraId="778689B3">
      <w:pPr>
        <w:spacing w:line="360" w:lineRule="auto"/>
        <w:jc w:val="both"/>
        <w:rPr>
          <w:b/>
          <w:sz w:val="24"/>
          <w:szCs w:val="24"/>
        </w:rPr>
      </w:pPr>
      <w:r>
        <w:rPr>
          <w:b/>
          <w:sz w:val="24"/>
          <w:szCs w:val="24"/>
        </w:rPr>
        <w:t>INTRODUÇÃO</w:t>
      </w:r>
    </w:p>
    <w:p w14:paraId="7F5D983A">
      <w:pPr>
        <w:spacing w:line="360" w:lineRule="auto"/>
        <w:jc w:val="both"/>
        <w:rPr>
          <w:sz w:val="24"/>
          <w:szCs w:val="24"/>
        </w:rPr>
      </w:pPr>
      <w:r>
        <w:rPr>
          <w:sz w:val="24"/>
          <w:szCs w:val="24"/>
        </w:rPr>
        <w:t>O presente documento caracteriza a primeira etapa da fase de planejamento e apresenta os devidos estudos para a contratação de solução que atenderá à necessidade abaixo especificada.</w:t>
      </w:r>
    </w:p>
    <w:p w14:paraId="44A5E12E">
      <w:pPr>
        <w:spacing w:line="360" w:lineRule="auto"/>
        <w:jc w:val="both"/>
        <w:rPr>
          <w:sz w:val="24"/>
          <w:szCs w:val="24"/>
        </w:rPr>
      </w:pPr>
      <w:r>
        <w:rPr>
          <w:sz w:val="24"/>
          <w:szCs w:val="24"/>
        </w:rPr>
        <w:t>O objetivo principal é estudar detalhadamente a necessidade de identificar no mercado a melhor solução para supri-la, em observância às normas vigentes e aos princípios que regem a Administração Pública.</w:t>
      </w:r>
    </w:p>
    <w:p w14:paraId="2ABC8225">
      <w:pPr>
        <w:jc w:val="both"/>
        <w:rPr>
          <w:b/>
          <w:color w:val="000000"/>
          <w:sz w:val="24"/>
          <w:szCs w:val="24"/>
        </w:rPr>
      </w:pPr>
    </w:p>
    <w:p w14:paraId="1CD99684">
      <w:pPr>
        <w:pStyle w:val="77"/>
        <w:widowControl w:val="0"/>
        <w:numPr>
          <w:ilvl w:val="0"/>
          <w:numId w:val="6"/>
        </w:numPr>
        <w:spacing w:line="360" w:lineRule="auto"/>
        <w:jc w:val="both"/>
        <w:rPr>
          <w:rFonts w:ascii="Times New Roman" w:hAnsi="Times New Roman" w:eastAsia="Times New Roman" w:cs="Times New Roman"/>
          <w:b/>
          <w:sz w:val="24"/>
          <w:szCs w:val="24"/>
        </w:rPr>
      </w:pPr>
      <w:r>
        <w:rPr>
          <w:rFonts w:ascii="Times New Roman" w:hAnsi="Times New Roman" w:eastAsia="Times New Roman" w:cs="Times New Roman"/>
          <w:b/>
          <w:sz w:val="24"/>
          <w:szCs w:val="24"/>
        </w:rPr>
        <w:t>OBJETO</w:t>
      </w:r>
    </w:p>
    <w:p w14:paraId="62700DF5">
      <w:pPr>
        <w:pStyle w:val="77"/>
        <w:spacing w:line="360" w:lineRule="auto"/>
        <w:jc w:val="both"/>
        <w:rPr>
          <w:rFonts w:ascii="Times New Roman" w:hAnsi="Times New Roman" w:eastAsia="Times New Roman" w:cs="Times New Roman"/>
          <w:sz w:val="24"/>
          <w:szCs w:val="24"/>
        </w:rPr>
      </w:pPr>
      <w:r>
        <w:rPr>
          <w:rFonts w:ascii="Times New Roman" w:hAnsi="Times New Roman" w:eastAsia="Helvetica" w:cs="Times New Roman"/>
          <w:sz w:val="24"/>
          <w:szCs w:val="24"/>
          <w:shd w:val="clear" w:color="auto" w:fill="FFFFFF"/>
          <w:lang w:eastAsia="zh-CN" w:bidi="ar"/>
        </w:rPr>
        <w:t xml:space="preserve">Aquisição de cateteres uretrais destinados a atender pacientes </w:t>
      </w:r>
      <w:r>
        <w:rPr>
          <w:rFonts w:ascii="Times New Roman" w:hAnsi="Times New Roman" w:cs="Times New Roman"/>
          <w:sz w:val="24"/>
          <w:szCs w:val="24"/>
        </w:rPr>
        <w:t>assistidos pelo Município de Valença – RJ, por meio do Centro Assistencial e de Mandados por vias administrativas e judiciais.</w:t>
      </w:r>
    </w:p>
    <w:p w14:paraId="7FD45F32">
      <w:pPr>
        <w:spacing w:line="360" w:lineRule="auto"/>
        <w:jc w:val="both"/>
        <w:rPr>
          <w:sz w:val="24"/>
          <w:szCs w:val="24"/>
        </w:rPr>
      </w:pPr>
    </w:p>
    <w:p w14:paraId="1154F049">
      <w:pPr>
        <w:spacing w:line="360" w:lineRule="auto"/>
        <w:jc w:val="both"/>
        <w:rPr>
          <w:b/>
          <w:sz w:val="24"/>
          <w:szCs w:val="24"/>
        </w:rPr>
      </w:pPr>
      <w:r>
        <w:rPr>
          <w:b/>
          <w:sz w:val="24"/>
          <w:szCs w:val="24"/>
        </w:rPr>
        <w:t>2 - DESCRIÇÃO DA NECESSIDADE</w:t>
      </w:r>
    </w:p>
    <w:p w14:paraId="0292E263">
      <w:pPr>
        <w:pStyle w:val="24"/>
        <w:spacing w:line="360" w:lineRule="auto"/>
        <w:jc w:val="both"/>
      </w:pPr>
      <w:r>
        <w:t>A aquisição de cateteres uretrais é indispensável pois se trata de insumo essencial para pacientes com retenção urinária, bexiga neurogênica, pós-operatórios e outras condições clínicas que necessitam de cateterização intermitente ou de demora, sendo fundamental para a prevenção de infecções, complicações urológicas e internações evitáveis.</w:t>
      </w:r>
    </w:p>
    <w:p w14:paraId="5803967A">
      <w:pPr>
        <w:pStyle w:val="24"/>
        <w:spacing w:line="360" w:lineRule="auto"/>
        <w:jc w:val="both"/>
      </w:pPr>
      <w:r>
        <w:t>A ausência desse material compromete diretamente a saúde e a dignidade dos usuários do Sistema Único de Saúde (SUS), além de expor o Município ao descumprimento de determinações judiciais e administrativas. Dessa forma, a aquisição visa assegurar o atendimento regular, contínuo e humanizado, garantindo o direito constitucional à saúde e a integralidade da assistência prestada à população.</w:t>
      </w:r>
    </w:p>
    <w:p w14:paraId="1CB0AE1A">
      <w:pPr>
        <w:spacing w:line="360" w:lineRule="auto"/>
        <w:jc w:val="both"/>
        <w:rPr>
          <w:rFonts w:eastAsia="SimSun"/>
          <w:sz w:val="24"/>
          <w:szCs w:val="24"/>
        </w:rPr>
      </w:pPr>
      <w:r>
        <w:rPr>
          <w:rFonts w:eastAsia="SimSun"/>
          <w:sz w:val="24"/>
          <w:szCs w:val="24"/>
        </w:rPr>
        <w:t>O cateter com revestimento hidrofílico reduz o risco de lesões uretrais ao reduzir a fricção exercida quando o dispositivo é introduzido e retirado da uretra em relação aos cateteres sem revestimento. Complicações uretrais associadas a repetidos cateterismos variam desde irritação da mucosa uretral e lesões na uretra com riscos para infecções, estenoses e falsos trajetos;</w:t>
      </w:r>
    </w:p>
    <w:p w14:paraId="4113D584">
      <w:pPr>
        <w:spacing w:line="360" w:lineRule="auto"/>
        <w:jc w:val="both"/>
        <w:rPr>
          <w:rFonts w:eastAsia="SimSun"/>
          <w:sz w:val="24"/>
          <w:szCs w:val="24"/>
        </w:rPr>
      </w:pPr>
      <w:r>
        <w:rPr>
          <w:rFonts w:eastAsia="SimSun"/>
          <w:sz w:val="24"/>
          <w:szCs w:val="24"/>
        </w:rPr>
        <w:t xml:space="preserve"> A sociedade Brasileira de urologia, em sua recomendação em 2016, já posiciona o cateter hidrofílico como tecnologia de escolha para redução de complicações associadas ao cateterismo intermitente, bem como adesão ao tratamento e melhor qualidade de vida; </w:t>
      </w:r>
    </w:p>
    <w:p w14:paraId="30F2FA07">
      <w:pPr>
        <w:spacing w:line="360" w:lineRule="auto"/>
        <w:jc w:val="both"/>
        <w:rPr>
          <w:rFonts w:eastAsia="SimSun"/>
          <w:sz w:val="24"/>
          <w:szCs w:val="24"/>
        </w:rPr>
      </w:pPr>
      <w:r>
        <w:rPr>
          <w:rFonts w:eastAsia="SimSun"/>
          <w:sz w:val="24"/>
          <w:szCs w:val="24"/>
        </w:rPr>
        <w:t xml:space="preserve">Desta forma, a presente aquisição faz-se necessária para garantir qualidade de vida e presteza no atendimento dos paciente. </w:t>
      </w:r>
    </w:p>
    <w:p w14:paraId="746EA68C">
      <w:pPr>
        <w:spacing w:line="360" w:lineRule="auto"/>
        <w:jc w:val="both"/>
        <w:rPr>
          <w:rFonts w:eastAsia="SimSun"/>
          <w:sz w:val="24"/>
          <w:szCs w:val="24"/>
        </w:rPr>
      </w:pPr>
      <w:r>
        <w:rPr>
          <w:rFonts w:eastAsia="SimSun"/>
          <w:sz w:val="24"/>
          <w:szCs w:val="24"/>
        </w:rPr>
        <w:t>Seguindo a recomendação da CONITEC através da Portaria nº 37 de 24 de julho de 2019, onde “Torna pública a decisão de incorporar o cateter hidrofílico para cateterismo vesical intermitente em indivíduos com lesão medular e bexiga neurogênica, conforme estabelecido pelo Ministério da Saúde, no âmbito do Sistema Único de Saúde – SUS” baseado na análise de custo x efetividade comparando o cateter com revestimento hidrofílico com o cateter uretral de PVC sem revestimento em adultos com retenção urinária decorrente de lesão medular que realizam cateterismo intermitente. É comprovada a viabilidade da utilização do cateter hidrofílico em substituição ao cateter convencional.</w:t>
      </w:r>
    </w:p>
    <w:p w14:paraId="53F8380D">
      <w:pPr>
        <w:spacing w:line="360" w:lineRule="auto"/>
        <w:jc w:val="both"/>
        <w:rPr>
          <w:b/>
          <w:color w:val="C00000"/>
          <w:sz w:val="24"/>
          <w:szCs w:val="24"/>
        </w:rPr>
      </w:pPr>
    </w:p>
    <w:p w14:paraId="748B39D7">
      <w:pPr>
        <w:shd w:val="clear" w:color="auto" w:fill="FFFFFF"/>
        <w:spacing w:line="360" w:lineRule="auto"/>
        <w:jc w:val="both"/>
        <w:rPr>
          <w:b/>
          <w:sz w:val="24"/>
          <w:szCs w:val="24"/>
        </w:rPr>
      </w:pPr>
      <w:r>
        <w:rPr>
          <w:b/>
          <w:sz w:val="24"/>
          <w:szCs w:val="24"/>
        </w:rPr>
        <w:t>3 – PREVISÃO NO PLANO DE CONTRATAÇÕES ANUAL</w:t>
      </w:r>
    </w:p>
    <w:p w14:paraId="1C36D542">
      <w:pPr>
        <w:pStyle w:val="19"/>
        <w:tabs>
          <w:tab w:val="left" w:pos="555"/>
          <w:tab w:val="left" w:pos="840"/>
          <w:tab w:val="left" w:pos="1140"/>
          <w:tab w:val="left" w:pos="1395"/>
          <w:tab w:val="left" w:pos="1650"/>
          <w:tab w:val="left" w:pos="1965"/>
          <w:tab w:val="left" w:pos="2220"/>
          <w:tab w:val="left" w:leader="underscore" w:pos="7336"/>
        </w:tabs>
        <w:spacing w:before="57" w:after="57"/>
        <w:rPr>
          <w:rFonts w:ascii="Times New Roman" w:hAnsi="Times New Roman" w:cs="Times New Roman"/>
          <w:color w:val="auto"/>
          <w:szCs w:val="24"/>
        </w:rPr>
      </w:pPr>
      <w:r>
        <w:rPr>
          <w:rFonts w:ascii="Times New Roman" w:hAnsi="Times New Roman" w:cs="Times New Roman"/>
          <w:color w:val="auto"/>
          <w:szCs w:val="24"/>
        </w:rPr>
        <w:t>Previsto no Plano de Contratações Anual 2026 - item 11</w:t>
      </w:r>
    </w:p>
    <w:p w14:paraId="7EA00B08">
      <w:pPr>
        <w:pStyle w:val="61"/>
        <w:ind w:left="0"/>
        <w:rPr>
          <w:b/>
          <w:sz w:val="24"/>
          <w:szCs w:val="24"/>
        </w:rPr>
      </w:pPr>
    </w:p>
    <w:p w14:paraId="5CD42BBD">
      <w:pPr>
        <w:pStyle w:val="61"/>
        <w:ind w:left="0"/>
        <w:rPr>
          <w:rFonts w:eastAsia="Cambria Math"/>
          <w:b/>
          <w:sz w:val="24"/>
          <w:szCs w:val="24"/>
        </w:rPr>
      </w:pPr>
      <w:r>
        <w:rPr>
          <w:b/>
          <w:sz w:val="24"/>
          <w:szCs w:val="24"/>
        </w:rPr>
        <w:t xml:space="preserve">4 – </w:t>
      </w:r>
      <w:r>
        <w:rPr>
          <w:rFonts w:eastAsia="Cambria Math"/>
          <w:b/>
          <w:sz w:val="24"/>
          <w:szCs w:val="24"/>
        </w:rPr>
        <w:t>ALINHAMENTO ENTRE A AQUISIÇÃO E O PLANO DE EXECUÇÃO</w:t>
      </w:r>
    </w:p>
    <w:p w14:paraId="529ED8FC">
      <w:pPr>
        <w:pStyle w:val="61"/>
        <w:ind w:left="0"/>
        <w:rPr>
          <w:rFonts w:eastAsia="Cambria Math"/>
          <w:b/>
          <w:sz w:val="24"/>
          <w:szCs w:val="24"/>
        </w:rPr>
      </w:pPr>
    </w:p>
    <w:p w14:paraId="32F727E5">
      <w:pPr>
        <w:pStyle w:val="74"/>
        <w:spacing w:line="360" w:lineRule="auto"/>
        <w:jc w:val="both"/>
        <w:rPr>
          <w:color w:val="auto"/>
        </w:rPr>
      </w:pPr>
      <w:r>
        <w:rPr>
          <w:rFonts w:ascii="Times New Roman" w:hAnsi="Times New Roman" w:cs="Times New Roman"/>
          <w:color w:val="auto"/>
        </w:rPr>
        <w:t>O contratado deve realizar o fornecimento do objeto de acordo com a solicitação do Setor Demandante, e conforme condições, quantidades, exigências e estimativa  estabelecidas no Termo de Referência;</w:t>
      </w:r>
    </w:p>
    <w:p w14:paraId="4EC248B1">
      <w:pPr>
        <w:pStyle w:val="74"/>
        <w:spacing w:line="360" w:lineRule="auto"/>
        <w:jc w:val="both"/>
        <w:rPr>
          <w:color w:val="auto"/>
        </w:rPr>
      </w:pPr>
      <w:r>
        <w:rPr>
          <w:rFonts w:ascii="Times New Roman" w:hAnsi="Times New Roman" w:cs="Times New Roman"/>
          <w:color w:val="auto"/>
        </w:rPr>
        <w:t>O contratado deverá executar diretamente o objeto, não podendo transferir a responsabilidade pelo objeto demandado para nenhuma outra empresa ou instituição de qualquer natureza</w:t>
      </w:r>
      <w:r>
        <w:rPr>
          <w:rFonts w:cs="Times New Roman"/>
          <w:color w:val="auto"/>
        </w:rPr>
        <w:t>;</w:t>
      </w:r>
    </w:p>
    <w:p w14:paraId="0E6B999A">
      <w:pPr>
        <w:pStyle w:val="74"/>
        <w:spacing w:line="360" w:lineRule="auto"/>
        <w:jc w:val="both"/>
        <w:rPr>
          <w:color w:val="auto"/>
        </w:rPr>
      </w:pPr>
      <w:r>
        <w:rPr>
          <w:rFonts w:ascii="Times New Roman" w:hAnsi="Times New Roman" w:cs="Times New Roman"/>
          <w:color w:val="auto"/>
        </w:rPr>
        <w:t>O contratado deverá prestar todos os esclarecimentos técnicos que lhe forem solicitados, relacionados com as características do exame realizado</w:t>
      </w:r>
      <w:r>
        <w:rPr>
          <w:rFonts w:cs="Times New Roman"/>
          <w:color w:val="auto"/>
        </w:rPr>
        <w:t>;</w:t>
      </w:r>
      <w:r>
        <w:rPr>
          <w:rFonts w:ascii="Times New Roman" w:hAnsi="Times New Roman" w:cs="Times New Roman"/>
          <w:color w:val="auto"/>
        </w:rPr>
        <w:t xml:space="preserve"> </w:t>
      </w:r>
    </w:p>
    <w:p w14:paraId="50F0609E">
      <w:pPr>
        <w:pStyle w:val="74"/>
        <w:spacing w:line="360" w:lineRule="auto"/>
        <w:jc w:val="both"/>
        <w:rPr>
          <w:color w:val="auto"/>
        </w:rPr>
      </w:pPr>
      <w:r>
        <w:rPr>
          <w:rFonts w:ascii="Times New Roman" w:hAnsi="Times New Roman" w:cs="Times New Roman"/>
          <w:color w:val="auto"/>
        </w:rPr>
        <w:t>O contratado deverá arcar com todas as despesas, diretas ou indiretas, sem qualquer ônus para a municipalidade</w:t>
      </w:r>
      <w:r>
        <w:rPr>
          <w:rFonts w:cs="Times New Roman"/>
          <w:color w:val="auto"/>
        </w:rPr>
        <w:t>;</w:t>
      </w:r>
    </w:p>
    <w:p w14:paraId="30B765AA">
      <w:pPr>
        <w:spacing w:line="360" w:lineRule="auto"/>
        <w:jc w:val="both"/>
        <w:rPr>
          <w:sz w:val="24"/>
          <w:szCs w:val="24"/>
        </w:rPr>
      </w:pPr>
      <w:r>
        <w:rPr>
          <w:sz w:val="24"/>
          <w:szCs w:val="24"/>
        </w:rPr>
        <w:t>O contratado deverá repetir procedimentos às suas próprias custas para correção de falhas verificadas, principalmente na hipótese de aquisição do objeto em desacordo com as condições pactuadas;</w:t>
      </w:r>
    </w:p>
    <w:p w14:paraId="06C4038D">
      <w:pPr>
        <w:spacing w:line="360" w:lineRule="auto"/>
        <w:jc w:val="both"/>
        <w:rPr>
          <w:rFonts w:eastAsia="SimSun"/>
          <w:sz w:val="24"/>
          <w:szCs w:val="24"/>
        </w:rPr>
      </w:pPr>
      <w:r>
        <w:rPr>
          <w:rFonts w:eastAsia="SimSun"/>
          <w:sz w:val="24"/>
          <w:szCs w:val="24"/>
        </w:rPr>
        <w:t xml:space="preserve">O contratado deverá assegurar a qualidade e garantia dos materiais e serviços entregues em conformidade com o termo de referencia e Estudo Técnico Preliminar </w:t>
      </w:r>
    </w:p>
    <w:p w14:paraId="28C8F511">
      <w:pPr>
        <w:spacing w:line="360" w:lineRule="auto"/>
        <w:jc w:val="both"/>
        <w:rPr>
          <w:rFonts w:eastAsia="SimSun"/>
          <w:sz w:val="24"/>
          <w:szCs w:val="24"/>
        </w:rPr>
      </w:pPr>
      <w:r>
        <w:rPr>
          <w:rFonts w:eastAsia="SimSun"/>
          <w:sz w:val="24"/>
          <w:szCs w:val="24"/>
        </w:rPr>
        <w:t xml:space="preserve">O contratado deverá reparar, corrigir, reconstruir ou substituir, imediatamente, às suas expensas, no total ou em parte, o objeto em que se verificarem vícios, defeitos ou incorreções resultantes de materiais entregues, independentemente das penalidades aplicáveis ou cabíveis; </w:t>
      </w:r>
    </w:p>
    <w:p w14:paraId="406E5389">
      <w:pPr>
        <w:spacing w:line="360" w:lineRule="auto"/>
        <w:jc w:val="both"/>
        <w:rPr>
          <w:rFonts w:eastAsia="SimSun"/>
          <w:sz w:val="24"/>
          <w:szCs w:val="24"/>
        </w:rPr>
      </w:pPr>
      <w:r>
        <w:rPr>
          <w:rFonts w:eastAsia="SimSun"/>
          <w:sz w:val="24"/>
          <w:szCs w:val="24"/>
        </w:rPr>
        <w:t xml:space="preserve">O contratado deverá permitir e facilitar à fiscalização ou supervisão da Secretaria Municipal de Saúde, devendo prestar todas as informações e esclarecimentos solicitados; </w:t>
      </w:r>
    </w:p>
    <w:p w14:paraId="638777BF">
      <w:pPr>
        <w:spacing w:line="360" w:lineRule="auto"/>
        <w:jc w:val="both"/>
        <w:rPr>
          <w:rFonts w:eastAsia="SimSun"/>
          <w:sz w:val="24"/>
          <w:szCs w:val="24"/>
        </w:rPr>
      </w:pPr>
      <w:r>
        <w:rPr>
          <w:rFonts w:eastAsia="SimSun"/>
          <w:sz w:val="24"/>
          <w:szCs w:val="24"/>
        </w:rPr>
        <w:t xml:space="preserve">O contratado deverá informar à fiscalização ou supervisão da Secretaria Municipal de Saúde, a ocorrência de qualquer fato ou condição que possa atrasar ou impedir a entrega dos materiais, no todo ou em parte, indicando as medidas para corrigir a situação; </w:t>
      </w:r>
    </w:p>
    <w:p w14:paraId="5F09D771">
      <w:pPr>
        <w:spacing w:line="360" w:lineRule="auto"/>
        <w:jc w:val="both"/>
        <w:rPr>
          <w:rFonts w:eastAsia="SimSun"/>
          <w:sz w:val="24"/>
          <w:szCs w:val="24"/>
        </w:rPr>
      </w:pPr>
      <w:r>
        <w:rPr>
          <w:rFonts w:eastAsia="SimSun"/>
          <w:sz w:val="24"/>
          <w:szCs w:val="24"/>
        </w:rPr>
        <w:t xml:space="preserve">O contratado deverá responsabilizar-se pelos danos causados diretamente ao Município de Valença ou a terceiros decorrentes de sua culpa ou dolo, referente ao material solicitado, não excluindo ou reduzindo essa responsabilidade à fiscalização ou ao acompanhamento pela Secretaria Municipal de Saúde; </w:t>
      </w:r>
    </w:p>
    <w:p w14:paraId="179AE9F6">
      <w:pPr>
        <w:spacing w:line="360" w:lineRule="auto"/>
        <w:jc w:val="both"/>
        <w:rPr>
          <w:rFonts w:eastAsia="SimSun"/>
          <w:sz w:val="24"/>
          <w:szCs w:val="24"/>
        </w:rPr>
      </w:pPr>
      <w:r>
        <w:rPr>
          <w:rFonts w:eastAsia="SimSun"/>
          <w:sz w:val="24"/>
          <w:szCs w:val="24"/>
        </w:rPr>
        <w:t xml:space="preserve">O contratado deverá cumprir, dentro dos prazos estabelecidos, as obrigações assumidas; </w:t>
      </w:r>
    </w:p>
    <w:p w14:paraId="2D0E4907">
      <w:pPr>
        <w:spacing w:line="360" w:lineRule="auto"/>
        <w:jc w:val="both"/>
        <w:rPr>
          <w:rFonts w:eastAsia="SimSun"/>
          <w:sz w:val="24"/>
          <w:szCs w:val="24"/>
        </w:rPr>
      </w:pPr>
      <w:r>
        <w:rPr>
          <w:rFonts w:eastAsia="SimSun"/>
          <w:sz w:val="24"/>
          <w:szCs w:val="24"/>
        </w:rPr>
        <w:t>O contratado deverá manter durante a vigência da Ata em compatibilidade com as obrigações assumidas todas de habilitação exigidas na licitação;</w:t>
      </w:r>
    </w:p>
    <w:p w14:paraId="18145009">
      <w:pPr>
        <w:spacing w:line="360" w:lineRule="auto"/>
        <w:jc w:val="both"/>
        <w:rPr>
          <w:rFonts w:eastAsia="SimSun"/>
          <w:sz w:val="24"/>
          <w:szCs w:val="24"/>
        </w:rPr>
      </w:pPr>
      <w:r>
        <w:rPr>
          <w:rFonts w:eastAsia="SimSun"/>
          <w:sz w:val="24"/>
          <w:szCs w:val="24"/>
        </w:rPr>
        <w:t xml:space="preserve">O contratado deverá conhecer o material objeto desta ata que deverão estar em conformidade com as normas técnicas publicadas pela ABNT, e sanitárias publicadas pela ANVISA ( especifico para itens de saúde) empregando sempre a melhor técnica construtiva, bem como conhecer as exigências legais, respeitando e aplicando as prescrições, orientações e procedimentos específicos pelos fabricantes de materiais; </w:t>
      </w:r>
    </w:p>
    <w:p w14:paraId="5E4F2F7A">
      <w:pPr>
        <w:spacing w:line="360" w:lineRule="auto"/>
        <w:jc w:val="both"/>
        <w:rPr>
          <w:rFonts w:eastAsia="SimSun"/>
          <w:sz w:val="24"/>
          <w:szCs w:val="24"/>
        </w:rPr>
      </w:pPr>
      <w:r>
        <w:rPr>
          <w:rFonts w:eastAsia="SimSun"/>
          <w:sz w:val="24"/>
          <w:szCs w:val="24"/>
        </w:rPr>
        <w:t xml:space="preserve">O contratado deverá garantir que todos os materiais sejam de primeira linha e apresentem características de qualidade, resistência, durabilidade, desempenho de uso e de aspecto, suficientes e capazes de atender integralmente as demandas e solicitações de uso funcional corrente, respeitando as especificações e determinações constantes dos projetos, dos memoriais e das instituições normativas da ABNT , ANVISA e dos fabricantes; </w:t>
      </w:r>
    </w:p>
    <w:p w14:paraId="1EDD3CBB">
      <w:pPr>
        <w:spacing w:line="360" w:lineRule="auto"/>
        <w:jc w:val="both"/>
        <w:rPr>
          <w:rFonts w:eastAsia="SimSun"/>
          <w:sz w:val="24"/>
          <w:szCs w:val="24"/>
        </w:rPr>
      </w:pPr>
      <w:r>
        <w:rPr>
          <w:rFonts w:eastAsia="SimSun"/>
          <w:sz w:val="24"/>
          <w:szCs w:val="24"/>
        </w:rPr>
        <w:t xml:space="preserve">O contratado deverá garantir que todos os materiais a serem entregues sejam  isentos de quaisquer defeitos ou alteração que os modifique em relação às especificações normativas originais de fabricante, independentemente das razões que as produziram. </w:t>
      </w:r>
    </w:p>
    <w:p w14:paraId="286F8A82">
      <w:pPr>
        <w:spacing w:line="360" w:lineRule="auto"/>
        <w:jc w:val="both"/>
        <w:rPr>
          <w:rFonts w:eastAsia="SimSun"/>
          <w:sz w:val="24"/>
          <w:szCs w:val="24"/>
        </w:rPr>
      </w:pPr>
      <w:r>
        <w:rPr>
          <w:rFonts w:eastAsia="SimSun"/>
          <w:sz w:val="24"/>
          <w:szCs w:val="24"/>
        </w:rPr>
        <w:t xml:space="preserve">O contratado deverá substituir, imediatamente, às suas expensas, caso os produtos sejam entregues com defeitos, incorreções, prazo de validade muito próximo, vencido, deformidades, embalados incorretamente, não refrigerados, impróprios para o consumo humano, independentemente das penalidades aplicáveis ou cabíveis; </w:t>
      </w:r>
    </w:p>
    <w:p w14:paraId="5A215605">
      <w:pPr>
        <w:spacing w:line="360" w:lineRule="auto"/>
        <w:jc w:val="both"/>
        <w:rPr>
          <w:rFonts w:eastAsia="SimSun"/>
          <w:sz w:val="24"/>
          <w:szCs w:val="24"/>
        </w:rPr>
      </w:pPr>
      <w:r>
        <w:rPr>
          <w:rFonts w:eastAsia="SimSun"/>
          <w:sz w:val="24"/>
          <w:szCs w:val="24"/>
        </w:rPr>
        <w:t xml:space="preserve">O contratado deverá responsabilizar-se pelos danos causados diretamente ao Município de Valença ou a terceiros decorrentes de sua culpa ou dolo, quando da entrega ou uso dos produtos entregues com defeitos, incorreções, prazo de validade muito próximo, vencido, deformidades, embalados incorretamente, não refrigerados, impróprios para o consumo humano ou avarias de fabricação, não excluindo ou reduzindo essa responsabilidade à fiscalização ou ao acompanhamento pela Secretaria Municipal de Saúde; </w:t>
      </w:r>
    </w:p>
    <w:p w14:paraId="4BEDF1E1">
      <w:pPr>
        <w:spacing w:line="360" w:lineRule="auto"/>
        <w:jc w:val="both"/>
        <w:rPr>
          <w:rFonts w:eastAsia="SimSun"/>
          <w:sz w:val="24"/>
          <w:szCs w:val="24"/>
        </w:rPr>
      </w:pPr>
      <w:r>
        <w:rPr>
          <w:rFonts w:eastAsia="SimSun"/>
          <w:sz w:val="24"/>
          <w:szCs w:val="24"/>
        </w:rPr>
        <w:t xml:space="preserve">O contratado deverá responsabilizar-se com o transporte adequado, seja em termos de refrigeração, acondicionamento, de acordo com normas vigentes sejam elas sanitárias, de transporte, quando for o caso. </w:t>
      </w:r>
    </w:p>
    <w:p w14:paraId="02652C71">
      <w:pPr>
        <w:spacing w:line="360" w:lineRule="auto"/>
        <w:jc w:val="both"/>
        <w:rPr>
          <w:rFonts w:eastAsia="SimSun"/>
          <w:sz w:val="24"/>
          <w:szCs w:val="24"/>
        </w:rPr>
      </w:pPr>
      <w:r>
        <w:rPr>
          <w:rFonts w:eastAsia="SimSun"/>
          <w:sz w:val="24"/>
          <w:szCs w:val="24"/>
        </w:rPr>
        <w:t xml:space="preserve">A empresa será responsável pelo recolhimento do produto não aceito e o envio do produto correto dentro do prazo de 24 (vinte e quatro) horas a partir da notificação da Secretaria Municipal de Saúde. </w:t>
      </w:r>
    </w:p>
    <w:p w14:paraId="7E66AD82">
      <w:pPr>
        <w:spacing w:line="360" w:lineRule="auto"/>
        <w:jc w:val="both"/>
        <w:rPr>
          <w:rFonts w:eastAsia="SimSun"/>
          <w:sz w:val="24"/>
          <w:szCs w:val="24"/>
        </w:rPr>
      </w:pPr>
      <w:r>
        <w:rPr>
          <w:rFonts w:eastAsia="SimSun"/>
          <w:sz w:val="24"/>
          <w:szCs w:val="24"/>
        </w:rPr>
        <w:t xml:space="preserve">O contratado deverá se responsabilizar pela entrega em qualquer quantidade solicitada pelo Município nos prazos e condições estabelecidas na ordem de compra. </w:t>
      </w:r>
    </w:p>
    <w:p w14:paraId="441B58DA">
      <w:pPr>
        <w:spacing w:line="360" w:lineRule="auto"/>
        <w:jc w:val="both"/>
        <w:rPr>
          <w:sz w:val="24"/>
          <w:szCs w:val="24"/>
        </w:rPr>
      </w:pPr>
      <w:r>
        <w:rPr>
          <w:rFonts w:eastAsia="SimSun"/>
          <w:sz w:val="24"/>
          <w:szCs w:val="24"/>
        </w:rPr>
        <w:t>Fornecer garantia dos produtos</w:t>
      </w:r>
    </w:p>
    <w:p w14:paraId="682C8114">
      <w:pPr>
        <w:spacing w:line="360" w:lineRule="auto"/>
        <w:jc w:val="both"/>
        <w:rPr>
          <w:sz w:val="24"/>
          <w:szCs w:val="24"/>
        </w:rPr>
      </w:pPr>
      <w:r>
        <w:rPr>
          <w:sz w:val="24"/>
          <w:szCs w:val="24"/>
        </w:rPr>
        <w:t>As entregas serão realizadas no Almoxarifado/FMS, localizada na Rua Dom Rodolfo Pena, nº 156, Bairro de Fatima, nesta cidade;</w:t>
      </w:r>
    </w:p>
    <w:p w14:paraId="0E60CCF6">
      <w:pPr>
        <w:spacing w:line="360" w:lineRule="auto"/>
        <w:jc w:val="both"/>
        <w:rPr>
          <w:rFonts w:eastAsia="SimSun"/>
          <w:color w:val="C00000"/>
          <w:sz w:val="24"/>
          <w:szCs w:val="24"/>
        </w:rPr>
      </w:pPr>
    </w:p>
    <w:p w14:paraId="32A3B40A">
      <w:pPr>
        <w:jc w:val="both"/>
        <w:rPr>
          <w:rFonts w:eastAsia="Cambria Math"/>
          <w:b/>
          <w:sz w:val="24"/>
          <w:szCs w:val="24"/>
        </w:rPr>
      </w:pPr>
      <w:r>
        <w:rPr>
          <w:rFonts w:eastAsia="Cambria Math"/>
          <w:b/>
          <w:sz w:val="24"/>
          <w:szCs w:val="24"/>
        </w:rPr>
        <w:t>5 - JUSTIFICATIVA DA ESCOLHA DO TIPO DE SOLUÇÃO A CONTRATAÇÃO</w:t>
      </w:r>
    </w:p>
    <w:p w14:paraId="4D3E9FBA">
      <w:pPr>
        <w:spacing w:line="360" w:lineRule="auto"/>
        <w:jc w:val="both"/>
        <w:rPr>
          <w:sz w:val="24"/>
          <w:szCs w:val="24"/>
        </w:rPr>
      </w:pPr>
    </w:p>
    <w:p w14:paraId="76826FF8">
      <w:pPr>
        <w:snapToGrid w:val="0"/>
        <w:spacing w:line="360" w:lineRule="auto"/>
        <w:rPr>
          <w:sz w:val="24"/>
          <w:szCs w:val="24"/>
        </w:rPr>
      </w:pPr>
      <w:r>
        <w:rPr>
          <w:sz w:val="24"/>
          <w:szCs w:val="24"/>
        </w:rPr>
        <w:t>Consiste na contratação de empresa especializada, através do Sistema de Registro de Preços, cujo objeto é a</w:t>
      </w:r>
      <w:r>
        <w:rPr>
          <w:rFonts w:eastAsia="Helvetica"/>
          <w:sz w:val="24"/>
          <w:szCs w:val="24"/>
          <w:shd w:val="clear" w:color="auto" w:fill="FFFFFF"/>
          <w:lang w:eastAsia="zh-CN" w:bidi="ar"/>
        </w:rPr>
        <w:t xml:space="preserve">quisição de cateteres uretrais destinados a atender pacientes </w:t>
      </w:r>
      <w:r>
        <w:rPr>
          <w:sz w:val="24"/>
          <w:szCs w:val="24"/>
        </w:rPr>
        <w:t>assistidos pelo Município de Valença – RJ</w:t>
      </w:r>
    </w:p>
    <w:p w14:paraId="050E6F4A">
      <w:pPr>
        <w:spacing w:line="360" w:lineRule="auto"/>
        <w:jc w:val="both"/>
        <w:rPr>
          <w:sz w:val="24"/>
          <w:szCs w:val="24"/>
        </w:rPr>
      </w:pPr>
      <w:r>
        <w:rPr>
          <w:sz w:val="24"/>
          <w:szCs w:val="24"/>
        </w:rPr>
        <w:t xml:space="preserve">O fornecimento por grupo, permite maior flexibilidade na aquisição conforme a disponibilidade de mercado e as condições econômicas mais vantajosas para a Administração Pública. </w:t>
      </w:r>
    </w:p>
    <w:p w14:paraId="15D01678">
      <w:pPr>
        <w:spacing w:line="360" w:lineRule="auto"/>
        <w:jc w:val="both"/>
        <w:rPr>
          <w:sz w:val="24"/>
          <w:szCs w:val="24"/>
        </w:rPr>
      </w:pPr>
      <w:r>
        <w:rPr>
          <w:sz w:val="24"/>
          <w:szCs w:val="24"/>
        </w:rPr>
        <w:t>A solução proposta busca, além de atender à demanda, garantir a padronização da entrega, a economicidade e a previsibilidade logística.</w:t>
      </w:r>
    </w:p>
    <w:p w14:paraId="6AFAAFFD">
      <w:pPr>
        <w:spacing w:line="360" w:lineRule="auto"/>
        <w:jc w:val="both"/>
        <w:rPr>
          <w:color w:val="C00000"/>
          <w:sz w:val="24"/>
          <w:szCs w:val="24"/>
        </w:rPr>
      </w:pPr>
    </w:p>
    <w:p w14:paraId="2E3E782B">
      <w:pPr>
        <w:spacing w:line="360" w:lineRule="auto"/>
        <w:rPr>
          <w:b/>
          <w:sz w:val="24"/>
          <w:szCs w:val="24"/>
        </w:rPr>
      </w:pPr>
      <w:r>
        <w:rPr>
          <w:rFonts w:eastAsia="Cambria Math"/>
          <w:b/>
          <w:szCs w:val="24"/>
        </w:rPr>
        <w:t xml:space="preserve">6 - </w:t>
      </w:r>
      <w:r>
        <w:rPr>
          <w:b/>
          <w:sz w:val="24"/>
          <w:szCs w:val="24"/>
        </w:rPr>
        <w:t>ESTIMATIVA DAS QUANTIDADES</w:t>
      </w:r>
    </w:p>
    <w:p w14:paraId="2D94DBD2">
      <w:pPr>
        <w:spacing w:line="360" w:lineRule="auto"/>
        <w:jc w:val="both"/>
        <w:rPr>
          <w:sz w:val="24"/>
          <w:szCs w:val="24"/>
        </w:rPr>
      </w:pPr>
      <w:r>
        <w:rPr>
          <w:sz w:val="24"/>
          <w:szCs w:val="24"/>
        </w:rPr>
        <w:t>Entendem-se necessária a contratação do seguinte item e quantitativo:</w:t>
      </w:r>
    </w:p>
    <w:p w14:paraId="42C1C4BB">
      <w:pPr>
        <w:spacing w:line="360" w:lineRule="auto"/>
        <w:jc w:val="both"/>
        <w:rPr>
          <w:sz w:val="24"/>
          <w:szCs w:val="24"/>
        </w:rPr>
      </w:pPr>
    </w:p>
    <w:tbl>
      <w:tblPr>
        <w:tblStyle w:val="10"/>
        <w:tblW w:w="11057" w:type="dxa"/>
        <w:tblInd w:w="-1139" w:type="dxa"/>
        <w:tblLayout w:type="fixed"/>
        <w:tblCellMar>
          <w:top w:w="0" w:type="dxa"/>
          <w:left w:w="10" w:type="dxa"/>
          <w:bottom w:w="0" w:type="dxa"/>
          <w:right w:w="10" w:type="dxa"/>
        </w:tblCellMar>
      </w:tblPr>
      <w:tblGrid>
        <w:gridCol w:w="850"/>
        <w:gridCol w:w="5671"/>
        <w:gridCol w:w="850"/>
        <w:gridCol w:w="1418"/>
        <w:gridCol w:w="992"/>
        <w:gridCol w:w="1276"/>
      </w:tblGrid>
      <w:tr w14:paraId="619BD241">
        <w:tblPrEx>
          <w:tblCellMar>
            <w:top w:w="0" w:type="dxa"/>
            <w:left w:w="10" w:type="dxa"/>
            <w:bottom w:w="0" w:type="dxa"/>
            <w:right w:w="10" w:type="dxa"/>
          </w:tblCellMar>
        </w:tblPrEx>
        <w:trPr>
          <w:trHeight w:val="370"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EA511AD">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Item</w:t>
            </w:r>
          </w:p>
        </w:tc>
        <w:tc>
          <w:tcPr>
            <w:tcW w:w="567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DA3E839">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Descrição</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410AC65">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Qtde.</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1EB288C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Catmat</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2368F04">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Valor Unit.</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21959EE">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Valor total</w:t>
            </w:r>
          </w:p>
        </w:tc>
      </w:tr>
      <w:tr w14:paraId="2323AF9A">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31DDFCCD">
            <w:pPr>
              <w:jc w:val="center"/>
              <w:rPr>
                <w:rFonts w:eastAsia="SimSun"/>
                <w:kern w:val="3"/>
                <w:sz w:val="18"/>
                <w:szCs w:val="18"/>
                <w:lang w:eastAsia="hi-IN" w:bidi="hi-IN"/>
              </w:rPr>
            </w:pPr>
            <w:r>
              <w:rPr>
                <w:rFonts w:eastAsia="SimSun"/>
                <w:kern w:val="3"/>
                <w:sz w:val="18"/>
                <w:szCs w:val="18"/>
                <w:lang w:eastAsia="hi-IN" w:bidi="hi-IN"/>
              </w:rPr>
              <w:t>1</w:t>
            </w:r>
          </w:p>
        </w:tc>
        <w:tc>
          <w:tcPr>
            <w:tcW w:w="567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C38219C">
            <w:pPr>
              <w:jc w:val="both"/>
              <w:rPr>
                <w:rFonts w:eastAsia="SimSun"/>
                <w:sz w:val="16"/>
                <w:szCs w:val="16"/>
                <w:lang w:eastAsia="zh-CN" w:bidi="ar"/>
              </w:rPr>
            </w:pPr>
            <w:r>
              <w:rPr>
                <w:rFonts w:eastAsia="SimSun"/>
                <w:sz w:val="16"/>
                <w:szCs w:val="16"/>
                <w:lang w:val="en-US" w:eastAsia="zh-CN" w:bidi="ar"/>
              </w:rPr>
              <w:t xml:space="preserve">CATÉTER URETRAL COM </w:t>
            </w:r>
            <w:r>
              <w:rPr>
                <w:rFonts w:eastAsia="SimSun"/>
                <w:sz w:val="16"/>
                <w:szCs w:val="16"/>
                <w:lang w:eastAsia="zh-CN" w:bidi="ar"/>
              </w:rPr>
              <w:t xml:space="preserve"> </w:t>
            </w:r>
            <w:r>
              <w:rPr>
                <w:rFonts w:eastAsia="SimSun"/>
                <w:sz w:val="16"/>
                <w:szCs w:val="16"/>
                <w:lang w:val="en-US" w:eastAsia="zh-CN" w:bidi="ar"/>
              </w:rPr>
              <w:t xml:space="preserve">REVESTIMENTO HIDROFÍLICO </w:t>
            </w:r>
            <w:r>
              <w:rPr>
                <w:rFonts w:eastAsia="SimSun"/>
                <w:sz w:val="16"/>
                <w:szCs w:val="16"/>
                <w:lang w:eastAsia="zh-CN" w:bidi="ar"/>
              </w:rPr>
              <w:t xml:space="preserve"> </w:t>
            </w:r>
            <w:r>
              <w:rPr>
                <w:rFonts w:eastAsia="SimSun"/>
                <w:sz w:val="16"/>
                <w:szCs w:val="16"/>
                <w:lang w:val="en-US" w:eastAsia="zh-CN" w:bidi="ar"/>
              </w:rPr>
              <w:t>MASCULINO</w:t>
            </w:r>
            <w:r>
              <w:rPr>
                <w:rFonts w:eastAsia="SimSun"/>
                <w:sz w:val="16"/>
                <w:szCs w:val="16"/>
                <w:lang w:eastAsia="zh-CN" w:bidi="ar"/>
              </w:rPr>
              <w:t xml:space="preserve"> (</w:t>
            </w:r>
            <w:r>
              <w:rPr>
                <w:rFonts w:eastAsia="SimSun"/>
                <w:sz w:val="16"/>
                <w:szCs w:val="16"/>
                <w:lang w:val="en-US" w:eastAsia="zh-CN" w:bidi="ar"/>
              </w:rPr>
              <w:t>Calibre 08 ao 14</w:t>
            </w:r>
            <w:r>
              <w:rPr>
                <w:rFonts w:eastAsia="SimSun"/>
                <w:sz w:val="16"/>
                <w:szCs w:val="16"/>
                <w:lang w:eastAsia="zh-CN" w:bidi="ar"/>
              </w:rPr>
              <w:t>)</w:t>
            </w:r>
            <w:r>
              <w:rPr>
                <w:rFonts w:eastAsia="SimSun"/>
                <w:sz w:val="16"/>
                <w:szCs w:val="16"/>
                <w:lang w:val="en-US" w:eastAsia="zh-CN" w:bidi="ar"/>
              </w:rPr>
              <w:t xml:space="preserve"> APROVADO </w:t>
            </w:r>
            <w:r>
              <w:rPr>
                <w:rFonts w:eastAsia="SimSun"/>
                <w:sz w:val="16"/>
                <w:szCs w:val="16"/>
                <w:lang w:eastAsia="zh-CN" w:bidi="ar"/>
              </w:rPr>
              <w:t xml:space="preserve"> </w:t>
            </w:r>
            <w:r>
              <w:rPr>
                <w:rFonts w:eastAsia="SimSun"/>
                <w:sz w:val="16"/>
                <w:szCs w:val="16"/>
                <w:lang w:val="en-US" w:eastAsia="zh-CN" w:bidi="ar"/>
              </w:rPr>
              <w:t xml:space="preserve">PELA CONITEC. EMBALADO EM </w:t>
            </w:r>
            <w:r>
              <w:rPr>
                <w:rFonts w:eastAsia="SimSun"/>
                <w:sz w:val="16"/>
                <w:szCs w:val="16"/>
                <w:lang w:eastAsia="zh-CN" w:bidi="ar"/>
              </w:rPr>
              <w:t xml:space="preserve"> </w:t>
            </w:r>
            <w:r>
              <w:rPr>
                <w:rFonts w:eastAsia="SimSun"/>
                <w:sz w:val="16"/>
                <w:szCs w:val="16"/>
                <w:lang w:val="en-US" w:eastAsia="zh-CN" w:bidi="ar"/>
              </w:rPr>
              <w:t xml:space="preserve">ALUMÍNIO PARA PROMOVER BARREIRA </w:t>
            </w:r>
            <w:r>
              <w:rPr>
                <w:rFonts w:eastAsia="SimSun"/>
                <w:sz w:val="16"/>
                <w:szCs w:val="16"/>
                <w:lang w:eastAsia="zh-CN" w:bidi="ar"/>
              </w:rPr>
              <w:t xml:space="preserve"> </w:t>
            </w:r>
            <w:r>
              <w:rPr>
                <w:rFonts w:eastAsia="SimSun"/>
                <w:sz w:val="16"/>
                <w:szCs w:val="16"/>
                <w:lang w:val="en-US" w:eastAsia="zh-CN" w:bidi="ar"/>
              </w:rPr>
              <w:t>MICROBIANA E ABERTURA ASSÉPTICA.</w:t>
            </w:r>
            <w:r>
              <w:rPr>
                <w:rFonts w:eastAsia="SimSun"/>
                <w:sz w:val="16"/>
                <w:szCs w:val="16"/>
                <w:lang w:eastAsia="zh-CN" w:bidi="ar"/>
              </w:rPr>
              <w:t xml:space="preserve"> </w:t>
            </w:r>
            <w:r>
              <w:rPr>
                <w:rFonts w:eastAsia="SimSun"/>
                <w:sz w:val="16"/>
                <w:szCs w:val="16"/>
                <w:lang w:val="en-US" w:eastAsia="zh-CN" w:bidi="ar"/>
              </w:rPr>
              <w:t xml:space="preserve">O PRODUTO DEVERÁ TER REGISTRO </w:t>
            </w:r>
            <w:r>
              <w:rPr>
                <w:rFonts w:eastAsia="SimSun"/>
                <w:sz w:val="16"/>
                <w:szCs w:val="16"/>
                <w:lang w:eastAsia="zh-CN" w:bidi="ar"/>
              </w:rPr>
              <w:t xml:space="preserve"> </w:t>
            </w:r>
            <w:r>
              <w:rPr>
                <w:rFonts w:eastAsia="SimSun"/>
                <w:sz w:val="16"/>
                <w:szCs w:val="16"/>
                <w:lang w:val="en-US" w:eastAsia="zh-CN" w:bidi="ar"/>
              </w:rPr>
              <w:t xml:space="preserve">COMO PRODUTO MÉDICO PARA SAÚDE, </w:t>
            </w:r>
            <w:r>
              <w:rPr>
                <w:rFonts w:eastAsia="SimSun"/>
                <w:sz w:val="16"/>
                <w:szCs w:val="16"/>
                <w:lang w:eastAsia="zh-CN" w:bidi="ar"/>
              </w:rPr>
              <w:t xml:space="preserve"> </w:t>
            </w:r>
            <w:r>
              <w:rPr>
                <w:rFonts w:eastAsia="SimSun"/>
                <w:sz w:val="16"/>
                <w:szCs w:val="16"/>
                <w:lang w:val="en-US" w:eastAsia="zh-CN" w:bidi="ar"/>
              </w:rPr>
              <w:t xml:space="preserve">APRESENTANDO BOAS PRÁTICAS DE FABRICAÇÃO E CARTA DE </w:t>
            </w:r>
            <w:r>
              <w:rPr>
                <w:rFonts w:eastAsia="SimSun"/>
                <w:sz w:val="16"/>
                <w:szCs w:val="16"/>
                <w:lang w:eastAsia="zh-CN" w:bidi="ar"/>
              </w:rPr>
              <w:t xml:space="preserve"> </w:t>
            </w:r>
            <w:r>
              <w:rPr>
                <w:rFonts w:eastAsia="SimSun"/>
                <w:sz w:val="16"/>
                <w:szCs w:val="16"/>
                <w:lang w:val="en-US" w:eastAsia="zh-CN" w:bidi="ar"/>
              </w:rPr>
              <w:t>RECOMENDAÇÃO</w:t>
            </w:r>
            <w:r>
              <w:rPr>
                <w:rFonts w:eastAsia="SimSun"/>
                <w:sz w:val="16"/>
                <w:szCs w:val="16"/>
                <w:lang w:eastAsia="zh-CN" w:bidi="ar"/>
              </w:rPr>
              <w:t>.</w:t>
            </w:r>
          </w:p>
          <w:p w14:paraId="006E2F0C">
            <w:pPr>
              <w:jc w:val="both"/>
              <w:rPr>
                <w:rFonts w:eastAsia="SimSun"/>
                <w:sz w:val="16"/>
                <w:szCs w:val="16"/>
                <w:lang w:eastAsia="zh-CN" w:bidi="ar"/>
              </w:rPr>
            </w:pPr>
            <w:r>
              <w:rPr>
                <w:rFonts w:eastAsia="SimSun"/>
                <w:sz w:val="16"/>
                <w:szCs w:val="16"/>
                <w:lang w:val="en-US" w:eastAsia="zh-CN" w:bidi="ar"/>
              </w:rPr>
              <w:t xml:space="preserve">CATÉTER URETRAL COM </w:t>
            </w:r>
            <w:r>
              <w:rPr>
                <w:rFonts w:eastAsia="SimSun"/>
                <w:sz w:val="16"/>
                <w:szCs w:val="16"/>
                <w:lang w:eastAsia="zh-CN" w:bidi="ar"/>
              </w:rPr>
              <w:t xml:space="preserve"> </w:t>
            </w:r>
            <w:r>
              <w:rPr>
                <w:rFonts w:eastAsia="SimSun"/>
                <w:sz w:val="16"/>
                <w:szCs w:val="16"/>
                <w:lang w:val="en-US" w:eastAsia="zh-CN" w:bidi="ar"/>
              </w:rPr>
              <w:t xml:space="preserve">REVESTIMENTO HIDROFÍLICO </w:t>
            </w:r>
            <w:r>
              <w:rPr>
                <w:rFonts w:eastAsia="SimSun"/>
                <w:sz w:val="16"/>
                <w:szCs w:val="16"/>
                <w:lang w:eastAsia="zh-CN" w:bidi="ar"/>
              </w:rPr>
              <w:t xml:space="preserve"> FEMININO (</w:t>
            </w:r>
            <w:r>
              <w:rPr>
                <w:rFonts w:eastAsia="SimSun"/>
                <w:sz w:val="16"/>
                <w:szCs w:val="16"/>
                <w:lang w:val="en-US" w:eastAsia="zh-CN" w:bidi="ar"/>
              </w:rPr>
              <w:t>Calibre 0</w:t>
            </w:r>
            <w:r>
              <w:rPr>
                <w:rFonts w:eastAsia="SimSun"/>
                <w:sz w:val="16"/>
                <w:szCs w:val="16"/>
                <w:lang w:eastAsia="zh-CN" w:bidi="ar"/>
              </w:rPr>
              <w:t>6</w:t>
            </w:r>
            <w:r>
              <w:rPr>
                <w:rFonts w:eastAsia="SimSun"/>
                <w:sz w:val="16"/>
                <w:szCs w:val="16"/>
                <w:lang w:val="en-US" w:eastAsia="zh-CN" w:bidi="ar"/>
              </w:rPr>
              <w:t xml:space="preserve"> ao 1</w:t>
            </w:r>
            <w:r>
              <w:rPr>
                <w:rFonts w:eastAsia="SimSun"/>
                <w:sz w:val="16"/>
                <w:szCs w:val="16"/>
                <w:lang w:eastAsia="zh-CN" w:bidi="ar"/>
              </w:rPr>
              <w:t>2)</w:t>
            </w:r>
            <w:r>
              <w:rPr>
                <w:rFonts w:eastAsia="SimSun"/>
                <w:sz w:val="16"/>
                <w:szCs w:val="16"/>
                <w:lang w:val="en-US" w:eastAsia="zh-CN" w:bidi="ar"/>
              </w:rPr>
              <w:t xml:space="preserve"> APROVADO </w:t>
            </w:r>
            <w:r>
              <w:rPr>
                <w:rFonts w:eastAsia="SimSun"/>
                <w:sz w:val="16"/>
                <w:szCs w:val="16"/>
                <w:lang w:eastAsia="zh-CN" w:bidi="ar"/>
              </w:rPr>
              <w:t xml:space="preserve"> </w:t>
            </w:r>
            <w:r>
              <w:rPr>
                <w:rFonts w:eastAsia="SimSun"/>
                <w:sz w:val="16"/>
                <w:szCs w:val="16"/>
                <w:lang w:val="en-US" w:eastAsia="zh-CN" w:bidi="ar"/>
              </w:rPr>
              <w:t xml:space="preserve">PELA CONITEC. EMBALADO EM </w:t>
            </w:r>
            <w:r>
              <w:rPr>
                <w:rFonts w:eastAsia="SimSun"/>
                <w:sz w:val="16"/>
                <w:szCs w:val="16"/>
                <w:lang w:eastAsia="zh-CN" w:bidi="ar"/>
              </w:rPr>
              <w:t xml:space="preserve"> </w:t>
            </w:r>
            <w:r>
              <w:rPr>
                <w:rFonts w:eastAsia="SimSun"/>
                <w:sz w:val="16"/>
                <w:szCs w:val="16"/>
                <w:lang w:val="en-US" w:eastAsia="zh-CN" w:bidi="ar"/>
              </w:rPr>
              <w:t xml:space="preserve">ALUMÍNIO PARA PROMOVER BARREIRA </w:t>
            </w:r>
            <w:r>
              <w:rPr>
                <w:rFonts w:eastAsia="SimSun"/>
                <w:sz w:val="16"/>
                <w:szCs w:val="16"/>
                <w:lang w:eastAsia="zh-CN" w:bidi="ar"/>
              </w:rPr>
              <w:t xml:space="preserve"> </w:t>
            </w:r>
            <w:r>
              <w:rPr>
                <w:rFonts w:eastAsia="SimSun"/>
                <w:sz w:val="16"/>
                <w:szCs w:val="16"/>
                <w:lang w:val="en-US" w:eastAsia="zh-CN" w:bidi="ar"/>
              </w:rPr>
              <w:t>MICROBIANA E ABERTURA ASSÉPTICA.</w:t>
            </w:r>
            <w:r>
              <w:rPr>
                <w:rFonts w:eastAsia="SimSun"/>
                <w:sz w:val="16"/>
                <w:szCs w:val="16"/>
                <w:lang w:eastAsia="zh-CN" w:bidi="ar"/>
              </w:rPr>
              <w:t xml:space="preserve"> </w:t>
            </w:r>
            <w:r>
              <w:rPr>
                <w:rFonts w:eastAsia="SimSun"/>
                <w:sz w:val="16"/>
                <w:szCs w:val="16"/>
                <w:lang w:val="en-US" w:eastAsia="zh-CN" w:bidi="ar"/>
              </w:rPr>
              <w:t xml:space="preserve">O PRODUTO DEVERÁ TER REGISTRO </w:t>
            </w:r>
            <w:r>
              <w:rPr>
                <w:rFonts w:eastAsia="SimSun"/>
                <w:sz w:val="16"/>
                <w:szCs w:val="16"/>
                <w:lang w:eastAsia="zh-CN" w:bidi="ar"/>
              </w:rPr>
              <w:t xml:space="preserve"> </w:t>
            </w:r>
            <w:r>
              <w:rPr>
                <w:rFonts w:eastAsia="SimSun"/>
                <w:sz w:val="16"/>
                <w:szCs w:val="16"/>
                <w:lang w:val="en-US" w:eastAsia="zh-CN" w:bidi="ar"/>
              </w:rPr>
              <w:t xml:space="preserve">COMO PRODUTO MÉDICO PARA SAÚDE, </w:t>
            </w:r>
            <w:r>
              <w:rPr>
                <w:rFonts w:eastAsia="SimSun"/>
                <w:sz w:val="16"/>
                <w:szCs w:val="16"/>
                <w:lang w:eastAsia="zh-CN" w:bidi="ar"/>
              </w:rPr>
              <w:t xml:space="preserve"> </w:t>
            </w:r>
            <w:r>
              <w:rPr>
                <w:rFonts w:eastAsia="SimSun"/>
                <w:sz w:val="16"/>
                <w:szCs w:val="16"/>
                <w:lang w:val="en-US" w:eastAsia="zh-CN" w:bidi="ar"/>
              </w:rPr>
              <w:t xml:space="preserve">APRESENTANDO BOAS PRÁTICAS DE FABRICAÇÃO E CARTA DE </w:t>
            </w:r>
            <w:r>
              <w:rPr>
                <w:rFonts w:eastAsia="SimSun"/>
                <w:sz w:val="16"/>
                <w:szCs w:val="16"/>
                <w:lang w:eastAsia="zh-CN" w:bidi="ar"/>
              </w:rPr>
              <w:t xml:space="preserve"> </w:t>
            </w:r>
            <w:r>
              <w:rPr>
                <w:rFonts w:eastAsia="SimSun"/>
                <w:sz w:val="16"/>
                <w:szCs w:val="16"/>
                <w:lang w:val="en-US" w:eastAsia="zh-CN" w:bidi="ar"/>
              </w:rPr>
              <w:t>RECOMENDAÇÃO</w:t>
            </w:r>
            <w:r>
              <w:rPr>
                <w:rFonts w:eastAsia="SimSun"/>
                <w:sz w:val="16"/>
                <w:szCs w:val="16"/>
                <w:lang w:eastAsia="zh-CN" w:bidi="ar"/>
              </w:rPr>
              <w:t>.</w:t>
            </w:r>
          </w:p>
          <w:p w14:paraId="1E0F9CE1">
            <w:pPr>
              <w:jc w:val="both"/>
              <w:rPr>
                <w:sz w:val="16"/>
                <w:szCs w:val="16"/>
              </w:rPr>
            </w:pPr>
            <w:r>
              <w:rPr>
                <w:rFonts w:eastAsia="SimSun"/>
                <w:sz w:val="16"/>
                <w:szCs w:val="16"/>
                <w:lang w:val="en-US" w:eastAsia="zh-CN" w:bidi="ar"/>
              </w:rPr>
              <w:t xml:space="preserve">COM </w:t>
            </w:r>
            <w:r>
              <w:rPr>
                <w:rFonts w:eastAsia="SimSun"/>
                <w:sz w:val="16"/>
                <w:szCs w:val="16"/>
                <w:lang w:eastAsia="zh-CN" w:bidi="ar"/>
              </w:rPr>
              <w:t xml:space="preserve"> </w:t>
            </w:r>
            <w:r>
              <w:rPr>
                <w:rFonts w:eastAsia="SimSun"/>
                <w:sz w:val="16"/>
                <w:szCs w:val="16"/>
                <w:lang w:val="en-US" w:eastAsia="zh-CN" w:bidi="ar"/>
              </w:rPr>
              <w:t xml:space="preserve">REVESTIMENTO HIDROFÍLICO </w:t>
            </w:r>
            <w:r>
              <w:rPr>
                <w:rFonts w:eastAsia="SimSun"/>
                <w:sz w:val="16"/>
                <w:szCs w:val="16"/>
                <w:lang w:eastAsia="zh-CN" w:bidi="ar"/>
              </w:rPr>
              <w:t xml:space="preserve"> </w:t>
            </w:r>
            <w:r>
              <w:rPr>
                <w:rFonts w:eastAsia="SimSun"/>
                <w:sz w:val="16"/>
                <w:szCs w:val="16"/>
                <w:lang w:val="en-US" w:eastAsia="zh-CN" w:bidi="ar"/>
              </w:rPr>
              <w:t xml:space="preserve">COMPOSTO POR POLIVILPIRROLIDONA </w:t>
            </w:r>
            <w:r>
              <w:rPr>
                <w:rFonts w:eastAsia="SimSun"/>
                <w:sz w:val="16"/>
                <w:szCs w:val="16"/>
                <w:lang w:eastAsia="zh-CN" w:bidi="ar"/>
              </w:rPr>
              <w:t xml:space="preserve"> </w:t>
            </w:r>
            <w:r>
              <w:rPr>
                <w:rFonts w:eastAsia="SimSun"/>
                <w:sz w:val="16"/>
                <w:szCs w:val="16"/>
                <w:lang w:val="en-US" w:eastAsia="zh-CN" w:bidi="ar"/>
              </w:rPr>
              <w:t xml:space="preserve">(PVP) E SOLUÇÃO SALINA (NACL 0,9%), MASCULINO, ESTÉRIL, DO TIPO </w:t>
            </w:r>
            <w:r>
              <w:rPr>
                <w:rFonts w:eastAsia="SimSun"/>
                <w:sz w:val="16"/>
                <w:szCs w:val="16"/>
                <w:lang w:eastAsia="zh-CN" w:bidi="ar"/>
              </w:rPr>
              <w:t xml:space="preserve"> </w:t>
            </w:r>
            <w:r>
              <w:rPr>
                <w:rFonts w:eastAsia="SimSun"/>
                <w:sz w:val="16"/>
                <w:szCs w:val="16"/>
                <w:lang w:val="en-US" w:eastAsia="zh-CN" w:bidi="ar"/>
              </w:rPr>
              <w:t xml:space="preserve">INTERMITENTE, CONFECCIONADO EM </w:t>
            </w:r>
          </w:p>
          <w:p w14:paraId="58021C16">
            <w:pPr>
              <w:jc w:val="both"/>
              <w:rPr>
                <w:sz w:val="16"/>
                <w:szCs w:val="16"/>
              </w:rPr>
            </w:pPr>
            <w:r>
              <w:rPr>
                <w:rFonts w:eastAsia="SimSun"/>
                <w:sz w:val="16"/>
                <w:szCs w:val="16"/>
                <w:lang w:val="en-US" w:eastAsia="zh-CN" w:bidi="ar"/>
              </w:rPr>
              <w:t xml:space="preserve">POLIURETANO, ATÓXICO, HIPOALERGÊNICO. ISENTO DE PVC E </w:t>
            </w:r>
            <w:r>
              <w:rPr>
                <w:rFonts w:eastAsia="SimSun"/>
                <w:sz w:val="16"/>
                <w:szCs w:val="16"/>
                <w:lang w:eastAsia="zh-CN" w:bidi="ar"/>
              </w:rPr>
              <w:t xml:space="preserve"> </w:t>
            </w:r>
            <w:r>
              <w:rPr>
                <w:rFonts w:eastAsia="SimSun"/>
                <w:sz w:val="16"/>
                <w:szCs w:val="16"/>
                <w:lang w:val="en-US" w:eastAsia="zh-CN" w:bidi="ar"/>
              </w:rPr>
              <w:t xml:space="preserve">FTALATO. APRESENTANDO ORIFÍCIOS DE DRENAGEM RADIAIS, POLIDOS E LUBRIFICADOS. PRONTO PARA USO, </w:t>
            </w:r>
          </w:p>
          <w:p w14:paraId="63FC4DBF">
            <w:pPr>
              <w:jc w:val="both"/>
              <w:rPr>
                <w:sz w:val="16"/>
                <w:szCs w:val="16"/>
              </w:rPr>
            </w:pPr>
            <w:r>
              <w:rPr>
                <w:rFonts w:eastAsia="SimSun"/>
                <w:sz w:val="16"/>
                <w:szCs w:val="16"/>
                <w:lang w:val="en-US" w:eastAsia="zh-CN" w:bidi="ar"/>
              </w:rPr>
              <w:t xml:space="preserve">SEM NECESSIDADE DE ADIÇÃO DE ÁGUA PARA DILUIR SUBSTÂNCIA </w:t>
            </w:r>
            <w:r>
              <w:rPr>
                <w:rFonts w:eastAsia="SimSun"/>
                <w:sz w:val="16"/>
                <w:szCs w:val="16"/>
                <w:lang w:eastAsia="zh-CN" w:bidi="ar"/>
              </w:rPr>
              <w:t xml:space="preserve"> </w:t>
            </w:r>
            <w:r>
              <w:rPr>
                <w:rFonts w:eastAsia="SimSun"/>
                <w:sz w:val="16"/>
                <w:szCs w:val="16"/>
                <w:lang w:val="en-US" w:eastAsia="zh-CN" w:bidi="ar"/>
              </w:rPr>
              <w:t xml:space="preserve">LUBRIFICANTE E ACIONAR OU ROMPER </w:t>
            </w:r>
            <w:r>
              <w:rPr>
                <w:rFonts w:eastAsia="SimSun"/>
                <w:sz w:val="16"/>
                <w:szCs w:val="16"/>
                <w:lang w:eastAsia="zh-CN" w:bidi="ar"/>
              </w:rPr>
              <w:t xml:space="preserve"> </w:t>
            </w:r>
            <w:r>
              <w:rPr>
                <w:rFonts w:eastAsia="SimSun"/>
                <w:sz w:val="16"/>
                <w:szCs w:val="16"/>
                <w:lang w:val="en-US" w:eastAsia="zh-CN" w:bidi="ar"/>
              </w:rPr>
              <w:t xml:space="preserve">QUALQUER TIPO DE DISPOSITIVO COM </w:t>
            </w:r>
            <w:r>
              <w:rPr>
                <w:rFonts w:eastAsia="SimSun"/>
                <w:sz w:val="16"/>
                <w:szCs w:val="16"/>
                <w:lang w:eastAsia="zh-CN" w:bidi="ar"/>
              </w:rPr>
              <w:t xml:space="preserve"> </w:t>
            </w:r>
            <w:r>
              <w:rPr>
                <w:rFonts w:eastAsia="SimSun"/>
                <w:sz w:val="16"/>
                <w:szCs w:val="16"/>
                <w:lang w:val="en-US" w:eastAsia="zh-CN" w:bidi="ar"/>
              </w:rPr>
              <w:t xml:space="preserve">SUBSTÂNCIA LUBRIFICANTE E DE USO </w:t>
            </w:r>
            <w:r>
              <w:rPr>
                <w:rFonts w:eastAsia="SimSun"/>
                <w:sz w:val="16"/>
                <w:szCs w:val="16"/>
                <w:lang w:eastAsia="zh-CN" w:bidi="ar"/>
              </w:rPr>
              <w:t xml:space="preserve"> </w:t>
            </w:r>
            <w:r>
              <w:rPr>
                <w:rFonts w:eastAsia="SimSun"/>
                <w:sz w:val="16"/>
                <w:szCs w:val="16"/>
                <w:lang w:val="en-US" w:eastAsia="zh-CN" w:bidi="ar"/>
              </w:rPr>
              <w:t xml:space="preserve">ÚNICO. </w:t>
            </w:r>
          </w:p>
          <w:p w14:paraId="613F8123">
            <w:pPr>
              <w:jc w:val="both"/>
              <w:rPr>
                <w:sz w:val="16"/>
                <w:szCs w:val="16"/>
                <w:lang w:eastAsia="hi-IN"/>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5C49F301">
            <w:pPr>
              <w:jc w:val="center"/>
              <w:rPr>
                <w:sz w:val="18"/>
                <w:szCs w:val="18"/>
                <w:lang w:eastAsia="hi-IN"/>
              </w:rPr>
            </w:pPr>
          </w:p>
          <w:p w14:paraId="1BFC5EA8">
            <w:pPr>
              <w:jc w:val="center"/>
              <w:rPr>
                <w:sz w:val="18"/>
                <w:szCs w:val="18"/>
                <w:lang w:eastAsia="hi-IN"/>
              </w:rPr>
            </w:pPr>
          </w:p>
          <w:p w14:paraId="3BC81F16">
            <w:pPr>
              <w:jc w:val="center"/>
              <w:rPr>
                <w:sz w:val="18"/>
                <w:szCs w:val="18"/>
                <w:lang w:eastAsia="hi-IN"/>
              </w:rPr>
            </w:pPr>
          </w:p>
          <w:p w14:paraId="075D507C">
            <w:pPr>
              <w:jc w:val="center"/>
              <w:rPr>
                <w:sz w:val="18"/>
                <w:szCs w:val="18"/>
                <w:lang w:eastAsia="hi-IN"/>
              </w:rPr>
            </w:pPr>
          </w:p>
          <w:p w14:paraId="21E54F15">
            <w:pPr>
              <w:jc w:val="center"/>
              <w:rPr>
                <w:sz w:val="18"/>
                <w:szCs w:val="18"/>
                <w:lang w:eastAsia="hi-IN"/>
              </w:rPr>
            </w:pPr>
          </w:p>
          <w:p w14:paraId="7517AEA5">
            <w:pPr>
              <w:jc w:val="center"/>
              <w:rPr>
                <w:sz w:val="18"/>
                <w:szCs w:val="18"/>
                <w:lang w:eastAsia="hi-IN"/>
              </w:rPr>
            </w:pPr>
          </w:p>
          <w:p w14:paraId="2893DDDD">
            <w:pPr>
              <w:jc w:val="center"/>
              <w:rPr>
                <w:sz w:val="18"/>
                <w:szCs w:val="18"/>
                <w:lang w:eastAsia="hi-IN"/>
              </w:rPr>
            </w:pPr>
          </w:p>
          <w:p w14:paraId="4BB32CBE">
            <w:pPr>
              <w:jc w:val="center"/>
              <w:rPr>
                <w:sz w:val="18"/>
                <w:szCs w:val="18"/>
                <w:lang w:eastAsia="hi-IN"/>
              </w:rPr>
            </w:pPr>
          </w:p>
          <w:p w14:paraId="33C85D79">
            <w:pPr>
              <w:jc w:val="center"/>
              <w:rPr>
                <w:sz w:val="18"/>
                <w:szCs w:val="18"/>
                <w:lang w:eastAsia="hi-IN"/>
              </w:rPr>
            </w:pPr>
          </w:p>
          <w:p w14:paraId="28B6CCBD">
            <w:pPr>
              <w:jc w:val="center"/>
              <w:rPr>
                <w:sz w:val="18"/>
                <w:szCs w:val="18"/>
                <w:lang w:eastAsia="hi-IN"/>
              </w:rPr>
            </w:pPr>
          </w:p>
          <w:p w14:paraId="07D94A14">
            <w:pPr>
              <w:jc w:val="center"/>
              <w:rPr>
                <w:sz w:val="18"/>
                <w:szCs w:val="18"/>
                <w:lang w:eastAsia="hi-IN"/>
              </w:rPr>
            </w:pPr>
          </w:p>
          <w:p w14:paraId="35FB8575">
            <w:pPr>
              <w:jc w:val="center"/>
              <w:rPr>
                <w:sz w:val="18"/>
                <w:szCs w:val="18"/>
                <w:lang w:eastAsia="hi-IN"/>
              </w:rPr>
            </w:pPr>
          </w:p>
          <w:p w14:paraId="0D3BA915">
            <w:pPr>
              <w:jc w:val="center"/>
              <w:rPr>
                <w:sz w:val="18"/>
                <w:szCs w:val="18"/>
                <w:lang w:eastAsia="hi-IN"/>
              </w:rPr>
            </w:pPr>
            <w:r>
              <w:rPr>
                <w:sz w:val="18"/>
                <w:szCs w:val="18"/>
                <w:lang w:eastAsia="hi-IN"/>
              </w:rPr>
              <w:t>36.000</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44D23A5C">
            <w:pPr>
              <w:jc w:val="center"/>
              <w:textAlignment w:val="bottom"/>
              <w:rPr>
                <w:rFonts w:eastAsia="SimSun"/>
                <w:sz w:val="16"/>
                <w:szCs w:val="16"/>
                <w:lang w:eastAsia="zh-CN" w:bidi="ar"/>
              </w:rPr>
            </w:pPr>
          </w:p>
          <w:p w14:paraId="5015A9F2">
            <w:pPr>
              <w:jc w:val="center"/>
              <w:textAlignment w:val="bottom"/>
              <w:rPr>
                <w:rFonts w:eastAsia="SimSun"/>
                <w:sz w:val="16"/>
                <w:szCs w:val="16"/>
                <w:lang w:eastAsia="zh-CN" w:bidi="ar"/>
              </w:rPr>
            </w:pPr>
          </w:p>
          <w:p w14:paraId="6A25908A">
            <w:pPr>
              <w:jc w:val="center"/>
              <w:textAlignment w:val="bottom"/>
              <w:rPr>
                <w:rFonts w:eastAsia="SimSun"/>
                <w:sz w:val="16"/>
                <w:szCs w:val="16"/>
                <w:lang w:eastAsia="zh-CN" w:bidi="ar"/>
              </w:rPr>
            </w:pPr>
          </w:p>
          <w:p w14:paraId="3E26DFFD">
            <w:pPr>
              <w:jc w:val="center"/>
              <w:textAlignment w:val="bottom"/>
              <w:rPr>
                <w:rFonts w:eastAsia="SimSun"/>
                <w:sz w:val="16"/>
                <w:szCs w:val="16"/>
                <w:lang w:eastAsia="zh-CN" w:bidi="ar"/>
              </w:rPr>
            </w:pPr>
          </w:p>
          <w:p w14:paraId="746BCF4A">
            <w:pPr>
              <w:jc w:val="center"/>
              <w:textAlignment w:val="bottom"/>
              <w:rPr>
                <w:rFonts w:eastAsia="SimSun"/>
                <w:sz w:val="16"/>
                <w:szCs w:val="16"/>
                <w:lang w:eastAsia="zh-CN" w:bidi="ar"/>
              </w:rPr>
            </w:pPr>
          </w:p>
          <w:p w14:paraId="66FC36AD">
            <w:pPr>
              <w:jc w:val="center"/>
              <w:textAlignment w:val="bottom"/>
              <w:rPr>
                <w:rFonts w:eastAsia="SimSun"/>
                <w:sz w:val="16"/>
                <w:szCs w:val="16"/>
                <w:lang w:eastAsia="zh-CN" w:bidi="ar"/>
              </w:rPr>
            </w:pPr>
          </w:p>
          <w:p w14:paraId="74CA8128">
            <w:pPr>
              <w:jc w:val="center"/>
              <w:textAlignment w:val="bottom"/>
              <w:rPr>
                <w:rFonts w:eastAsia="SimSun"/>
                <w:sz w:val="16"/>
                <w:szCs w:val="16"/>
                <w:lang w:eastAsia="zh-CN" w:bidi="ar"/>
              </w:rPr>
            </w:pPr>
          </w:p>
          <w:p w14:paraId="17C9D478">
            <w:pPr>
              <w:jc w:val="center"/>
              <w:textAlignment w:val="bottom"/>
              <w:rPr>
                <w:rFonts w:eastAsia="SimSun"/>
                <w:sz w:val="16"/>
                <w:szCs w:val="16"/>
                <w:lang w:eastAsia="zh-CN" w:bidi="ar"/>
              </w:rPr>
            </w:pPr>
          </w:p>
          <w:p w14:paraId="34E8B9AA">
            <w:pPr>
              <w:jc w:val="center"/>
              <w:textAlignment w:val="bottom"/>
              <w:rPr>
                <w:rFonts w:eastAsia="SimSun"/>
                <w:sz w:val="16"/>
                <w:szCs w:val="16"/>
                <w:lang w:eastAsia="zh-CN" w:bidi="ar"/>
              </w:rPr>
            </w:pPr>
          </w:p>
          <w:p w14:paraId="5F277FD4">
            <w:pPr>
              <w:jc w:val="center"/>
              <w:textAlignment w:val="bottom"/>
              <w:rPr>
                <w:rFonts w:eastAsia="SimSun"/>
                <w:sz w:val="16"/>
                <w:szCs w:val="16"/>
                <w:lang w:eastAsia="zh-CN" w:bidi="ar"/>
              </w:rPr>
            </w:pPr>
          </w:p>
          <w:p w14:paraId="095FD663">
            <w:pPr>
              <w:jc w:val="center"/>
              <w:textAlignment w:val="bottom"/>
              <w:rPr>
                <w:rFonts w:eastAsia="SimSun"/>
                <w:sz w:val="16"/>
                <w:szCs w:val="16"/>
                <w:lang w:eastAsia="zh-CN" w:bidi="ar"/>
              </w:rPr>
            </w:pPr>
          </w:p>
          <w:p w14:paraId="3CB05CCC">
            <w:pPr>
              <w:jc w:val="center"/>
              <w:textAlignment w:val="bottom"/>
              <w:rPr>
                <w:rFonts w:eastAsia="SimSun"/>
                <w:sz w:val="16"/>
                <w:szCs w:val="16"/>
                <w:lang w:eastAsia="zh-CN" w:bidi="ar"/>
              </w:rPr>
            </w:pPr>
          </w:p>
          <w:p w14:paraId="54E4C6DD">
            <w:pPr>
              <w:jc w:val="center"/>
              <w:textAlignment w:val="bottom"/>
              <w:rPr>
                <w:rFonts w:eastAsia="SimSun"/>
                <w:sz w:val="16"/>
                <w:szCs w:val="16"/>
                <w:lang w:eastAsia="zh-CN" w:bidi="ar"/>
              </w:rPr>
            </w:pPr>
          </w:p>
          <w:p w14:paraId="67ADF46F">
            <w:pPr>
              <w:jc w:val="center"/>
              <w:textAlignment w:val="bottom"/>
              <w:rPr>
                <w:rFonts w:eastAsia="SimSun"/>
                <w:sz w:val="16"/>
                <w:szCs w:val="16"/>
                <w:lang w:eastAsia="zh-CN" w:bidi="ar"/>
              </w:rPr>
            </w:pPr>
            <w:r>
              <w:rPr>
                <w:rFonts w:eastAsia="SimSun"/>
                <w:sz w:val="16"/>
                <w:szCs w:val="16"/>
                <w:lang w:eastAsia="zh-CN" w:bidi="ar"/>
              </w:rPr>
              <w:t>469441</w:t>
            </w: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bottom"/>
          </w:tcPr>
          <w:p w14:paraId="17873299">
            <w:pPr>
              <w:jc w:val="center"/>
              <w:textAlignment w:val="bottom"/>
              <w:rPr>
                <w:rFonts w:eastAsia="SimSun"/>
                <w:sz w:val="16"/>
                <w:szCs w:val="16"/>
                <w:lang w:eastAsia="zh-CN" w:bidi="ar"/>
              </w:rPr>
            </w:pPr>
          </w:p>
          <w:p w14:paraId="38ACDD1E">
            <w:pPr>
              <w:jc w:val="center"/>
              <w:textAlignment w:val="bottom"/>
              <w:rPr>
                <w:rFonts w:eastAsia="SimSun"/>
                <w:sz w:val="16"/>
                <w:szCs w:val="16"/>
                <w:lang w:eastAsia="zh-CN" w:bidi="ar"/>
              </w:rPr>
            </w:pPr>
          </w:p>
          <w:p w14:paraId="5AAB90F4">
            <w:pPr>
              <w:jc w:val="center"/>
              <w:textAlignment w:val="bottom"/>
              <w:rPr>
                <w:rFonts w:eastAsia="SimSun"/>
                <w:sz w:val="16"/>
                <w:szCs w:val="16"/>
                <w:lang w:eastAsia="zh-CN" w:bidi="ar"/>
              </w:rPr>
            </w:pPr>
          </w:p>
          <w:p w14:paraId="02E4BE4E">
            <w:pPr>
              <w:jc w:val="center"/>
              <w:textAlignment w:val="bottom"/>
              <w:rPr>
                <w:rFonts w:eastAsia="SimSun"/>
                <w:sz w:val="16"/>
                <w:szCs w:val="16"/>
                <w:lang w:eastAsia="zh-CN" w:bidi="ar"/>
              </w:rPr>
            </w:pPr>
          </w:p>
          <w:p w14:paraId="1C656BC3">
            <w:pPr>
              <w:jc w:val="center"/>
              <w:textAlignment w:val="bottom"/>
              <w:rPr>
                <w:rFonts w:eastAsia="SimSun"/>
                <w:sz w:val="16"/>
                <w:szCs w:val="16"/>
                <w:lang w:eastAsia="zh-CN" w:bidi="ar"/>
              </w:rPr>
            </w:pPr>
          </w:p>
          <w:p w14:paraId="79E3DEDF">
            <w:pPr>
              <w:jc w:val="center"/>
              <w:textAlignment w:val="bottom"/>
              <w:rPr>
                <w:rFonts w:eastAsia="SimSun"/>
                <w:sz w:val="16"/>
                <w:szCs w:val="16"/>
                <w:lang w:eastAsia="zh-CN" w:bidi="ar"/>
              </w:rPr>
            </w:pPr>
          </w:p>
          <w:p w14:paraId="35EA0959">
            <w:pPr>
              <w:jc w:val="center"/>
              <w:textAlignment w:val="bottom"/>
              <w:rPr>
                <w:rFonts w:eastAsia="SimSun"/>
                <w:sz w:val="16"/>
                <w:szCs w:val="16"/>
                <w:lang w:eastAsia="zh-CN" w:bidi="ar"/>
              </w:rPr>
            </w:pPr>
          </w:p>
          <w:p w14:paraId="6E756A61">
            <w:pPr>
              <w:jc w:val="center"/>
              <w:textAlignment w:val="bottom"/>
              <w:rPr>
                <w:rFonts w:eastAsia="SimSun"/>
                <w:sz w:val="16"/>
                <w:szCs w:val="16"/>
                <w:lang w:eastAsia="zh-CN" w:bidi="ar"/>
              </w:rPr>
            </w:pPr>
          </w:p>
          <w:p w14:paraId="297EFD48">
            <w:pPr>
              <w:jc w:val="center"/>
              <w:textAlignment w:val="bottom"/>
              <w:rPr>
                <w:rFonts w:eastAsia="SimSun"/>
                <w:sz w:val="16"/>
                <w:szCs w:val="16"/>
                <w:lang w:eastAsia="zh-CN" w:bidi="ar"/>
              </w:rPr>
            </w:pPr>
          </w:p>
          <w:p w14:paraId="07C77852">
            <w:pPr>
              <w:jc w:val="center"/>
              <w:textAlignment w:val="bottom"/>
              <w:rPr>
                <w:rFonts w:eastAsia="SimSun"/>
                <w:sz w:val="16"/>
                <w:szCs w:val="16"/>
                <w:lang w:eastAsia="zh-CN" w:bidi="ar"/>
              </w:rPr>
            </w:pPr>
          </w:p>
          <w:p w14:paraId="0A5F8802">
            <w:pPr>
              <w:jc w:val="center"/>
              <w:textAlignment w:val="bottom"/>
              <w:rPr>
                <w:rFonts w:eastAsia="SimSun"/>
                <w:sz w:val="16"/>
                <w:szCs w:val="16"/>
                <w:lang w:eastAsia="zh-CN" w:bidi="ar"/>
              </w:rPr>
            </w:pPr>
          </w:p>
          <w:p w14:paraId="0DF15A45">
            <w:pPr>
              <w:jc w:val="center"/>
              <w:textAlignment w:val="bottom"/>
              <w:rPr>
                <w:rFonts w:eastAsia="SimSun"/>
                <w:sz w:val="16"/>
                <w:szCs w:val="16"/>
                <w:lang w:eastAsia="zh-CN" w:bidi="ar"/>
              </w:rPr>
            </w:pPr>
          </w:p>
          <w:p w14:paraId="7F20BC9D">
            <w:pPr>
              <w:jc w:val="center"/>
              <w:textAlignment w:val="bottom"/>
              <w:rPr>
                <w:rFonts w:eastAsia="SimSun"/>
                <w:sz w:val="16"/>
                <w:szCs w:val="16"/>
                <w:lang w:eastAsia="zh-CN" w:bidi="ar"/>
              </w:rPr>
            </w:pPr>
          </w:p>
          <w:p w14:paraId="25F0D20A">
            <w:pPr>
              <w:jc w:val="center"/>
              <w:textAlignment w:val="bottom"/>
              <w:rPr>
                <w:rFonts w:eastAsia="SimSun"/>
                <w:sz w:val="16"/>
                <w:szCs w:val="16"/>
                <w:lang w:eastAsia="zh-CN" w:bidi="ar"/>
              </w:rPr>
            </w:pPr>
            <w:r>
              <w:rPr>
                <w:rFonts w:eastAsia="SimSun"/>
                <w:sz w:val="16"/>
                <w:szCs w:val="16"/>
                <w:lang w:eastAsia="zh-CN" w:bidi="ar"/>
              </w:rPr>
              <w:t>18,51</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2B69EFA">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p>
          <w:p w14:paraId="52FDB263">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p>
          <w:p w14:paraId="69B16A70">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p>
          <w:p w14:paraId="564D28CC">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p>
          <w:p w14:paraId="6922F957">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p>
          <w:p w14:paraId="7DC479A2">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p>
          <w:p w14:paraId="757B45CB">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p>
          <w:p w14:paraId="15316606">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666.360,00</w:t>
            </w:r>
          </w:p>
        </w:tc>
      </w:tr>
      <w:tr w14:paraId="0D17600A">
        <w:tblPrEx>
          <w:tblCellMar>
            <w:top w:w="0" w:type="dxa"/>
            <w:left w:w="10" w:type="dxa"/>
            <w:bottom w:w="0" w:type="dxa"/>
            <w:right w:w="10" w:type="dxa"/>
          </w:tblCellMar>
        </w:tblPrEx>
        <w:trPr>
          <w:trHeight w:val="376" w:hRule="atLeast"/>
        </w:trPr>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B145BFF">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p>
        </w:tc>
        <w:tc>
          <w:tcPr>
            <w:tcW w:w="5671"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71A1031">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left"/>
              <w:rPr>
                <w:rFonts w:ascii="Times New Roman" w:hAnsi="Times New Roman" w:cs="Times New Roman"/>
                <w:color w:val="auto"/>
                <w:sz w:val="18"/>
                <w:szCs w:val="18"/>
              </w:rPr>
            </w:pPr>
            <w:r>
              <w:rPr>
                <w:rFonts w:ascii="Times New Roman" w:hAnsi="Times New Roman" w:cs="Times New Roman"/>
                <w:color w:val="auto"/>
                <w:sz w:val="18"/>
                <w:szCs w:val="18"/>
              </w:rPr>
              <w:t>TOTAL</w:t>
            </w:r>
          </w:p>
        </w:tc>
        <w:tc>
          <w:tcPr>
            <w:tcW w:w="85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4DEBF760">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707DF3F7">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p>
        </w:tc>
        <w:tc>
          <w:tcPr>
            <w:tcW w:w="992"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2B053F9F">
            <w:pPr>
              <w:pStyle w:val="19"/>
              <w:tabs>
                <w:tab w:val="left" w:pos="555"/>
                <w:tab w:val="left" w:pos="840"/>
                <w:tab w:val="left" w:pos="1140"/>
                <w:tab w:val="left" w:pos="1395"/>
                <w:tab w:val="left" w:pos="1650"/>
                <w:tab w:val="left" w:pos="1965"/>
                <w:tab w:val="left" w:pos="2220"/>
                <w:tab w:val="left" w:leader="underscore" w:pos="7336"/>
              </w:tabs>
              <w:spacing w:before="57" w:after="57" w:line="360" w:lineRule="auto"/>
              <w:jc w:val="center"/>
              <w:rPr>
                <w:rFonts w:ascii="Times New Roman" w:hAnsi="Times New Roman" w:cs="Times New Roman"/>
                <w:color w:val="auto"/>
                <w:sz w:val="18"/>
                <w:szCs w:val="1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03667807">
            <w:pPr>
              <w:jc w:val="center"/>
              <w:textAlignment w:val="center"/>
            </w:pPr>
            <w:r>
              <w:rPr>
                <w:rFonts w:cs="Calibri"/>
              </w:rPr>
              <w:t>666.360,00</w:t>
            </w:r>
          </w:p>
        </w:tc>
      </w:tr>
    </w:tbl>
    <w:p w14:paraId="54CC1BA6">
      <w:pPr>
        <w:jc w:val="center"/>
        <w:rPr>
          <w:color w:val="C00000"/>
          <w:sz w:val="24"/>
          <w:szCs w:val="24"/>
        </w:rPr>
      </w:pPr>
    </w:p>
    <w:p w14:paraId="354D9C1A">
      <w:pPr>
        <w:jc w:val="both"/>
        <w:rPr>
          <w:rFonts w:eastAsia="Cambria Math"/>
          <w:b/>
          <w:color w:val="C00000"/>
          <w:szCs w:val="24"/>
        </w:rPr>
      </w:pPr>
    </w:p>
    <w:p w14:paraId="7D6A6164">
      <w:pPr>
        <w:jc w:val="both"/>
        <w:rPr>
          <w:rFonts w:eastAsia="Cambria Math"/>
          <w:b/>
          <w:sz w:val="24"/>
          <w:szCs w:val="24"/>
        </w:rPr>
      </w:pPr>
      <w:r>
        <w:rPr>
          <w:rFonts w:eastAsia="Cambria Math"/>
          <w:b/>
          <w:sz w:val="24"/>
          <w:szCs w:val="24"/>
        </w:rPr>
        <w:t>7 - ESTIMATIVAS DE PREÇOS OU PREÇOS REFERENCIAIS</w:t>
      </w:r>
    </w:p>
    <w:p w14:paraId="75273242">
      <w:pPr>
        <w:jc w:val="both"/>
        <w:rPr>
          <w:rFonts w:eastAsia="Cambria Math"/>
          <w:sz w:val="24"/>
          <w:szCs w:val="24"/>
        </w:rPr>
      </w:pPr>
    </w:p>
    <w:p w14:paraId="7BC014C5">
      <w:pPr>
        <w:spacing w:line="360" w:lineRule="auto"/>
        <w:jc w:val="both"/>
        <w:rPr>
          <w:sz w:val="24"/>
          <w:szCs w:val="24"/>
        </w:rPr>
      </w:pPr>
      <w:r>
        <w:rPr>
          <w:sz w:val="24"/>
          <w:szCs w:val="24"/>
        </w:rPr>
        <w:t>A estimativa de preços da contratação será compatível com valores praticados no mercado considerados os preços constantes de bancos de dados públicos e as quantidades a serem contratadas, observada a potencial economia de escala e as peculiaridades do local de execução do objeto</w:t>
      </w:r>
    </w:p>
    <w:p w14:paraId="12E9C115">
      <w:pPr>
        <w:spacing w:line="360" w:lineRule="auto"/>
        <w:jc w:val="both"/>
        <w:rPr>
          <w:sz w:val="24"/>
          <w:szCs w:val="24"/>
        </w:rPr>
      </w:pPr>
      <w:r>
        <w:rPr>
          <w:sz w:val="24"/>
          <w:szCs w:val="24"/>
        </w:rPr>
        <w:t>O custo estimado total da contratação pelo menor preço é de R$ 666.360,00 (seiscentos e sessenta e seis mil trezentos e sessenta reais), conforme custos avaliados através de pesquisa de preço realizada.</w:t>
      </w:r>
    </w:p>
    <w:p w14:paraId="2CA0EB51">
      <w:pPr>
        <w:spacing w:line="360" w:lineRule="auto"/>
        <w:ind w:firstLine="662"/>
        <w:jc w:val="both"/>
        <w:rPr>
          <w:sz w:val="24"/>
          <w:szCs w:val="24"/>
        </w:rPr>
      </w:pPr>
    </w:p>
    <w:p w14:paraId="34704E1B">
      <w:pPr>
        <w:jc w:val="both"/>
        <w:rPr>
          <w:rFonts w:eastAsia="Cambria Math"/>
          <w:b/>
          <w:sz w:val="24"/>
          <w:szCs w:val="24"/>
        </w:rPr>
      </w:pPr>
      <w:r>
        <w:rPr>
          <w:rFonts w:eastAsia="Cambria Math"/>
          <w:b/>
          <w:sz w:val="24"/>
          <w:szCs w:val="24"/>
        </w:rPr>
        <w:t>8 - DESCRIÇÃO DA NECESSIDADE COMO UM TODO</w:t>
      </w:r>
    </w:p>
    <w:p w14:paraId="537126D1">
      <w:pPr>
        <w:jc w:val="both"/>
        <w:rPr>
          <w:rFonts w:eastAsia="Cambria Math"/>
          <w:b/>
          <w:szCs w:val="24"/>
        </w:rPr>
      </w:pPr>
    </w:p>
    <w:p w14:paraId="36EB04EE">
      <w:pPr>
        <w:pStyle w:val="24"/>
        <w:spacing w:line="360" w:lineRule="auto"/>
        <w:jc w:val="both"/>
      </w:pPr>
      <w:r>
        <w:t>Trata-se de insumos médico-hospitalares indispensáveis ao manejo de pacientes que apresentam retenção urinária, necessidades de monitoramento do débito urinário, cuidados pós-operatórios, condições neurológicas, entre outras situações clínicas que demandam cateterização temporária ou de uso contínuo. A ausência desses dispositivos compromete diretamente a segurança, a dignidade e a qualidade de vida dos usuários do sistema público de saúde, podendo ocasionar agravamento do quadro clínico, infecções urinárias, lesões e internações evitáveis.</w:t>
      </w:r>
    </w:p>
    <w:p w14:paraId="7128F29A">
      <w:pPr>
        <w:pStyle w:val="24"/>
        <w:spacing w:line="360" w:lineRule="auto"/>
        <w:jc w:val="both"/>
      </w:pPr>
      <w:r>
        <w:t>A demanda decorre da necessidade permanente de atendimento a pacientes acompanhados pela rede municipal de saúde, incluindo casos oriundos de determinações judiciais (mandados), nos quais o fornecimento regular do material é obrigatório e contínuo. Assim, a aquisição visa garantir estoque suficiente para suprir a demanda atual e futura, evitando desabastecimento e interrupções no tratamento.</w:t>
      </w:r>
    </w:p>
    <w:p w14:paraId="4AEFFD79">
      <w:pPr>
        <w:spacing w:line="360" w:lineRule="auto"/>
        <w:jc w:val="both"/>
        <w:rPr>
          <w:rFonts w:eastAsia="Cambria Math"/>
          <w:b/>
          <w:sz w:val="24"/>
          <w:szCs w:val="24"/>
        </w:rPr>
      </w:pPr>
      <w:r>
        <w:rPr>
          <w:rFonts w:eastAsia="Cambria Math"/>
          <w:b/>
          <w:sz w:val="24"/>
          <w:szCs w:val="24"/>
        </w:rPr>
        <w:t>9 - JUSTIFICATIVA PARA PARCELAMENTO</w:t>
      </w:r>
    </w:p>
    <w:p w14:paraId="73DBEACA">
      <w:pPr>
        <w:spacing w:line="360" w:lineRule="auto"/>
        <w:jc w:val="both"/>
        <w:rPr>
          <w:rFonts w:eastAsia="SimSun"/>
          <w:sz w:val="24"/>
          <w:szCs w:val="24"/>
        </w:rPr>
      </w:pPr>
      <w:r>
        <w:rPr>
          <w:rFonts w:eastAsia="SimSun"/>
          <w:sz w:val="24"/>
          <w:szCs w:val="24"/>
        </w:rPr>
        <w:t>Não há</w:t>
      </w:r>
    </w:p>
    <w:p w14:paraId="1EABAE98">
      <w:pPr>
        <w:spacing w:line="360" w:lineRule="auto"/>
        <w:jc w:val="both"/>
        <w:rPr>
          <w:rFonts w:eastAsia="SimSun"/>
          <w:sz w:val="24"/>
          <w:szCs w:val="24"/>
        </w:rPr>
      </w:pPr>
    </w:p>
    <w:p w14:paraId="56CB2D6F">
      <w:pPr>
        <w:shd w:val="clear" w:color="auto" w:fill="FFFFFF"/>
        <w:spacing w:line="360" w:lineRule="auto"/>
        <w:jc w:val="both"/>
        <w:rPr>
          <w:b/>
          <w:sz w:val="24"/>
          <w:szCs w:val="24"/>
        </w:rPr>
      </w:pPr>
      <w:r>
        <w:rPr>
          <w:b/>
          <w:sz w:val="24"/>
          <w:szCs w:val="24"/>
        </w:rPr>
        <w:t>10 -  CONTRATAÇÕES CORRELATAS/INTERDEPENDENTES</w:t>
      </w:r>
    </w:p>
    <w:p w14:paraId="4B9AE473">
      <w:pPr>
        <w:pStyle w:val="24"/>
        <w:spacing w:before="0" w:after="0" w:line="360" w:lineRule="auto"/>
        <w:jc w:val="both"/>
      </w:pPr>
      <w:r>
        <w:t>Para fins de instrução do presente Estudo Técnico Preliminar (ETP), foram realizadas diligências com o objetivo de identificar informações sobre contratações anteriores relacionadas ao objeto. Contudo, não foram localizados dados completos que permitissem análise histórica detalhada, em razão de limitações nos registros disponíveis.</w:t>
      </w:r>
    </w:p>
    <w:p w14:paraId="103AE38D">
      <w:pPr>
        <w:pStyle w:val="24"/>
        <w:spacing w:line="360" w:lineRule="auto"/>
        <w:jc w:val="both"/>
      </w:pPr>
      <w:r>
        <w:t>Dessa forma, a caracterização da necessidade fundamenta-se nas demandas atuais do órgão, em levantamentos técnicos recentes e na avaliação da solução vigente, garantindo subsídios suficientes para a adequada definição da contratação pretendida.</w:t>
      </w:r>
    </w:p>
    <w:p w14:paraId="3E384E8C">
      <w:pPr>
        <w:shd w:val="clear" w:color="auto" w:fill="FFFFFF"/>
        <w:spacing w:line="360" w:lineRule="auto"/>
        <w:jc w:val="both"/>
        <w:rPr>
          <w:b/>
          <w:sz w:val="24"/>
          <w:szCs w:val="24"/>
        </w:rPr>
      </w:pPr>
      <w:r>
        <w:rPr>
          <w:b/>
          <w:sz w:val="24"/>
          <w:szCs w:val="24"/>
        </w:rPr>
        <w:t>11 – IMPACTOS AMBIENTAIS</w:t>
      </w:r>
    </w:p>
    <w:p w14:paraId="112A1ECA">
      <w:pPr>
        <w:shd w:val="clear" w:color="auto" w:fill="FFFFFF"/>
        <w:spacing w:line="360" w:lineRule="auto"/>
        <w:rPr>
          <w:sz w:val="24"/>
          <w:szCs w:val="24"/>
        </w:rPr>
      </w:pPr>
      <w:r>
        <w:rPr>
          <w:sz w:val="24"/>
          <w:szCs w:val="24"/>
        </w:rPr>
        <w:t>Não há.</w:t>
      </w:r>
    </w:p>
    <w:p w14:paraId="7990720B">
      <w:pPr>
        <w:shd w:val="clear" w:color="auto" w:fill="FFFFFF"/>
        <w:spacing w:line="360" w:lineRule="auto"/>
        <w:rPr>
          <w:sz w:val="24"/>
          <w:szCs w:val="24"/>
        </w:rPr>
      </w:pPr>
    </w:p>
    <w:p w14:paraId="17EBDB44">
      <w:pPr>
        <w:jc w:val="both"/>
        <w:rPr>
          <w:rFonts w:eastAsia="Cambria Math"/>
          <w:b/>
          <w:sz w:val="24"/>
          <w:szCs w:val="24"/>
        </w:rPr>
      </w:pPr>
      <w:r>
        <w:rPr>
          <w:rFonts w:eastAsia="Cambria Math"/>
          <w:b/>
          <w:sz w:val="24"/>
          <w:szCs w:val="24"/>
        </w:rPr>
        <w:t>12 -RESULTADOS PRETENDIDOS</w:t>
      </w:r>
    </w:p>
    <w:p w14:paraId="4E4775CD">
      <w:pPr>
        <w:jc w:val="both"/>
        <w:rPr>
          <w:rFonts w:eastAsia="Cambria Math"/>
          <w:b/>
          <w:sz w:val="24"/>
          <w:szCs w:val="24"/>
        </w:rPr>
      </w:pPr>
    </w:p>
    <w:p w14:paraId="267F18DC">
      <w:pPr>
        <w:pStyle w:val="24"/>
        <w:spacing w:line="360" w:lineRule="auto"/>
        <w:jc w:val="both"/>
      </w:pPr>
      <w:r>
        <w:t xml:space="preserve">A aquisição de </w:t>
      </w:r>
      <w:r>
        <w:rPr>
          <w:rStyle w:val="11"/>
          <w:b w:val="0"/>
        </w:rPr>
        <w:t>cateteres uretrais visa assegurar</w:t>
      </w:r>
      <w:r>
        <w:t xml:space="preserve"> a continuidade e a qualidade da assistência prestada por meio do Centro Assistencial e de Mandado, garantindo o direito constitucional à saúde e a integralidade da assistência prestada à população.</w:t>
      </w:r>
    </w:p>
    <w:p w14:paraId="74E96C29">
      <w:pPr>
        <w:spacing w:line="360" w:lineRule="auto"/>
        <w:jc w:val="both"/>
        <w:rPr>
          <w:sz w:val="24"/>
          <w:szCs w:val="24"/>
        </w:rPr>
      </w:pPr>
      <w:r>
        <w:rPr>
          <w:rFonts w:eastAsia="MontserratThin"/>
          <w:sz w:val="24"/>
          <w:szCs w:val="24"/>
          <w:lang w:val="en-US" w:eastAsia="zh-CN" w:bidi="ar"/>
        </w:rPr>
        <w:t xml:space="preserve"> </w:t>
      </w:r>
    </w:p>
    <w:p w14:paraId="39E76299">
      <w:pPr>
        <w:widowControl w:val="0"/>
        <w:numPr>
          <w:ilvl w:val="0"/>
          <w:numId w:val="7"/>
        </w:numPr>
        <w:shd w:val="clear" w:color="auto" w:fill="FFFFFF"/>
        <w:suppressAutoHyphens/>
        <w:spacing w:line="360" w:lineRule="auto"/>
        <w:jc w:val="both"/>
        <w:rPr>
          <w:b/>
          <w:sz w:val="24"/>
          <w:szCs w:val="24"/>
        </w:rPr>
      </w:pPr>
      <w:r>
        <w:rPr>
          <w:b/>
          <w:sz w:val="24"/>
          <w:szCs w:val="24"/>
        </w:rPr>
        <w:t>RESPONSÁVEL</w:t>
      </w:r>
    </w:p>
    <w:p w14:paraId="2B596430">
      <w:pPr>
        <w:shd w:val="clear" w:color="auto" w:fill="FFFFFF"/>
        <w:spacing w:line="360" w:lineRule="auto"/>
        <w:jc w:val="both"/>
        <w:rPr>
          <w:b/>
          <w:sz w:val="24"/>
          <w:szCs w:val="24"/>
        </w:rPr>
      </w:pPr>
    </w:p>
    <w:p w14:paraId="1F655730">
      <w:pPr>
        <w:shd w:val="clear" w:color="auto" w:fill="FFFFFF"/>
        <w:spacing w:line="360" w:lineRule="auto"/>
        <w:jc w:val="both"/>
        <w:rPr>
          <w:b/>
          <w:sz w:val="24"/>
          <w:szCs w:val="24"/>
        </w:rPr>
      </w:pPr>
    </w:p>
    <w:p w14:paraId="47081A6E">
      <w:pPr>
        <w:shd w:val="clear" w:color="auto" w:fill="FFFFFF"/>
        <w:spacing w:line="360" w:lineRule="auto"/>
        <w:jc w:val="center"/>
        <w:rPr>
          <w:sz w:val="24"/>
          <w:szCs w:val="24"/>
        </w:rPr>
      </w:pPr>
      <w:r>
        <w:rPr>
          <w:sz w:val="24"/>
          <w:szCs w:val="24"/>
        </w:rPr>
        <w:t>Valença, 16 de março de 2026.</w:t>
      </w:r>
    </w:p>
    <w:p w14:paraId="1CEABA17">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cs="Times New Roman"/>
          <w:color w:val="auto"/>
          <w:kern w:val="3"/>
          <w:szCs w:val="24"/>
          <w:lang w:eastAsia="zh-CN" w:bidi="hi-IN"/>
        </w:rPr>
      </w:pPr>
      <w:r>
        <w:rPr>
          <w:rFonts w:ascii="Times New Roman" w:hAnsi="Times New Roman" w:cs="Times New Roman"/>
          <w:color w:val="auto"/>
          <w:kern w:val="3"/>
          <w:szCs w:val="24"/>
          <w:lang w:eastAsia="zh-CN" w:bidi="hi-IN"/>
        </w:rPr>
        <w:t>Eduardo Eiji Rodrigues Okabayashi</w:t>
      </w:r>
    </w:p>
    <w:p w14:paraId="26142E77">
      <w:pPr>
        <w:pStyle w:val="19"/>
        <w:tabs>
          <w:tab w:val="left" w:pos="555"/>
          <w:tab w:val="left" w:pos="840"/>
          <w:tab w:val="left" w:pos="1140"/>
          <w:tab w:val="left" w:pos="1395"/>
          <w:tab w:val="left" w:pos="1650"/>
          <w:tab w:val="left" w:pos="1965"/>
          <w:tab w:val="left" w:pos="2220"/>
          <w:tab w:val="left" w:leader="underscore" w:pos="7336"/>
        </w:tabs>
        <w:spacing w:line="360" w:lineRule="auto"/>
        <w:jc w:val="center"/>
        <w:rPr>
          <w:rFonts w:ascii="Times New Roman" w:hAnsi="Times New Roman" w:cs="Times New Roman"/>
          <w:color w:val="auto"/>
          <w:kern w:val="3"/>
          <w:szCs w:val="24"/>
          <w:lang w:eastAsia="zh-CN" w:bidi="hi-IN"/>
        </w:rPr>
      </w:pPr>
      <w:r>
        <w:rPr>
          <w:rFonts w:ascii="Times New Roman" w:hAnsi="Times New Roman" w:eastAsia="Times New Roman" w:cs="Times New Roman"/>
          <w:color w:val="auto"/>
          <w:szCs w:val="24"/>
        </w:rPr>
        <w:t>Matricula:</w:t>
      </w:r>
      <w:r>
        <w:rPr>
          <w:rFonts w:ascii="Times New Roman" w:hAnsi="Times New Roman" w:eastAsia="Times New Roman" w:cs="Times New Roman"/>
          <w:b/>
          <w:bCs/>
          <w:color w:val="auto"/>
          <w:szCs w:val="24"/>
        </w:rPr>
        <w:t xml:space="preserve"> </w:t>
      </w:r>
      <w:r>
        <w:rPr>
          <w:rFonts w:ascii="Times New Roman" w:hAnsi="Times New Roman" w:cs="Times New Roman"/>
          <w:color w:val="auto"/>
          <w:kern w:val="3"/>
          <w:szCs w:val="24"/>
          <w:lang w:eastAsia="zh-CN" w:bidi="hi-IN"/>
        </w:rPr>
        <w:t>211.930</w:t>
      </w:r>
    </w:p>
    <w:p w14:paraId="3C2F6E63">
      <w:pPr>
        <w:spacing w:before="288" w:beforeLines="120" w:after="288" w:afterLines="120" w:line="288" w:lineRule="auto"/>
        <w:contextualSpacing/>
        <w:rPr>
          <w:b/>
          <w:bCs/>
          <w:sz w:val="24"/>
          <w:szCs w:val="24"/>
        </w:rPr>
      </w:pPr>
    </w:p>
    <w:p w14:paraId="3FA08A90">
      <w:pPr>
        <w:spacing w:before="288" w:beforeLines="120" w:after="288" w:afterLines="120" w:line="288" w:lineRule="auto"/>
        <w:contextualSpacing/>
        <w:rPr>
          <w:rFonts w:eastAsia="MS Mincho"/>
          <w:b/>
          <w:sz w:val="24"/>
          <w:szCs w:val="24"/>
        </w:rPr>
      </w:pPr>
    </w:p>
    <w:p w14:paraId="2532C1B2">
      <w:pPr>
        <w:spacing w:before="288" w:beforeLines="120" w:after="288" w:afterLines="120" w:line="288" w:lineRule="auto"/>
        <w:contextualSpacing/>
        <w:jc w:val="center"/>
        <w:rPr>
          <w:rFonts w:eastAsia="MS Mincho"/>
          <w:b/>
          <w:sz w:val="24"/>
          <w:szCs w:val="24"/>
          <w:u w:val="single"/>
        </w:rPr>
      </w:pPr>
      <w:r>
        <w:rPr>
          <w:rFonts w:eastAsia="MS Mincho"/>
          <w:b/>
          <w:sz w:val="24"/>
          <w:szCs w:val="24"/>
          <w:highlight w:val="yellow"/>
          <w:u w:val="single"/>
        </w:rPr>
        <w:t>ANEXO III – MODELO DE PROPOSTA</w:t>
      </w:r>
    </w:p>
    <w:p w14:paraId="273D83BC">
      <w:pPr>
        <w:spacing w:before="288" w:beforeLines="120" w:after="288" w:afterLines="120" w:line="288" w:lineRule="auto"/>
        <w:contextualSpacing/>
        <w:jc w:val="center"/>
        <w:rPr>
          <w:rFonts w:eastAsia="MS Mincho"/>
          <w:b/>
          <w:sz w:val="24"/>
          <w:szCs w:val="24"/>
        </w:rPr>
      </w:pPr>
    </w:p>
    <w:tbl>
      <w:tblPr>
        <w:tblStyle w:val="10"/>
        <w:tblW w:w="889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10"/>
        <w:gridCol w:w="1605"/>
        <w:gridCol w:w="1950"/>
        <w:gridCol w:w="585"/>
        <w:gridCol w:w="825"/>
        <w:gridCol w:w="615"/>
        <w:gridCol w:w="1245"/>
        <w:gridCol w:w="1260"/>
      </w:tblGrid>
      <w:tr w14:paraId="7CA3D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CCCCCC"/>
            <w:tcMar>
              <w:top w:w="100" w:type="dxa"/>
              <w:left w:w="100" w:type="dxa"/>
              <w:bottom w:w="100" w:type="dxa"/>
              <w:right w:w="100" w:type="dxa"/>
            </w:tcMar>
          </w:tcPr>
          <w:p w14:paraId="7DF3945E">
            <w:pPr>
              <w:spacing w:before="288" w:beforeLines="120" w:after="288" w:afterLines="120" w:line="288" w:lineRule="auto"/>
              <w:contextualSpacing/>
              <w:jc w:val="center"/>
              <w:rPr>
                <w:rFonts w:eastAsia="MS Mincho"/>
                <w:b/>
                <w:sz w:val="24"/>
                <w:szCs w:val="24"/>
              </w:rPr>
            </w:pPr>
            <w:r>
              <w:rPr>
                <w:rFonts w:eastAsia="MS Mincho"/>
                <w:b/>
                <w:sz w:val="24"/>
                <w:szCs w:val="24"/>
              </w:rPr>
              <w:t>ANEXO III – MODELO DE PROPOSTA</w:t>
            </w:r>
          </w:p>
          <w:p w14:paraId="048FC886">
            <w:pPr>
              <w:pStyle w:val="77"/>
              <w:widowControl w:val="0"/>
              <w:rPr>
                <w:rFonts w:ascii="Times New Roman" w:hAnsi="Times New Roman" w:cs="Times New Roman"/>
                <w:b/>
                <w:i/>
                <w:iCs/>
                <w:sz w:val="24"/>
                <w:szCs w:val="24"/>
              </w:rPr>
            </w:pPr>
          </w:p>
          <w:p w14:paraId="1B0C5F3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PREFEITURA MUNICIPAL DE VALENÇA</w:t>
            </w:r>
          </w:p>
        </w:tc>
        <w:tc>
          <w:tcPr>
            <w:tcW w:w="2025" w:type="dxa"/>
            <w:gridSpan w:val="3"/>
            <w:shd w:val="clear" w:color="auto" w:fill="CCCCCC"/>
            <w:tcMar>
              <w:top w:w="100" w:type="dxa"/>
              <w:left w:w="100" w:type="dxa"/>
              <w:bottom w:w="100" w:type="dxa"/>
              <w:right w:w="100" w:type="dxa"/>
            </w:tcMar>
          </w:tcPr>
          <w:p w14:paraId="44ADDD6E">
            <w:pPr>
              <w:pStyle w:val="77"/>
              <w:widowControl w:val="0"/>
              <w:rPr>
                <w:rFonts w:ascii="Times New Roman" w:hAnsi="Times New Roman" w:cs="Times New Roman"/>
                <w:b/>
                <w:sz w:val="24"/>
                <w:szCs w:val="24"/>
              </w:rPr>
            </w:pPr>
            <w:r>
              <w:rPr>
                <w:rFonts w:ascii="Times New Roman" w:hAnsi="Times New Roman" w:cs="Times New Roman"/>
                <w:b/>
                <w:sz w:val="24"/>
                <w:szCs w:val="24"/>
              </w:rPr>
              <w:t>Pregão Eletrônico N° _____/____</w:t>
            </w:r>
          </w:p>
        </w:tc>
        <w:tc>
          <w:tcPr>
            <w:tcW w:w="2505" w:type="dxa"/>
            <w:gridSpan w:val="2"/>
            <w:shd w:val="clear" w:color="auto" w:fill="auto"/>
            <w:tcMar>
              <w:top w:w="100" w:type="dxa"/>
              <w:left w:w="100" w:type="dxa"/>
              <w:bottom w:w="100" w:type="dxa"/>
              <w:right w:w="100" w:type="dxa"/>
            </w:tcMar>
          </w:tcPr>
          <w:p w14:paraId="5D14A8FD">
            <w:pPr>
              <w:pStyle w:val="77"/>
              <w:widowControl w:val="0"/>
              <w:rPr>
                <w:rFonts w:ascii="Times New Roman" w:hAnsi="Times New Roman" w:cs="Times New Roman"/>
                <w:b/>
                <w:sz w:val="24"/>
                <w:szCs w:val="24"/>
              </w:rPr>
            </w:pPr>
            <w:r>
              <w:rPr>
                <w:rFonts w:ascii="Times New Roman" w:hAnsi="Times New Roman" w:cs="Times New Roman"/>
                <w:b/>
                <w:sz w:val="24"/>
                <w:szCs w:val="24"/>
              </w:rPr>
              <w:t>CNPJ:</w:t>
            </w:r>
          </w:p>
        </w:tc>
      </w:tr>
      <w:tr w14:paraId="67A3B9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950" w:type="dxa"/>
            <w:gridSpan w:val="4"/>
            <w:shd w:val="clear" w:color="auto" w:fill="auto"/>
            <w:tcMar>
              <w:top w:w="100" w:type="dxa"/>
              <w:left w:w="100" w:type="dxa"/>
              <w:bottom w:w="100" w:type="dxa"/>
              <w:right w:w="100" w:type="dxa"/>
            </w:tcMar>
          </w:tcPr>
          <w:p w14:paraId="359DD5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Razão Social:</w:t>
            </w:r>
          </w:p>
        </w:tc>
        <w:tc>
          <w:tcPr>
            <w:tcW w:w="3945" w:type="dxa"/>
            <w:gridSpan w:val="4"/>
            <w:shd w:val="clear" w:color="auto" w:fill="auto"/>
            <w:tcMar>
              <w:top w:w="100" w:type="dxa"/>
              <w:left w:w="100" w:type="dxa"/>
              <w:bottom w:w="100" w:type="dxa"/>
              <w:right w:w="100" w:type="dxa"/>
            </w:tcMar>
          </w:tcPr>
          <w:p w14:paraId="03261942">
            <w:pPr>
              <w:pStyle w:val="77"/>
              <w:widowControl w:val="0"/>
              <w:rPr>
                <w:rFonts w:ascii="Times New Roman" w:hAnsi="Times New Roman" w:cs="Times New Roman"/>
                <w:b/>
                <w:sz w:val="24"/>
                <w:szCs w:val="24"/>
              </w:rPr>
            </w:pPr>
            <w:r>
              <w:rPr>
                <w:rFonts w:ascii="Times New Roman" w:hAnsi="Times New Roman" w:cs="Times New Roman"/>
                <w:b/>
                <w:sz w:val="24"/>
                <w:szCs w:val="24"/>
              </w:rPr>
              <w:t>E-mail:</w:t>
            </w:r>
          </w:p>
        </w:tc>
      </w:tr>
      <w:tr w14:paraId="7F89A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5775" w:type="dxa"/>
            <w:gridSpan w:val="5"/>
            <w:shd w:val="clear" w:color="auto" w:fill="auto"/>
            <w:tcMar>
              <w:top w:w="100" w:type="dxa"/>
              <w:left w:w="100" w:type="dxa"/>
              <w:bottom w:w="100" w:type="dxa"/>
              <w:right w:w="100" w:type="dxa"/>
            </w:tcMar>
          </w:tcPr>
          <w:p w14:paraId="0F0179F6">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Endereço:</w:t>
            </w:r>
          </w:p>
        </w:tc>
        <w:tc>
          <w:tcPr>
            <w:tcW w:w="3120" w:type="dxa"/>
            <w:gridSpan w:val="3"/>
            <w:shd w:val="clear" w:color="auto" w:fill="auto"/>
            <w:tcMar>
              <w:top w:w="100" w:type="dxa"/>
              <w:left w:w="100" w:type="dxa"/>
              <w:bottom w:w="100" w:type="dxa"/>
              <w:right w:w="100" w:type="dxa"/>
            </w:tcMar>
          </w:tcPr>
          <w:p w14:paraId="46B0967A">
            <w:pPr>
              <w:pStyle w:val="77"/>
              <w:widowControl w:val="0"/>
              <w:rPr>
                <w:rFonts w:ascii="Times New Roman" w:hAnsi="Times New Roman" w:cs="Times New Roman"/>
                <w:b/>
                <w:sz w:val="24"/>
                <w:szCs w:val="24"/>
              </w:rPr>
            </w:pPr>
            <w:r>
              <w:rPr>
                <w:rFonts w:ascii="Times New Roman" w:hAnsi="Times New Roman" w:cs="Times New Roman"/>
                <w:b/>
                <w:sz w:val="24"/>
                <w:szCs w:val="24"/>
              </w:rPr>
              <w:t>Tel.:</w:t>
            </w:r>
          </w:p>
        </w:tc>
      </w:tr>
      <w:tr w14:paraId="78D6E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4365" w:type="dxa"/>
            <w:gridSpan w:val="3"/>
            <w:shd w:val="clear" w:color="auto" w:fill="auto"/>
            <w:tcMar>
              <w:top w:w="100" w:type="dxa"/>
              <w:left w:w="100" w:type="dxa"/>
              <w:bottom w:w="100" w:type="dxa"/>
              <w:right w:w="100" w:type="dxa"/>
            </w:tcMar>
          </w:tcPr>
          <w:p w14:paraId="5E75EF31">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Banco:</w:t>
            </w:r>
          </w:p>
        </w:tc>
        <w:tc>
          <w:tcPr>
            <w:tcW w:w="1410" w:type="dxa"/>
            <w:gridSpan w:val="2"/>
            <w:shd w:val="clear" w:color="auto" w:fill="auto"/>
            <w:tcMar>
              <w:top w:w="100" w:type="dxa"/>
              <w:left w:w="100" w:type="dxa"/>
              <w:bottom w:w="100" w:type="dxa"/>
              <w:right w:w="100" w:type="dxa"/>
            </w:tcMar>
          </w:tcPr>
          <w:p w14:paraId="6D6625E8">
            <w:pPr>
              <w:pStyle w:val="77"/>
              <w:widowControl w:val="0"/>
              <w:rPr>
                <w:rFonts w:ascii="Times New Roman" w:hAnsi="Times New Roman" w:cs="Times New Roman"/>
                <w:b/>
                <w:sz w:val="24"/>
                <w:szCs w:val="24"/>
              </w:rPr>
            </w:pPr>
            <w:r>
              <w:rPr>
                <w:rFonts w:ascii="Times New Roman" w:hAnsi="Times New Roman" w:cs="Times New Roman"/>
                <w:b/>
                <w:sz w:val="24"/>
                <w:szCs w:val="24"/>
              </w:rPr>
              <w:t>Agência:</w:t>
            </w:r>
          </w:p>
        </w:tc>
        <w:tc>
          <w:tcPr>
            <w:tcW w:w="3120" w:type="dxa"/>
            <w:gridSpan w:val="3"/>
            <w:shd w:val="clear" w:color="auto" w:fill="auto"/>
            <w:tcMar>
              <w:top w:w="100" w:type="dxa"/>
              <w:left w:w="100" w:type="dxa"/>
              <w:bottom w:w="100" w:type="dxa"/>
              <w:right w:w="100" w:type="dxa"/>
            </w:tcMar>
          </w:tcPr>
          <w:p w14:paraId="02C91FD5">
            <w:pPr>
              <w:pStyle w:val="77"/>
              <w:widowControl w:val="0"/>
              <w:rPr>
                <w:rFonts w:ascii="Times New Roman" w:hAnsi="Times New Roman" w:cs="Times New Roman"/>
                <w:b/>
                <w:sz w:val="24"/>
                <w:szCs w:val="24"/>
              </w:rPr>
            </w:pPr>
            <w:r>
              <w:rPr>
                <w:rFonts w:ascii="Times New Roman" w:hAnsi="Times New Roman" w:cs="Times New Roman"/>
                <w:b/>
                <w:sz w:val="24"/>
                <w:szCs w:val="24"/>
              </w:rPr>
              <w:t>Conta Corrente:</w:t>
            </w:r>
          </w:p>
        </w:tc>
      </w:tr>
      <w:tr w14:paraId="591ECE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CCCCCC"/>
            <w:tcMar>
              <w:top w:w="100" w:type="dxa"/>
              <w:left w:w="100" w:type="dxa"/>
              <w:bottom w:w="100" w:type="dxa"/>
              <w:right w:w="100" w:type="dxa"/>
            </w:tcMar>
          </w:tcPr>
          <w:p w14:paraId="68584C93">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LOTE/</w:t>
            </w:r>
          </w:p>
          <w:p w14:paraId="1E7E8749">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ITEM</w:t>
            </w:r>
          </w:p>
        </w:tc>
        <w:tc>
          <w:tcPr>
            <w:tcW w:w="1605" w:type="dxa"/>
            <w:shd w:val="clear" w:color="auto" w:fill="CCCCCC"/>
            <w:tcMar>
              <w:top w:w="100" w:type="dxa"/>
              <w:left w:w="100" w:type="dxa"/>
              <w:bottom w:w="100" w:type="dxa"/>
              <w:right w:w="100" w:type="dxa"/>
            </w:tcMar>
          </w:tcPr>
          <w:p w14:paraId="7718B3DD">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Código de Material / Código BR</w:t>
            </w:r>
          </w:p>
        </w:tc>
        <w:tc>
          <w:tcPr>
            <w:tcW w:w="1950" w:type="dxa"/>
            <w:shd w:val="clear" w:color="auto" w:fill="CCCCCC"/>
            <w:tcMar>
              <w:top w:w="100" w:type="dxa"/>
              <w:left w:w="100" w:type="dxa"/>
              <w:bottom w:w="100" w:type="dxa"/>
              <w:right w:w="100" w:type="dxa"/>
            </w:tcMar>
          </w:tcPr>
          <w:p w14:paraId="09B915E8">
            <w:pPr>
              <w:pStyle w:val="77"/>
              <w:widowControl w:val="0"/>
              <w:jc w:val="center"/>
              <w:rPr>
                <w:rFonts w:ascii="Times New Roman" w:hAnsi="Times New Roman" w:cs="Times New Roman"/>
                <w:b/>
                <w:i/>
                <w:iCs/>
                <w:sz w:val="24"/>
                <w:szCs w:val="24"/>
              </w:rPr>
            </w:pPr>
            <w:r>
              <w:rPr>
                <w:rFonts w:ascii="Times New Roman" w:hAnsi="Times New Roman" w:cs="Times New Roman"/>
                <w:b/>
                <w:i/>
                <w:iCs/>
                <w:sz w:val="24"/>
                <w:szCs w:val="24"/>
              </w:rPr>
              <w:t>Nome Padronizado</w:t>
            </w:r>
          </w:p>
        </w:tc>
        <w:tc>
          <w:tcPr>
            <w:tcW w:w="585" w:type="dxa"/>
            <w:shd w:val="clear" w:color="auto" w:fill="CCCCCC"/>
            <w:tcMar>
              <w:top w:w="100" w:type="dxa"/>
              <w:left w:w="100" w:type="dxa"/>
              <w:bottom w:w="100" w:type="dxa"/>
              <w:right w:w="100" w:type="dxa"/>
            </w:tcMar>
          </w:tcPr>
          <w:p w14:paraId="1C8A190F">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U/C</w:t>
            </w:r>
          </w:p>
        </w:tc>
        <w:tc>
          <w:tcPr>
            <w:tcW w:w="825" w:type="dxa"/>
            <w:shd w:val="clear" w:color="auto" w:fill="CCCCCC"/>
            <w:tcMar>
              <w:top w:w="100" w:type="dxa"/>
              <w:left w:w="100" w:type="dxa"/>
              <w:bottom w:w="100" w:type="dxa"/>
              <w:right w:w="100" w:type="dxa"/>
            </w:tcMar>
          </w:tcPr>
          <w:p w14:paraId="78F01BA1">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Marca</w:t>
            </w:r>
          </w:p>
        </w:tc>
        <w:tc>
          <w:tcPr>
            <w:tcW w:w="615" w:type="dxa"/>
            <w:shd w:val="clear" w:color="auto" w:fill="CCCCCC"/>
            <w:tcMar>
              <w:top w:w="100" w:type="dxa"/>
              <w:left w:w="100" w:type="dxa"/>
              <w:bottom w:w="100" w:type="dxa"/>
              <w:right w:w="100" w:type="dxa"/>
            </w:tcMar>
          </w:tcPr>
          <w:p w14:paraId="2E60DEC2">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Qtd</w:t>
            </w:r>
          </w:p>
        </w:tc>
        <w:tc>
          <w:tcPr>
            <w:tcW w:w="1245" w:type="dxa"/>
            <w:shd w:val="clear" w:color="auto" w:fill="CCCCCC"/>
            <w:tcMar>
              <w:top w:w="100" w:type="dxa"/>
              <w:left w:w="100" w:type="dxa"/>
              <w:bottom w:w="100" w:type="dxa"/>
              <w:right w:w="100" w:type="dxa"/>
            </w:tcMar>
          </w:tcPr>
          <w:p w14:paraId="554E8846">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Unitário</w:t>
            </w:r>
          </w:p>
        </w:tc>
        <w:tc>
          <w:tcPr>
            <w:tcW w:w="1260" w:type="dxa"/>
            <w:shd w:val="clear" w:color="auto" w:fill="CCCCCC"/>
            <w:tcMar>
              <w:top w:w="100" w:type="dxa"/>
              <w:left w:w="100" w:type="dxa"/>
              <w:bottom w:w="100" w:type="dxa"/>
              <w:right w:w="100" w:type="dxa"/>
            </w:tcMar>
          </w:tcPr>
          <w:p w14:paraId="40CED06D">
            <w:pPr>
              <w:pStyle w:val="77"/>
              <w:widowControl w:val="0"/>
              <w:jc w:val="center"/>
              <w:rPr>
                <w:rFonts w:ascii="Times New Roman" w:hAnsi="Times New Roman" w:cs="Times New Roman"/>
                <w:b/>
                <w:sz w:val="24"/>
                <w:szCs w:val="24"/>
              </w:rPr>
            </w:pPr>
            <w:r>
              <w:rPr>
                <w:rFonts w:ascii="Times New Roman" w:hAnsi="Times New Roman" w:cs="Times New Roman"/>
                <w:b/>
                <w:sz w:val="24"/>
                <w:szCs w:val="24"/>
              </w:rPr>
              <w:t>Preço Total</w:t>
            </w:r>
          </w:p>
        </w:tc>
      </w:tr>
      <w:tr w14:paraId="1AC3E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0DD66404">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74C79E61">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2913E088">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7A998D75">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6FD4A95A">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4C71D89B">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468F965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0D874DE4">
            <w:pPr>
              <w:pStyle w:val="77"/>
              <w:widowControl w:val="0"/>
              <w:rPr>
                <w:rFonts w:ascii="Times New Roman" w:hAnsi="Times New Roman" w:cs="Times New Roman"/>
                <w:b/>
                <w:sz w:val="24"/>
                <w:szCs w:val="24"/>
              </w:rPr>
            </w:pPr>
          </w:p>
        </w:tc>
      </w:tr>
      <w:tr w14:paraId="53A091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blHeader/>
        </w:trPr>
        <w:tc>
          <w:tcPr>
            <w:tcW w:w="810" w:type="dxa"/>
            <w:shd w:val="clear" w:color="auto" w:fill="auto"/>
            <w:tcMar>
              <w:top w:w="100" w:type="dxa"/>
              <w:left w:w="100" w:type="dxa"/>
              <w:bottom w:w="100" w:type="dxa"/>
              <w:right w:w="100" w:type="dxa"/>
            </w:tcMar>
          </w:tcPr>
          <w:p w14:paraId="685543EB">
            <w:pPr>
              <w:pStyle w:val="77"/>
              <w:widowControl w:val="0"/>
              <w:rPr>
                <w:rFonts w:ascii="Times New Roman" w:hAnsi="Times New Roman" w:cs="Times New Roman"/>
                <w:b/>
                <w:i/>
                <w:iCs/>
                <w:sz w:val="24"/>
                <w:szCs w:val="24"/>
              </w:rPr>
            </w:pPr>
          </w:p>
        </w:tc>
        <w:tc>
          <w:tcPr>
            <w:tcW w:w="1605" w:type="dxa"/>
            <w:shd w:val="clear" w:color="auto" w:fill="auto"/>
            <w:tcMar>
              <w:top w:w="100" w:type="dxa"/>
              <w:left w:w="100" w:type="dxa"/>
              <w:bottom w:w="100" w:type="dxa"/>
              <w:right w:w="100" w:type="dxa"/>
            </w:tcMar>
          </w:tcPr>
          <w:p w14:paraId="2A1B6DE8">
            <w:pPr>
              <w:pStyle w:val="77"/>
              <w:widowControl w:val="0"/>
              <w:rPr>
                <w:rFonts w:ascii="Times New Roman" w:hAnsi="Times New Roman" w:cs="Times New Roman"/>
                <w:b/>
                <w:i/>
                <w:iCs/>
                <w:sz w:val="24"/>
                <w:szCs w:val="24"/>
              </w:rPr>
            </w:pPr>
          </w:p>
        </w:tc>
        <w:tc>
          <w:tcPr>
            <w:tcW w:w="1950" w:type="dxa"/>
            <w:shd w:val="clear" w:color="auto" w:fill="auto"/>
            <w:tcMar>
              <w:top w:w="100" w:type="dxa"/>
              <w:left w:w="100" w:type="dxa"/>
              <w:bottom w:w="100" w:type="dxa"/>
              <w:right w:w="100" w:type="dxa"/>
            </w:tcMar>
          </w:tcPr>
          <w:p w14:paraId="7954277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Unitário: Por extenso</w:t>
            </w:r>
          </w:p>
        </w:tc>
        <w:tc>
          <w:tcPr>
            <w:tcW w:w="585" w:type="dxa"/>
            <w:shd w:val="clear" w:color="auto" w:fill="auto"/>
            <w:tcMar>
              <w:top w:w="100" w:type="dxa"/>
              <w:left w:w="100" w:type="dxa"/>
              <w:bottom w:w="100" w:type="dxa"/>
              <w:right w:w="100" w:type="dxa"/>
            </w:tcMar>
          </w:tcPr>
          <w:p w14:paraId="2C7AACF7">
            <w:pPr>
              <w:pStyle w:val="77"/>
              <w:widowControl w:val="0"/>
              <w:rPr>
                <w:rFonts w:ascii="Times New Roman" w:hAnsi="Times New Roman" w:cs="Times New Roman"/>
                <w:b/>
                <w:sz w:val="24"/>
                <w:szCs w:val="24"/>
              </w:rPr>
            </w:pPr>
          </w:p>
        </w:tc>
        <w:tc>
          <w:tcPr>
            <w:tcW w:w="825" w:type="dxa"/>
            <w:shd w:val="clear" w:color="auto" w:fill="auto"/>
            <w:tcMar>
              <w:top w:w="100" w:type="dxa"/>
              <w:left w:w="100" w:type="dxa"/>
              <w:bottom w:w="100" w:type="dxa"/>
              <w:right w:w="100" w:type="dxa"/>
            </w:tcMar>
          </w:tcPr>
          <w:p w14:paraId="794A4423">
            <w:pPr>
              <w:pStyle w:val="77"/>
              <w:widowControl w:val="0"/>
              <w:rPr>
                <w:rFonts w:ascii="Times New Roman" w:hAnsi="Times New Roman" w:cs="Times New Roman"/>
                <w:b/>
                <w:sz w:val="24"/>
                <w:szCs w:val="24"/>
              </w:rPr>
            </w:pPr>
          </w:p>
        </w:tc>
        <w:tc>
          <w:tcPr>
            <w:tcW w:w="615" w:type="dxa"/>
            <w:shd w:val="clear" w:color="auto" w:fill="auto"/>
            <w:tcMar>
              <w:top w:w="100" w:type="dxa"/>
              <w:left w:w="100" w:type="dxa"/>
              <w:bottom w:w="100" w:type="dxa"/>
              <w:right w:w="100" w:type="dxa"/>
            </w:tcMar>
          </w:tcPr>
          <w:p w14:paraId="3124ECB3">
            <w:pPr>
              <w:pStyle w:val="77"/>
              <w:widowControl w:val="0"/>
              <w:rPr>
                <w:rFonts w:ascii="Times New Roman" w:hAnsi="Times New Roman" w:cs="Times New Roman"/>
                <w:b/>
                <w:sz w:val="24"/>
                <w:szCs w:val="24"/>
              </w:rPr>
            </w:pPr>
          </w:p>
        </w:tc>
        <w:tc>
          <w:tcPr>
            <w:tcW w:w="1245" w:type="dxa"/>
            <w:shd w:val="clear" w:color="auto" w:fill="auto"/>
            <w:tcMar>
              <w:top w:w="100" w:type="dxa"/>
              <w:left w:w="100" w:type="dxa"/>
              <w:bottom w:w="100" w:type="dxa"/>
              <w:right w:w="100" w:type="dxa"/>
            </w:tcMar>
          </w:tcPr>
          <w:p w14:paraId="70995DC6">
            <w:pPr>
              <w:pStyle w:val="77"/>
              <w:widowControl w:val="0"/>
              <w:rPr>
                <w:rFonts w:ascii="Times New Roman" w:hAnsi="Times New Roman" w:cs="Times New Roman"/>
                <w:b/>
                <w:sz w:val="24"/>
                <w:szCs w:val="24"/>
              </w:rPr>
            </w:pPr>
          </w:p>
        </w:tc>
        <w:tc>
          <w:tcPr>
            <w:tcW w:w="1260" w:type="dxa"/>
            <w:shd w:val="clear" w:color="auto" w:fill="auto"/>
            <w:tcMar>
              <w:top w:w="100" w:type="dxa"/>
              <w:left w:w="100" w:type="dxa"/>
              <w:bottom w:w="100" w:type="dxa"/>
              <w:right w:w="100" w:type="dxa"/>
            </w:tcMar>
          </w:tcPr>
          <w:p w14:paraId="46AF7176">
            <w:pPr>
              <w:pStyle w:val="77"/>
              <w:widowControl w:val="0"/>
              <w:rPr>
                <w:rFonts w:ascii="Times New Roman" w:hAnsi="Times New Roman" w:cs="Times New Roman"/>
                <w:b/>
                <w:sz w:val="24"/>
                <w:szCs w:val="24"/>
              </w:rPr>
            </w:pPr>
          </w:p>
        </w:tc>
      </w:tr>
      <w:tr w14:paraId="29148F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51FB19A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lote/item: Por extenso</w:t>
            </w:r>
          </w:p>
        </w:tc>
      </w:tr>
      <w:tr w14:paraId="189B3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4C304C9">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Preço total: Por extenso</w:t>
            </w:r>
          </w:p>
        </w:tc>
      </w:tr>
      <w:tr w14:paraId="5CD3C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420" w:hRule="atLeast"/>
          <w:tblHeader/>
        </w:trPr>
        <w:tc>
          <w:tcPr>
            <w:tcW w:w="8895" w:type="dxa"/>
            <w:gridSpan w:val="8"/>
            <w:shd w:val="clear" w:color="auto" w:fill="auto"/>
            <w:tcMar>
              <w:top w:w="100" w:type="dxa"/>
              <w:left w:w="100" w:type="dxa"/>
              <w:bottom w:w="100" w:type="dxa"/>
              <w:right w:w="100" w:type="dxa"/>
            </w:tcMar>
          </w:tcPr>
          <w:p w14:paraId="169ED6D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Declaramos inteira submissão aos termos desta proposta, do Edital e à Legislação em vigor.</w:t>
            </w:r>
          </w:p>
          <w:p w14:paraId="66A3AE45">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Valença, _______ de __________________ de ________.</w:t>
            </w:r>
          </w:p>
          <w:p w14:paraId="30617C90">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_____________________________________</w:t>
            </w:r>
          </w:p>
          <w:p w14:paraId="26F45E94">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Representante legal (nome por extenso)</w:t>
            </w:r>
          </w:p>
          <w:p w14:paraId="07DD2B6F">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Cargo:</w:t>
            </w:r>
          </w:p>
          <w:p w14:paraId="4AD808BB">
            <w:pPr>
              <w:pStyle w:val="77"/>
              <w:widowControl w:val="0"/>
              <w:rPr>
                <w:rFonts w:ascii="Times New Roman" w:hAnsi="Times New Roman" w:cs="Times New Roman"/>
                <w:b/>
                <w:i/>
                <w:iCs/>
                <w:sz w:val="24"/>
                <w:szCs w:val="24"/>
              </w:rPr>
            </w:pPr>
            <w:r>
              <w:rPr>
                <w:rFonts w:ascii="Times New Roman" w:hAnsi="Times New Roman" w:cs="Times New Roman"/>
                <w:b/>
                <w:i/>
                <w:iCs/>
                <w:sz w:val="24"/>
                <w:szCs w:val="24"/>
              </w:rPr>
              <w:t>CPF:</w:t>
            </w:r>
          </w:p>
        </w:tc>
      </w:tr>
    </w:tbl>
    <w:p w14:paraId="443C21BF">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Deverão ser atendidas as especificações constantes no Termo de Referência.</w:t>
      </w:r>
    </w:p>
    <w:p w14:paraId="51E7818A">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Validade da proposta: 60 (sessenta) dias.</w:t>
      </w:r>
    </w:p>
    <w:p w14:paraId="39616D3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Local de Entrega dos materiais: Conforme Termo de Referência.</w:t>
      </w:r>
    </w:p>
    <w:p w14:paraId="69A7A7E7">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Obs.1: A empresa adjudicatária deverá fornecer os materiais de acordo com estabelecido na Legislação específica vigente e no Código de Defesa do Consumidor.</w:t>
      </w:r>
    </w:p>
    <w:p w14:paraId="5FE12959">
      <w:pPr>
        <w:pStyle w:val="77"/>
        <w:jc w:val="both"/>
        <w:rPr>
          <w:rFonts w:ascii="Times New Roman" w:hAnsi="Times New Roman" w:cs="Times New Roman"/>
          <w:b/>
          <w:sz w:val="24"/>
          <w:szCs w:val="24"/>
          <w:highlight w:val="yellow"/>
        </w:rPr>
      </w:pPr>
      <w:r>
        <w:rPr>
          <w:rFonts w:ascii="Times New Roman" w:hAnsi="Times New Roman" w:cs="Times New Roman"/>
          <w:b/>
          <w:sz w:val="24"/>
          <w:szCs w:val="24"/>
          <w:highlight w:val="yellow"/>
        </w:rPr>
        <w:t>Obs. 2: A entrega dos materiais será aceita provisoriamente no local de entrega e após conferência de sua conformidade será o mesmo aceito definitivamente.</w:t>
      </w:r>
    </w:p>
    <w:p w14:paraId="5BFC32C4">
      <w:pPr>
        <w:pStyle w:val="77"/>
        <w:jc w:val="both"/>
        <w:rPr>
          <w:rFonts w:ascii="Times New Roman" w:hAnsi="Times New Roman" w:cs="Times New Roman"/>
          <w:b/>
          <w:sz w:val="24"/>
          <w:szCs w:val="24"/>
        </w:rPr>
      </w:pPr>
      <w:r>
        <w:rPr>
          <w:rFonts w:ascii="Times New Roman" w:hAnsi="Times New Roman" w:cs="Times New Roman"/>
          <w:b/>
          <w:sz w:val="24"/>
          <w:szCs w:val="24"/>
          <w:highlight w:val="yellow"/>
        </w:rPr>
        <w:t>Obs. 3: A proposta deverá ser elaborada em papel timbrado da empresa, com todos os dados da mesma.</w:t>
      </w:r>
    </w:p>
    <w:p w14:paraId="75347792">
      <w:pPr>
        <w:pStyle w:val="70"/>
        <w:rPr>
          <w:rFonts w:ascii="Times New Roman" w:hAnsi="Times New Roman" w:cs="Times New Roman"/>
        </w:rPr>
      </w:pPr>
    </w:p>
    <w:p w14:paraId="78DC0B3B">
      <w:pPr>
        <w:jc w:val="center"/>
        <w:rPr>
          <w:b/>
          <w:color w:val="000000"/>
          <w:sz w:val="24"/>
          <w:szCs w:val="24"/>
        </w:rPr>
      </w:pPr>
      <w:r>
        <w:rPr>
          <w:b/>
          <w:color w:val="000000"/>
          <w:sz w:val="24"/>
          <w:szCs w:val="24"/>
        </w:rPr>
        <w:t xml:space="preserve">   </w:t>
      </w:r>
    </w:p>
    <w:p w14:paraId="2CA7C58E">
      <w:pPr>
        <w:spacing w:before="288" w:beforeLines="120" w:after="288" w:afterLines="120" w:line="288" w:lineRule="auto"/>
        <w:contextualSpacing/>
        <w:jc w:val="center"/>
        <w:rPr>
          <w:rFonts w:eastAsia="MS Mincho"/>
          <w:b/>
          <w:color w:val="FF0000"/>
          <w:sz w:val="24"/>
          <w:szCs w:val="24"/>
          <w:u w:val="single"/>
        </w:rPr>
      </w:pPr>
      <w:r>
        <w:rPr>
          <w:rFonts w:eastAsia="MS Mincho"/>
          <w:b/>
          <w:sz w:val="24"/>
          <w:szCs w:val="24"/>
          <w:highlight w:val="yellow"/>
          <w:u w:val="single"/>
        </w:rPr>
        <w:t>ANEXO</w:t>
      </w:r>
      <w:r>
        <w:rPr>
          <w:rFonts w:eastAsia="MS Mincho"/>
          <w:b/>
          <w:color w:val="000000" w:themeColor="text1"/>
          <w:sz w:val="24"/>
          <w:szCs w:val="24"/>
          <w:highlight w:val="yellow"/>
          <w:u w:val="single"/>
          <w14:textFill>
            <w14:solidFill>
              <w14:schemeClr w14:val="tx1"/>
            </w14:solidFill>
          </w14:textFill>
        </w:rPr>
        <w:t xml:space="preserve"> IV </w:t>
      </w:r>
      <w:r>
        <w:rPr>
          <w:rFonts w:eastAsia="MS Mincho"/>
          <w:b/>
          <w:sz w:val="24"/>
          <w:szCs w:val="24"/>
          <w:highlight w:val="yellow"/>
          <w:u w:val="single"/>
        </w:rPr>
        <w:t>– DOCUMENTAÇÃO EXIGIDA PARA HABILITAÇÃO</w:t>
      </w:r>
    </w:p>
    <w:p w14:paraId="3B529A73">
      <w:pPr>
        <w:spacing w:before="288" w:beforeLines="120" w:after="288" w:afterLines="120" w:line="288" w:lineRule="auto"/>
        <w:contextualSpacing/>
        <w:jc w:val="center"/>
        <w:rPr>
          <w:rFonts w:eastAsia="MS Mincho"/>
          <w:b/>
          <w:color w:val="FF0000"/>
          <w:sz w:val="24"/>
          <w:szCs w:val="24"/>
        </w:rPr>
      </w:pPr>
    </w:p>
    <w:p w14:paraId="6AFBFAA7">
      <w:pPr>
        <w:spacing w:line="288" w:lineRule="auto"/>
        <w:contextualSpacing/>
        <w:rPr>
          <w:color w:val="FF0000"/>
          <w:sz w:val="24"/>
          <w:szCs w:val="24"/>
        </w:rPr>
      </w:pPr>
    </w:p>
    <w:p w14:paraId="5FCBC071">
      <w:pPr>
        <w:spacing w:line="288" w:lineRule="auto"/>
        <w:contextualSpacing/>
        <w:rPr>
          <w:b/>
          <w:bCs/>
          <w:sz w:val="24"/>
          <w:szCs w:val="24"/>
        </w:rPr>
      </w:pPr>
      <w:r>
        <w:rPr>
          <w:b/>
          <w:bCs/>
          <w:sz w:val="24"/>
          <w:szCs w:val="24"/>
        </w:rPr>
        <w:t>1. HABILITAÇÃO JURÍDICA</w:t>
      </w:r>
    </w:p>
    <w:p w14:paraId="26A29EEC">
      <w:pPr>
        <w:spacing w:line="288" w:lineRule="auto"/>
        <w:contextualSpacing/>
        <w:rPr>
          <w:sz w:val="24"/>
          <w:szCs w:val="24"/>
        </w:rPr>
      </w:pPr>
    </w:p>
    <w:p w14:paraId="47B77E7A">
      <w:pPr>
        <w:spacing w:before="240" w:after="240" w:line="288" w:lineRule="auto"/>
        <w:contextualSpacing/>
        <w:jc w:val="both"/>
        <w:rPr>
          <w:sz w:val="24"/>
          <w:szCs w:val="24"/>
        </w:rPr>
      </w:pPr>
      <w:r>
        <w:rPr>
          <w:bCs/>
          <w:sz w:val="24"/>
          <w:szCs w:val="24"/>
        </w:rPr>
        <w:t xml:space="preserve">1.1 </w:t>
      </w:r>
      <w:r>
        <w:rPr>
          <w:sz w:val="24"/>
          <w:szCs w:val="24"/>
        </w:rPr>
        <w:t>Pessoa física: cédula de identidade (RG) ou documento equivalente que, por força de lei, tenha validade para fins de identificação em todo o território nacional.</w:t>
      </w:r>
    </w:p>
    <w:p w14:paraId="657BF7BE">
      <w:pPr>
        <w:tabs>
          <w:tab w:val="left" w:pos="1440"/>
        </w:tabs>
        <w:autoSpaceDE w:val="0"/>
        <w:snapToGrid w:val="0"/>
        <w:spacing w:line="288" w:lineRule="auto"/>
        <w:contextualSpacing/>
        <w:jc w:val="both"/>
        <w:rPr>
          <w:sz w:val="24"/>
          <w:szCs w:val="24"/>
        </w:rPr>
      </w:pPr>
    </w:p>
    <w:p w14:paraId="5FDC23AA">
      <w:pPr>
        <w:tabs>
          <w:tab w:val="left" w:pos="1440"/>
        </w:tabs>
        <w:autoSpaceDE w:val="0"/>
        <w:snapToGrid w:val="0"/>
        <w:spacing w:line="288" w:lineRule="auto"/>
        <w:contextualSpacing/>
        <w:jc w:val="both"/>
        <w:rPr>
          <w:sz w:val="24"/>
          <w:szCs w:val="24"/>
        </w:rPr>
      </w:pPr>
      <w:r>
        <w:rPr>
          <w:sz w:val="24"/>
          <w:szCs w:val="24"/>
        </w:rPr>
        <w:t>1.2 Empresário individual: inscrição no Registro Público de Empresas Mercantis, a cargo da Junta Comercial da respectiva sede.</w:t>
      </w:r>
    </w:p>
    <w:p w14:paraId="1B512353">
      <w:pPr>
        <w:tabs>
          <w:tab w:val="left" w:pos="1440"/>
        </w:tabs>
        <w:autoSpaceDE w:val="0"/>
        <w:snapToGrid w:val="0"/>
        <w:spacing w:line="288" w:lineRule="auto"/>
        <w:contextualSpacing/>
        <w:jc w:val="both"/>
        <w:rPr>
          <w:sz w:val="24"/>
          <w:szCs w:val="24"/>
        </w:rPr>
      </w:pPr>
    </w:p>
    <w:p w14:paraId="12C4F694">
      <w:pPr>
        <w:tabs>
          <w:tab w:val="left" w:pos="1440"/>
        </w:tabs>
        <w:autoSpaceDE w:val="0"/>
        <w:snapToGrid w:val="0"/>
        <w:spacing w:line="288" w:lineRule="auto"/>
        <w:contextualSpacing/>
        <w:jc w:val="both"/>
        <w:rPr>
          <w:color w:val="000000"/>
          <w:sz w:val="24"/>
          <w:szCs w:val="24"/>
        </w:rPr>
      </w:pPr>
      <w:r>
        <w:rPr>
          <w:color w:val="000000"/>
          <w:sz w:val="24"/>
          <w:szCs w:val="24"/>
        </w:rPr>
        <w:t xml:space="preserve">1.3 Microempreendedor Individual - MEI: Certificado da Condição de Microempreendedor Individual - CCMEI, cuja aceitação ficará condicionada à verificação da autenticidade no sítio </w:t>
      </w:r>
      <w:r>
        <w:fldChar w:fldCharType="begin"/>
      </w:r>
      <w:r>
        <w:instrText xml:space="preserve"> HYPERLINK "http://www.portaldoempreendedor.gov.br" </w:instrText>
      </w:r>
      <w:r>
        <w:fldChar w:fldCharType="separate"/>
      </w:r>
      <w:r>
        <w:rPr>
          <w:rStyle w:val="16"/>
          <w:rFonts w:eastAsiaTheme="minorHAnsi"/>
          <w:sz w:val="24"/>
          <w:szCs w:val="24"/>
        </w:rPr>
        <w:t>www.portaldoempreendedor.gov.br</w:t>
      </w:r>
      <w:r>
        <w:rPr>
          <w:rStyle w:val="16"/>
          <w:rFonts w:eastAsiaTheme="minorHAnsi"/>
          <w:sz w:val="24"/>
          <w:szCs w:val="24"/>
        </w:rPr>
        <w:fldChar w:fldCharType="end"/>
      </w:r>
      <w:r>
        <w:rPr>
          <w:color w:val="000000"/>
          <w:sz w:val="24"/>
          <w:szCs w:val="24"/>
        </w:rPr>
        <w:t>.</w:t>
      </w:r>
    </w:p>
    <w:p w14:paraId="293453EC">
      <w:pPr>
        <w:tabs>
          <w:tab w:val="left" w:pos="1440"/>
        </w:tabs>
        <w:autoSpaceDE w:val="0"/>
        <w:snapToGrid w:val="0"/>
        <w:spacing w:line="288" w:lineRule="auto"/>
        <w:contextualSpacing/>
        <w:rPr>
          <w:color w:val="000000"/>
          <w:sz w:val="24"/>
          <w:szCs w:val="24"/>
        </w:rPr>
      </w:pPr>
    </w:p>
    <w:p w14:paraId="57845B80">
      <w:pPr>
        <w:tabs>
          <w:tab w:val="left" w:pos="1440"/>
        </w:tabs>
        <w:autoSpaceDE w:val="0"/>
        <w:snapToGrid w:val="0"/>
        <w:spacing w:line="288" w:lineRule="auto"/>
        <w:contextualSpacing/>
        <w:jc w:val="both"/>
        <w:rPr>
          <w:color w:val="000000"/>
          <w:sz w:val="24"/>
          <w:szCs w:val="24"/>
        </w:rPr>
      </w:pPr>
      <w:r>
        <w:rPr>
          <w:color w:val="000000"/>
          <w:sz w:val="24"/>
          <w:szCs w:val="24"/>
        </w:rPr>
        <w:t xml:space="preserve">1.4 Sociedade Limitada Unipessoal - SLU: ato constitutivo, estatuto ou contrato social em vigor inscrito </w:t>
      </w:r>
      <w:r>
        <w:rPr>
          <w:sz w:val="24"/>
          <w:szCs w:val="24"/>
        </w:rPr>
        <w:t>no Registro Público de Empresas Mercantis, a cargo</w:t>
      </w:r>
      <w:r>
        <w:rPr>
          <w:color w:val="000000"/>
          <w:sz w:val="24"/>
          <w:szCs w:val="24"/>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0BB72461">
      <w:pPr>
        <w:tabs>
          <w:tab w:val="left" w:pos="1440"/>
        </w:tabs>
        <w:autoSpaceDE w:val="0"/>
        <w:snapToGrid w:val="0"/>
        <w:spacing w:line="288" w:lineRule="auto"/>
        <w:contextualSpacing/>
        <w:rPr>
          <w:sz w:val="24"/>
          <w:szCs w:val="24"/>
        </w:rPr>
      </w:pPr>
    </w:p>
    <w:p w14:paraId="0BFB5FC7">
      <w:pPr>
        <w:spacing w:line="288" w:lineRule="auto"/>
        <w:contextualSpacing/>
        <w:jc w:val="both"/>
        <w:rPr>
          <w:color w:val="000000"/>
          <w:sz w:val="24"/>
          <w:szCs w:val="24"/>
        </w:rPr>
      </w:pPr>
      <w:r>
        <w:rPr>
          <w:color w:val="000000"/>
          <w:sz w:val="24"/>
          <w:szCs w:val="24"/>
        </w:rPr>
        <w:t xml:space="preserve">1.5 Sociedade Empresária Estrangeira em funcionamento no País: </w:t>
      </w:r>
      <w:r>
        <w:rPr>
          <w:sz w:val="24"/>
          <w:szCs w:val="24"/>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45961428">
      <w:pPr>
        <w:tabs>
          <w:tab w:val="left" w:pos="1440"/>
        </w:tabs>
        <w:autoSpaceDE w:val="0"/>
        <w:snapToGrid w:val="0"/>
        <w:spacing w:line="288" w:lineRule="auto"/>
        <w:contextualSpacing/>
        <w:jc w:val="both"/>
        <w:rPr>
          <w:color w:val="000000"/>
          <w:sz w:val="24"/>
          <w:szCs w:val="24"/>
        </w:rPr>
      </w:pPr>
    </w:p>
    <w:p w14:paraId="29902B95">
      <w:pPr>
        <w:tabs>
          <w:tab w:val="left" w:pos="1440"/>
        </w:tabs>
        <w:autoSpaceDE w:val="0"/>
        <w:snapToGrid w:val="0"/>
        <w:spacing w:line="288" w:lineRule="auto"/>
        <w:contextualSpacing/>
        <w:jc w:val="both"/>
        <w:rPr>
          <w:color w:val="000000"/>
          <w:sz w:val="24"/>
          <w:szCs w:val="24"/>
        </w:rPr>
      </w:pPr>
      <w:r>
        <w:rPr>
          <w:color w:val="000000"/>
          <w:sz w:val="24"/>
          <w:szCs w:val="24"/>
        </w:rPr>
        <w:t>1.6 Sociedade Simples: inscrição do ato constitutivo no Registro Civil das Pessoas Jurídicas do local de sua sede, acompanhada de prova da indicação dos seus administradores.</w:t>
      </w:r>
    </w:p>
    <w:p w14:paraId="1AE4BFEF">
      <w:pPr>
        <w:tabs>
          <w:tab w:val="left" w:pos="1440"/>
        </w:tabs>
        <w:autoSpaceDE w:val="0"/>
        <w:snapToGrid w:val="0"/>
        <w:spacing w:line="288" w:lineRule="auto"/>
        <w:contextualSpacing/>
        <w:jc w:val="both"/>
        <w:rPr>
          <w:color w:val="000000"/>
          <w:sz w:val="24"/>
          <w:szCs w:val="24"/>
        </w:rPr>
      </w:pPr>
    </w:p>
    <w:p w14:paraId="54A3EE44">
      <w:pPr>
        <w:tabs>
          <w:tab w:val="left" w:pos="1440"/>
        </w:tabs>
        <w:autoSpaceDE w:val="0"/>
        <w:snapToGrid w:val="0"/>
        <w:spacing w:line="288" w:lineRule="auto"/>
        <w:contextualSpacing/>
        <w:jc w:val="both"/>
        <w:rPr>
          <w:color w:val="000000"/>
          <w:sz w:val="24"/>
          <w:szCs w:val="24"/>
        </w:rPr>
      </w:pPr>
      <w:r>
        <w:rPr>
          <w:color w:val="000000"/>
          <w:sz w:val="24"/>
          <w:szCs w:val="24"/>
        </w:rPr>
        <w:t xml:space="preserve">1.7 </w:t>
      </w:r>
      <w:r>
        <w:rPr>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2FF89A9E">
      <w:pPr>
        <w:tabs>
          <w:tab w:val="left" w:pos="1440"/>
        </w:tabs>
        <w:autoSpaceDE w:val="0"/>
        <w:snapToGrid w:val="0"/>
        <w:spacing w:line="288" w:lineRule="auto"/>
        <w:contextualSpacing/>
        <w:jc w:val="both"/>
        <w:rPr>
          <w:color w:val="000000"/>
          <w:sz w:val="24"/>
          <w:szCs w:val="24"/>
        </w:rPr>
      </w:pPr>
    </w:p>
    <w:p w14:paraId="6F507929">
      <w:pPr>
        <w:tabs>
          <w:tab w:val="left" w:pos="1440"/>
        </w:tabs>
        <w:autoSpaceDE w:val="0"/>
        <w:snapToGrid w:val="0"/>
        <w:spacing w:line="288" w:lineRule="auto"/>
        <w:contextualSpacing/>
        <w:jc w:val="both"/>
        <w:rPr>
          <w:sz w:val="24"/>
          <w:szCs w:val="24"/>
        </w:rPr>
      </w:pPr>
      <w:r>
        <w:rPr>
          <w:sz w:val="24"/>
          <w:szCs w:val="24"/>
        </w:rPr>
        <w:t>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funcionamento observam as regras estabelecidas na legislação aplicável, em especial a Lei nº 5.764/1971, a Lei nº 12.690, de 19 de julho de 2012, e a Lei Complementar nº 130, de 17 de abril de 2009.</w:t>
      </w:r>
    </w:p>
    <w:p w14:paraId="7D450AF5">
      <w:pPr>
        <w:tabs>
          <w:tab w:val="left" w:pos="1440"/>
        </w:tabs>
        <w:autoSpaceDE w:val="0"/>
        <w:snapToGrid w:val="0"/>
        <w:spacing w:line="288" w:lineRule="auto"/>
        <w:contextualSpacing/>
        <w:jc w:val="both"/>
        <w:rPr>
          <w:sz w:val="24"/>
          <w:szCs w:val="24"/>
        </w:rPr>
      </w:pPr>
    </w:p>
    <w:p w14:paraId="5CC25CF4">
      <w:pPr>
        <w:spacing w:line="288" w:lineRule="auto"/>
        <w:contextualSpacing/>
        <w:rPr>
          <w:sz w:val="24"/>
          <w:szCs w:val="24"/>
        </w:rPr>
      </w:pPr>
      <w:r>
        <w:rPr>
          <w:bCs/>
          <w:sz w:val="24"/>
          <w:szCs w:val="24"/>
        </w:rPr>
        <w:t xml:space="preserve">1.9 </w:t>
      </w:r>
      <w:r>
        <w:rPr>
          <w:bCs/>
          <w:color w:val="000000"/>
          <w:sz w:val="24"/>
          <w:szCs w:val="24"/>
        </w:rPr>
        <w:t>Quando cabível, os documentos apresentados devem estar acompanhados de todas as alterações ou da consolidação respectiva.</w:t>
      </w:r>
    </w:p>
    <w:p w14:paraId="2774D189">
      <w:pPr>
        <w:spacing w:line="288" w:lineRule="auto"/>
        <w:contextualSpacing/>
        <w:rPr>
          <w:sz w:val="24"/>
          <w:szCs w:val="24"/>
        </w:rPr>
      </w:pPr>
    </w:p>
    <w:p w14:paraId="479746E4">
      <w:pPr>
        <w:spacing w:line="288" w:lineRule="auto"/>
        <w:contextualSpacing/>
        <w:rPr>
          <w:b/>
          <w:bCs/>
          <w:color w:val="000000"/>
          <w:sz w:val="24"/>
          <w:szCs w:val="24"/>
        </w:rPr>
      </w:pPr>
      <w:r>
        <w:rPr>
          <w:b/>
          <w:bCs/>
          <w:sz w:val="24"/>
          <w:szCs w:val="24"/>
        </w:rPr>
        <w:t xml:space="preserve">2. HABILITAÇÃO </w:t>
      </w:r>
      <w:r>
        <w:rPr>
          <w:b/>
          <w:bCs/>
          <w:color w:val="000000"/>
          <w:sz w:val="24"/>
          <w:szCs w:val="24"/>
        </w:rPr>
        <w:t>FISCAL, SOCIAL E TRABALHISTA:</w:t>
      </w:r>
    </w:p>
    <w:p w14:paraId="118775AB">
      <w:pPr>
        <w:spacing w:line="288" w:lineRule="auto"/>
        <w:contextualSpacing/>
        <w:rPr>
          <w:b/>
          <w:bCs/>
          <w:color w:val="000000"/>
          <w:sz w:val="24"/>
          <w:szCs w:val="24"/>
        </w:rPr>
      </w:pPr>
    </w:p>
    <w:p w14:paraId="14B9D69F">
      <w:pPr>
        <w:tabs>
          <w:tab w:val="left" w:pos="1440"/>
        </w:tabs>
        <w:autoSpaceDE w:val="0"/>
        <w:snapToGrid w:val="0"/>
        <w:spacing w:line="288" w:lineRule="auto"/>
        <w:contextualSpacing/>
        <w:jc w:val="both"/>
        <w:rPr>
          <w:sz w:val="24"/>
          <w:szCs w:val="24"/>
          <w:lang w:eastAsia="en-US"/>
        </w:rPr>
      </w:pPr>
      <w:r>
        <w:rPr>
          <w:sz w:val="24"/>
          <w:szCs w:val="24"/>
          <w:lang w:eastAsia="en-US"/>
        </w:rPr>
        <w:t>2.1 Inscrição no Cadastro Nacional de Pessoas Jurídicas ou no Cadastro de Pessoas Físicas, conforme o caso.</w:t>
      </w:r>
    </w:p>
    <w:p w14:paraId="386B5FC3">
      <w:pPr>
        <w:tabs>
          <w:tab w:val="left" w:pos="1440"/>
        </w:tabs>
        <w:autoSpaceDE w:val="0"/>
        <w:snapToGrid w:val="0"/>
        <w:spacing w:line="288" w:lineRule="auto"/>
        <w:contextualSpacing/>
        <w:jc w:val="both"/>
        <w:rPr>
          <w:sz w:val="24"/>
          <w:szCs w:val="24"/>
          <w:lang w:eastAsia="en-US"/>
        </w:rPr>
      </w:pPr>
    </w:p>
    <w:p w14:paraId="0A45990E">
      <w:pPr>
        <w:tabs>
          <w:tab w:val="left" w:pos="1440"/>
        </w:tabs>
        <w:autoSpaceDE w:val="0"/>
        <w:snapToGrid w:val="0"/>
        <w:spacing w:line="288" w:lineRule="auto"/>
        <w:contextualSpacing/>
        <w:jc w:val="both"/>
        <w:rPr>
          <w:sz w:val="24"/>
          <w:szCs w:val="24"/>
        </w:rPr>
      </w:pPr>
      <w:r>
        <w:rPr>
          <w:sz w:val="24"/>
          <w:szCs w:val="24"/>
        </w:rPr>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2B0D6011">
      <w:pPr>
        <w:tabs>
          <w:tab w:val="left" w:pos="1440"/>
        </w:tabs>
        <w:autoSpaceDE w:val="0"/>
        <w:snapToGrid w:val="0"/>
        <w:spacing w:line="288" w:lineRule="auto"/>
        <w:contextualSpacing/>
        <w:jc w:val="both"/>
        <w:rPr>
          <w:sz w:val="24"/>
          <w:szCs w:val="24"/>
        </w:rPr>
      </w:pPr>
    </w:p>
    <w:p w14:paraId="3B2B2592">
      <w:pPr>
        <w:tabs>
          <w:tab w:val="left" w:pos="1440"/>
        </w:tabs>
        <w:autoSpaceDE w:val="0"/>
        <w:snapToGrid w:val="0"/>
        <w:spacing w:line="288" w:lineRule="auto"/>
        <w:contextualSpacing/>
        <w:jc w:val="both"/>
        <w:rPr>
          <w:sz w:val="24"/>
          <w:szCs w:val="24"/>
        </w:rPr>
      </w:pPr>
      <w:r>
        <w:rPr>
          <w:color w:val="000000"/>
          <w:sz w:val="24"/>
          <w:szCs w:val="24"/>
          <w:lang w:eastAsia="en-US"/>
        </w:rPr>
        <w:t>2.3 Regularidade com o Fundo de Garantia do Tempo de Serviço (FGTS).</w:t>
      </w:r>
    </w:p>
    <w:p w14:paraId="014D3121">
      <w:pPr>
        <w:tabs>
          <w:tab w:val="left" w:pos="1440"/>
        </w:tabs>
        <w:autoSpaceDE w:val="0"/>
        <w:snapToGrid w:val="0"/>
        <w:spacing w:line="288" w:lineRule="auto"/>
        <w:contextualSpacing/>
        <w:jc w:val="both"/>
        <w:rPr>
          <w:sz w:val="24"/>
          <w:szCs w:val="24"/>
        </w:rPr>
      </w:pPr>
    </w:p>
    <w:p w14:paraId="09625F5C">
      <w:pPr>
        <w:tabs>
          <w:tab w:val="left" w:pos="1440"/>
        </w:tabs>
        <w:autoSpaceDE w:val="0"/>
        <w:snapToGrid w:val="0"/>
        <w:spacing w:line="288" w:lineRule="auto"/>
        <w:contextualSpacing/>
        <w:jc w:val="both"/>
        <w:rPr>
          <w:sz w:val="24"/>
          <w:szCs w:val="24"/>
        </w:rPr>
      </w:pPr>
      <w:r>
        <w:rPr>
          <w:color w:val="000000"/>
          <w:sz w:val="24"/>
          <w:szCs w:val="24"/>
        </w:rPr>
        <w:t>2.4 Declaração de que não emprega menor de 18 anos em trabalho noturno, perigoso ou insalubre e não emprega menor de 16 anos, salvo menor, a partir de 14 anos, na condição de aprendiz, nos termos do art. 7°, XXXIII, da Constituição.</w:t>
      </w:r>
    </w:p>
    <w:p w14:paraId="1DF111E2">
      <w:pPr>
        <w:tabs>
          <w:tab w:val="left" w:pos="1440"/>
        </w:tabs>
        <w:autoSpaceDE w:val="0"/>
        <w:snapToGrid w:val="0"/>
        <w:spacing w:line="288" w:lineRule="auto"/>
        <w:contextualSpacing/>
        <w:jc w:val="both"/>
        <w:rPr>
          <w:color w:val="000000"/>
          <w:sz w:val="24"/>
          <w:szCs w:val="24"/>
        </w:rPr>
      </w:pPr>
    </w:p>
    <w:p w14:paraId="4447D8B1">
      <w:pPr>
        <w:tabs>
          <w:tab w:val="left" w:pos="1440"/>
        </w:tabs>
        <w:autoSpaceDE w:val="0"/>
        <w:snapToGrid w:val="0"/>
        <w:spacing w:line="288" w:lineRule="auto"/>
        <w:contextualSpacing/>
        <w:jc w:val="both"/>
        <w:rPr>
          <w:sz w:val="24"/>
          <w:szCs w:val="24"/>
          <w:lang w:eastAsia="en-US"/>
        </w:rPr>
      </w:pPr>
      <w:r>
        <w:rPr>
          <w:sz w:val="24"/>
          <w:szCs w:val="24"/>
          <w:lang w:eastAsia="en-US"/>
        </w:rPr>
        <w:t>2.5 Prova de inexistência de débitos inadimplidos perante a Justiça do Trabalho, mediante a apresentação de certidão negativa ou positiva com efeito de negativa, nos termos do Título VII-A da Consolidação das Leis do Trabalho.</w:t>
      </w:r>
    </w:p>
    <w:p w14:paraId="1350C85F">
      <w:pPr>
        <w:tabs>
          <w:tab w:val="left" w:pos="1440"/>
        </w:tabs>
        <w:autoSpaceDE w:val="0"/>
        <w:snapToGrid w:val="0"/>
        <w:spacing w:line="288" w:lineRule="auto"/>
        <w:contextualSpacing/>
        <w:jc w:val="both"/>
        <w:rPr>
          <w:sz w:val="24"/>
          <w:szCs w:val="24"/>
          <w:lang w:eastAsia="en-US"/>
        </w:rPr>
      </w:pPr>
    </w:p>
    <w:p w14:paraId="1D239A03">
      <w:pPr>
        <w:tabs>
          <w:tab w:val="left" w:pos="1440"/>
        </w:tabs>
        <w:autoSpaceDE w:val="0"/>
        <w:snapToGrid w:val="0"/>
        <w:spacing w:line="288" w:lineRule="auto"/>
        <w:contextualSpacing/>
        <w:jc w:val="both"/>
        <w:rPr>
          <w:bCs/>
          <w:sz w:val="24"/>
          <w:szCs w:val="24"/>
        </w:rPr>
      </w:pPr>
      <w:r>
        <w:rPr>
          <w:bCs/>
          <w:sz w:val="24"/>
          <w:szCs w:val="24"/>
        </w:rPr>
        <w:t xml:space="preserve">2.6 Prova de </w:t>
      </w:r>
      <w:r>
        <w:rPr>
          <w:color w:val="000000"/>
          <w:sz w:val="24"/>
          <w:szCs w:val="24"/>
        </w:rPr>
        <w:t xml:space="preserve">inscrição no cadastro de contribuintes </w:t>
      </w:r>
      <w:r>
        <w:rPr>
          <w:sz w:val="24"/>
          <w:szCs w:val="24"/>
        </w:rPr>
        <w:t>estadual/distrital</w:t>
      </w:r>
      <w:r>
        <w:rPr>
          <w:color w:val="000000"/>
          <w:sz w:val="24"/>
          <w:szCs w:val="24"/>
        </w:rPr>
        <w:t>, relativo ao domicílio ou sede do fornecedor, pertinente ao seu ramo de atividade e compatível com o objeto contratual</w:t>
      </w:r>
      <w:r>
        <w:rPr>
          <w:bCs/>
          <w:sz w:val="24"/>
          <w:szCs w:val="24"/>
        </w:rPr>
        <w:t>.</w:t>
      </w:r>
    </w:p>
    <w:p w14:paraId="79D83316">
      <w:pPr>
        <w:tabs>
          <w:tab w:val="left" w:pos="1440"/>
        </w:tabs>
        <w:autoSpaceDE w:val="0"/>
        <w:snapToGrid w:val="0"/>
        <w:spacing w:line="288" w:lineRule="auto"/>
        <w:contextualSpacing/>
        <w:jc w:val="both"/>
        <w:rPr>
          <w:bCs/>
          <w:sz w:val="24"/>
          <w:szCs w:val="24"/>
        </w:rPr>
      </w:pPr>
    </w:p>
    <w:p w14:paraId="762CD690">
      <w:pPr>
        <w:tabs>
          <w:tab w:val="left" w:pos="1440"/>
        </w:tabs>
        <w:autoSpaceDE w:val="0"/>
        <w:snapToGrid w:val="0"/>
        <w:spacing w:line="288" w:lineRule="auto"/>
        <w:contextualSpacing/>
        <w:jc w:val="both"/>
        <w:rPr>
          <w:sz w:val="24"/>
          <w:szCs w:val="24"/>
          <w:lang w:eastAsia="en-US"/>
        </w:rPr>
      </w:pPr>
      <w:r>
        <w:rPr>
          <w:bCs/>
          <w:sz w:val="24"/>
          <w:szCs w:val="24"/>
        </w:rPr>
        <w:t xml:space="preserve">2.6.1 O fornecedor enquadrado como microempreendedor individual que pretenda auferir os benefícios do tratamento diferenciado previstos na </w:t>
      </w:r>
      <w:r>
        <w:fldChar w:fldCharType="begin"/>
      </w:r>
      <w:r>
        <w:instrText xml:space="preserve"> HYPERLINK "https://www.planalto.gov.br/ccivil_03/leis/lcp/lcp123.htm" </w:instrText>
      </w:r>
      <w:r>
        <w:fldChar w:fldCharType="separate"/>
      </w:r>
      <w:r>
        <w:rPr>
          <w:rStyle w:val="16"/>
          <w:rFonts w:eastAsiaTheme="minorHAnsi"/>
          <w:bCs/>
          <w:sz w:val="24"/>
          <w:szCs w:val="24"/>
        </w:rPr>
        <w:t>Lei Complementar nº 123/2006</w:t>
      </w:r>
      <w:r>
        <w:rPr>
          <w:rStyle w:val="16"/>
          <w:rFonts w:eastAsiaTheme="minorHAnsi"/>
          <w:bCs/>
          <w:sz w:val="24"/>
          <w:szCs w:val="24"/>
        </w:rPr>
        <w:fldChar w:fldCharType="end"/>
      </w:r>
      <w:r>
        <w:rPr>
          <w:bCs/>
          <w:sz w:val="24"/>
          <w:szCs w:val="24"/>
        </w:rPr>
        <w:t xml:space="preserve">, estará dispensado da prova de inscrição nos cadastros de contribuintes estadual e municipal, eis que a </w:t>
      </w:r>
      <w:r>
        <w:rPr>
          <w:sz w:val="24"/>
          <w:szCs w:val="24"/>
        </w:rPr>
        <w:t>apresentação do Certificado de Condição de Microempreendedor Individual – CCMEI supre tais requisitos.</w:t>
      </w:r>
    </w:p>
    <w:p w14:paraId="31305104">
      <w:pPr>
        <w:tabs>
          <w:tab w:val="left" w:pos="1440"/>
        </w:tabs>
        <w:autoSpaceDE w:val="0"/>
        <w:snapToGrid w:val="0"/>
        <w:spacing w:line="288" w:lineRule="auto"/>
        <w:contextualSpacing/>
        <w:jc w:val="both"/>
        <w:rPr>
          <w:sz w:val="24"/>
          <w:szCs w:val="24"/>
          <w:lang w:eastAsia="en-US"/>
        </w:rPr>
      </w:pPr>
    </w:p>
    <w:p w14:paraId="25A0E64A">
      <w:pPr>
        <w:tabs>
          <w:tab w:val="left" w:pos="1440"/>
        </w:tabs>
        <w:autoSpaceDE w:val="0"/>
        <w:snapToGrid w:val="0"/>
        <w:spacing w:line="288" w:lineRule="auto"/>
        <w:contextualSpacing/>
        <w:jc w:val="both"/>
        <w:rPr>
          <w:sz w:val="24"/>
          <w:szCs w:val="24"/>
        </w:rPr>
      </w:pPr>
      <w:r>
        <w:rPr>
          <w:sz w:val="24"/>
          <w:szCs w:val="24"/>
        </w:rPr>
        <w:t>2.7 Prova de regularidade com a Fazenda do Estado do Rio de Janeiro, mediante a apresentação de:</w:t>
      </w:r>
    </w:p>
    <w:p w14:paraId="28AF6493">
      <w:pPr>
        <w:tabs>
          <w:tab w:val="left" w:pos="1440"/>
        </w:tabs>
        <w:autoSpaceDE w:val="0"/>
        <w:snapToGrid w:val="0"/>
        <w:spacing w:line="288" w:lineRule="auto"/>
        <w:contextualSpacing/>
        <w:jc w:val="both"/>
        <w:rPr>
          <w:sz w:val="24"/>
          <w:szCs w:val="24"/>
        </w:rPr>
      </w:pPr>
    </w:p>
    <w:p w14:paraId="6BB21E03">
      <w:pPr>
        <w:tabs>
          <w:tab w:val="left" w:pos="1440"/>
        </w:tabs>
        <w:autoSpaceDE w:val="0"/>
        <w:snapToGrid w:val="0"/>
        <w:spacing w:line="288" w:lineRule="auto"/>
        <w:contextualSpacing/>
        <w:jc w:val="both"/>
        <w:rPr>
          <w:sz w:val="24"/>
          <w:szCs w:val="24"/>
          <w:lang w:eastAsia="en-US"/>
        </w:rPr>
      </w:pPr>
      <w:r>
        <w:rPr>
          <w:sz w:val="24"/>
          <w:szCs w:val="24"/>
        </w:rPr>
        <w:t xml:space="preserve">2.7.1 Certidão Negativa de Débitos, ou Certidão Positiva com efeito de Negativa, expedida pela Secretaria de Estado de Fazenda; e </w:t>
      </w:r>
    </w:p>
    <w:p w14:paraId="2B36454A">
      <w:pPr>
        <w:pStyle w:val="31"/>
        <w:spacing w:line="288" w:lineRule="auto"/>
        <w:ind w:firstLine="0"/>
        <w:contextualSpacing/>
        <w:rPr>
          <w:rFonts w:ascii="Times New Roman" w:hAnsi="Times New Roman"/>
          <w:szCs w:val="24"/>
        </w:rPr>
      </w:pPr>
    </w:p>
    <w:p w14:paraId="5C0CE672">
      <w:pPr>
        <w:pStyle w:val="31"/>
        <w:spacing w:line="288" w:lineRule="auto"/>
        <w:ind w:firstLine="0"/>
        <w:contextualSpacing/>
        <w:rPr>
          <w:rFonts w:ascii="Times New Roman" w:hAnsi="Times New Roman"/>
          <w:szCs w:val="24"/>
        </w:rPr>
      </w:pPr>
      <w:r>
        <w:rPr>
          <w:rFonts w:ascii="Times New Roman" w:hAnsi="Times New Roman"/>
          <w:szCs w:val="24"/>
        </w:rPr>
        <w:t>2.7.2 Certidão Negativa de Débitos em Dívida Ativa, ou Certidão Positiva com efeito de Negativa, para fins de participação em licitação, expedida pela Procuradoria Geral do Estado.</w:t>
      </w:r>
    </w:p>
    <w:p w14:paraId="75F196F3">
      <w:pPr>
        <w:tabs>
          <w:tab w:val="left" w:pos="1440"/>
        </w:tabs>
        <w:autoSpaceDE w:val="0"/>
        <w:snapToGrid w:val="0"/>
        <w:spacing w:line="288" w:lineRule="auto"/>
        <w:contextualSpacing/>
        <w:jc w:val="both"/>
        <w:rPr>
          <w:sz w:val="24"/>
          <w:szCs w:val="24"/>
        </w:rPr>
      </w:pPr>
    </w:p>
    <w:p w14:paraId="5038EBED">
      <w:pPr>
        <w:tabs>
          <w:tab w:val="left" w:pos="1440"/>
        </w:tabs>
        <w:autoSpaceDE w:val="0"/>
        <w:snapToGrid w:val="0"/>
        <w:spacing w:line="288" w:lineRule="auto"/>
        <w:contextualSpacing/>
        <w:jc w:val="both"/>
        <w:rPr>
          <w:sz w:val="24"/>
          <w:szCs w:val="24"/>
        </w:rPr>
      </w:pPr>
      <w:r>
        <w:rPr>
          <w:sz w:val="24"/>
          <w:szCs w:val="24"/>
        </w:rPr>
        <w:t>2.8 Regularidade com a Fazenda Estadual</w:t>
      </w:r>
      <w:r>
        <w:rPr>
          <w:color w:val="FF0000"/>
          <w:sz w:val="24"/>
          <w:szCs w:val="24"/>
        </w:rPr>
        <w:t xml:space="preserve"> </w:t>
      </w:r>
      <w:r>
        <w:rPr>
          <w:sz w:val="24"/>
          <w:szCs w:val="24"/>
        </w:rPr>
        <w:t xml:space="preserve">do domicílio ou sede do fornecedor, relativa à atividade em cujo exercício contrata ou concorre, com a apresentação de Certidão Negativa de Débitos, ou Certidão Positiva com efeito de Negativa, perante o Fisco estadual, pertinente ao Imposto sobre Operações relativas à Circulação de Mercadorias e sobre Prestações de Serviços de Transporte Interestadual, Intermunicipal e de Comunicação – ICMS, bem como de Certidão perante a Dívida Ativa estadual, podendo ser apresentada Certidão Conjunta em que constem ambas as informações. </w:t>
      </w:r>
    </w:p>
    <w:p w14:paraId="32BFC27C">
      <w:pPr>
        <w:tabs>
          <w:tab w:val="left" w:pos="1440"/>
        </w:tabs>
        <w:autoSpaceDE w:val="0"/>
        <w:snapToGrid w:val="0"/>
        <w:spacing w:line="288" w:lineRule="auto"/>
        <w:contextualSpacing/>
        <w:jc w:val="both"/>
        <w:rPr>
          <w:sz w:val="24"/>
          <w:szCs w:val="24"/>
        </w:rPr>
      </w:pPr>
    </w:p>
    <w:p w14:paraId="0194CB4B">
      <w:pPr>
        <w:spacing w:line="288" w:lineRule="auto"/>
        <w:contextualSpacing/>
        <w:jc w:val="both"/>
        <w:rPr>
          <w:sz w:val="24"/>
          <w:szCs w:val="24"/>
        </w:rPr>
      </w:pPr>
      <w:r>
        <w:rPr>
          <w:sz w:val="24"/>
          <w:szCs w:val="24"/>
        </w:rPr>
        <w:t xml:space="preserve">2.9 Caso o fornecedor seja considerado isento dos tributos </w:t>
      </w:r>
      <w:r>
        <w:rPr>
          <w:iCs/>
          <w:sz w:val="24"/>
          <w:szCs w:val="24"/>
        </w:rPr>
        <w:t>estaduais</w:t>
      </w:r>
      <w:r>
        <w:rPr>
          <w:color w:val="FF0000"/>
          <w:sz w:val="24"/>
          <w:szCs w:val="24"/>
        </w:rPr>
        <w:t xml:space="preserve"> </w:t>
      </w:r>
      <w:r>
        <w:rPr>
          <w:sz w:val="24"/>
          <w:szCs w:val="24"/>
        </w:rPr>
        <w:t>relacionados ao objeto contratual, deverá comprovar tal condição mediante a apresentação de declaração da Fazenda respectiva do seu domicílio ou sede, ou outra equivalente, na forma da lei.</w:t>
      </w:r>
    </w:p>
    <w:p w14:paraId="4447B138">
      <w:pPr>
        <w:spacing w:line="288" w:lineRule="auto"/>
        <w:contextualSpacing/>
        <w:rPr>
          <w:sz w:val="24"/>
          <w:szCs w:val="24"/>
        </w:rPr>
      </w:pPr>
    </w:p>
    <w:p w14:paraId="0D669B4C">
      <w:pPr>
        <w:pStyle w:val="36"/>
        <w:spacing w:after="0" w:line="288" w:lineRule="auto"/>
        <w:ind w:left="0"/>
        <w:contextualSpacing/>
        <w:jc w:val="both"/>
        <w:rPr>
          <w:rFonts w:ascii="Times New Roman" w:hAnsi="Times New Roman" w:cs="Times New Roman"/>
          <w:sz w:val="24"/>
          <w:szCs w:val="24"/>
        </w:rPr>
      </w:pPr>
      <w:bookmarkStart w:id="39" w:name="_Hlk178775808"/>
      <w:r>
        <w:rPr>
          <w:rFonts w:ascii="Times New Roman" w:hAnsi="Times New Roman" w:cs="Times New Roman"/>
          <w:bCs/>
          <w:sz w:val="24"/>
          <w:szCs w:val="24"/>
        </w:rPr>
        <w:t>2.10</w:t>
      </w:r>
      <w:r>
        <w:rPr>
          <w:rFonts w:ascii="Times New Roman" w:hAnsi="Times New Roman" w:cs="Times New Roman"/>
          <w:b/>
          <w:sz w:val="24"/>
          <w:szCs w:val="24"/>
        </w:rPr>
        <w:t xml:space="preserve"> </w:t>
      </w:r>
      <w:r>
        <w:rPr>
          <w:rFonts w:ascii="Times New Roman" w:hAnsi="Times New Roman" w:cs="Times New Roman"/>
          <w:sz w:val="24"/>
          <w:szCs w:val="24"/>
        </w:rPr>
        <w:t>Na hipótese de cuidar-se de microempresa ou de empresa de pequeno porte, na forma do art. 42 da Lei Complementar nº 123/2006, a documentação somente será exigida para efeito de assinatura do contrato, caso se sagre vencedora no certame.</w:t>
      </w:r>
    </w:p>
    <w:p w14:paraId="34606B68">
      <w:pPr>
        <w:spacing w:line="288" w:lineRule="auto"/>
        <w:contextualSpacing/>
        <w:jc w:val="both"/>
        <w:rPr>
          <w:sz w:val="24"/>
          <w:szCs w:val="24"/>
        </w:rPr>
      </w:pPr>
    </w:p>
    <w:p w14:paraId="7205427B">
      <w:pPr>
        <w:spacing w:line="288" w:lineRule="auto"/>
        <w:contextualSpacing/>
        <w:jc w:val="both"/>
        <w:rPr>
          <w:sz w:val="24"/>
          <w:szCs w:val="24"/>
        </w:rPr>
      </w:pPr>
      <w:r>
        <w:rPr>
          <w:sz w:val="24"/>
          <w:szCs w:val="24"/>
        </w:rPr>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39"/>
    <w:p w14:paraId="4ED45062">
      <w:pPr>
        <w:spacing w:line="288" w:lineRule="auto"/>
        <w:contextualSpacing/>
        <w:jc w:val="both"/>
        <w:rPr>
          <w:sz w:val="24"/>
          <w:szCs w:val="24"/>
        </w:rPr>
      </w:pPr>
    </w:p>
    <w:p w14:paraId="421CA86D">
      <w:pPr>
        <w:spacing w:line="288" w:lineRule="auto"/>
        <w:contextualSpacing/>
        <w:jc w:val="both"/>
        <w:rPr>
          <w:sz w:val="24"/>
          <w:szCs w:val="24"/>
        </w:rPr>
      </w:pPr>
      <w:r>
        <w:rPr>
          <w:sz w:val="24"/>
          <w:szCs w:val="24"/>
        </w:rPr>
        <w:t>2.10.2 O prazo acima poderá ser prorrogado por igual período, a critério exclusivo da Administração Pública.</w:t>
      </w:r>
    </w:p>
    <w:p w14:paraId="60763BDB">
      <w:pPr>
        <w:spacing w:line="288" w:lineRule="auto"/>
        <w:contextualSpacing/>
        <w:jc w:val="both"/>
        <w:rPr>
          <w:bCs/>
          <w:sz w:val="24"/>
          <w:szCs w:val="24"/>
        </w:rPr>
      </w:pPr>
    </w:p>
    <w:p w14:paraId="32E32DBB">
      <w:pPr>
        <w:spacing w:line="288" w:lineRule="auto"/>
        <w:contextualSpacing/>
        <w:jc w:val="both"/>
        <w:rPr>
          <w:sz w:val="24"/>
          <w:szCs w:val="24"/>
        </w:rPr>
      </w:pPr>
      <w:bookmarkStart w:id="40" w:name="_Hlk178775828"/>
      <w:r>
        <w:rPr>
          <w:bCs/>
          <w:sz w:val="24"/>
          <w:szCs w:val="24"/>
        </w:rPr>
        <w:t xml:space="preserve">2.10.3 </w:t>
      </w:r>
      <w:r>
        <w:rPr>
          <w:sz w:val="24"/>
          <w:szCs w:val="24"/>
        </w:rPr>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40"/>
    <w:p w14:paraId="505E2B5C">
      <w:pPr>
        <w:spacing w:before="288" w:beforeLines="120" w:after="288" w:afterLines="120" w:line="288" w:lineRule="auto"/>
        <w:contextualSpacing/>
        <w:jc w:val="center"/>
        <w:rPr>
          <w:rFonts w:eastAsia="MS Mincho"/>
          <w:b/>
          <w:color w:val="FF0000"/>
          <w:sz w:val="24"/>
          <w:szCs w:val="24"/>
        </w:rPr>
      </w:pPr>
    </w:p>
    <w:p w14:paraId="47B24CC0">
      <w:pPr>
        <w:spacing w:line="288" w:lineRule="auto"/>
        <w:jc w:val="both"/>
        <w:rPr>
          <w:sz w:val="24"/>
          <w:szCs w:val="24"/>
        </w:rPr>
      </w:pPr>
      <w:r>
        <w:rPr>
          <w:b/>
          <w:bCs/>
          <w:sz w:val="24"/>
          <w:szCs w:val="24"/>
        </w:rPr>
        <w:t xml:space="preserve">3. HABILITAÇÃO </w:t>
      </w:r>
      <w:r>
        <w:rPr>
          <w:b/>
          <w:bCs/>
          <w:color w:val="000000"/>
          <w:sz w:val="24"/>
          <w:szCs w:val="24"/>
        </w:rPr>
        <w:t xml:space="preserve">ECONÔMICO-FINANCEIRA: </w:t>
      </w:r>
    </w:p>
    <w:p w14:paraId="1E3743E9">
      <w:pPr>
        <w:spacing w:line="288" w:lineRule="auto"/>
        <w:jc w:val="both"/>
        <w:rPr>
          <w:sz w:val="24"/>
          <w:szCs w:val="24"/>
        </w:rPr>
      </w:pPr>
    </w:p>
    <w:p w14:paraId="4934F32C">
      <w:pPr>
        <w:spacing w:line="288" w:lineRule="auto"/>
        <w:jc w:val="both"/>
        <w:rPr>
          <w:sz w:val="24"/>
          <w:szCs w:val="24"/>
        </w:rPr>
      </w:pPr>
      <w:r>
        <w:rPr>
          <w:sz w:val="24"/>
          <w:szCs w:val="24"/>
        </w:rPr>
        <w:t>3.1 Certidão negativa de falência expedida pelo distribuidor da sede do fornecedor, caso se trate de pessoa jurídica, ou certidão negativa de insolvência civil expedida pelo distribuidor do domicílio ou sede do fornecedor, caso se trate de pessoa física</w:t>
      </w:r>
      <w:r>
        <w:fldChar w:fldCharType="begin"/>
      </w:r>
      <w:r>
        <w:instrText xml:space="preserve"> HYPERLINK "https://in.gov.br/en/web/dou/-/instrucao-normativa-seges/me-n-116-de-21-de-dezembro-de-2021-370926958" \l "art5" \h </w:instrText>
      </w:r>
      <w:r>
        <w:fldChar w:fldCharType="separate"/>
      </w:r>
      <w:r>
        <w:rPr>
          <w:sz w:val="24"/>
          <w:szCs w:val="24"/>
        </w:rPr>
        <w:t xml:space="preserve"> </w:t>
      </w:r>
      <w:r>
        <w:rPr>
          <w:sz w:val="24"/>
          <w:szCs w:val="24"/>
        </w:rPr>
        <w:fldChar w:fldCharType="end"/>
      </w:r>
      <w:r>
        <w:rPr>
          <w:sz w:val="24"/>
          <w:szCs w:val="24"/>
        </w:rPr>
        <w:t xml:space="preserve"> ou de sociedade simples.</w:t>
      </w:r>
    </w:p>
    <w:p w14:paraId="0F61BB4D">
      <w:pPr>
        <w:spacing w:line="288" w:lineRule="auto"/>
        <w:jc w:val="both"/>
        <w:rPr>
          <w:sz w:val="24"/>
          <w:szCs w:val="24"/>
        </w:rPr>
      </w:pPr>
    </w:p>
    <w:p w14:paraId="335B240F">
      <w:pPr>
        <w:spacing w:line="288" w:lineRule="auto"/>
        <w:jc w:val="both"/>
        <w:rPr>
          <w:sz w:val="24"/>
          <w:szCs w:val="24"/>
        </w:rPr>
      </w:pPr>
      <w:bookmarkStart w:id="41" w:name="_Hlk154232471"/>
      <w:r>
        <w:rPr>
          <w:sz w:val="24"/>
          <w:szCs w:val="24"/>
        </w:rPr>
        <w:t>3.1.1 Não será causa de inabilitação do licitante a anotação de distribuição de processo de recuperação judicial ou de pedido de homologação de recuperação extrajudicial.</w:t>
      </w:r>
    </w:p>
    <w:p w14:paraId="4A8317EF">
      <w:pPr>
        <w:spacing w:line="288" w:lineRule="auto"/>
        <w:jc w:val="both"/>
        <w:rPr>
          <w:sz w:val="24"/>
          <w:szCs w:val="24"/>
        </w:rPr>
      </w:pPr>
    </w:p>
    <w:bookmarkEnd w:id="41"/>
    <w:p w14:paraId="223A066A">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2714DB2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 Balanço patrimonial, demonstração de resultado de exercício e demais demonstrações contábeis dos 2 (dois) últimos exercícios sociais, vedada a sua substituição por balancetes ou balanços provisórios.</w:t>
      </w:r>
    </w:p>
    <w:p w14:paraId="6627A441">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19D549F3">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3.2.1 Os documentos referidos acima limitar-se-ão ao último exercício social no caso de a pessoa jurídica ter sido constituída há menos de 2 (dois) anos.</w:t>
      </w:r>
    </w:p>
    <w:p w14:paraId="2682BE2E">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00C6A875">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 Os fornecedores criados no exercício financeiro da contratação deverão atender a todas as exigências da habilitação e ficam autorizados a substituir os demonstrativos contábeis pelo balanço de abertura;</w:t>
      </w:r>
    </w:p>
    <w:p w14:paraId="60393764">
      <w:pPr>
        <w:spacing w:line="288" w:lineRule="auto"/>
        <w:ind w:right="565"/>
        <w:jc w:val="both"/>
        <w:rPr>
          <w:color w:val="000000" w:themeColor="text1"/>
          <w:sz w:val="24"/>
          <w:szCs w:val="24"/>
          <w14:textFill>
            <w14:solidFill>
              <w14:schemeClr w14:val="tx1"/>
            </w14:solidFill>
          </w14:textFill>
        </w:rPr>
      </w:pPr>
    </w:p>
    <w:p w14:paraId="0E0EDB96">
      <w:pPr>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3.2.2.1</w:t>
      </w:r>
      <w:r>
        <w:rPr>
          <w:rFonts w:eastAsia="Arial"/>
          <w:color w:val="000000" w:themeColor="text1"/>
          <w:sz w:val="24"/>
          <w:szCs w:val="24"/>
          <w14:textFill>
            <w14:solidFill>
              <w14:schemeClr w14:val="tx1"/>
            </w14:solidFill>
          </w14:textFill>
        </w:rPr>
        <w:t xml:space="preserve"> Poderá ser apresentado o balanço intermediário, caso autorizado por lei ou pelo contrato/estatuto social.</w:t>
      </w:r>
    </w:p>
    <w:p w14:paraId="6B0AC9C7">
      <w:pPr>
        <w:spacing w:line="288" w:lineRule="auto"/>
        <w:ind w:right="565"/>
        <w:jc w:val="both"/>
        <w:rPr>
          <w:color w:val="000000" w:themeColor="text1"/>
          <w:sz w:val="24"/>
          <w:szCs w:val="24"/>
          <w14:textFill>
            <w14:solidFill>
              <w14:schemeClr w14:val="tx1"/>
            </w14:solidFill>
          </w14:textFill>
        </w:rPr>
      </w:pPr>
    </w:p>
    <w:p w14:paraId="17EBD1A7">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CD6BEF8">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p w14:paraId="65691EFC">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3.3 Comprovação da boa situação financeira da empresa mediante obtenção de índices de Liquidez Geral (LG), Solvência Geral (SG) e Liquidez Corrente (LC), iguais ou superiores a 1 (um), obtidos pela aplicação das seguintes fórmulas: </w:t>
      </w:r>
    </w:p>
    <w:p w14:paraId="0CD6A329">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252"/>
      </w:tblGrid>
      <w:tr w14:paraId="1200FA83">
        <w:tblPrEx>
          <w:tblCellMar>
            <w:top w:w="0" w:type="dxa"/>
            <w:left w:w="108" w:type="dxa"/>
            <w:bottom w:w="0" w:type="dxa"/>
            <w:right w:w="108" w:type="dxa"/>
          </w:tblCellMar>
        </w:tblPrEx>
        <w:tc>
          <w:tcPr>
            <w:tcW w:w="2235" w:type="dxa"/>
            <w:vMerge w:val="restart"/>
            <w:shd w:val="clear" w:color="auto" w:fill="auto"/>
            <w:vAlign w:val="center"/>
          </w:tcPr>
          <w:p w14:paraId="213E07C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LG =</w:t>
            </w:r>
          </w:p>
        </w:tc>
        <w:tc>
          <w:tcPr>
            <w:tcW w:w="4252" w:type="dxa"/>
            <w:tcBorders>
              <w:bottom w:val="single" w:color="auto" w:sz="4" w:space="0"/>
            </w:tcBorders>
            <w:shd w:val="clear" w:color="auto" w:fill="auto"/>
            <w:vAlign w:val="bottom"/>
          </w:tcPr>
          <w:p w14:paraId="63BE2E3E">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 + Realizável a Longo Prazo</w:t>
            </w:r>
          </w:p>
        </w:tc>
      </w:tr>
      <w:tr w14:paraId="38538E67">
        <w:tblPrEx>
          <w:tblCellMar>
            <w:top w:w="0" w:type="dxa"/>
            <w:left w:w="108" w:type="dxa"/>
            <w:bottom w:w="0" w:type="dxa"/>
            <w:right w:w="108" w:type="dxa"/>
          </w:tblCellMar>
        </w:tblPrEx>
        <w:tc>
          <w:tcPr>
            <w:tcW w:w="2235" w:type="dxa"/>
            <w:vMerge w:val="continue"/>
            <w:shd w:val="clear" w:color="auto" w:fill="auto"/>
          </w:tcPr>
          <w:p w14:paraId="4A971BFA">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252" w:type="dxa"/>
            <w:tcBorders>
              <w:top w:val="single" w:color="auto" w:sz="4" w:space="0"/>
            </w:tcBorders>
            <w:shd w:val="clear" w:color="auto" w:fill="auto"/>
          </w:tcPr>
          <w:p w14:paraId="22191BFD">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788AE8EB">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4394"/>
      </w:tblGrid>
      <w:tr w14:paraId="742C71EA">
        <w:trPr>
          <w:cantSplit/>
        </w:trPr>
        <w:tc>
          <w:tcPr>
            <w:tcW w:w="2235" w:type="dxa"/>
            <w:vMerge w:val="restart"/>
            <w:shd w:val="clear" w:color="auto" w:fill="auto"/>
            <w:vAlign w:val="center"/>
          </w:tcPr>
          <w:p w14:paraId="041687F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SG =</w:t>
            </w:r>
          </w:p>
        </w:tc>
        <w:tc>
          <w:tcPr>
            <w:tcW w:w="4394" w:type="dxa"/>
            <w:tcBorders>
              <w:bottom w:val="single" w:color="auto" w:sz="4" w:space="0"/>
            </w:tcBorders>
            <w:shd w:val="clear" w:color="auto" w:fill="auto"/>
            <w:vAlign w:val="bottom"/>
          </w:tcPr>
          <w:p w14:paraId="6F6AEDA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Total</w:t>
            </w:r>
          </w:p>
        </w:tc>
      </w:tr>
      <w:tr w14:paraId="44B7D4A3">
        <w:tblPrEx>
          <w:tblCellMar>
            <w:top w:w="0" w:type="dxa"/>
            <w:left w:w="108" w:type="dxa"/>
            <w:bottom w:w="0" w:type="dxa"/>
            <w:right w:w="108" w:type="dxa"/>
          </w:tblCellMar>
        </w:tblPrEx>
        <w:trPr>
          <w:cantSplit/>
        </w:trPr>
        <w:tc>
          <w:tcPr>
            <w:tcW w:w="2235" w:type="dxa"/>
            <w:vMerge w:val="continue"/>
            <w:shd w:val="clear" w:color="auto" w:fill="auto"/>
          </w:tcPr>
          <w:p w14:paraId="681B1238">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4394" w:type="dxa"/>
            <w:tcBorders>
              <w:top w:val="single" w:color="auto" w:sz="4" w:space="0"/>
            </w:tcBorders>
            <w:shd w:val="clear" w:color="auto" w:fill="auto"/>
          </w:tcPr>
          <w:p w14:paraId="7196E40E">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 + Passivo Não Circulante</w:t>
            </w:r>
          </w:p>
        </w:tc>
      </w:tr>
    </w:tbl>
    <w:p w14:paraId="5B654C40">
      <w:pPr>
        <w:tabs>
          <w:tab w:val="left" w:pos="1440"/>
        </w:tabs>
        <w:autoSpaceDE w:val="0"/>
        <w:snapToGrid w:val="0"/>
        <w:spacing w:line="288" w:lineRule="auto"/>
        <w:ind w:right="565"/>
        <w:jc w:val="both"/>
        <w:rPr>
          <w:color w:val="000000" w:themeColor="text1"/>
          <w:sz w:val="24"/>
          <w:szCs w:val="24"/>
          <w14:textFill>
            <w14:solidFill>
              <w14:schemeClr w14:val="tx1"/>
            </w14:solidFill>
          </w14:textFill>
        </w:rPr>
      </w:pPr>
    </w:p>
    <w:tbl>
      <w:tblPr>
        <w:tblStyle w:val="10"/>
        <w:tblW w:w="0" w:type="auto"/>
        <w:tblInd w:w="1134" w:type="dxa"/>
        <w:tblLayout w:type="autofit"/>
        <w:tblCellMar>
          <w:top w:w="0" w:type="dxa"/>
          <w:left w:w="108" w:type="dxa"/>
          <w:bottom w:w="0" w:type="dxa"/>
          <w:right w:w="108" w:type="dxa"/>
        </w:tblCellMar>
      </w:tblPr>
      <w:tblGrid>
        <w:gridCol w:w="2235"/>
        <w:gridCol w:w="2551"/>
      </w:tblGrid>
      <w:tr w14:paraId="7B19A61D">
        <w:tblPrEx>
          <w:tblCellMar>
            <w:top w:w="0" w:type="dxa"/>
            <w:left w:w="108" w:type="dxa"/>
            <w:bottom w:w="0" w:type="dxa"/>
            <w:right w:w="108" w:type="dxa"/>
          </w:tblCellMar>
        </w:tblPrEx>
        <w:tc>
          <w:tcPr>
            <w:tcW w:w="2235" w:type="dxa"/>
            <w:vMerge w:val="restart"/>
            <w:shd w:val="clear" w:color="auto" w:fill="auto"/>
            <w:vAlign w:val="center"/>
          </w:tcPr>
          <w:p w14:paraId="582B27B0">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LC =</w:t>
            </w:r>
          </w:p>
        </w:tc>
        <w:tc>
          <w:tcPr>
            <w:tcW w:w="2551" w:type="dxa"/>
            <w:tcBorders>
              <w:bottom w:val="single" w:color="auto" w:sz="4" w:space="0"/>
            </w:tcBorders>
            <w:shd w:val="clear" w:color="auto" w:fill="auto"/>
            <w:vAlign w:val="bottom"/>
          </w:tcPr>
          <w:p w14:paraId="0A9E6F1F">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Ativo Circulante</w:t>
            </w:r>
          </w:p>
        </w:tc>
      </w:tr>
      <w:tr w14:paraId="3D479EF5">
        <w:tblPrEx>
          <w:tblCellMar>
            <w:top w:w="0" w:type="dxa"/>
            <w:left w:w="108" w:type="dxa"/>
            <w:bottom w:w="0" w:type="dxa"/>
            <w:right w:w="108" w:type="dxa"/>
          </w:tblCellMar>
        </w:tblPrEx>
        <w:tc>
          <w:tcPr>
            <w:tcW w:w="2235" w:type="dxa"/>
            <w:vMerge w:val="continue"/>
            <w:shd w:val="clear" w:color="auto" w:fill="auto"/>
          </w:tcPr>
          <w:p w14:paraId="2206AD09">
            <w:pPr>
              <w:tabs>
                <w:tab w:val="left" w:pos="1440"/>
              </w:tabs>
              <w:autoSpaceDE w:val="0"/>
              <w:snapToGrid w:val="0"/>
              <w:spacing w:line="288" w:lineRule="auto"/>
              <w:ind w:right="565"/>
              <w:jc w:val="both"/>
              <w:rPr>
                <w:rFonts w:eastAsia="Calibri"/>
                <w:color w:val="000000" w:themeColor="text1"/>
                <w:sz w:val="24"/>
                <w:szCs w:val="24"/>
                <w14:textFill>
                  <w14:solidFill>
                    <w14:schemeClr w14:val="tx1"/>
                  </w14:solidFill>
                </w14:textFill>
              </w:rPr>
            </w:pPr>
          </w:p>
        </w:tc>
        <w:tc>
          <w:tcPr>
            <w:tcW w:w="2551" w:type="dxa"/>
            <w:tcBorders>
              <w:top w:val="single" w:color="auto" w:sz="4" w:space="0"/>
            </w:tcBorders>
            <w:shd w:val="clear" w:color="auto" w:fill="auto"/>
          </w:tcPr>
          <w:p w14:paraId="7528E78A">
            <w:pPr>
              <w:tabs>
                <w:tab w:val="left" w:pos="1440"/>
              </w:tabs>
              <w:autoSpaceDE w:val="0"/>
              <w:snapToGrid w:val="0"/>
              <w:spacing w:before="100" w:beforeAutospacing="1" w:after="100" w:afterAutospacing="1" w:line="288" w:lineRule="auto"/>
              <w:ind w:right="565"/>
              <w:jc w:val="both"/>
              <w:rPr>
                <w:rFonts w:eastAsia="Calibri"/>
                <w:color w:val="000000" w:themeColor="text1"/>
                <w:sz w:val="24"/>
                <w:szCs w:val="24"/>
                <w14:textFill>
                  <w14:solidFill>
                    <w14:schemeClr w14:val="tx1"/>
                  </w14:solidFill>
                </w14:textFill>
              </w:rPr>
            </w:pPr>
            <w:r>
              <w:rPr>
                <w:rFonts w:eastAsia="Calibri"/>
                <w:color w:val="000000" w:themeColor="text1"/>
                <w:sz w:val="24"/>
                <w:szCs w:val="24"/>
                <w14:textFill>
                  <w14:solidFill>
                    <w14:schemeClr w14:val="tx1"/>
                  </w14:solidFill>
                </w14:textFill>
              </w:rPr>
              <w:t>Passivo Circulante</w:t>
            </w:r>
          </w:p>
        </w:tc>
      </w:tr>
    </w:tbl>
    <w:p w14:paraId="7FA9E05C">
      <w:pPr>
        <w:pStyle w:val="119"/>
        <w:spacing w:before="0" w:beforeAutospacing="0" w:after="0" w:afterAutospacing="0" w:line="288" w:lineRule="auto"/>
        <w:ind w:right="565"/>
        <w:jc w:val="both"/>
        <w:rPr>
          <w:color w:val="000000" w:themeColor="text1"/>
          <w14:textFill>
            <w14:solidFill>
              <w14:schemeClr w14:val="tx1"/>
            </w14:solidFill>
          </w14:textFill>
        </w:rPr>
      </w:pPr>
    </w:p>
    <w:p w14:paraId="331134F1">
      <w:pPr>
        <w:pStyle w:val="119"/>
        <w:spacing w:before="0" w:beforeAutospacing="0" w:after="0" w:afterAutospacing="0" w:line="288" w:lineRule="auto"/>
        <w:ind w:right="565"/>
        <w:jc w:val="both"/>
        <w:rPr>
          <w:color w:val="000000" w:themeColor="text1"/>
          <w14:textFill>
            <w14:solidFill>
              <w14:schemeClr w14:val="tx1"/>
            </w14:solidFill>
          </w14:textFill>
        </w:rPr>
      </w:pPr>
      <w:r>
        <w:rPr>
          <w:color w:val="000000" w:themeColor="text1"/>
          <w14:textFill>
            <w14:solidFill>
              <w14:schemeClr w14:val="tx1"/>
            </w14:solidFill>
          </w14:textFill>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3628BD6B">
      <w:pPr>
        <w:pStyle w:val="119"/>
        <w:spacing w:before="0" w:beforeAutospacing="0" w:after="0" w:afterAutospacing="0" w:line="288" w:lineRule="auto"/>
        <w:ind w:right="565"/>
        <w:jc w:val="both"/>
        <w:rPr>
          <w:color w:val="000000" w:themeColor="text1"/>
          <w14:textFill>
            <w14:solidFill>
              <w14:schemeClr w14:val="tx1"/>
            </w14:solidFill>
          </w14:textFill>
        </w:rPr>
      </w:pPr>
    </w:p>
    <w:p w14:paraId="53F790BB">
      <w:pPr>
        <w:pStyle w:val="119"/>
        <w:spacing w:before="0" w:beforeAutospacing="0" w:after="0" w:afterAutospacing="0" w:line="288" w:lineRule="auto"/>
        <w:ind w:right="565"/>
        <w:jc w:val="both"/>
        <w:rPr>
          <w:rStyle w:val="124"/>
          <w:rFonts w:ascii="Times New Roman" w:hAnsi="Times New Roman" w:cs="Times New Roman"/>
          <w:b/>
          <w:bCs/>
          <w:i w:val="0"/>
          <w:iCs w:val="0"/>
          <w:color w:val="000000" w:themeColor="text1"/>
          <w:sz w:val="24"/>
          <w:szCs w:val="24"/>
          <w14:textFill>
            <w14:solidFill>
              <w14:schemeClr w14:val="tx1"/>
            </w14:solidFill>
          </w14:textFill>
        </w:rPr>
      </w:pPr>
      <w:r>
        <w:rPr>
          <w:rStyle w:val="118"/>
          <w:rFonts w:ascii="Times New Roman" w:hAnsi="Times New Roman" w:cs="Times New Roman"/>
          <w:b/>
          <w:bCs/>
          <w:color w:val="000000" w:themeColor="text1"/>
          <w:sz w:val="24"/>
          <w:szCs w:val="24"/>
          <w14:textFill>
            <w14:solidFill>
              <w14:schemeClr w14:val="tx1"/>
            </w14:solidFill>
          </w14:textFill>
        </w:rPr>
        <w:t>NOTA EXPLICATIVA:</w:t>
      </w:r>
      <w:r>
        <w:rPr>
          <w:rStyle w:val="124"/>
          <w:rFonts w:ascii="Times New Roman" w:hAnsi="Times New Roman" w:cs="Times New Roman"/>
          <w:b/>
          <w:bCs/>
          <w:i w:val="0"/>
          <w:iCs w:val="0"/>
          <w:color w:val="000000" w:themeColor="text1"/>
          <w:sz w:val="24"/>
          <w:szCs w:val="24"/>
          <w14:textFill>
            <w14:solidFill>
              <w14:schemeClr w14:val="tx1"/>
            </w14:solidFill>
          </w14:textFill>
        </w:rPr>
        <w:t xml:space="preserve"> </w:t>
      </w:r>
    </w:p>
    <w:p w14:paraId="5B782E1F">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r>
        <w:rPr>
          <w:rStyle w:val="124"/>
          <w:rFonts w:ascii="Times New Roman" w:hAnsi="Times New Roman" w:cs="Times New Roman"/>
          <w:i w:val="0"/>
          <w:iCs w:val="0"/>
          <w:color w:val="000000" w:themeColor="text1"/>
          <w:sz w:val="24"/>
          <w:szCs w:val="24"/>
          <w14:textFill>
            <w14:solidFill>
              <w14:schemeClr w14:val="tx1"/>
            </w14:solidFill>
          </w14:textFill>
        </w:rPr>
        <w:t xml:space="preserve">A fixação do percentual referente ao patrimônio líquido se insere na esfera de atuação discricionária da Administração, podendo ser exigido até 10% (dez por cento) do valor estimado da contratação (art. 69, § 4º, da Lei nº 14.133/2021), exceto na hipótese de orçamento sigiloso, para evitar que o parâmetro do preço estimado seja revelado por outros meios. </w:t>
      </w:r>
    </w:p>
    <w:p w14:paraId="2C8E5373">
      <w:pPr>
        <w:pStyle w:val="119"/>
        <w:spacing w:before="0" w:beforeAutospacing="0" w:after="0" w:afterAutospacing="0" w:line="288" w:lineRule="auto"/>
        <w:ind w:right="565"/>
        <w:jc w:val="both"/>
        <w:rPr>
          <w:rStyle w:val="124"/>
          <w:rFonts w:ascii="Times New Roman" w:hAnsi="Times New Roman" w:cs="Times New Roman"/>
          <w:i w:val="0"/>
          <w:iCs w:val="0"/>
          <w:color w:val="000000" w:themeColor="text1"/>
          <w:sz w:val="24"/>
          <w:szCs w:val="24"/>
          <w14:textFill>
            <w14:solidFill>
              <w14:schemeClr w14:val="tx1"/>
            </w14:solidFill>
          </w14:textFill>
        </w:rPr>
      </w:pPr>
    </w:p>
    <w:p w14:paraId="6B2423BD">
      <w:pPr>
        <w:pStyle w:val="119"/>
        <w:spacing w:before="0" w:beforeAutospacing="0" w:after="0" w:afterAutospacing="0" w:line="288" w:lineRule="auto"/>
        <w:ind w:right="565"/>
        <w:contextualSpacing/>
        <w:jc w:val="both"/>
        <w:rPr>
          <w:color w:val="000000" w:themeColor="text1"/>
          <w:lang w:eastAsia="en-US"/>
          <w14:textFill>
            <w14:solidFill>
              <w14:schemeClr w14:val="tx1"/>
            </w14:solidFill>
          </w14:textFill>
        </w:rPr>
      </w:pPr>
      <w:r>
        <w:rPr>
          <w:color w:val="000000" w:themeColor="text1"/>
          <w:lang w:eastAsia="en-US"/>
          <w14:textFill>
            <w14:solidFill>
              <w14:schemeClr w14:val="tx1"/>
            </w14:solidFill>
          </w14:textFill>
        </w:rPr>
        <w:t>3.3.2 O atendimento dos índices econômicos previstos neste item deverá ser atestado mediante declaração assinada por profissional habilitado da área contábil, apresentada pelo fornecedor.</w:t>
      </w:r>
    </w:p>
    <w:p w14:paraId="647BF601">
      <w:pPr>
        <w:pStyle w:val="119"/>
        <w:spacing w:before="0" w:beforeAutospacing="0" w:after="0" w:afterAutospacing="0" w:line="288" w:lineRule="auto"/>
        <w:ind w:left="567" w:right="565"/>
        <w:jc w:val="both"/>
        <w:rPr>
          <w:lang w:eastAsia="en-US"/>
        </w:rPr>
      </w:pPr>
    </w:p>
    <w:p w14:paraId="02997762">
      <w:pPr>
        <w:pStyle w:val="119"/>
        <w:spacing w:before="0" w:beforeAutospacing="0" w:after="0" w:afterAutospacing="0" w:line="288" w:lineRule="auto"/>
        <w:contextualSpacing/>
        <w:jc w:val="both"/>
        <w:rPr>
          <w:iCs/>
          <w:color w:val="FF0000"/>
        </w:rPr>
      </w:pPr>
    </w:p>
    <w:p w14:paraId="5485971C">
      <w:pPr>
        <w:pStyle w:val="119"/>
        <w:spacing w:before="0" w:beforeAutospacing="0" w:after="0" w:afterAutospacing="0" w:line="288" w:lineRule="auto"/>
        <w:contextualSpacing/>
        <w:jc w:val="both"/>
        <w:rPr>
          <w:b/>
          <w:bCs/>
        </w:rPr>
      </w:pPr>
      <w:r>
        <w:rPr>
          <w:b/>
          <w:bCs/>
        </w:rPr>
        <w:t>4. HABILITAÇÃO TÉCNICA</w:t>
      </w:r>
    </w:p>
    <w:p w14:paraId="2402E2F8">
      <w:pPr>
        <w:pStyle w:val="119"/>
        <w:spacing w:before="0" w:beforeAutospacing="0" w:after="0" w:afterAutospacing="0" w:line="288" w:lineRule="auto"/>
        <w:contextualSpacing/>
        <w:jc w:val="both"/>
        <w:rPr>
          <w:b/>
          <w:bCs/>
        </w:rPr>
      </w:pPr>
    </w:p>
    <w:p w14:paraId="1DCA0DC0">
      <w:pPr>
        <w:pStyle w:val="125"/>
        <w:keepNext w:val="0"/>
        <w:widowControl/>
        <w:spacing w:before="0" w:after="0" w:line="288" w:lineRule="auto"/>
        <w:ind w:firstLine="0"/>
        <w:contextualSpacing/>
        <w:rPr>
          <w:rFonts w:ascii="Times New Roman" w:hAnsi="Times New Roman" w:cs="Times New Roman"/>
          <w:color w:val="000000" w:themeColor="text1"/>
          <w:sz w:val="24"/>
          <w14:textFill>
            <w14:solidFill>
              <w14:schemeClr w14:val="tx1"/>
            </w14:solidFill>
          </w14:textFill>
        </w:rPr>
      </w:pPr>
      <w:bookmarkStart w:id="42" w:name="_Hlk154233180"/>
      <w:r>
        <w:rPr>
          <w:rFonts w:ascii="Times New Roman" w:hAnsi="Times New Roman" w:cs="Times New Roman"/>
          <w:color w:val="000000" w:themeColor="text1"/>
          <w:sz w:val="24"/>
          <w14:textFill>
            <w14:solidFill>
              <w14:schemeClr w14:val="tx1"/>
            </w14:solidFill>
          </w14:textFill>
        </w:rPr>
        <w:t xml:space="preserve">4.1 </w:t>
      </w:r>
      <w:bookmarkEnd w:id="42"/>
      <w:r>
        <w:rPr>
          <w:rFonts w:ascii="Times New Roman" w:hAnsi="Times New Roman" w:cs="Times New Roman"/>
          <w:color w:val="000000" w:themeColor="text1"/>
          <w:sz w:val="24"/>
          <w14:textFill>
            <w14:solidFill>
              <w14:schemeClr w14:val="tx1"/>
            </w14:solidFill>
          </w14:textFill>
        </w:rPr>
        <w:t>Comprovação de aptidão para o fornecimento de bens, de acordo com as características, quantidades e prazos compatíveis com o objeto, mediante a apresentação de atestado(s) fornecido(s) por pessoas jurídicas de direito público ou privado, na seguinte forma:</w:t>
      </w:r>
    </w:p>
    <w:p w14:paraId="6B7E476E">
      <w:pPr>
        <w:spacing w:line="288" w:lineRule="auto"/>
        <w:ind w:right="565"/>
        <w:contextualSpacing/>
        <w:jc w:val="both"/>
        <w:rPr>
          <w:color w:val="000000" w:themeColor="text1"/>
          <w:sz w:val="24"/>
          <w:szCs w:val="24"/>
          <w14:textFill>
            <w14:solidFill>
              <w14:schemeClr w14:val="tx1"/>
            </w14:solidFill>
          </w14:textFill>
        </w:rPr>
      </w:pPr>
    </w:p>
    <w:p w14:paraId="6687282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4.2._ Os atestados deverão referir-se a fornecimento no âmbito de sua atividade econômica principal ou secundária especificadas no contrato social vigente.</w:t>
      </w:r>
    </w:p>
    <w:p w14:paraId="6A1BDD8B">
      <w:pPr>
        <w:spacing w:line="288" w:lineRule="auto"/>
        <w:ind w:right="565"/>
        <w:contextualSpacing/>
        <w:jc w:val="both"/>
        <w:rPr>
          <w:color w:val="000000" w:themeColor="text1"/>
          <w:sz w:val="24"/>
          <w:szCs w:val="24"/>
          <w14:textFill>
            <w14:solidFill>
              <w14:schemeClr w14:val="tx1"/>
            </w14:solidFill>
          </w14:textFill>
        </w:rPr>
      </w:pPr>
    </w:p>
    <w:p w14:paraId="4A0F0FF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4.3._ Poderá ser admitida, para fins de comprovação de quantitativo mínimo do fornecimento, a apresentação de diferentes atestados de objetos executados de forma concomitante, resultando na comprovação de capacidade técnico-operacional de uma única contratação.</w:t>
      </w:r>
    </w:p>
    <w:p w14:paraId="3EE5255E">
      <w:pPr>
        <w:spacing w:line="288" w:lineRule="auto"/>
        <w:ind w:right="565"/>
        <w:contextualSpacing/>
        <w:jc w:val="both"/>
        <w:rPr>
          <w:color w:val="000000" w:themeColor="text1"/>
          <w:sz w:val="24"/>
          <w:szCs w:val="24"/>
          <w14:textFill>
            <w14:solidFill>
              <w14:schemeClr w14:val="tx1"/>
            </w14:solidFill>
          </w14:textFill>
        </w:rPr>
      </w:pPr>
    </w:p>
    <w:p w14:paraId="77D7536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4.4._ 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14:paraId="1AA852FE">
      <w:pPr>
        <w:pStyle w:val="119"/>
        <w:spacing w:before="0" w:beforeAutospacing="0" w:after="0" w:afterAutospacing="0" w:line="288" w:lineRule="auto"/>
        <w:contextualSpacing/>
        <w:jc w:val="both"/>
        <w:rPr>
          <w:rStyle w:val="118"/>
          <w:rFonts w:asciiTheme="minorHAnsi" w:hAnsiTheme="minorHAnsi" w:cstheme="minorHAnsi"/>
          <w:color w:val="000000" w:themeColor="text1"/>
          <w:sz w:val="24"/>
          <w:szCs w:val="24"/>
          <w14:textFill>
            <w14:solidFill>
              <w14:schemeClr w14:val="tx1"/>
            </w14:solidFill>
          </w14:textFill>
        </w:rPr>
      </w:pPr>
    </w:p>
    <w:p w14:paraId="46849E62">
      <w:pPr>
        <w:spacing w:line="288" w:lineRule="auto"/>
        <w:contextualSpacing/>
        <w:jc w:val="center"/>
        <w:rPr>
          <w:b/>
          <w:bCs/>
          <w:sz w:val="24"/>
          <w:szCs w:val="24"/>
        </w:rPr>
      </w:pPr>
      <w:r>
        <w:rPr>
          <w:b/>
          <w:bCs/>
          <w:sz w:val="24"/>
          <w:szCs w:val="24"/>
        </w:rPr>
        <w:t>ANEXO V</w:t>
      </w:r>
    </w:p>
    <w:p w14:paraId="68BCF3B6">
      <w:pPr>
        <w:spacing w:line="368" w:lineRule="auto"/>
        <w:ind w:left="720" w:right="16"/>
        <w:jc w:val="center"/>
        <w:rPr>
          <w:b/>
          <w:u w:val="single"/>
        </w:rPr>
      </w:pPr>
    </w:p>
    <w:p w14:paraId="33DE6C5A">
      <w:pPr>
        <w:tabs>
          <w:tab w:val="left" w:pos="709"/>
        </w:tabs>
        <w:spacing w:before="120" w:after="120"/>
        <w:ind w:left="142"/>
        <w:jc w:val="center"/>
        <w:rPr>
          <w:b/>
          <w:sz w:val="24"/>
          <w:szCs w:val="24"/>
          <w:u w:val="single"/>
        </w:rPr>
      </w:pPr>
      <w:r>
        <w:rPr>
          <w:b/>
          <w:sz w:val="24"/>
          <w:szCs w:val="24"/>
          <w:highlight w:val="yellow"/>
          <w:u w:val="single"/>
        </w:rPr>
        <w:t>PLANILHA DE CUSTOS</w:t>
      </w:r>
    </w:p>
    <w:p w14:paraId="530098EA">
      <w:pPr>
        <w:pStyle w:val="77"/>
        <w:jc w:val="both"/>
        <w:rPr>
          <w:rFonts w:ascii="Times New Roman" w:hAnsi="Times New Roman" w:eastAsia="SimSun" w:cs="Times New Roman"/>
          <w:sz w:val="24"/>
          <w:szCs w:val="24"/>
        </w:rPr>
      </w:pPr>
    </w:p>
    <w:p w14:paraId="138BCACB">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O presente relatório é resultado da pesquisa de preços a seguir discriminada, em cumprimento ao determinado na Lei n ̊ 14.133/2021</w:t>
      </w:r>
    </w:p>
    <w:p w14:paraId="74EF8976">
      <w:pPr>
        <w:pStyle w:val="77"/>
        <w:jc w:val="center"/>
        <w:rPr>
          <w:rFonts w:ascii="Times New Roman" w:hAnsi="Times New Roman" w:eastAsia="SimSun" w:cs="Times New Roman"/>
          <w:sz w:val="24"/>
          <w:szCs w:val="24"/>
        </w:rPr>
      </w:pPr>
    </w:p>
    <w:p w14:paraId="24796B28">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 OBJETO: Aquisição de cateteres uretrais destinados a atender pacientes assistidos pela Farmácia Assistencial</w:t>
      </w:r>
    </w:p>
    <w:p w14:paraId="61109799">
      <w:pPr>
        <w:shd w:val="clear" w:color="auto" w:fill="FFFFFF"/>
        <w:spacing w:line="15" w:lineRule="atLeast"/>
        <w:rPr>
          <w:rFonts w:eastAsia="SimSun"/>
          <w:sz w:val="24"/>
          <w:szCs w:val="24"/>
        </w:rPr>
      </w:pPr>
      <w:r>
        <w:rPr>
          <w:rFonts w:eastAsia="SimSun"/>
          <w:sz w:val="24"/>
          <w:szCs w:val="24"/>
        </w:rPr>
        <w:t>PERÍODO DE REALIZAÇÃO DA PESQUISA: 20/02/2026</w:t>
      </w:r>
    </w:p>
    <w:p w14:paraId="5257C476">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METODOLOGIA APLICADA: o valor de referência foi aferido por meio de: </w:t>
      </w:r>
    </w:p>
    <w:p w14:paraId="5494C004">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xml:space="preserve">(  ) Média ( X  ) Mediana (  ) Menor Preço </w:t>
      </w:r>
    </w:p>
    <w:p w14:paraId="699747D2">
      <w:pPr>
        <w:pStyle w:val="77"/>
        <w:jc w:val="both"/>
        <w:rPr>
          <w:rFonts w:ascii="Times New Roman" w:hAnsi="Times New Roman" w:eastAsia="SimSun" w:cs="Times New Roman"/>
          <w:sz w:val="24"/>
          <w:szCs w:val="24"/>
        </w:rPr>
      </w:pPr>
    </w:p>
    <w:p w14:paraId="6BAB327B">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FONTES DE PESQUISA DE PREÇOS:</w:t>
      </w:r>
    </w:p>
    <w:p w14:paraId="21BC87CE">
      <w:pPr>
        <w:pStyle w:val="77"/>
        <w:jc w:val="both"/>
        <w:rPr>
          <w:rFonts w:ascii="Times New Roman" w:hAnsi="Times New Roman" w:eastAsia="SimSun" w:cs="Times New Roman"/>
          <w:sz w:val="24"/>
          <w:szCs w:val="24"/>
        </w:rPr>
      </w:pPr>
    </w:p>
    <w:p w14:paraId="58B2ABB2">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COMPRAS.GOV;</w:t>
      </w:r>
    </w:p>
    <w:p w14:paraId="5971BEE7">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INTERNET;</w:t>
      </w:r>
    </w:p>
    <w:p w14:paraId="7BB58BB1">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PNCP;</w:t>
      </w:r>
    </w:p>
    <w:p w14:paraId="7EBCF517">
      <w:pPr>
        <w:pStyle w:val="77"/>
        <w:jc w:val="both"/>
        <w:rPr>
          <w:rFonts w:ascii="Times New Roman" w:hAnsi="Times New Roman" w:eastAsia="SimSun" w:cs="Times New Roman"/>
          <w:sz w:val="24"/>
          <w:szCs w:val="24"/>
        </w:rPr>
      </w:pPr>
      <w:r>
        <w:rPr>
          <w:rFonts w:ascii="Times New Roman" w:hAnsi="Times New Roman" w:eastAsia="SimSun" w:cs="Times New Roman"/>
          <w:sz w:val="24"/>
          <w:szCs w:val="24"/>
        </w:rPr>
        <w:t>- FORNECEDOR</w:t>
      </w:r>
    </w:p>
    <w:tbl>
      <w:tblPr>
        <w:tblStyle w:val="10"/>
        <w:tblW w:w="11482" w:type="dxa"/>
        <w:tblInd w:w="-1279" w:type="dxa"/>
        <w:tblLayout w:type="fixed"/>
        <w:tblCellMar>
          <w:top w:w="0" w:type="dxa"/>
          <w:left w:w="108" w:type="dxa"/>
          <w:bottom w:w="0" w:type="dxa"/>
          <w:right w:w="108" w:type="dxa"/>
        </w:tblCellMar>
      </w:tblPr>
      <w:tblGrid>
        <w:gridCol w:w="567"/>
        <w:gridCol w:w="709"/>
        <w:gridCol w:w="3544"/>
        <w:gridCol w:w="851"/>
        <w:gridCol w:w="850"/>
        <w:gridCol w:w="851"/>
        <w:gridCol w:w="992"/>
        <w:gridCol w:w="850"/>
        <w:gridCol w:w="1134"/>
        <w:gridCol w:w="1134"/>
      </w:tblGrid>
      <w:tr w14:paraId="0D37C123">
        <w:tblPrEx>
          <w:tblCellMar>
            <w:top w:w="0" w:type="dxa"/>
            <w:left w:w="108" w:type="dxa"/>
            <w:bottom w:w="0" w:type="dxa"/>
            <w:right w:w="108" w:type="dxa"/>
          </w:tblCellMar>
        </w:tblPrEx>
        <w:trPr>
          <w:trHeight w:val="1024" w:hRule="atLeast"/>
        </w:trPr>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099CD14">
            <w:pPr>
              <w:jc w:val="center"/>
              <w:textAlignment w:val="bottom"/>
              <w:rPr>
                <w:rFonts w:eastAsia="SimSun"/>
                <w:color w:val="000000"/>
                <w:sz w:val="16"/>
                <w:szCs w:val="16"/>
                <w:lang w:eastAsia="zh-CN" w:bidi="ar"/>
              </w:rPr>
            </w:pPr>
            <w:r>
              <w:rPr>
                <w:rFonts w:eastAsia="SimSun"/>
                <w:color w:val="000000"/>
                <w:sz w:val="16"/>
                <w:szCs w:val="16"/>
                <w:lang w:eastAsia="zh-CN" w:bidi="ar"/>
              </w:rPr>
              <w:t>Item</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775D2405">
            <w:pPr>
              <w:jc w:val="center"/>
              <w:textAlignment w:val="bottom"/>
              <w:rPr>
                <w:rFonts w:eastAsia="SimSun"/>
                <w:color w:val="000000"/>
                <w:sz w:val="16"/>
                <w:szCs w:val="16"/>
                <w:lang w:eastAsia="zh-CN" w:bidi="ar"/>
              </w:rPr>
            </w:pPr>
            <w:r>
              <w:rPr>
                <w:rFonts w:eastAsia="SimSun"/>
                <w:color w:val="000000"/>
                <w:sz w:val="16"/>
                <w:szCs w:val="16"/>
                <w:lang w:eastAsia="zh-CN" w:bidi="ar"/>
              </w:rPr>
              <w:t>Quant</w:t>
            </w:r>
          </w:p>
        </w:tc>
        <w:tc>
          <w:tcPr>
            <w:tcW w:w="354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B3BD704">
            <w:pPr>
              <w:jc w:val="center"/>
              <w:textAlignment w:val="bottom"/>
              <w:rPr>
                <w:rFonts w:eastAsia="SimSun"/>
                <w:color w:val="000000"/>
                <w:sz w:val="16"/>
                <w:szCs w:val="16"/>
                <w:lang w:eastAsia="zh-CN" w:bidi="ar"/>
              </w:rPr>
            </w:pPr>
            <w:r>
              <w:rPr>
                <w:rFonts w:eastAsia="SimSun"/>
                <w:color w:val="000000"/>
                <w:sz w:val="16"/>
                <w:szCs w:val="16"/>
                <w:lang w:eastAsia="zh-CN" w:bidi="ar"/>
              </w:rPr>
              <w:t>Especificação</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1B49064">
            <w:pPr>
              <w:jc w:val="center"/>
              <w:textAlignment w:val="bottom"/>
              <w:rPr>
                <w:rFonts w:eastAsia="SimSun"/>
                <w:b/>
                <w:bCs/>
                <w:color w:val="000000"/>
                <w:sz w:val="16"/>
                <w:szCs w:val="16"/>
                <w:lang w:eastAsia="zh-CN" w:bidi="ar"/>
              </w:rPr>
            </w:pPr>
            <w:r>
              <w:rPr>
                <w:rFonts w:eastAsia="SimSun"/>
                <w:b/>
                <w:bCs/>
                <w:color w:val="000000"/>
                <w:sz w:val="16"/>
                <w:szCs w:val="16"/>
                <w:lang w:eastAsia="zh-CN" w:bidi="ar"/>
              </w:rPr>
              <w:t>Catmat</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714214D">
            <w:pPr>
              <w:jc w:val="center"/>
              <w:textAlignment w:val="bottom"/>
              <w:rPr>
                <w:rFonts w:eastAsia="SimSun"/>
                <w:b/>
                <w:bCs/>
                <w:color w:val="000000"/>
                <w:sz w:val="16"/>
                <w:szCs w:val="16"/>
                <w:lang w:eastAsia="zh-CN" w:bidi="ar"/>
              </w:rPr>
            </w:pPr>
          </w:p>
          <w:p w14:paraId="7A4E39B2">
            <w:pPr>
              <w:jc w:val="center"/>
              <w:textAlignment w:val="bottom"/>
              <w:rPr>
                <w:rFonts w:eastAsia="SimSun"/>
                <w:b/>
                <w:bCs/>
                <w:color w:val="000000"/>
                <w:sz w:val="16"/>
                <w:szCs w:val="16"/>
                <w:lang w:eastAsia="zh-CN" w:bidi="ar"/>
              </w:rPr>
            </w:pPr>
            <w:r>
              <w:rPr>
                <w:rFonts w:eastAsia="SimSun"/>
                <w:b/>
                <w:bCs/>
                <w:color w:val="000000"/>
                <w:sz w:val="16"/>
                <w:szCs w:val="16"/>
                <w:lang w:eastAsia="zh-CN" w:bidi="ar"/>
              </w:rPr>
              <w:t>Compras Gov</w:t>
            </w:r>
          </w:p>
          <w:p w14:paraId="260860BF">
            <w:pPr>
              <w:jc w:val="center"/>
              <w:textAlignment w:val="bottom"/>
              <w:rPr>
                <w:rFonts w:eastAsia="SimSun"/>
                <w:b/>
                <w:bCs/>
                <w:color w:val="000000"/>
                <w:sz w:val="16"/>
                <w:szCs w:val="16"/>
                <w:lang w:eastAsia="zh-CN" w:bidi="ar"/>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A743543">
            <w:pPr>
              <w:jc w:val="center"/>
              <w:textAlignment w:val="bottom"/>
              <w:rPr>
                <w:rFonts w:eastAsia="SimSun"/>
                <w:b/>
                <w:bCs/>
                <w:color w:val="000000"/>
                <w:sz w:val="16"/>
                <w:szCs w:val="16"/>
                <w:lang w:eastAsia="zh-CN" w:bidi="ar"/>
              </w:rPr>
            </w:pPr>
          </w:p>
          <w:p w14:paraId="472C15D2">
            <w:pPr>
              <w:jc w:val="center"/>
              <w:textAlignment w:val="bottom"/>
              <w:rPr>
                <w:rFonts w:eastAsia="SimSun"/>
                <w:b/>
                <w:bCs/>
                <w:color w:val="000000"/>
                <w:sz w:val="16"/>
                <w:szCs w:val="16"/>
                <w:lang w:eastAsia="zh-CN" w:bidi="ar"/>
              </w:rPr>
            </w:pPr>
            <w:r>
              <w:rPr>
                <w:rFonts w:eastAsia="SimSun"/>
                <w:b/>
                <w:bCs/>
                <w:color w:val="000000"/>
                <w:sz w:val="16"/>
                <w:szCs w:val="16"/>
                <w:lang w:eastAsia="zh-CN" w:bidi="ar"/>
              </w:rPr>
              <w:t>Internet</w:t>
            </w:r>
          </w:p>
          <w:p w14:paraId="014DE1E6">
            <w:pPr>
              <w:jc w:val="center"/>
              <w:textAlignment w:val="bottom"/>
              <w:rPr>
                <w:rFonts w:eastAsia="SimSun"/>
                <w:b/>
                <w:bCs/>
                <w:color w:val="000000"/>
                <w:sz w:val="16"/>
                <w:szCs w:val="16"/>
                <w:lang w:eastAsia="zh-CN" w:bidi="ar"/>
              </w:rPr>
            </w:pPr>
            <w:r>
              <w:rPr>
                <w:rFonts w:eastAsia="SimSun"/>
                <w:b/>
                <w:bCs/>
                <w:color w:val="000000"/>
                <w:sz w:val="16"/>
                <w:szCs w:val="16"/>
                <w:lang w:eastAsia="zh-CN" w:bidi="ar"/>
              </w:rPr>
              <w:t>(média)</w:t>
            </w:r>
          </w:p>
          <w:p w14:paraId="23DFE868">
            <w:pPr>
              <w:jc w:val="center"/>
              <w:textAlignment w:val="bottom"/>
              <w:rPr>
                <w:rFonts w:eastAsia="SimSun"/>
                <w:b/>
                <w:bCs/>
                <w:color w:val="000000"/>
                <w:sz w:val="16"/>
                <w:szCs w:val="16"/>
                <w:lang w:eastAsia="zh-CN" w:bidi="ar"/>
              </w:rPr>
            </w:pP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5FE3ABEE">
            <w:pPr>
              <w:jc w:val="center"/>
              <w:textAlignment w:val="bottom"/>
              <w:rPr>
                <w:rFonts w:eastAsia="SimSun"/>
                <w:b/>
                <w:bCs/>
                <w:color w:val="000000"/>
                <w:sz w:val="16"/>
                <w:szCs w:val="16"/>
                <w:lang w:eastAsia="zh-CN" w:bidi="ar"/>
              </w:rPr>
            </w:pPr>
            <w:r>
              <w:rPr>
                <w:rFonts w:eastAsia="SimSun"/>
                <w:b/>
                <w:bCs/>
                <w:color w:val="000000"/>
                <w:sz w:val="16"/>
                <w:szCs w:val="16"/>
                <w:lang w:eastAsia="zh-CN" w:bidi="ar"/>
              </w:rPr>
              <w:t>PNCP</w:t>
            </w:r>
          </w:p>
          <w:p w14:paraId="3C47C01C">
            <w:pPr>
              <w:jc w:val="center"/>
              <w:textAlignment w:val="bottom"/>
              <w:rPr>
                <w:rFonts w:eastAsia="SimSun"/>
                <w:b/>
                <w:bCs/>
                <w:color w:val="000000"/>
                <w:sz w:val="16"/>
                <w:szCs w:val="16"/>
                <w:lang w:eastAsia="zh-CN" w:bidi="ar"/>
              </w:rPr>
            </w:pP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7A1D0E2">
            <w:pPr>
              <w:jc w:val="center"/>
              <w:textAlignment w:val="bottom"/>
              <w:rPr>
                <w:rFonts w:eastAsia="SimSun"/>
                <w:b/>
                <w:bCs/>
                <w:color w:val="000000"/>
                <w:sz w:val="16"/>
                <w:szCs w:val="16"/>
                <w:lang w:eastAsia="zh-CN" w:bidi="ar"/>
              </w:rPr>
            </w:pPr>
            <w:r>
              <w:rPr>
                <w:rFonts w:eastAsia="SimSun"/>
                <w:b/>
                <w:bCs/>
                <w:color w:val="000000"/>
                <w:sz w:val="16"/>
                <w:szCs w:val="16"/>
                <w:lang w:eastAsia="zh-CN" w:bidi="ar"/>
              </w:rPr>
              <w:t>Fornecedor</w:t>
            </w:r>
          </w:p>
          <w:p w14:paraId="05D7385C">
            <w:pPr>
              <w:jc w:val="center"/>
              <w:textAlignment w:val="bottom"/>
              <w:rPr>
                <w:rFonts w:eastAsia="SimSun"/>
                <w:b/>
                <w:bCs/>
                <w:color w:val="000000"/>
                <w:sz w:val="16"/>
                <w:szCs w:val="16"/>
                <w:lang w:eastAsia="zh-CN" w:bidi="ar"/>
              </w:rPr>
            </w:pPr>
            <w:r>
              <w:rPr>
                <w:rFonts w:eastAsia="SimSun"/>
                <w:b/>
                <w:bCs/>
                <w:color w:val="000000"/>
                <w:sz w:val="16"/>
                <w:szCs w:val="16"/>
                <w:lang w:eastAsia="zh-CN" w:bidi="ar"/>
              </w:rPr>
              <w:t>(média)</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C99D520">
            <w:pPr>
              <w:jc w:val="center"/>
              <w:textAlignment w:val="bottom"/>
              <w:rPr>
                <w:rFonts w:eastAsia="SimSun"/>
                <w:b/>
                <w:bCs/>
                <w:color w:val="000000"/>
                <w:sz w:val="16"/>
                <w:szCs w:val="16"/>
                <w:lang w:eastAsia="zh-CN" w:bidi="ar"/>
              </w:rPr>
            </w:pPr>
            <w:r>
              <w:rPr>
                <w:rFonts w:eastAsia="SimSun"/>
                <w:b/>
                <w:bCs/>
                <w:color w:val="000000"/>
                <w:sz w:val="16"/>
                <w:szCs w:val="16"/>
                <w:lang w:eastAsia="zh-CN" w:bidi="ar"/>
              </w:rPr>
              <w:t>MEDIANA</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491ECD7">
            <w:pPr>
              <w:jc w:val="center"/>
              <w:textAlignment w:val="bottom"/>
              <w:rPr>
                <w:rFonts w:eastAsia="SimSun"/>
                <w:b/>
                <w:bCs/>
                <w:color w:val="000000"/>
                <w:sz w:val="16"/>
                <w:szCs w:val="16"/>
                <w:lang w:eastAsia="zh-CN" w:bidi="ar"/>
              </w:rPr>
            </w:pPr>
            <w:r>
              <w:rPr>
                <w:rFonts w:eastAsia="SimSun"/>
                <w:b/>
                <w:bCs/>
                <w:color w:val="000000"/>
                <w:sz w:val="16"/>
                <w:szCs w:val="16"/>
                <w:lang w:eastAsia="zh-CN" w:bidi="ar"/>
              </w:rPr>
              <w:t xml:space="preserve">TOTAL </w:t>
            </w:r>
          </w:p>
        </w:tc>
      </w:tr>
      <w:tr w14:paraId="1667532C">
        <w:tblPrEx>
          <w:tblCellMar>
            <w:top w:w="0" w:type="dxa"/>
            <w:left w:w="108" w:type="dxa"/>
            <w:bottom w:w="0" w:type="dxa"/>
            <w:right w:w="108" w:type="dxa"/>
          </w:tblCellMar>
        </w:tblPrEx>
        <w:trPr>
          <w:trHeight w:val="300" w:hRule="atLeast"/>
        </w:trPr>
        <w:tc>
          <w:tcPr>
            <w:tcW w:w="567"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EF904B4">
            <w:pPr>
              <w:jc w:val="center"/>
              <w:textAlignment w:val="bottom"/>
              <w:rPr>
                <w:rFonts w:eastAsia="SimSun"/>
                <w:b/>
                <w:bCs/>
                <w:color w:val="000000"/>
                <w:sz w:val="16"/>
                <w:szCs w:val="16"/>
                <w:lang w:eastAsia="zh-CN" w:bidi="ar"/>
              </w:rPr>
            </w:pPr>
            <w:r>
              <w:rPr>
                <w:rFonts w:eastAsia="SimSun"/>
                <w:b/>
                <w:bCs/>
                <w:color w:val="000000"/>
                <w:sz w:val="16"/>
                <w:szCs w:val="16"/>
                <w:lang w:eastAsia="zh-CN" w:bidi="ar"/>
              </w:rPr>
              <w:t>01</w:t>
            </w:r>
          </w:p>
        </w:tc>
        <w:tc>
          <w:tcPr>
            <w:tcW w:w="709"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2362E95">
            <w:pPr>
              <w:jc w:val="center"/>
              <w:textAlignment w:val="bottom"/>
              <w:rPr>
                <w:b/>
                <w:bCs/>
                <w:color w:val="000000"/>
                <w:sz w:val="16"/>
                <w:szCs w:val="16"/>
              </w:rPr>
            </w:pPr>
            <w:r>
              <w:rPr>
                <w:b/>
                <w:bCs/>
                <w:color w:val="000000"/>
                <w:sz w:val="16"/>
                <w:szCs w:val="16"/>
              </w:rPr>
              <w:t>36.000</w:t>
            </w:r>
          </w:p>
        </w:tc>
        <w:tc>
          <w:tcPr>
            <w:tcW w:w="3544" w:type="dxa"/>
            <w:tcBorders>
              <w:top w:val="single" w:color="000000" w:sz="2" w:space="0"/>
              <w:left w:val="single" w:color="000000" w:sz="2" w:space="0"/>
              <w:bottom w:val="single" w:color="000000" w:sz="2" w:space="0"/>
              <w:right w:val="single" w:color="000000" w:sz="2" w:space="0"/>
            </w:tcBorders>
            <w:shd w:val="clear" w:color="auto" w:fill="auto"/>
            <w:noWrap/>
          </w:tcPr>
          <w:p w14:paraId="13A5BEA8">
            <w:pPr>
              <w:jc w:val="both"/>
              <w:rPr>
                <w:rFonts w:eastAsia="SimSun"/>
                <w:sz w:val="16"/>
                <w:szCs w:val="16"/>
                <w:lang w:eastAsia="zh-CN" w:bidi="ar"/>
              </w:rPr>
            </w:pPr>
            <w:r>
              <w:rPr>
                <w:rFonts w:eastAsia="SimSun"/>
                <w:b/>
                <w:bCs/>
                <w:sz w:val="16"/>
                <w:szCs w:val="16"/>
                <w:lang w:val="en-US" w:eastAsia="zh-CN" w:bidi="ar"/>
              </w:rPr>
              <w:t xml:space="preserve">CATÉTER URETRAL COM </w:t>
            </w:r>
            <w:r>
              <w:rPr>
                <w:rFonts w:eastAsia="SimSun"/>
                <w:b/>
                <w:bCs/>
                <w:sz w:val="16"/>
                <w:szCs w:val="16"/>
                <w:lang w:eastAsia="zh-CN" w:bidi="ar"/>
              </w:rPr>
              <w:t xml:space="preserve"> </w:t>
            </w:r>
            <w:r>
              <w:rPr>
                <w:rFonts w:eastAsia="SimSun"/>
                <w:b/>
                <w:bCs/>
                <w:sz w:val="16"/>
                <w:szCs w:val="16"/>
                <w:lang w:val="en-US" w:eastAsia="zh-CN" w:bidi="ar"/>
              </w:rPr>
              <w:t xml:space="preserve">REVESTIMENTO HIDROFÍLICO </w:t>
            </w:r>
            <w:r>
              <w:rPr>
                <w:rFonts w:eastAsia="SimSun"/>
                <w:b/>
                <w:bCs/>
                <w:sz w:val="16"/>
                <w:szCs w:val="16"/>
                <w:lang w:eastAsia="zh-CN" w:bidi="ar"/>
              </w:rPr>
              <w:t xml:space="preserve"> </w:t>
            </w:r>
            <w:r>
              <w:rPr>
                <w:rFonts w:eastAsia="SimSun"/>
                <w:b/>
                <w:bCs/>
                <w:sz w:val="16"/>
                <w:szCs w:val="16"/>
                <w:lang w:val="en-US" w:eastAsia="zh-CN" w:bidi="ar"/>
              </w:rPr>
              <w:t>MASCULINO</w:t>
            </w:r>
            <w:r>
              <w:rPr>
                <w:rFonts w:eastAsia="SimSun"/>
                <w:b/>
                <w:bCs/>
                <w:sz w:val="16"/>
                <w:szCs w:val="16"/>
                <w:lang w:eastAsia="zh-CN" w:bidi="ar"/>
              </w:rPr>
              <w:t xml:space="preserve"> (</w:t>
            </w:r>
            <w:r>
              <w:rPr>
                <w:rFonts w:eastAsia="SimSun"/>
                <w:b/>
                <w:bCs/>
                <w:sz w:val="16"/>
                <w:szCs w:val="16"/>
                <w:lang w:val="en-US" w:eastAsia="zh-CN" w:bidi="ar"/>
              </w:rPr>
              <w:t>Calibre 08 ao 14</w:t>
            </w:r>
            <w:r>
              <w:rPr>
                <w:rFonts w:eastAsia="SimSun"/>
                <w:b/>
                <w:bCs/>
                <w:sz w:val="16"/>
                <w:szCs w:val="16"/>
                <w:lang w:eastAsia="zh-CN" w:bidi="ar"/>
              </w:rPr>
              <w:t>)</w:t>
            </w:r>
            <w:r>
              <w:rPr>
                <w:rFonts w:eastAsia="SimSun"/>
                <w:sz w:val="16"/>
                <w:szCs w:val="16"/>
                <w:lang w:val="en-US" w:eastAsia="zh-CN" w:bidi="ar"/>
              </w:rPr>
              <w:t xml:space="preserve"> APROVADO </w:t>
            </w:r>
            <w:r>
              <w:rPr>
                <w:rFonts w:eastAsia="SimSun"/>
                <w:sz w:val="16"/>
                <w:szCs w:val="16"/>
                <w:lang w:eastAsia="zh-CN" w:bidi="ar"/>
              </w:rPr>
              <w:t xml:space="preserve"> </w:t>
            </w:r>
            <w:r>
              <w:rPr>
                <w:rFonts w:eastAsia="SimSun"/>
                <w:sz w:val="16"/>
                <w:szCs w:val="16"/>
                <w:lang w:val="en-US" w:eastAsia="zh-CN" w:bidi="ar"/>
              </w:rPr>
              <w:t xml:space="preserve">PELA CONITEC. EMBALADO EM </w:t>
            </w:r>
            <w:r>
              <w:rPr>
                <w:rFonts w:eastAsia="SimSun"/>
                <w:sz w:val="16"/>
                <w:szCs w:val="16"/>
                <w:lang w:eastAsia="zh-CN" w:bidi="ar"/>
              </w:rPr>
              <w:t xml:space="preserve"> </w:t>
            </w:r>
            <w:r>
              <w:rPr>
                <w:rFonts w:eastAsia="SimSun"/>
                <w:sz w:val="16"/>
                <w:szCs w:val="16"/>
                <w:lang w:val="en-US" w:eastAsia="zh-CN" w:bidi="ar"/>
              </w:rPr>
              <w:t xml:space="preserve">ALUMÍNIO PARA PROMOVER BARREIRA </w:t>
            </w:r>
            <w:r>
              <w:rPr>
                <w:rFonts w:eastAsia="SimSun"/>
                <w:sz w:val="16"/>
                <w:szCs w:val="16"/>
                <w:lang w:eastAsia="zh-CN" w:bidi="ar"/>
              </w:rPr>
              <w:t xml:space="preserve"> </w:t>
            </w:r>
            <w:r>
              <w:rPr>
                <w:rFonts w:eastAsia="SimSun"/>
                <w:sz w:val="16"/>
                <w:szCs w:val="16"/>
                <w:lang w:val="en-US" w:eastAsia="zh-CN" w:bidi="ar"/>
              </w:rPr>
              <w:t>MICROBIANA E ABERTURA ASSÉPTICA.</w:t>
            </w:r>
            <w:r>
              <w:rPr>
                <w:rFonts w:eastAsia="SimSun"/>
                <w:sz w:val="16"/>
                <w:szCs w:val="16"/>
                <w:lang w:eastAsia="zh-CN" w:bidi="ar"/>
              </w:rPr>
              <w:t xml:space="preserve"> </w:t>
            </w:r>
            <w:r>
              <w:rPr>
                <w:rFonts w:eastAsia="SimSun"/>
                <w:sz w:val="16"/>
                <w:szCs w:val="16"/>
                <w:lang w:val="en-US" w:eastAsia="zh-CN" w:bidi="ar"/>
              </w:rPr>
              <w:t xml:space="preserve">O PRODUTO DEVERÁ TER REGISTRO </w:t>
            </w:r>
            <w:r>
              <w:rPr>
                <w:rFonts w:eastAsia="SimSun"/>
                <w:sz w:val="16"/>
                <w:szCs w:val="16"/>
                <w:lang w:eastAsia="zh-CN" w:bidi="ar"/>
              </w:rPr>
              <w:t xml:space="preserve"> </w:t>
            </w:r>
            <w:r>
              <w:rPr>
                <w:rFonts w:eastAsia="SimSun"/>
                <w:sz w:val="16"/>
                <w:szCs w:val="16"/>
                <w:lang w:val="en-US" w:eastAsia="zh-CN" w:bidi="ar"/>
              </w:rPr>
              <w:t xml:space="preserve">COMO PRODUTO MÉDICO PARA SAÚDE, </w:t>
            </w:r>
            <w:r>
              <w:rPr>
                <w:rFonts w:eastAsia="SimSun"/>
                <w:sz w:val="16"/>
                <w:szCs w:val="16"/>
                <w:lang w:eastAsia="zh-CN" w:bidi="ar"/>
              </w:rPr>
              <w:t xml:space="preserve"> </w:t>
            </w:r>
            <w:r>
              <w:rPr>
                <w:rFonts w:eastAsia="SimSun"/>
                <w:sz w:val="16"/>
                <w:szCs w:val="16"/>
                <w:lang w:val="en-US" w:eastAsia="zh-CN" w:bidi="ar"/>
              </w:rPr>
              <w:t xml:space="preserve">APRESENTANDO BOAS PRÁTICAS DE FABRICAÇÃO E CARTA DE </w:t>
            </w:r>
            <w:r>
              <w:rPr>
                <w:rFonts w:eastAsia="SimSun"/>
                <w:sz w:val="16"/>
                <w:szCs w:val="16"/>
                <w:lang w:eastAsia="zh-CN" w:bidi="ar"/>
              </w:rPr>
              <w:t xml:space="preserve"> </w:t>
            </w:r>
            <w:r>
              <w:rPr>
                <w:rFonts w:eastAsia="SimSun"/>
                <w:sz w:val="16"/>
                <w:szCs w:val="16"/>
                <w:lang w:val="en-US" w:eastAsia="zh-CN" w:bidi="ar"/>
              </w:rPr>
              <w:t>RECOMENDAÇÃO</w:t>
            </w:r>
            <w:r>
              <w:rPr>
                <w:rFonts w:eastAsia="SimSun"/>
                <w:sz w:val="16"/>
                <w:szCs w:val="16"/>
                <w:lang w:eastAsia="zh-CN" w:bidi="ar"/>
              </w:rPr>
              <w:t>.</w:t>
            </w:r>
          </w:p>
          <w:p w14:paraId="588FF32B">
            <w:pPr>
              <w:jc w:val="both"/>
              <w:rPr>
                <w:rFonts w:eastAsia="SimSun"/>
                <w:sz w:val="16"/>
                <w:szCs w:val="16"/>
                <w:lang w:eastAsia="zh-CN" w:bidi="ar"/>
              </w:rPr>
            </w:pPr>
            <w:r>
              <w:rPr>
                <w:rFonts w:eastAsia="SimSun"/>
                <w:b/>
                <w:bCs/>
                <w:sz w:val="16"/>
                <w:szCs w:val="16"/>
                <w:lang w:val="en-US" w:eastAsia="zh-CN" w:bidi="ar"/>
              </w:rPr>
              <w:t xml:space="preserve">CATÉTER URETRAL COM </w:t>
            </w:r>
            <w:r>
              <w:rPr>
                <w:rFonts w:eastAsia="SimSun"/>
                <w:b/>
                <w:bCs/>
                <w:sz w:val="16"/>
                <w:szCs w:val="16"/>
                <w:lang w:eastAsia="zh-CN" w:bidi="ar"/>
              </w:rPr>
              <w:t xml:space="preserve"> </w:t>
            </w:r>
            <w:r>
              <w:rPr>
                <w:rFonts w:eastAsia="SimSun"/>
                <w:b/>
                <w:bCs/>
                <w:sz w:val="16"/>
                <w:szCs w:val="16"/>
                <w:lang w:val="en-US" w:eastAsia="zh-CN" w:bidi="ar"/>
              </w:rPr>
              <w:t xml:space="preserve">REVESTIMENTO HIDROFÍLICO </w:t>
            </w:r>
            <w:r>
              <w:rPr>
                <w:rFonts w:eastAsia="SimSun"/>
                <w:b/>
                <w:bCs/>
                <w:sz w:val="16"/>
                <w:szCs w:val="16"/>
                <w:lang w:eastAsia="zh-CN" w:bidi="ar"/>
              </w:rPr>
              <w:t xml:space="preserve"> FEMININO (</w:t>
            </w:r>
            <w:r>
              <w:rPr>
                <w:rFonts w:eastAsia="SimSun"/>
                <w:b/>
                <w:bCs/>
                <w:sz w:val="16"/>
                <w:szCs w:val="16"/>
                <w:lang w:val="en-US" w:eastAsia="zh-CN" w:bidi="ar"/>
              </w:rPr>
              <w:t>Calibre 0</w:t>
            </w:r>
            <w:r>
              <w:rPr>
                <w:rFonts w:eastAsia="SimSun"/>
                <w:b/>
                <w:bCs/>
                <w:sz w:val="16"/>
                <w:szCs w:val="16"/>
                <w:lang w:eastAsia="zh-CN" w:bidi="ar"/>
              </w:rPr>
              <w:t>6</w:t>
            </w:r>
            <w:r>
              <w:rPr>
                <w:rFonts w:eastAsia="SimSun"/>
                <w:b/>
                <w:bCs/>
                <w:sz w:val="16"/>
                <w:szCs w:val="16"/>
                <w:lang w:val="en-US" w:eastAsia="zh-CN" w:bidi="ar"/>
              </w:rPr>
              <w:t xml:space="preserve"> ao 1</w:t>
            </w:r>
            <w:r>
              <w:rPr>
                <w:rFonts w:eastAsia="SimSun"/>
                <w:b/>
                <w:bCs/>
                <w:sz w:val="16"/>
                <w:szCs w:val="16"/>
                <w:lang w:eastAsia="zh-CN" w:bidi="ar"/>
              </w:rPr>
              <w:t>2)</w:t>
            </w:r>
            <w:r>
              <w:rPr>
                <w:rFonts w:eastAsia="SimSun"/>
                <w:b/>
                <w:bCs/>
                <w:sz w:val="16"/>
                <w:szCs w:val="16"/>
                <w:lang w:val="en-US" w:eastAsia="zh-CN" w:bidi="ar"/>
              </w:rPr>
              <w:t xml:space="preserve"> </w:t>
            </w:r>
            <w:r>
              <w:rPr>
                <w:rFonts w:eastAsia="SimSun"/>
                <w:sz w:val="16"/>
                <w:szCs w:val="16"/>
                <w:lang w:val="en-US" w:eastAsia="zh-CN" w:bidi="ar"/>
              </w:rPr>
              <w:t xml:space="preserve">APROVADO </w:t>
            </w:r>
            <w:r>
              <w:rPr>
                <w:rFonts w:eastAsia="SimSun"/>
                <w:sz w:val="16"/>
                <w:szCs w:val="16"/>
                <w:lang w:eastAsia="zh-CN" w:bidi="ar"/>
              </w:rPr>
              <w:t xml:space="preserve"> </w:t>
            </w:r>
            <w:r>
              <w:rPr>
                <w:rFonts w:eastAsia="SimSun"/>
                <w:sz w:val="16"/>
                <w:szCs w:val="16"/>
                <w:lang w:val="en-US" w:eastAsia="zh-CN" w:bidi="ar"/>
              </w:rPr>
              <w:t xml:space="preserve">PELA CONITEC. EMBALADO EM </w:t>
            </w:r>
            <w:r>
              <w:rPr>
                <w:rFonts w:eastAsia="SimSun"/>
                <w:sz w:val="16"/>
                <w:szCs w:val="16"/>
                <w:lang w:eastAsia="zh-CN" w:bidi="ar"/>
              </w:rPr>
              <w:t xml:space="preserve"> </w:t>
            </w:r>
            <w:r>
              <w:rPr>
                <w:rFonts w:eastAsia="SimSun"/>
                <w:sz w:val="16"/>
                <w:szCs w:val="16"/>
                <w:lang w:val="en-US" w:eastAsia="zh-CN" w:bidi="ar"/>
              </w:rPr>
              <w:t xml:space="preserve">ALUMÍNIO PARA PROMOVER BARREIRA </w:t>
            </w:r>
            <w:r>
              <w:rPr>
                <w:rFonts w:eastAsia="SimSun"/>
                <w:sz w:val="16"/>
                <w:szCs w:val="16"/>
                <w:lang w:eastAsia="zh-CN" w:bidi="ar"/>
              </w:rPr>
              <w:t xml:space="preserve"> </w:t>
            </w:r>
            <w:r>
              <w:rPr>
                <w:rFonts w:eastAsia="SimSun"/>
                <w:sz w:val="16"/>
                <w:szCs w:val="16"/>
                <w:lang w:val="en-US" w:eastAsia="zh-CN" w:bidi="ar"/>
              </w:rPr>
              <w:t>MICROBIANA E ABERTURA ASSÉPTICA.</w:t>
            </w:r>
            <w:r>
              <w:rPr>
                <w:rFonts w:eastAsia="SimSun"/>
                <w:sz w:val="16"/>
                <w:szCs w:val="16"/>
                <w:lang w:eastAsia="zh-CN" w:bidi="ar"/>
              </w:rPr>
              <w:t xml:space="preserve"> </w:t>
            </w:r>
            <w:r>
              <w:rPr>
                <w:rFonts w:eastAsia="SimSun"/>
                <w:sz w:val="16"/>
                <w:szCs w:val="16"/>
                <w:lang w:val="en-US" w:eastAsia="zh-CN" w:bidi="ar"/>
              </w:rPr>
              <w:t xml:space="preserve">O PRODUTO DEVERÁ TER REGISTRO </w:t>
            </w:r>
            <w:r>
              <w:rPr>
                <w:rFonts w:eastAsia="SimSun"/>
                <w:sz w:val="16"/>
                <w:szCs w:val="16"/>
                <w:lang w:eastAsia="zh-CN" w:bidi="ar"/>
              </w:rPr>
              <w:t xml:space="preserve"> </w:t>
            </w:r>
            <w:r>
              <w:rPr>
                <w:rFonts w:eastAsia="SimSun"/>
                <w:sz w:val="16"/>
                <w:szCs w:val="16"/>
                <w:lang w:val="en-US" w:eastAsia="zh-CN" w:bidi="ar"/>
              </w:rPr>
              <w:t xml:space="preserve">COMO PRODUTO MÉDICO PARA SAÚDE, </w:t>
            </w:r>
            <w:r>
              <w:rPr>
                <w:rFonts w:eastAsia="SimSun"/>
                <w:sz w:val="16"/>
                <w:szCs w:val="16"/>
                <w:lang w:eastAsia="zh-CN" w:bidi="ar"/>
              </w:rPr>
              <w:t xml:space="preserve"> </w:t>
            </w:r>
            <w:r>
              <w:rPr>
                <w:rFonts w:eastAsia="SimSun"/>
                <w:sz w:val="16"/>
                <w:szCs w:val="16"/>
                <w:lang w:val="en-US" w:eastAsia="zh-CN" w:bidi="ar"/>
              </w:rPr>
              <w:t xml:space="preserve">APRESENTANDO BOAS PRÁTICAS DE FABRICAÇÃO E CARTA DE </w:t>
            </w:r>
            <w:r>
              <w:rPr>
                <w:rFonts w:eastAsia="SimSun"/>
                <w:sz w:val="16"/>
                <w:szCs w:val="16"/>
                <w:lang w:eastAsia="zh-CN" w:bidi="ar"/>
              </w:rPr>
              <w:t xml:space="preserve"> </w:t>
            </w:r>
            <w:r>
              <w:rPr>
                <w:rFonts w:eastAsia="SimSun"/>
                <w:sz w:val="16"/>
                <w:szCs w:val="16"/>
                <w:lang w:val="en-US" w:eastAsia="zh-CN" w:bidi="ar"/>
              </w:rPr>
              <w:t>RECOMENDAÇÃO</w:t>
            </w:r>
            <w:r>
              <w:rPr>
                <w:rFonts w:eastAsia="SimSun"/>
                <w:sz w:val="16"/>
                <w:szCs w:val="16"/>
                <w:lang w:eastAsia="zh-CN" w:bidi="ar"/>
              </w:rPr>
              <w:t>.</w:t>
            </w:r>
          </w:p>
          <w:p w14:paraId="2570A50B">
            <w:pPr>
              <w:jc w:val="both"/>
              <w:rPr>
                <w:sz w:val="16"/>
                <w:szCs w:val="16"/>
              </w:rPr>
            </w:pPr>
            <w:r>
              <w:rPr>
                <w:rFonts w:eastAsia="SimSun"/>
                <w:sz w:val="16"/>
                <w:szCs w:val="16"/>
                <w:lang w:val="en-US" w:eastAsia="zh-CN" w:bidi="ar"/>
              </w:rPr>
              <w:t xml:space="preserve">COM </w:t>
            </w:r>
            <w:r>
              <w:rPr>
                <w:rFonts w:eastAsia="SimSun"/>
                <w:sz w:val="16"/>
                <w:szCs w:val="16"/>
                <w:lang w:eastAsia="zh-CN" w:bidi="ar"/>
              </w:rPr>
              <w:t xml:space="preserve"> </w:t>
            </w:r>
            <w:r>
              <w:rPr>
                <w:rFonts w:eastAsia="SimSun"/>
                <w:sz w:val="16"/>
                <w:szCs w:val="16"/>
                <w:lang w:val="en-US" w:eastAsia="zh-CN" w:bidi="ar"/>
              </w:rPr>
              <w:t xml:space="preserve">REVESTIMENTO HIDROFÍLICO </w:t>
            </w:r>
            <w:r>
              <w:rPr>
                <w:rFonts w:eastAsia="SimSun"/>
                <w:sz w:val="16"/>
                <w:szCs w:val="16"/>
                <w:lang w:eastAsia="zh-CN" w:bidi="ar"/>
              </w:rPr>
              <w:t xml:space="preserve"> </w:t>
            </w:r>
            <w:r>
              <w:rPr>
                <w:rFonts w:eastAsia="SimSun"/>
                <w:sz w:val="16"/>
                <w:szCs w:val="16"/>
                <w:lang w:val="en-US" w:eastAsia="zh-CN" w:bidi="ar"/>
              </w:rPr>
              <w:t xml:space="preserve">COMPOSTO POR POLIVILPIRROLIDONA </w:t>
            </w:r>
            <w:r>
              <w:rPr>
                <w:rFonts w:eastAsia="SimSun"/>
                <w:sz w:val="16"/>
                <w:szCs w:val="16"/>
                <w:lang w:eastAsia="zh-CN" w:bidi="ar"/>
              </w:rPr>
              <w:t xml:space="preserve"> </w:t>
            </w:r>
            <w:r>
              <w:rPr>
                <w:rFonts w:eastAsia="SimSun"/>
                <w:sz w:val="16"/>
                <w:szCs w:val="16"/>
                <w:lang w:val="en-US" w:eastAsia="zh-CN" w:bidi="ar"/>
              </w:rPr>
              <w:t xml:space="preserve">(PVP) E SOLUÇÃO SALINA (NACL 0,9%), MASCULINO, ESTÉRIL, DO TIPO </w:t>
            </w:r>
            <w:r>
              <w:rPr>
                <w:rFonts w:eastAsia="SimSun"/>
                <w:sz w:val="16"/>
                <w:szCs w:val="16"/>
                <w:lang w:eastAsia="zh-CN" w:bidi="ar"/>
              </w:rPr>
              <w:t xml:space="preserve"> </w:t>
            </w:r>
            <w:r>
              <w:rPr>
                <w:rFonts w:eastAsia="SimSun"/>
                <w:sz w:val="16"/>
                <w:szCs w:val="16"/>
                <w:lang w:val="en-US" w:eastAsia="zh-CN" w:bidi="ar"/>
              </w:rPr>
              <w:t xml:space="preserve">INTERMITENTE, CONFECCIONADO EM </w:t>
            </w:r>
          </w:p>
          <w:p w14:paraId="6D786A77">
            <w:pPr>
              <w:jc w:val="both"/>
              <w:rPr>
                <w:sz w:val="16"/>
                <w:szCs w:val="16"/>
              </w:rPr>
            </w:pPr>
            <w:r>
              <w:rPr>
                <w:rFonts w:eastAsia="SimSun"/>
                <w:sz w:val="16"/>
                <w:szCs w:val="16"/>
                <w:lang w:val="en-US" w:eastAsia="zh-CN" w:bidi="ar"/>
              </w:rPr>
              <w:t xml:space="preserve">POLIURETANO, ATÓXICO, HIPOALERGÊNICO. ISENTO DE PVC E </w:t>
            </w:r>
            <w:r>
              <w:rPr>
                <w:rFonts w:eastAsia="SimSun"/>
                <w:sz w:val="16"/>
                <w:szCs w:val="16"/>
                <w:lang w:eastAsia="zh-CN" w:bidi="ar"/>
              </w:rPr>
              <w:t xml:space="preserve"> </w:t>
            </w:r>
            <w:r>
              <w:rPr>
                <w:rFonts w:eastAsia="SimSun"/>
                <w:sz w:val="16"/>
                <w:szCs w:val="16"/>
                <w:lang w:val="en-US" w:eastAsia="zh-CN" w:bidi="ar"/>
              </w:rPr>
              <w:t xml:space="preserve">FTALATO. APRESENTANDO ORIFÍCIOS DE DRENAGEM RADIAIS, POLIDOS E LUBRIFICADOS. PRONTO PARA USO, </w:t>
            </w:r>
          </w:p>
          <w:p w14:paraId="3F993E68">
            <w:pPr>
              <w:jc w:val="both"/>
              <w:rPr>
                <w:sz w:val="16"/>
                <w:szCs w:val="16"/>
              </w:rPr>
            </w:pPr>
            <w:r>
              <w:rPr>
                <w:rFonts w:eastAsia="SimSun"/>
                <w:sz w:val="16"/>
                <w:szCs w:val="16"/>
                <w:lang w:val="en-US" w:eastAsia="zh-CN" w:bidi="ar"/>
              </w:rPr>
              <w:t xml:space="preserve">SEM NECESSIDADE DE ADIÇÃO DE ÁGUA PARA DILUIR SUBSTÂNCIA </w:t>
            </w:r>
            <w:r>
              <w:rPr>
                <w:rFonts w:eastAsia="SimSun"/>
                <w:sz w:val="16"/>
                <w:szCs w:val="16"/>
                <w:lang w:eastAsia="zh-CN" w:bidi="ar"/>
              </w:rPr>
              <w:t xml:space="preserve"> </w:t>
            </w:r>
            <w:r>
              <w:rPr>
                <w:rFonts w:eastAsia="SimSun"/>
                <w:sz w:val="16"/>
                <w:szCs w:val="16"/>
                <w:lang w:val="en-US" w:eastAsia="zh-CN" w:bidi="ar"/>
              </w:rPr>
              <w:t xml:space="preserve">LUBRIFICANTE E ACIONAR OU ROMPER </w:t>
            </w:r>
            <w:r>
              <w:rPr>
                <w:rFonts w:eastAsia="SimSun"/>
                <w:sz w:val="16"/>
                <w:szCs w:val="16"/>
                <w:lang w:eastAsia="zh-CN" w:bidi="ar"/>
              </w:rPr>
              <w:t xml:space="preserve"> </w:t>
            </w:r>
            <w:r>
              <w:rPr>
                <w:rFonts w:eastAsia="SimSun"/>
                <w:sz w:val="16"/>
                <w:szCs w:val="16"/>
                <w:lang w:val="en-US" w:eastAsia="zh-CN" w:bidi="ar"/>
              </w:rPr>
              <w:t xml:space="preserve">QUALQUER TIPO DE DISPOSITIVO COM </w:t>
            </w:r>
            <w:r>
              <w:rPr>
                <w:rFonts w:eastAsia="SimSun"/>
                <w:sz w:val="16"/>
                <w:szCs w:val="16"/>
                <w:lang w:eastAsia="zh-CN" w:bidi="ar"/>
              </w:rPr>
              <w:t xml:space="preserve"> </w:t>
            </w:r>
            <w:r>
              <w:rPr>
                <w:rFonts w:eastAsia="SimSun"/>
                <w:sz w:val="16"/>
                <w:szCs w:val="16"/>
                <w:lang w:val="en-US" w:eastAsia="zh-CN" w:bidi="ar"/>
              </w:rPr>
              <w:t xml:space="preserve">SUBSTÂNCIA LUBRIFICANTE E DE USO </w:t>
            </w:r>
            <w:r>
              <w:rPr>
                <w:rFonts w:eastAsia="SimSun"/>
                <w:sz w:val="16"/>
                <w:szCs w:val="16"/>
                <w:lang w:eastAsia="zh-CN" w:bidi="ar"/>
              </w:rPr>
              <w:t xml:space="preserve"> </w:t>
            </w:r>
            <w:r>
              <w:rPr>
                <w:rFonts w:eastAsia="SimSun"/>
                <w:sz w:val="16"/>
                <w:szCs w:val="16"/>
                <w:lang w:val="en-US" w:eastAsia="zh-CN" w:bidi="ar"/>
              </w:rPr>
              <w:t xml:space="preserve">ÚNICO. </w:t>
            </w:r>
          </w:p>
          <w:p w14:paraId="74FBFA43">
            <w:pPr>
              <w:jc w:val="both"/>
              <w:rPr>
                <w:b/>
                <w:bCs/>
                <w:color w:val="000000"/>
                <w:sz w:val="16"/>
                <w:szCs w:val="16"/>
              </w:rPr>
            </w:pP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1BCDE6B">
            <w:pPr>
              <w:jc w:val="center"/>
              <w:textAlignment w:val="bottom"/>
              <w:rPr>
                <w:rFonts w:eastAsia="SimSun"/>
                <w:b/>
                <w:bCs/>
                <w:color w:val="000000"/>
                <w:sz w:val="16"/>
                <w:szCs w:val="16"/>
                <w:lang w:eastAsia="zh-CN" w:bidi="ar"/>
              </w:rPr>
            </w:pPr>
            <w:r>
              <w:rPr>
                <w:rFonts w:eastAsia="SimSun"/>
                <w:b/>
                <w:bCs/>
                <w:color w:val="000000"/>
                <w:sz w:val="16"/>
                <w:szCs w:val="16"/>
                <w:lang w:eastAsia="zh-CN" w:bidi="ar"/>
              </w:rPr>
              <w:t>469441</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45AD6EEF">
            <w:pPr>
              <w:jc w:val="center"/>
              <w:textAlignment w:val="bottom"/>
              <w:rPr>
                <w:rFonts w:eastAsia="SimSun"/>
                <w:color w:val="000000"/>
                <w:sz w:val="16"/>
                <w:szCs w:val="16"/>
                <w:lang w:eastAsia="zh-CN" w:bidi="ar"/>
              </w:rPr>
            </w:pPr>
            <w:r>
              <w:rPr>
                <w:rFonts w:eastAsia="SimSun"/>
                <w:color w:val="000000"/>
                <w:sz w:val="16"/>
                <w:szCs w:val="16"/>
                <w:lang w:eastAsia="zh-CN" w:bidi="ar"/>
              </w:rPr>
              <w:t>18,51</w:t>
            </w:r>
          </w:p>
        </w:tc>
        <w:tc>
          <w:tcPr>
            <w:tcW w:w="851"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985AC48">
            <w:pPr>
              <w:jc w:val="center"/>
              <w:textAlignment w:val="bottom"/>
              <w:rPr>
                <w:rFonts w:eastAsia="SimSun"/>
                <w:color w:val="000000"/>
                <w:sz w:val="16"/>
                <w:szCs w:val="16"/>
                <w:lang w:eastAsia="zh-CN" w:bidi="ar"/>
              </w:rPr>
            </w:pPr>
            <w:r>
              <w:rPr>
                <w:rFonts w:eastAsia="SimSun"/>
                <w:color w:val="000000"/>
                <w:sz w:val="16"/>
                <w:szCs w:val="16"/>
                <w:lang w:eastAsia="zh-CN" w:bidi="ar"/>
              </w:rPr>
              <w:t>14,69</w:t>
            </w:r>
          </w:p>
        </w:tc>
        <w:tc>
          <w:tcPr>
            <w:tcW w:w="992"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082F0E64">
            <w:pPr>
              <w:jc w:val="center"/>
              <w:textAlignment w:val="bottom"/>
              <w:rPr>
                <w:rFonts w:eastAsia="SimSun"/>
                <w:color w:val="000000"/>
                <w:sz w:val="16"/>
                <w:szCs w:val="16"/>
                <w:lang w:eastAsia="zh-CN" w:bidi="ar"/>
              </w:rPr>
            </w:pPr>
            <w:r>
              <w:rPr>
                <w:rFonts w:eastAsia="SimSun"/>
                <w:color w:val="000000"/>
                <w:sz w:val="16"/>
                <w:szCs w:val="16"/>
                <w:lang w:eastAsia="zh-CN" w:bidi="ar"/>
              </w:rPr>
              <w:t>20,00</w:t>
            </w:r>
          </w:p>
        </w:tc>
        <w:tc>
          <w:tcPr>
            <w:tcW w:w="850"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047C9B4">
            <w:pPr>
              <w:jc w:val="center"/>
              <w:textAlignment w:val="bottom"/>
              <w:rPr>
                <w:rFonts w:eastAsia="SimSun"/>
                <w:color w:val="000000"/>
                <w:sz w:val="16"/>
                <w:szCs w:val="16"/>
                <w:lang w:eastAsia="zh-CN" w:bidi="ar"/>
              </w:rPr>
            </w:pPr>
            <w:r>
              <w:rPr>
                <w:rFonts w:eastAsia="SimSun"/>
                <w:color w:val="000000"/>
                <w:sz w:val="16"/>
                <w:szCs w:val="16"/>
                <w:lang w:eastAsia="zh-CN" w:bidi="ar"/>
              </w:rPr>
              <w:t>19,75</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2D11BAC9">
            <w:pPr>
              <w:jc w:val="center"/>
              <w:textAlignment w:val="bottom"/>
              <w:rPr>
                <w:rFonts w:eastAsia="SimSun"/>
                <w:color w:val="000000"/>
                <w:sz w:val="16"/>
                <w:szCs w:val="16"/>
                <w:lang w:eastAsia="zh-CN" w:bidi="ar"/>
              </w:rPr>
            </w:pPr>
            <w:r>
              <w:rPr>
                <w:rFonts w:eastAsia="SimSun"/>
                <w:color w:val="000000"/>
                <w:sz w:val="16"/>
                <w:szCs w:val="16"/>
                <w:lang w:eastAsia="zh-CN" w:bidi="ar"/>
              </w:rPr>
              <w:t>19,13</w:t>
            </w:r>
          </w:p>
        </w:tc>
        <w:tc>
          <w:tcPr>
            <w:tcW w:w="1134" w:type="dxa"/>
            <w:tcBorders>
              <w:top w:val="single" w:color="000000" w:sz="2" w:space="0"/>
              <w:left w:val="single" w:color="000000" w:sz="2" w:space="0"/>
              <w:bottom w:val="single" w:color="000000" w:sz="2" w:space="0"/>
              <w:right w:val="single" w:color="000000" w:sz="2" w:space="0"/>
            </w:tcBorders>
            <w:shd w:val="clear" w:color="auto" w:fill="auto"/>
            <w:noWrap/>
            <w:vAlign w:val="bottom"/>
          </w:tcPr>
          <w:p w14:paraId="1C3773EF">
            <w:pPr>
              <w:jc w:val="center"/>
              <w:textAlignment w:val="bottom"/>
              <w:rPr>
                <w:rFonts w:eastAsia="SimSun"/>
                <w:color w:val="000000"/>
                <w:sz w:val="16"/>
                <w:szCs w:val="16"/>
                <w:lang w:eastAsia="zh-CN" w:bidi="ar"/>
              </w:rPr>
            </w:pPr>
            <w:r>
              <w:rPr>
                <w:rFonts w:eastAsia="SimSun"/>
                <w:color w:val="000000"/>
                <w:sz w:val="16"/>
                <w:szCs w:val="16"/>
                <w:lang w:eastAsia="zh-CN" w:bidi="ar"/>
              </w:rPr>
              <w:t>688.680,00</w:t>
            </w:r>
          </w:p>
        </w:tc>
      </w:tr>
    </w:tbl>
    <w:p w14:paraId="54C17752">
      <w:pPr>
        <w:tabs>
          <w:tab w:val="left" w:pos="709"/>
        </w:tabs>
        <w:spacing w:before="120" w:after="120"/>
        <w:ind w:left="142"/>
        <w:jc w:val="center"/>
        <w:rPr>
          <w:b/>
          <w:sz w:val="24"/>
          <w:szCs w:val="24"/>
          <w:u w:val="single"/>
        </w:rPr>
      </w:pPr>
    </w:p>
    <w:p w14:paraId="73D4F687">
      <w:pPr>
        <w:pStyle w:val="77"/>
        <w:jc w:val="both"/>
        <w:rPr>
          <w:rFonts w:ascii="Times New Roman" w:hAnsi="Times New Roman" w:eastAsia="SimSun" w:cs="Times New Roman"/>
          <w:sz w:val="24"/>
          <w:szCs w:val="24"/>
        </w:rPr>
      </w:pPr>
    </w:p>
    <w:p w14:paraId="2F992440">
      <w:pPr>
        <w:rPr>
          <w:rFonts w:ascii="Arial" w:hAnsi="Arial" w:cs="Arial"/>
        </w:rPr>
      </w:pPr>
    </w:p>
    <w:p w14:paraId="2110695E">
      <w:pPr>
        <w:rPr>
          <w:rFonts w:ascii="Arial" w:hAnsi="Arial" w:cs="Arial"/>
        </w:rPr>
      </w:pPr>
    </w:p>
    <w:p w14:paraId="0DA704E2">
      <w:pPr>
        <w:spacing w:line="288" w:lineRule="auto"/>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ANEXO VI</w:t>
      </w:r>
    </w:p>
    <w:p w14:paraId="5B72FB63">
      <w:pPr>
        <w:spacing w:line="288" w:lineRule="auto"/>
        <w:contextualSpacing/>
        <w:jc w:val="center"/>
        <w:rPr>
          <w:b/>
          <w:color w:val="000000" w:themeColor="text1"/>
          <w:sz w:val="24"/>
          <w:szCs w:val="24"/>
          <w:u w:val="single"/>
          <w14:textFill>
            <w14:solidFill>
              <w14:schemeClr w14:val="tx1"/>
            </w14:solidFill>
          </w14:textFill>
        </w:rPr>
      </w:pPr>
      <w:r>
        <w:rPr>
          <w:b/>
          <w:bCs/>
          <w:color w:val="000000" w:themeColor="text1"/>
          <w:sz w:val="24"/>
          <w:szCs w:val="24"/>
          <w:highlight w:val="yellow"/>
          <w:u w:val="single"/>
          <w14:textFill>
            <w14:solidFill>
              <w14:schemeClr w14:val="tx1"/>
            </w14:solidFill>
          </w14:textFill>
        </w:rPr>
        <w:t xml:space="preserve">MINUTA - ATA DE REGISTRO DE PREÇOS N° </w:t>
      </w:r>
      <w:r>
        <w:rPr>
          <w:b/>
          <w:color w:val="000000" w:themeColor="text1"/>
          <w:sz w:val="24"/>
          <w:szCs w:val="24"/>
          <w:highlight w:val="yellow"/>
          <w:u w:val="single"/>
          <w14:textFill>
            <w14:solidFill>
              <w14:schemeClr w14:val="tx1"/>
            </w14:solidFill>
          </w14:textFill>
        </w:rPr>
        <w:t>XXX/XXX</w:t>
      </w:r>
    </w:p>
    <w:p w14:paraId="6522E206">
      <w:pPr>
        <w:contextualSpacing/>
        <w:jc w:val="center"/>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MUNICÍPIO DE VALENÇA</w:t>
      </w:r>
    </w:p>
    <w:p w14:paraId="0645F0F3">
      <w:pPr>
        <w:contextualSpacing/>
        <w:jc w:val="center"/>
        <w:rPr>
          <w:b/>
          <w:bCs/>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SECRETARIA MUNICIPAL DE SAÚDE</w:t>
      </w:r>
    </w:p>
    <w:p w14:paraId="44395BEA">
      <w:pPr>
        <w:spacing w:after="120"/>
        <w:ind w:left="3969" w:right="-15"/>
        <w:contextualSpacing/>
        <w:jc w:val="both"/>
        <w:rPr>
          <w:b/>
          <w:color w:val="000000" w:themeColor="text1"/>
          <w:sz w:val="24"/>
          <w:szCs w:val="24"/>
          <w14:textFill>
            <w14:solidFill>
              <w14:schemeClr w14:val="tx1"/>
            </w14:solidFill>
          </w14:textFill>
        </w:rPr>
      </w:pPr>
    </w:p>
    <w:p w14:paraId="6787FE57">
      <w:pPr>
        <w:spacing w:after="120"/>
        <w:ind w:left="3969" w:right="-15"/>
        <w:contextualSpacing/>
        <w:jc w:val="both"/>
        <w:rPr>
          <w:b/>
          <w:color w:val="000000" w:themeColor="text1"/>
          <w:sz w:val="24"/>
          <w:szCs w:val="24"/>
          <w14:textFill>
            <w14:solidFill>
              <w14:schemeClr w14:val="tx1"/>
            </w14:solidFill>
          </w14:textFill>
        </w:rPr>
      </w:pPr>
    </w:p>
    <w:p w14:paraId="673543BE">
      <w:pPr>
        <w:widowControl w:val="0"/>
        <w:tabs>
          <w:tab w:val="center" w:pos="4779"/>
          <w:tab w:val="right" w:pos="9198"/>
        </w:tabs>
        <w:autoSpaceDE w:val="0"/>
        <w:autoSpaceDN w:val="0"/>
        <w:adjustRightInd w:val="0"/>
        <w:spacing w:before="120" w:after="120" w:line="288" w:lineRule="auto"/>
        <w:ind w:right="-28"/>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xxx , na cidade de Valença, no Estado do Rio de Janeiro, inscrita no CNPJ sob o nº ................................, neste ato representada por xxx, portador do CPF nº xxxx, considerando o resultado do Pregão Eletrônico nº xxx/2026, publicada no ...... de ...../...../202... para REGISTRO DE PREÇOS, processo administrativo nº ......, RESOLVE registrar os preços da  empresa indicada e qualificada nesta ATA, de acordo com a classificação por ela alcançada e na quantidade  cotada, atendendo as condições previstas no </w:t>
      </w:r>
      <w:bookmarkStart w:id="43" w:name="_Hlk158816343"/>
      <w:r>
        <w:rPr>
          <w:color w:val="000000" w:themeColor="text1"/>
          <w:sz w:val="24"/>
          <w:szCs w:val="24"/>
          <w14:textFill>
            <w14:solidFill>
              <w14:schemeClr w14:val="tx1"/>
            </w14:solidFill>
          </w14:textFill>
        </w:rPr>
        <w:t xml:space="preserve">Edital de licitação </w:t>
      </w:r>
      <w:bookmarkStart w:id="44" w:name="_Hlk155800648"/>
      <w:r>
        <w:rPr>
          <w:color w:val="000000" w:themeColor="text1"/>
          <w:sz w:val="24"/>
          <w:szCs w:val="24"/>
          <w14:textFill>
            <w14:solidFill>
              <w14:schemeClr w14:val="tx1"/>
            </w14:solidFill>
          </w14:textFill>
        </w:rPr>
        <w:t>nº xxx/202</w:t>
      </w:r>
      <w:bookmarkEnd w:id="44"/>
      <w:r>
        <w:rPr>
          <w:color w:val="000000" w:themeColor="text1"/>
          <w:sz w:val="24"/>
          <w:szCs w:val="24"/>
          <w14:textFill>
            <w14:solidFill>
              <w14:schemeClr w14:val="tx1"/>
            </w14:solidFill>
          </w14:textFill>
        </w:rPr>
        <w:t>6 Termo de Referência</w:t>
      </w:r>
      <w:bookmarkEnd w:id="43"/>
      <w:r>
        <w:rPr>
          <w:color w:val="000000" w:themeColor="text1"/>
          <w:sz w:val="24"/>
          <w:szCs w:val="24"/>
          <w14:textFill>
            <w14:solidFill>
              <w14:schemeClr w14:val="tx1"/>
            </w14:solidFill>
          </w14:textFill>
        </w:rPr>
        <w:t xml:space="preserve">, sujeitando-se as partes às normas constantes na Lei nº 14.133, de 1º de abril de 2021, no Decreto nº 46, de 25 de fevereiro de 2025 </w:t>
      </w:r>
      <w:r>
        <w:rPr>
          <w:rFonts w:eastAsia="Arial"/>
          <w:color w:val="000000" w:themeColor="text1"/>
          <w:sz w:val="24"/>
          <w:szCs w:val="24"/>
          <w14:textFill>
            <w14:solidFill>
              <w14:schemeClr w14:val="tx1"/>
            </w14:solidFill>
          </w14:textFill>
        </w:rPr>
        <w:t xml:space="preserve">e nos demais normativos municipais aplicáveis, todos disponíveis </w:t>
      </w:r>
      <w:r>
        <w:rPr>
          <w:color w:val="000000" w:themeColor="text1"/>
          <w:sz w:val="24"/>
          <w:szCs w:val="24"/>
          <w14:textFill>
            <w14:solidFill>
              <w14:schemeClr w14:val="tx1"/>
            </w14:solidFill>
          </w14:textFill>
        </w:rPr>
        <w:t>no endereço eletrônico xxx, e em conformidade com as disposições a seguir:</w:t>
      </w:r>
    </w:p>
    <w:p w14:paraId="0174BEB2">
      <w:pPr>
        <w:pStyle w:val="97"/>
        <w:spacing w:before="0" w:beforeAutospacing="0" w:after="0" w:afterAutospacing="0" w:line="288" w:lineRule="auto"/>
        <w:ind w:right="-1"/>
        <w:contextualSpacing/>
        <w:jc w:val="both"/>
        <w:rPr>
          <w:color w:val="000000" w:themeColor="text1"/>
          <w14:textFill>
            <w14:solidFill>
              <w14:schemeClr w14:val="tx1"/>
            </w14:solidFill>
          </w14:textFill>
        </w:rPr>
      </w:pPr>
    </w:p>
    <w:p w14:paraId="04A6C3D3">
      <w:pPr>
        <w:pStyle w:val="97"/>
        <w:spacing w:before="0" w:beforeAutospacing="0" w:after="0" w:afterAutospacing="0" w:line="288" w:lineRule="auto"/>
        <w:ind w:right="-1"/>
        <w:contextualSpacing/>
        <w:jc w:val="both"/>
        <w:rPr>
          <w:b/>
          <w:bCs/>
        </w:rPr>
      </w:pPr>
      <w:r>
        <w:rPr>
          <w:b/>
          <w:bCs/>
        </w:rPr>
        <w:t xml:space="preserve">CLÁUSULA PRIMEIRA: OBJETO </w:t>
      </w:r>
    </w:p>
    <w:p w14:paraId="641AB554">
      <w:pPr>
        <w:pStyle w:val="97"/>
        <w:spacing w:before="0" w:beforeAutospacing="0" w:after="0" w:afterAutospacing="0" w:line="288" w:lineRule="auto"/>
        <w:ind w:right="-1"/>
        <w:contextualSpacing/>
        <w:jc w:val="both"/>
        <w:rPr>
          <w:b/>
          <w:bCs/>
        </w:rPr>
      </w:pPr>
    </w:p>
    <w:p w14:paraId="202B2C7B">
      <w:pPr>
        <w:pStyle w:val="77"/>
        <w:spacing w:line="360" w:lineRule="auto"/>
        <w:jc w:val="both"/>
        <w:rPr>
          <w:rFonts w:ascii="Times New Roman" w:hAnsi="Times New Roman" w:eastAsia="SimSun" w:cs="Times New Roman"/>
          <w:sz w:val="24"/>
          <w:szCs w:val="24"/>
        </w:rPr>
      </w:pPr>
      <w:r>
        <w:rPr>
          <w:rFonts w:ascii="Times New Roman" w:hAnsi="Times New Roman" w:eastAsia="Cambria Math" w:cs="Times New Roman"/>
          <w:sz w:val="24"/>
          <w:szCs w:val="24"/>
        </w:rPr>
        <w:t xml:space="preserve">1.1 </w:t>
      </w:r>
      <w:r>
        <w:rPr>
          <w:rFonts w:ascii="Times New Roman" w:hAnsi="Times New Roman" w:eastAsia="SimSun" w:cs="Times New Roman"/>
          <w:sz w:val="24"/>
          <w:szCs w:val="24"/>
        </w:rPr>
        <w:t>Aquisição de cateteres uretrais destinados a atender pacientes assistidos pela Farmácia Assistencial.</w:t>
      </w:r>
    </w:p>
    <w:p w14:paraId="742F58E6">
      <w:pPr>
        <w:pStyle w:val="99"/>
        <w:numPr>
          <w:ilvl w:val="1"/>
          <w:numId w:val="0"/>
        </w:numPr>
        <w:autoSpaceDE w:val="0"/>
        <w:autoSpaceDN w:val="0"/>
        <w:adjustRightInd w:val="0"/>
        <w:spacing w:line="288"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CLÁUSULA SEGUNDA: DA ATA DE REGISTRO DE PREÇOS   </w:t>
      </w:r>
    </w:p>
    <w:p w14:paraId="577253A8">
      <w:pPr>
        <w:pStyle w:val="99"/>
        <w:numPr>
          <w:ilvl w:val="1"/>
          <w:numId w:val="0"/>
        </w:numPr>
        <w:autoSpaceDE w:val="0"/>
        <w:autoSpaceDN w:val="0"/>
        <w:adjustRightInd w:val="0"/>
        <w:spacing w:line="288" w:lineRule="auto"/>
        <w:contextualSpacing/>
        <w:rPr>
          <w:rFonts w:ascii="Times New Roman" w:hAnsi="Times New Roman" w:cs="Times New Roman"/>
          <w:sz w:val="24"/>
          <w:szCs w:val="24"/>
        </w:rPr>
      </w:pPr>
    </w:p>
    <w:p w14:paraId="536A7C42">
      <w:pPr>
        <w:pStyle w:val="77"/>
        <w:spacing w:line="360" w:lineRule="auto"/>
        <w:jc w:val="both"/>
        <w:rPr>
          <w:rFonts w:ascii="Times New Roman" w:hAnsi="Times New Roman" w:eastAsia="SimSun" w:cs="Times New Roman"/>
          <w:sz w:val="24"/>
          <w:szCs w:val="24"/>
        </w:rPr>
      </w:pPr>
      <w:r>
        <w:rPr>
          <w:rFonts w:ascii="Times New Roman" w:hAnsi="Times New Roman" w:cs="Times New Roman"/>
          <w:sz w:val="24"/>
          <w:szCs w:val="24"/>
        </w:rPr>
        <w:t xml:space="preserve">2.1 </w:t>
      </w:r>
      <w:r>
        <w:rPr>
          <w:rFonts w:ascii="Times New Roman" w:hAnsi="Times New Roman" w:eastAsia="SimSun" w:cs="Times New Roman"/>
          <w:sz w:val="24"/>
          <w:szCs w:val="24"/>
        </w:rPr>
        <w:t>Aquisição de cateteres uretrais destinados a atender pacientes assistidos pela Farmácia Assistencial.</w:t>
      </w:r>
    </w:p>
    <w:p w14:paraId="3AC0B7CD">
      <w:pPr>
        <w:pStyle w:val="77"/>
        <w:spacing w:line="360" w:lineRule="auto"/>
        <w:jc w:val="both"/>
        <w:rPr>
          <w:rFonts w:ascii="Times New Roman" w:hAnsi="Times New Roman" w:eastAsia="SimSun" w:cs="Times New Roman"/>
          <w:sz w:val="24"/>
          <w:szCs w:val="24"/>
        </w:rPr>
      </w:pPr>
    </w:p>
    <w:p w14:paraId="52D57E5A">
      <w:pPr>
        <w:spacing w:line="288" w:lineRule="auto"/>
        <w:contextualSpacing/>
        <w:jc w:val="both"/>
        <w:rPr>
          <w:b/>
          <w:sz w:val="24"/>
          <w:szCs w:val="24"/>
        </w:rPr>
      </w:pPr>
      <w:r>
        <w:rPr>
          <w:sz w:val="24"/>
          <w:szCs w:val="24"/>
        </w:rPr>
        <w:t xml:space="preserve">2.2 A contratação com o fornecedor registrado não é obrigatória e será realizada de acordo com a necessidade do </w:t>
      </w:r>
      <w:r>
        <w:rPr>
          <w:bCs/>
          <w:sz w:val="24"/>
          <w:szCs w:val="24"/>
        </w:rPr>
        <w:t>gerenciador e dos participantes, quando houver,</w:t>
      </w:r>
      <w:r>
        <w:rPr>
          <w:b/>
          <w:sz w:val="24"/>
          <w:szCs w:val="24"/>
        </w:rPr>
        <w:t xml:space="preserve"> </w:t>
      </w:r>
      <w:r>
        <w:rPr>
          <w:sz w:val="24"/>
          <w:szCs w:val="24"/>
        </w:rPr>
        <w:t>e de acordo com o quantitativo indicado na cláusula quinta</w:t>
      </w:r>
      <w:r>
        <w:rPr>
          <w:b/>
          <w:sz w:val="24"/>
          <w:szCs w:val="24"/>
        </w:rPr>
        <w:t>.</w:t>
      </w:r>
    </w:p>
    <w:p w14:paraId="635D1EB5">
      <w:pPr>
        <w:spacing w:line="288" w:lineRule="auto"/>
        <w:contextualSpacing/>
        <w:jc w:val="both"/>
        <w:rPr>
          <w:b/>
          <w:sz w:val="24"/>
          <w:szCs w:val="24"/>
        </w:rPr>
      </w:pPr>
    </w:p>
    <w:p w14:paraId="066FE1B2">
      <w:pPr>
        <w:autoSpaceDE w:val="0"/>
        <w:autoSpaceDN w:val="0"/>
        <w:adjustRightInd w:val="0"/>
        <w:spacing w:line="288" w:lineRule="auto"/>
        <w:contextualSpacing/>
        <w:jc w:val="both"/>
        <w:rPr>
          <w:sz w:val="24"/>
          <w:szCs w:val="24"/>
        </w:rPr>
      </w:pPr>
      <w:r>
        <w:rPr>
          <w:bCs/>
          <w:sz w:val="24"/>
          <w:szCs w:val="24"/>
        </w:rPr>
        <w:t xml:space="preserve">2.3 </w:t>
      </w:r>
      <w:r>
        <w:rPr>
          <w:sz w:val="24"/>
          <w:szCs w:val="24"/>
        </w:rPr>
        <w:t xml:space="preserve">A Administração poderá realizar </w:t>
      </w:r>
      <w:r>
        <w:rPr>
          <w:color w:val="231F20"/>
          <w:sz w:val="24"/>
          <w:szCs w:val="24"/>
        </w:rPr>
        <w:t xml:space="preserve">licitação ou contratação direta </w:t>
      </w:r>
      <w:r>
        <w:rPr>
          <w:sz w:val="24"/>
          <w:szCs w:val="24"/>
        </w:rPr>
        <w:t>para</w:t>
      </w:r>
      <w:r>
        <w:rPr>
          <w:color w:val="231F20"/>
          <w:sz w:val="24"/>
          <w:szCs w:val="24"/>
        </w:rPr>
        <w:t xml:space="preserve"> a aquisição de mesmo objeto da presente Ata,</w:t>
      </w:r>
      <w:r>
        <w:rPr>
          <w:sz w:val="24"/>
          <w:szCs w:val="24"/>
        </w:rPr>
        <w:t xml:space="preserve"> desde que devidamente motivada, observado o disposto no art. 26, parágrafo único, do Decreto nº 46/2025</w:t>
      </w:r>
      <w:r>
        <w:rPr>
          <w:color w:val="231F20"/>
          <w:sz w:val="24"/>
          <w:szCs w:val="24"/>
        </w:rPr>
        <w:t>.</w:t>
      </w:r>
      <w:r>
        <w:rPr>
          <w:sz w:val="24"/>
          <w:szCs w:val="24"/>
        </w:rPr>
        <w:t xml:space="preserve"> </w:t>
      </w:r>
    </w:p>
    <w:p w14:paraId="0D321846">
      <w:pPr>
        <w:spacing w:line="288" w:lineRule="auto"/>
        <w:contextualSpacing/>
        <w:jc w:val="both"/>
        <w:rPr>
          <w:sz w:val="24"/>
          <w:szCs w:val="24"/>
        </w:rPr>
      </w:pPr>
    </w:p>
    <w:p w14:paraId="55D9E828">
      <w:pPr>
        <w:spacing w:line="288" w:lineRule="auto"/>
        <w:contextualSpacing/>
        <w:jc w:val="both"/>
        <w:rPr>
          <w:color w:val="231F20"/>
          <w:sz w:val="24"/>
          <w:szCs w:val="24"/>
        </w:rPr>
      </w:pPr>
      <w:r>
        <w:rPr>
          <w:rFonts w:eastAsia="Arial"/>
          <w:bCs/>
          <w:sz w:val="24"/>
          <w:szCs w:val="24"/>
        </w:rPr>
        <w:t>2.4 Esta</w:t>
      </w:r>
      <w:r>
        <w:rPr>
          <w:bCs/>
          <w:sz w:val="24"/>
          <w:szCs w:val="24"/>
        </w:rPr>
        <w:t xml:space="preserve"> </w:t>
      </w:r>
      <w:r>
        <w:rPr>
          <w:sz w:val="24"/>
          <w:szCs w:val="24"/>
        </w:rPr>
        <w:t xml:space="preserve">Ata de Registro de Preços, com a indicação do </w:t>
      </w:r>
      <w:r>
        <w:rPr>
          <w:color w:val="231F20"/>
          <w:sz w:val="24"/>
          <w:szCs w:val="24"/>
        </w:rPr>
        <w:t xml:space="preserve">preço registrado e dos fornecedores, será divulgada no </w:t>
      </w:r>
      <w:r>
        <w:rPr>
          <w:sz w:val="24"/>
          <w:szCs w:val="24"/>
        </w:rPr>
        <w:t xml:space="preserve">Portal Nacional de Contratações Públicas – PNCP e no </w:t>
      </w:r>
      <w:r>
        <w:rPr>
          <w:color w:val="231F20"/>
          <w:sz w:val="24"/>
          <w:szCs w:val="24"/>
        </w:rPr>
        <w:t>Site da Prefeitura de Valença.</w:t>
      </w:r>
    </w:p>
    <w:p w14:paraId="23AC1F40">
      <w:pPr>
        <w:spacing w:line="288" w:lineRule="auto"/>
        <w:contextualSpacing/>
        <w:jc w:val="both"/>
        <w:rPr>
          <w:color w:val="231F20"/>
          <w:sz w:val="24"/>
          <w:szCs w:val="24"/>
        </w:rPr>
      </w:pPr>
    </w:p>
    <w:p w14:paraId="1D379020">
      <w:pPr>
        <w:spacing w:line="288" w:lineRule="auto"/>
        <w:contextualSpacing/>
        <w:jc w:val="both"/>
        <w:rPr>
          <w:rFonts w:eastAsia="Arial"/>
          <w:b/>
          <w:sz w:val="24"/>
          <w:szCs w:val="24"/>
        </w:rPr>
      </w:pPr>
      <w:r>
        <w:rPr>
          <w:b/>
          <w:bCs/>
          <w:sz w:val="24"/>
          <w:szCs w:val="24"/>
        </w:rPr>
        <w:t>CLÁUSULA TERCEIRA:</w:t>
      </w:r>
      <w:r>
        <w:rPr>
          <w:sz w:val="24"/>
          <w:szCs w:val="24"/>
        </w:rPr>
        <w:t xml:space="preserve"> </w:t>
      </w:r>
      <w:r>
        <w:rPr>
          <w:b/>
          <w:bCs/>
          <w:sz w:val="24"/>
          <w:szCs w:val="24"/>
        </w:rPr>
        <w:t>DO FORNECEDOR,</w:t>
      </w:r>
      <w:r>
        <w:rPr>
          <w:sz w:val="24"/>
          <w:szCs w:val="24"/>
        </w:rPr>
        <w:t xml:space="preserve"> </w:t>
      </w:r>
      <w:r>
        <w:rPr>
          <w:rFonts w:eastAsia="Arial"/>
          <w:b/>
          <w:sz w:val="24"/>
          <w:szCs w:val="24"/>
        </w:rPr>
        <w:t xml:space="preserve">DO GERENCIADOR, DOS PARTICIPANTES E DAS ATRIBUIÇÕES  </w:t>
      </w:r>
    </w:p>
    <w:p w14:paraId="77A0E61A">
      <w:pPr>
        <w:spacing w:line="288" w:lineRule="auto"/>
        <w:contextualSpacing/>
        <w:jc w:val="both"/>
        <w:rPr>
          <w:rFonts w:eastAsia="Arial"/>
          <w:sz w:val="24"/>
          <w:szCs w:val="24"/>
        </w:rPr>
      </w:pPr>
    </w:p>
    <w:p w14:paraId="72A86269">
      <w:pPr>
        <w:spacing w:line="288" w:lineRule="auto"/>
        <w:contextualSpacing/>
        <w:jc w:val="both"/>
        <w:rPr>
          <w:rFonts w:eastAsia="Arial"/>
          <w:sz w:val="24"/>
          <w:szCs w:val="24"/>
        </w:rPr>
      </w:pPr>
      <w:r>
        <w:rPr>
          <w:rFonts w:eastAsia="Arial"/>
          <w:sz w:val="24"/>
          <w:szCs w:val="24"/>
        </w:rPr>
        <w:t xml:space="preserve">3.1 O fornecedor desta Ata de Registro de Preços é </w:t>
      </w:r>
      <w:r>
        <w:rPr>
          <w:rFonts w:eastAsia="Arial"/>
          <w:color w:val="FF0000"/>
          <w:sz w:val="24"/>
          <w:szCs w:val="24"/>
        </w:rPr>
        <w:t>...................</w:t>
      </w:r>
      <w:r>
        <w:rPr>
          <w:sz w:val="24"/>
          <w:szCs w:val="24"/>
        </w:rPr>
        <w:t>, na forma do Anexo I – Consolidação das Informações da Ata de Registro de Preços.</w:t>
      </w:r>
    </w:p>
    <w:p w14:paraId="40D456CC">
      <w:pPr>
        <w:spacing w:line="288" w:lineRule="auto"/>
        <w:contextualSpacing/>
        <w:jc w:val="both"/>
        <w:rPr>
          <w:rFonts w:eastAsia="Arial"/>
          <w:sz w:val="24"/>
          <w:szCs w:val="24"/>
        </w:rPr>
      </w:pPr>
    </w:p>
    <w:p w14:paraId="2D12A54E">
      <w:pPr>
        <w:spacing w:line="288" w:lineRule="auto"/>
        <w:contextualSpacing/>
        <w:jc w:val="both"/>
        <w:rPr>
          <w:sz w:val="24"/>
          <w:szCs w:val="24"/>
          <w:highlight w:val="yellow"/>
        </w:rPr>
      </w:pPr>
      <w:r>
        <w:rPr>
          <w:rFonts w:eastAsia="Arial"/>
          <w:sz w:val="24"/>
          <w:szCs w:val="24"/>
        </w:rPr>
        <w:t xml:space="preserve">3.1.1 </w:t>
      </w:r>
      <w:r>
        <w:rPr>
          <w:sz w:val="24"/>
          <w:szCs w:val="24"/>
        </w:rPr>
        <w:t xml:space="preserve">O fornecedor registrado deverá manter durante toda a vigência da Ata de Registro de Preços a compatibilidade com as obrigações assumidas, assim como todas as condições exigidas </w:t>
      </w:r>
      <w:r>
        <w:rPr>
          <w:rFonts w:eastAsia="Arial"/>
          <w:sz w:val="24"/>
          <w:szCs w:val="24"/>
        </w:rPr>
        <w:t xml:space="preserve">no </w:t>
      </w:r>
      <w:r>
        <w:rPr>
          <w:sz w:val="24"/>
          <w:szCs w:val="24"/>
        </w:rPr>
        <w:t>instrumento convocatório, quando houver,</w:t>
      </w:r>
      <w:r>
        <w:rPr>
          <w:rFonts w:eastAsia="Arial"/>
          <w:sz w:val="24"/>
          <w:szCs w:val="24"/>
        </w:rPr>
        <w:t xml:space="preserve"> e no Termo de Referência</w:t>
      </w:r>
      <w:r>
        <w:rPr>
          <w:sz w:val="24"/>
          <w:szCs w:val="24"/>
        </w:rPr>
        <w:t>, inclusive as referentes à habilitação e às condições de participação.</w:t>
      </w:r>
      <w:r>
        <w:rPr>
          <w:sz w:val="24"/>
          <w:szCs w:val="24"/>
          <w:highlight w:val="yellow"/>
        </w:rPr>
        <w:t xml:space="preserve"> </w:t>
      </w:r>
    </w:p>
    <w:p w14:paraId="3F5C68F8">
      <w:pPr>
        <w:spacing w:line="288" w:lineRule="auto"/>
        <w:contextualSpacing/>
        <w:jc w:val="both"/>
        <w:rPr>
          <w:rFonts w:eastAsia="Arial"/>
          <w:sz w:val="24"/>
          <w:szCs w:val="24"/>
        </w:rPr>
      </w:pPr>
    </w:p>
    <w:p w14:paraId="5733BE72">
      <w:pPr>
        <w:spacing w:line="288" w:lineRule="auto"/>
        <w:contextualSpacing/>
        <w:jc w:val="both"/>
        <w:rPr>
          <w:rFonts w:eastAsia="Arial"/>
          <w:sz w:val="24"/>
          <w:szCs w:val="24"/>
        </w:rPr>
      </w:pPr>
      <w:r>
        <w:rPr>
          <w:rFonts w:eastAsia="Arial"/>
          <w:sz w:val="24"/>
          <w:szCs w:val="24"/>
        </w:rPr>
        <w:t xml:space="preserve">3.2 O </w:t>
      </w:r>
      <w:r>
        <w:rPr>
          <w:rFonts w:eastAsia="Arial"/>
          <w:bCs/>
          <w:sz w:val="24"/>
          <w:szCs w:val="24"/>
        </w:rPr>
        <w:t>gerenciador</w:t>
      </w:r>
      <w:r>
        <w:rPr>
          <w:rFonts w:eastAsia="Arial"/>
          <w:b/>
          <w:sz w:val="24"/>
          <w:szCs w:val="24"/>
        </w:rPr>
        <w:t xml:space="preserve"> </w:t>
      </w:r>
      <w:r>
        <w:rPr>
          <w:rFonts w:eastAsia="Arial"/>
          <w:sz w:val="24"/>
          <w:szCs w:val="24"/>
        </w:rPr>
        <w:t>desta Ata de Registro de Preços é a Secretaria Municipal de Saúde</w:t>
      </w:r>
      <w:r>
        <w:rPr>
          <w:sz w:val="24"/>
          <w:szCs w:val="24"/>
        </w:rPr>
        <w:t>.</w:t>
      </w:r>
    </w:p>
    <w:p w14:paraId="771DF8C6">
      <w:pPr>
        <w:spacing w:line="288" w:lineRule="auto"/>
        <w:contextualSpacing/>
        <w:jc w:val="both"/>
        <w:rPr>
          <w:rFonts w:eastAsia="Arial"/>
          <w:bCs/>
          <w:sz w:val="24"/>
          <w:szCs w:val="24"/>
        </w:rPr>
      </w:pPr>
    </w:p>
    <w:p w14:paraId="53DDAA35">
      <w:pPr>
        <w:spacing w:line="288" w:lineRule="auto"/>
        <w:contextualSpacing/>
        <w:jc w:val="both"/>
        <w:rPr>
          <w:rFonts w:eastAsia="Arial"/>
          <w:bCs/>
          <w:sz w:val="24"/>
          <w:szCs w:val="24"/>
        </w:rPr>
      </w:pPr>
      <w:r>
        <w:rPr>
          <w:rFonts w:eastAsia="Arial"/>
          <w:bCs/>
          <w:sz w:val="24"/>
          <w:szCs w:val="24"/>
        </w:rPr>
        <w:t>3.2.1 São atribuições do gerenciador:</w:t>
      </w:r>
    </w:p>
    <w:p w14:paraId="79D78AD8">
      <w:pPr>
        <w:spacing w:line="288" w:lineRule="auto"/>
        <w:contextualSpacing/>
        <w:jc w:val="both"/>
        <w:rPr>
          <w:rFonts w:eastAsia="Arial"/>
          <w:bCs/>
          <w:sz w:val="24"/>
          <w:szCs w:val="24"/>
        </w:rPr>
      </w:pPr>
    </w:p>
    <w:p w14:paraId="5CF66745">
      <w:pPr>
        <w:spacing w:line="288" w:lineRule="auto"/>
        <w:contextualSpacing/>
        <w:jc w:val="both"/>
        <w:rPr>
          <w:sz w:val="24"/>
          <w:szCs w:val="24"/>
        </w:rPr>
      </w:pPr>
      <w:r>
        <w:rPr>
          <w:sz w:val="24"/>
          <w:szCs w:val="24"/>
        </w:rPr>
        <w:t>a) aferir, semestralmente, a compatibilidade dos preços registrados com os efetivamente praticados;</w:t>
      </w:r>
    </w:p>
    <w:p w14:paraId="73E4A3FF">
      <w:pPr>
        <w:spacing w:line="288" w:lineRule="auto"/>
        <w:contextualSpacing/>
        <w:jc w:val="both"/>
        <w:rPr>
          <w:sz w:val="24"/>
          <w:szCs w:val="24"/>
        </w:rPr>
      </w:pPr>
    </w:p>
    <w:p w14:paraId="257456FD">
      <w:pPr>
        <w:spacing w:line="288" w:lineRule="auto"/>
        <w:contextualSpacing/>
        <w:jc w:val="both"/>
        <w:rPr>
          <w:sz w:val="24"/>
          <w:szCs w:val="24"/>
        </w:rPr>
      </w:pPr>
      <w:r>
        <w:rPr>
          <w:sz w:val="24"/>
          <w:szCs w:val="24"/>
        </w:rPr>
        <w:t xml:space="preserve">b) divulgar os preços registrados e suas atualizações no Portal da Prefeitura Municipal de Valença; </w:t>
      </w:r>
    </w:p>
    <w:p w14:paraId="7B39EA5E">
      <w:pPr>
        <w:spacing w:line="288" w:lineRule="auto"/>
        <w:contextualSpacing/>
        <w:jc w:val="both"/>
        <w:rPr>
          <w:sz w:val="24"/>
          <w:szCs w:val="24"/>
        </w:rPr>
      </w:pPr>
    </w:p>
    <w:p w14:paraId="77E11CC5">
      <w:pPr>
        <w:spacing w:line="288" w:lineRule="auto"/>
        <w:contextualSpacing/>
        <w:jc w:val="both"/>
        <w:rPr>
          <w:sz w:val="24"/>
          <w:szCs w:val="24"/>
        </w:rPr>
      </w:pPr>
      <w:r>
        <w:rPr>
          <w:sz w:val="24"/>
          <w:szCs w:val="24"/>
        </w:rPr>
        <w:t xml:space="preserve">c) praticar todos os atos de controle e gerenciamento dos quantitativos das Atas de Registro de Preços e de seus saldos, das solicitações de adesão e do remanejamento das quantidades; </w:t>
      </w:r>
    </w:p>
    <w:p w14:paraId="12199EE4">
      <w:pPr>
        <w:spacing w:line="288" w:lineRule="auto"/>
        <w:contextualSpacing/>
        <w:jc w:val="both"/>
        <w:rPr>
          <w:sz w:val="24"/>
          <w:szCs w:val="24"/>
        </w:rPr>
      </w:pPr>
    </w:p>
    <w:p w14:paraId="7BF144E6">
      <w:pPr>
        <w:spacing w:line="288" w:lineRule="auto"/>
        <w:contextualSpacing/>
        <w:jc w:val="both"/>
        <w:rPr>
          <w:sz w:val="24"/>
          <w:szCs w:val="24"/>
        </w:rPr>
      </w:pPr>
      <w:r>
        <w:rPr>
          <w:sz w:val="24"/>
          <w:szCs w:val="24"/>
        </w:rPr>
        <w:t xml:space="preserve">d) gerenciar a Ata de Registro de Preços, providenciando a indicação, sempre que solicitado, dos fornecedores registrados para atendimento às necessidades do órgão ou entidade, obedecendo à ordem de classificação do certame e os quantitativos de contratação definidos pelos participantes da respectiva ata; </w:t>
      </w:r>
    </w:p>
    <w:p w14:paraId="71ED34F8">
      <w:pPr>
        <w:spacing w:line="288" w:lineRule="auto"/>
        <w:contextualSpacing/>
        <w:jc w:val="both"/>
        <w:rPr>
          <w:sz w:val="24"/>
          <w:szCs w:val="24"/>
        </w:rPr>
      </w:pPr>
    </w:p>
    <w:p w14:paraId="34161364">
      <w:pPr>
        <w:spacing w:line="288" w:lineRule="auto"/>
        <w:contextualSpacing/>
        <w:jc w:val="both"/>
        <w:rPr>
          <w:sz w:val="24"/>
          <w:szCs w:val="24"/>
        </w:rPr>
      </w:pPr>
      <w:r>
        <w:rPr>
          <w:sz w:val="24"/>
          <w:szCs w:val="24"/>
        </w:rPr>
        <w:t xml:space="preserve">e) deliberar quanto à adesão posterior de órgãos e entidades que não manifestaram interesse em participar do registro de preços durante o período de divulgação da Intenção de Registro de Preços; </w:t>
      </w:r>
    </w:p>
    <w:p w14:paraId="4DF2C290">
      <w:pPr>
        <w:spacing w:line="288" w:lineRule="auto"/>
        <w:contextualSpacing/>
        <w:jc w:val="both"/>
        <w:rPr>
          <w:sz w:val="24"/>
          <w:szCs w:val="24"/>
        </w:rPr>
      </w:pPr>
    </w:p>
    <w:p w14:paraId="751EE2FB">
      <w:pPr>
        <w:spacing w:line="288" w:lineRule="auto"/>
        <w:contextualSpacing/>
        <w:jc w:val="both"/>
        <w:rPr>
          <w:sz w:val="24"/>
          <w:szCs w:val="24"/>
        </w:rPr>
      </w:pPr>
      <w:r>
        <w:rPr>
          <w:sz w:val="24"/>
          <w:szCs w:val="24"/>
        </w:rPr>
        <w:t xml:space="preserve">f) convocar os proponentes remanescentes, nas hipóteses autorizadas por esta Ata e pelo Decreto nº 46/2025, observada a ordem de classificação; </w:t>
      </w:r>
    </w:p>
    <w:p w14:paraId="3CF69AC4">
      <w:pPr>
        <w:spacing w:line="288" w:lineRule="auto"/>
        <w:contextualSpacing/>
        <w:jc w:val="both"/>
        <w:rPr>
          <w:sz w:val="24"/>
          <w:szCs w:val="24"/>
        </w:rPr>
      </w:pPr>
    </w:p>
    <w:p w14:paraId="5B9C141D">
      <w:pPr>
        <w:spacing w:line="288" w:lineRule="auto"/>
        <w:contextualSpacing/>
        <w:jc w:val="both"/>
        <w:rPr>
          <w:rFonts w:eastAsia="Arial"/>
          <w:bCs/>
          <w:sz w:val="24"/>
          <w:szCs w:val="24"/>
        </w:rPr>
      </w:pPr>
      <w:r>
        <w:rPr>
          <w:sz w:val="24"/>
          <w:szCs w:val="24"/>
        </w:rPr>
        <w:t>g) conduzir as alterações ou as atualizações dos preços registrados; e</w:t>
      </w:r>
    </w:p>
    <w:p w14:paraId="0DBC7E3F">
      <w:pPr>
        <w:spacing w:line="288" w:lineRule="auto"/>
        <w:contextualSpacing/>
        <w:jc w:val="both"/>
        <w:rPr>
          <w:sz w:val="24"/>
          <w:szCs w:val="24"/>
        </w:rPr>
      </w:pPr>
    </w:p>
    <w:p w14:paraId="1343E4F8">
      <w:pPr>
        <w:spacing w:line="288" w:lineRule="auto"/>
        <w:contextualSpacing/>
        <w:jc w:val="both"/>
        <w:rPr>
          <w:rFonts w:eastAsia="Arial"/>
          <w:bCs/>
          <w:sz w:val="24"/>
          <w:szCs w:val="24"/>
        </w:rPr>
      </w:pPr>
      <w:r>
        <w:rPr>
          <w:sz w:val="24"/>
          <w:szCs w:val="24"/>
        </w:rPr>
        <w:t>h) promover a correta gestão, fiscalização e execução contratual, nos termos do Capítulo VI do Título III da Lei nº 14.133, de 1º de abril de 2021, do disposto no Decreto nº 40, de 25 de fevereiro de 2025, no Termo de Referência e no contrato, com relação às suas próprias contratações.</w:t>
      </w:r>
    </w:p>
    <w:p w14:paraId="2EB3CCC5">
      <w:pPr>
        <w:spacing w:line="288" w:lineRule="auto"/>
        <w:contextualSpacing/>
        <w:jc w:val="both"/>
        <w:rPr>
          <w:rFonts w:eastAsia="Arial"/>
          <w:bCs/>
          <w:sz w:val="24"/>
          <w:szCs w:val="24"/>
        </w:rPr>
      </w:pPr>
    </w:p>
    <w:p w14:paraId="42C370C4">
      <w:pPr>
        <w:spacing w:line="288" w:lineRule="auto"/>
        <w:ind w:right="565"/>
        <w:contextualSpacing/>
        <w:jc w:val="both"/>
        <w:rPr>
          <w:bCs/>
          <w:color w:val="000000" w:themeColor="text1"/>
          <w:sz w:val="24"/>
          <w:szCs w:val="24"/>
          <w14:textFill>
            <w14:solidFill>
              <w14:schemeClr w14:val="tx1"/>
            </w14:solidFill>
          </w14:textFill>
        </w:rPr>
      </w:pPr>
      <w:r>
        <w:rPr>
          <w:rFonts w:eastAsia="Arial"/>
          <w:bCs/>
          <w:color w:val="000000" w:themeColor="text1"/>
          <w:sz w:val="24"/>
          <w:szCs w:val="24"/>
          <w14:textFill>
            <w14:solidFill>
              <w14:schemeClr w14:val="tx1"/>
            </w14:solidFill>
          </w14:textFill>
        </w:rPr>
        <w:t>3.3</w:t>
      </w:r>
      <w:r>
        <w:rPr>
          <w:rFonts w:eastAsia="Arial"/>
          <w:b/>
          <w:color w:val="000000" w:themeColor="text1"/>
          <w:sz w:val="24"/>
          <w:szCs w:val="24"/>
          <w14:textFill>
            <w14:solidFill>
              <w14:schemeClr w14:val="tx1"/>
            </w14:solidFill>
          </w14:textFill>
        </w:rPr>
        <w:t xml:space="preserve"> </w:t>
      </w:r>
      <w:r>
        <w:rPr>
          <w:bCs/>
          <w:color w:val="000000" w:themeColor="text1"/>
          <w:sz w:val="24"/>
          <w:szCs w:val="24"/>
          <w14:textFill>
            <w14:solidFill>
              <w14:schemeClr w14:val="tx1"/>
            </w14:solidFill>
          </w14:textFill>
        </w:rPr>
        <w:t>3.3 Não há órgãos/entidades participantes nesta Ata.</w:t>
      </w:r>
    </w:p>
    <w:p w14:paraId="5EC9E8D1">
      <w:pPr>
        <w:spacing w:line="288" w:lineRule="auto"/>
        <w:ind w:right="565"/>
        <w:contextualSpacing/>
        <w:jc w:val="both"/>
        <w:rPr>
          <w:bCs/>
          <w:color w:val="000000" w:themeColor="text1"/>
          <w:sz w:val="24"/>
          <w:szCs w:val="24"/>
          <w14:textFill>
            <w14:solidFill>
              <w14:schemeClr w14:val="tx1"/>
            </w14:solidFill>
          </w14:textFill>
        </w:rPr>
      </w:pPr>
    </w:p>
    <w:p w14:paraId="02F57D0F">
      <w:pPr>
        <w:spacing w:line="288" w:lineRule="auto"/>
        <w:contextualSpacing/>
        <w:jc w:val="both"/>
        <w:rPr>
          <w:rFonts w:eastAsia="Arial"/>
          <w:b/>
          <w:sz w:val="24"/>
          <w:szCs w:val="24"/>
        </w:rPr>
      </w:pPr>
      <w:r>
        <w:rPr>
          <w:b/>
          <w:bCs/>
          <w:color w:val="231F20"/>
          <w:sz w:val="24"/>
          <w:szCs w:val="24"/>
        </w:rPr>
        <w:t>CLÁUSULA QUARTA:</w:t>
      </w:r>
      <w:r>
        <w:rPr>
          <w:color w:val="231F20"/>
          <w:sz w:val="24"/>
          <w:szCs w:val="24"/>
        </w:rPr>
        <w:t xml:space="preserve"> </w:t>
      </w:r>
      <w:r>
        <w:rPr>
          <w:rFonts w:eastAsia="Arial"/>
          <w:b/>
          <w:sz w:val="24"/>
          <w:szCs w:val="24"/>
        </w:rPr>
        <w:t>DOS NÃO-PARTICIPANTES</w:t>
      </w:r>
    </w:p>
    <w:p w14:paraId="1ECB67D7">
      <w:pPr>
        <w:spacing w:line="288" w:lineRule="auto"/>
        <w:contextualSpacing/>
        <w:jc w:val="both"/>
        <w:rPr>
          <w:rFonts w:eastAsia="Arial"/>
          <w:bCs/>
          <w:sz w:val="24"/>
          <w:szCs w:val="24"/>
        </w:rPr>
      </w:pPr>
    </w:p>
    <w:p w14:paraId="7C5B7035">
      <w:pPr>
        <w:spacing w:line="288" w:lineRule="auto"/>
        <w:contextualSpacing/>
        <w:jc w:val="both"/>
        <w:rPr>
          <w:bCs/>
          <w:color w:val="231F20"/>
          <w:sz w:val="24"/>
          <w:szCs w:val="24"/>
        </w:rPr>
      </w:pPr>
      <w:r>
        <w:rPr>
          <w:rFonts w:eastAsia="Arial"/>
          <w:bCs/>
          <w:sz w:val="24"/>
          <w:szCs w:val="24"/>
        </w:rPr>
        <w:t xml:space="preserve">4.1 </w:t>
      </w:r>
      <w:r>
        <w:rPr>
          <w:color w:val="231F20"/>
          <w:sz w:val="24"/>
          <w:szCs w:val="24"/>
        </w:rPr>
        <w:t xml:space="preserve">A Ata de Registro de Preços poderá ser aderida por qualquer órgão ou entidade do Município, que não tenha participado </w:t>
      </w:r>
      <w:bookmarkStart w:id="45" w:name="_Hlk158816379"/>
      <w:r>
        <w:rPr>
          <w:color w:val="000000" w:themeColor="text1"/>
          <w:sz w:val="24"/>
          <w:szCs w:val="24"/>
          <w14:textFill>
            <w14:solidFill>
              <w14:schemeClr w14:val="tx1"/>
            </w14:solidFill>
          </w14:textFill>
        </w:rPr>
        <w:t>do certame</w:t>
      </w:r>
      <w:bookmarkEnd w:id="45"/>
      <w:r>
        <w:rPr>
          <w:color w:val="231F20"/>
          <w:sz w:val="24"/>
          <w:szCs w:val="24"/>
        </w:rPr>
        <w:t xml:space="preserve">, ora denominados </w:t>
      </w:r>
      <w:r>
        <w:rPr>
          <w:bCs/>
          <w:color w:val="231F20"/>
          <w:sz w:val="24"/>
          <w:szCs w:val="24"/>
        </w:rPr>
        <w:t xml:space="preserve">não-participantes.  </w:t>
      </w:r>
    </w:p>
    <w:p w14:paraId="5AEC8E93">
      <w:pPr>
        <w:spacing w:line="288" w:lineRule="auto"/>
        <w:contextualSpacing/>
        <w:jc w:val="both"/>
        <w:rPr>
          <w:bCs/>
          <w:color w:val="231F20"/>
          <w:sz w:val="24"/>
          <w:szCs w:val="24"/>
        </w:rPr>
      </w:pPr>
    </w:p>
    <w:p w14:paraId="402677D7">
      <w:pPr>
        <w:spacing w:line="288" w:lineRule="auto"/>
        <w:contextualSpacing/>
        <w:jc w:val="both"/>
        <w:rPr>
          <w:color w:val="231F20"/>
          <w:sz w:val="24"/>
          <w:szCs w:val="24"/>
        </w:rPr>
      </w:pPr>
      <w:r>
        <w:rPr>
          <w:rFonts w:eastAsia="Arial"/>
          <w:bCs/>
          <w:sz w:val="24"/>
          <w:szCs w:val="24"/>
        </w:rPr>
        <w:t>4.2</w:t>
      </w:r>
      <w:r>
        <w:rPr>
          <w:rFonts w:eastAsia="Arial"/>
          <w:b/>
          <w:sz w:val="24"/>
          <w:szCs w:val="24"/>
        </w:rPr>
        <w:t xml:space="preserve"> </w:t>
      </w:r>
      <w:r>
        <w:rPr>
          <w:color w:val="231F20"/>
          <w:sz w:val="24"/>
          <w:szCs w:val="24"/>
        </w:rPr>
        <w:t xml:space="preserve">Podem também ser considerados </w:t>
      </w:r>
      <w:r>
        <w:rPr>
          <w:bCs/>
          <w:color w:val="231F20"/>
          <w:sz w:val="24"/>
          <w:szCs w:val="24"/>
        </w:rPr>
        <w:t>não-participantes</w:t>
      </w:r>
      <w:r>
        <w:rPr>
          <w:b/>
          <w:color w:val="231F20"/>
          <w:sz w:val="24"/>
          <w:szCs w:val="24"/>
        </w:rPr>
        <w:t xml:space="preserve"> </w:t>
      </w:r>
      <w:r>
        <w:rPr>
          <w:color w:val="231F20"/>
          <w:sz w:val="24"/>
          <w:szCs w:val="24"/>
        </w:rPr>
        <w:t xml:space="preserve">os órgãos ou entidades municipais, distritais, de outros estados e federais, resguardadas as disposições de cada ente. </w:t>
      </w:r>
    </w:p>
    <w:p w14:paraId="1ED0562A">
      <w:pPr>
        <w:spacing w:line="288" w:lineRule="auto"/>
        <w:contextualSpacing/>
        <w:jc w:val="both"/>
        <w:rPr>
          <w:sz w:val="24"/>
          <w:szCs w:val="24"/>
        </w:rPr>
      </w:pPr>
    </w:p>
    <w:p w14:paraId="398641AE">
      <w:pPr>
        <w:spacing w:line="288" w:lineRule="auto"/>
        <w:contextualSpacing/>
        <w:jc w:val="both"/>
        <w:rPr>
          <w:color w:val="231F20"/>
          <w:sz w:val="24"/>
          <w:szCs w:val="24"/>
        </w:rPr>
      </w:pPr>
      <w:r>
        <w:rPr>
          <w:sz w:val="24"/>
          <w:szCs w:val="24"/>
        </w:rPr>
        <w:t xml:space="preserve">4.3 Os </w:t>
      </w:r>
      <w:r>
        <w:rPr>
          <w:bCs/>
          <w:color w:val="231F20"/>
          <w:sz w:val="24"/>
          <w:szCs w:val="24"/>
        </w:rPr>
        <w:t>não-participantes</w:t>
      </w:r>
      <w:r>
        <w:rPr>
          <w:sz w:val="24"/>
          <w:szCs w:val="24"/>
        </w:rPr>
        <w:t xml:space="preserve"> poderão aderir a esta Ata de Registro de Preços, desde que observados os seguintes requisitos, cumulativamente:</w:t>
      </w:r>
    </w:p>
    <w:p w14:paraId="6E92816E">
      <w:pPr>
        <w:tabs>
          <w:tab w:val="left" w:pos="497"/>
        </w:tabs>
        <w:spacing w:line="288" w:lineRule="auto"/>
        <w:contextualSpacing/>
        <w:jc w:val="both"/>
        <w:rPr>
          <w:sz w:val="24"/>
          <w:szCs w:val="24"/>
        </w:rPr>
      </w:pPr>
    </w:p>
    <w:p w14:paraId="057C5545">
      <w:pPr>
        <w:tabs>
          <w:tab w:val="left" w:pos="497"/>
        </w:tabs>
        <w:spacing w:line="288" w:lineRule="auto"/>
        <w:contextualSpacing/>
        <w:jc w:val="both"/>
        <w:rPr>
          <w:sz w:val="24"/>
          <w:szCs w:val="24"/>
        </w:rPr>
      </w:pPr>
      <w:r>
        <w:rPr>
          <w:sz w:val="24"/>
          <w:szCs w:val="24"/>
        </w:rPr>
        <w:t xml:space="preserve">4.3.1 apresentação de justificativa da vantagem da adesão, inclusive em situações de provável desabastecimento ou descontinuidade de serviço público; </w:t>
      </w:r>
    </w:p>
    <w:p w14:paraId="0DDFF8BC">
      <w:pPr>
        <w:tabs>
          <w:tab w:val="left" w:pos="497"/>
        </w:tabs>
        <w:spacing w:line="288" w:lineRule="auto"/>
        <w:contextualSpacing/>
        <w:jc w:val="both"/>
        <w:rPr>
          <w:sz w:val="24"/>
          <w:szCs w:val="24"/>
        </w:rPr>
      </w:pPr>
    </w:p>
    <w:p w14:paraId="6455EE68">
      <w:pPr>
        <w:tabs>
          <w:tab w:val="left" w:pos="497"/>
        </w:tabs>
        <w:spacing w:line="288" w:lineRule="auto"/>
        <w:contextualSpacing/>
        <w:jc w:val="both"/>
        <w:rPr>
          <w:sz w:val="24"/>
          <w:szCs w:val="24"/>
        </w:rPr>
      </w:pPr>
      <w:r>
        <w:rPr>
          <w:sz w:val="24"/>
          <w:szCs w:val="24"/>
        </w:rPr>
        <w:t xml:space="preserve">4.3.2 apresentação de estudo que demonstre eficiência, viabilidade e economicidade para a Administração contratante; </w:t>
      </w:r>
    </w:p>
    <w:p w14:paraId="4FA7E8C4">
      <w:pPr>
        <w:tabs>
          <w:tab w:val="left" w:pos="497"/>
        </w:tabs>
        <w:spacing w:line="288" w:lineRule="auto"/>
        <w:contextualSpacing/>
        <w:jc w:val="both"/>
        <w:rPr>
          <w:sz w:val="24"/>
          <w:szCs w:val="24"/>
        </w:rPr>
      </w:pPr>
    </w:p>
    <w:p w14:paraId="77999100">
      <w:pPr>
        <w:tabs>
          <w:tab w:val="left" w:pos="497"/>
        </w:tabs>
        <w:spacing w:line="288" w:lineRule="auto"/>
        <w:contextualSpacing/>
        <w:jc w:val="both"/>
        <w:rPr>
          <w:sz w:val="24"/>
          <w:szCs w:val="24"/>
        </w:rPr>
      </w:pPr>
      <w:r>
        <w:rPr>
          <w:sz w:val="24"/>
          <w:szCs w:val="24"/>
        </w:rPr>
        <w:t xml:space="preserve">4.3.3 demonstração de que os valores registrados estão compatíveis com os valores praticados pelo mercado, na forma do art. 23 da Lei nº 14.133/2021; e </w:t>
      </w:r>
    </w:p>
    <w:p w14:paraId="595C991F">
      <w:pPr>
        <w:tabs>
          <w:tab w:val="left" w:pos="497"/>
        </w:tabs>
        <w:spacing w:line="288" w:lineRule="auto"/>
        <w:contextualSpacing/>
        <w:jc w:val="both"/>
        <w:rPr>
          <w:sz w:val="24"/>
          <w:szCs w:val="24"/>
        </w:rPr>
      </w:pPr>
    </w:p>
    <w:p w14:paraId="506B184C">
      <w:pPr>
        <w:tabs>
          <w:tab w:val="left" w:pos="497"/>
        </w:tabs>
        <w:spacing w:line="288" w:lineRule="auto"/>
        <w:contextualSpacing/>
        <w:jc w:val="both"/>
        <w:rPr>
          <w:rFonts w:eastAsia="Arial"/>
          <w:sz w:val="24"/>
          <w:szCs w:val="24"/>
        </w:rPr>
      </w:pPr>
      <w:r>
        <w:rPr>
          <w:sz w:val="24"/>
          <w:szCs w:val="24"/>
        </w:rPr>
        <w:t xml:space="preserve">4.3.4 prévia consulta e aceitação do </w:t>
      </w:r>
      <w:r>
        <w:rPr>
          <w:bCs/>
          <w:sz w:val="24"/>
          <w:szCs w:val="24"/>
        </w:rPr>
        <w:t>gerenciador</w:t>
      </w:r>
      <w:r>
        <w:rPr>
          <w:sz w:val="24"/>
          <w:szCs w:val="24"/>
        </w:rPr>
        <w:t xml:space="preserve"> e do fornecedor.</w:t>
      </w:r>
    </w:p>
    <w:p w14:paraId="378FF3E0">
      <w:pPr>
        <w:tabs>
          <w:tab w:val="left" w:pos="497"/>
        </w:tabs>
        <w:spacing w:line="288" w:lineRule="auto"/>
        <w:contextualSpacing/>
        <w:jc w:val="both"/>
        <w:rPr>
          <w:rFonts w:eastAsia="Arial"/>
          <w:sz w:val="24"/>
          <w:szCs w:val="24"/>
        </w:rPr>
      </w:pPr>
    </w:p>
    <w:p w14:paraId="288BB12B">
      <w:pPr>
        <w:autoSpaceDE w:val="0"/>
        <w:autoSpaceDN w:val="0"/>
        <w:adjustRightInd w:val="0"/>
        <w:spacing w:line="288" w:lineRule="auto"/>
        <w:contextualSpacing/>
        <w:jc w:val="both"/>
        <w:rPr>
          <w:bCs/>
          <w:color w:val="231F20"/>
          <w:sz w:val="24"/>
          <w:szCs w:val="24"/>
        </w:rPr>
      </w:pPr>
      <w:r>
        <w:rPr>
          <w:color w:val="231F20"/>
          <w:sz w:val="24"/>
          <w:szCs w:val="24"/>
        </w:rPr>
        <w:t xml:space="preserve">4.4 </w:t>
      </w:r>
      <w:r>
        <w:rPr>
          <w:bCs/>
          <w:color w:val="231F20"/>
          <w:sz w:val="24"/>
          <w:szCs w:val="24"/>
        </w:rPr>
        <w:t xml:space="preserve">O </w:t>
      </w:r>
      <w:r>
        <w:rPr>
          <w:sz w:val="24"/>
          <w:szCs w:val="24"/>
        </w:rPr>
        <w:t>fornecedor</w:t>
      </w:r>
      <w:r>
        <w:rPr>
          <w:bCs/>
          <w:color w:val="231F20"/>
          <w:sz w:val="24"/>
          <w:szCs w:val="24"/>
        </w:rPr>
        <w:t xml:space="preserve"> poderá optar pela aceitação ou não do fornecimento decorrente da adesão, d</w:t>
      </w:r>
      <w:r>
        <w:rPr>
          <w:color w:val="231F20"/>
          <w:sz w:val="24"/>
          <w:szCs w:val="24"/>
        </w:rPr>
        <w:t xml:space="preserve">esde que não prejudique as obrigações presentes e futuras derivadas da Ata, assumidas com o </w:t>
      </w:r>
      <w:r>
        <w:rPr>
          <w:bCs/>
          <w:sz w:val="24"/>
          <w:szCs w:val="24"/>
        </w:rPr>
        <w:t>gerenciador e os participantes, quando houver.</w:t>
      </w:r>
    </w:p>
    <w:p w14:paraId="12187B77">
      <w:pPr>
        <w:autoSpaceDE w:val="0"/>
        <w:autoSpaceDN w:val="0"/>
        <w:adjustRightInd w:val="0"/>
        <w:spacing w:line="288" w:lineRule="auto"/>
        <w:contextualSpacing/>
        <w:jc w:val="both"/>
        <w:rPr>
          <w:bCs/>
          <w:color w:val="231F20"/>
          <w:sz w:val="24"/>
          <w:szCs w:val="24"/>
        </w:rPr>
      </w:pPr>
    </w:p>
    <w:p w14:paraId="50454A96">
      <w:pPr>
        <w:autoSpaceDE w:val="0"/>
        <w:autoSpaceDN w:val="0"/>
        <w:adjustRightInd w:val="0"/>
        <w:spacing w:line="288" w:lineRule="auto"/>
        <w:contextualSpacing/>
        <w:jc w:val="both"/>
        <w:rPr>
          <w:bCs/>
          <w:sz w:val="24"/>
          <w:szCs w:val="24"/>
        </w:rPr>
      </w:pPr>
      <w:r>
        <w:rPr>
          <w:bCs/>
          <w:color w:val="231F20"/>
          <w:sz w:val="24"/>
          <w:szCs w:val="24"/>
        </w:rPr>
        <w:t xml:space="preserve">4.5 </w:t>
      </w:r>
      <w:r>
        <w:rPr>
          <w:color w:val="231F20"/>
          <w:sz w:val="24"/>
          <w:szCs w:val="24"/>
        </w:rPr>
        <w:t xml:space="preserve">Após a autorização do </w:t>
      </w:r>
      <w:r>
        <w:rPr>
          <w:bCs/>
          <w:sz w:val="24"/>
          <w:szCs w:val="24"/>
        </w:rPr>
        <w:t xml:space="preserve">gerenciador, o </w:t>
      </w:r>
      <w:r>
        <w:rPr>
          <w:bCs/>
          <w:color w:val="231F20"/>
          <w:sz w:val="24"/>
          <w:szCs w:val="24"/>
        </w:rPr>
        <w:t>não-participante deverá efetivar a contratação solicitada em até 90 (noventa) dias, observado o prazo de vigência da Ata</w:t>
      </w:r>
      <w:r>
        <w:rPr>
          <w:bCs/>
          <w:sz w:val="24"/>
          <w:szCs w:val="24"/>
        </w:rPr>
        <w:t xml:space="preserve">. </w:t>
      </w:r>
    </w:p>
    <w:p w14:paraId="0D4B4BD7">
      <w:pPr>
        <w:autoSpaceDE w:val="0"/>
        <w:autoSpaceDN w:val="0"/>
        <w:adjustRightInd w:val="0"/>
        <w:spacing w:line="288" w:lineRule="auto"/>
        <w:contextualSpacing/>
        <w:jc w:val="both"/>
        <w:rPr>
          <w:sz w:val="24"/>
          <w:szCs w:val="24"/>
        </w:rPr>
      </w:pPr>
    </w:p>
    <w:p w14:paraId="1CA92770">
      <w:pPr>
        <w:autoSpaceDE w:val="0"/>
        <w:autoSpaceDN w:val="0"/>
        <w:adjustRightInd w:val="0"/>
        <w:spacing w:line="288" w:lineRule="auto"/>
        <w:contextualSpacing/>
        <w:jc w:val="both"/>
        <w:rPr>
          <w:sz w:val="24"/>
          <w:szCs w:val="24"/>
        </w:rPr>
      </w:pPr>
      <w:r>
        <w:rPr>
          <w:sz w:val="24"/>
          <w:szCs w:val="24"/>
        </w:rPr>
        <w:t xml:space="preserve">4.5.1 O prazo acima poderá ser prorrogado, excepcionalmente, mediante justificativa e autorização pelo gerenciador, e requerimento do </w:t>
      </w:r>
      <w:r>
        <w:rPr>
          <w:bCs/>
          <w:color w:val="231F20"/>
          <w:sz w:val="24"/>
          <w:szCs w:val="24"/>
        </w:rPr>
        <w:t>não-participante</w:t>
      </w:r>
      <w:r>
        <w:rPr>
          <w:sz w:val="24"/>
          <w:szCs w:val="24"/>
        </w:rPr>
        <w:t>, respeitado o prazo de vigência da Ata de Registro de Preços.</w:t>
      </w:r>
    </w:p>
    <w:p w14:paraId="205AAD3C">
      <w:pPr>
        <w:autoSpaceDE w:val="0"/>
        <w:autoSpaceDN w:val="0"/>
        <w:adjustRightInd w:val="0"/>
        <w:spacing w:line="288" w:lineRule="auto"/>
        <w:contextualSpacing/>
        <w:jc w:val="both"/>
        <w:rPr>
          <w:sz w:val="24"/>
          <w:szCs w:val="24"/>
        </w:rPr>
      </w:pPr>
    </w:p>
    <w:p w14:paraId="51B49D74">
      <w:pPr>
        <w:autoSpaceDE w:val="0"/>
        <w:autoSpaceDN w:val="0"/>
        <w:adjustRightInd w:val="0"/>
        <w:spacing w:line="288" w:lineRule="auto"/>
        <w:contextualSpacing/>
        <w:jc w:val="both"/>
        <w:rPr>
          <w:sz w:val="24"/>
          <w:szCs w:val="24"/>
        </w:rPr>
      </w:pPr>
      <w:r>
        <w:rPr>
          <w:sz w:val="24"/>
          <w:szCs w:val="24"/>
        </w:rPr>
        <w:t>4.6 São atribuições dos não-participantes:</w:t>
      </w:r>
    </w:p>
    <w:p w14:paraId="19094FFF">
      <w:pPr>
        <w:autoSpaceDE w:val="0"/>
        <w:autoSpaceDN w:val="0"/>
        <w:adjustRightInd w:val="0"/>
        <w:spacing w:line="288" w:lineRule="auto"/>
        <w:contextualSpacing/>
        <w:jc w:val="both"/>
        <w:rPr>
          <w:sz w:val="24"/>
          <w:szCs w:val="24"/>
        </w:rPr>
      </w:pPr>
    </w:p>
    <w:p w14:paraId="154EAFD9">
      <w:pPr>
        <w:autoSpaceDE w:val="0"/>
        <w:autoSpaceDN w:val="0"/>
        <w:adjustRightInd w:val="0"/>
        <w:spacing w:line="288" w:lineRule="auto"/>
        <w:contextualSpacing/>
        <w:jc w:val="both"/>
        <w:rPr>
          <w:b/>
          <w:bCs/>
          <w:color w:val="231F20"/>
          <w:sz w:val="24"/>
          <w:szCs w:val="24"/>
        </w:rPr>
      </w:pPr>
      <w:r>
        <w:rPr>
          <w:bCs/>
          <w:color w:val="231F20"/>
          <w:sz w:val="24"/>
          <w:szCs w:val="24"/>
        </w:rPr>
        <w:t>a)</w:t>
      </w:r>
      <w:r>
        <w:rPr>
          <w:b/>
          <w:color w:val="231F20"/>
          <w:sz w:val="24"/>
          <w:szCs w:val="24"/>
        </w:rPr>
        <w:t xml:space="preserve"> </w:t>
      </w:r>
      <w:r>
        <w:rPr>
          <w:bCs/>
          <w:color w:val="231F20"/>
          <w:sz w:val="24"/>
          <w:szCs w:val="24"/>
        </w:rPr>
        <w:t>aceitar todas as condições fixadas na Ata de Registro de Preços;</w:t>
      </w:r>
    </w:p>
    <w:p w14:paraId="06BCD2E1">
      <w:pPr>
        <w:autoSpaceDE w:val="0"/>
        <w:autoSpaceDN w:val="0"/>
        <w:adjustRightInd w:val="0"/>
        <w:spacing w:line="288" w:lineRule="auto"/>
        <w:contextualSpacing/>
        <w:jc w:val="both"/>
        <w:rPr>
          <w:bCs/>
          <w:color w:val="231F20"/>
          <w:sz w:val="24"/>
          <w:szCs w:val="24"/>
        </w:rPr>
      </w:pPr>
    </w:p>
    <w:p w14:paraId="14F2BA50">
      <w:pPr>
        <w:spacing w:line="288" w:lineRule="auto"/>
        <w:contextualSpacing/>
        <w:jc w:val="both"/>
        <w:rPr>
          <w:sz w:val="24"/>
          <w:szCs w:val="24"/>
        </w:rPr>
      </w:pPr>
      <w:r>
        <w:rPr>
          <w:bCs/>
          <w:color w:val="231F20"/>
          <w:sz w:val="24"/>
          <w:szCs w:val="24"/>
        </w:rPr>
        <w:t xml:space="preserve">b) </w:t>
      </w:r>
      <w:r>
        <w:rPr>
          <w:sz w:val="24"/>
          <w:szCs w:val="24"/>
        </w:rPr>
        <w:t xml:space="preserve">tomar conhecimento da Ata de Registro de Preços, inclusive de eventuais alterações, para o correto cumprimento de suas disposições; </w:t>
      </w:r>
    </w:p>
    <w:p w14:paraId="3EE247DC">
      <w:pPr>
        <w:spacing w:line="288" w:lineRule="auto"/>
        <w:contextualSpacing/>
        <w:jc w:val="both"/>
        <w:rPr>
          <w:sz w:val="24"/>
          <w:szCs w:val="24"/>
        </w:rPr>
      </w:pPr>
    </w:p>
    <w:p w14:paraId="09EB90A0">
      <w:pPr>
        <w:spacing w:line="288" w:lineRule="auto"/>
        <w:contextualSpacing/>
        <w:jc w:val="both"/>
        <w:rPr>
          <w:sz w:val="24"/>
          <w:szCs w:val="24"/>
        </w:rPr>
      </w:pPr>
      <w:r>
        <w:rPr>
          <w:sz w:val="24"/>
          <w:szCs w:val="24"/>
        </w:rPr>
        <w:t xml:space="preserve">c) prestar informações, quando solicitadas, ao gerenciador quanto à contratação e à execução da demanda destinada ao seu órgão ou entidade; </w:t>
      </w:r>
    </w:p>
    <w:p w14:paraId="2D180B77">
      <w:pPr>
        <w:spacing w:line="288" w:lineRule="auto"/>
        <w:contextualSpacing/>
        <w:jc w:val="both"/>
        <w:rPr>
          <w:sz w:val="24"/>
          <w:szCs w:val="24"/>
        </w:rPr>
      </w:pPr>
    </w:p>
    <w:p w14:paraId="0E7C96B2">
      <w:pPr>
        <w:spacing w:line="288" w:lineRule="auto"/>
        <w:contextualSpacing/>
        <w:jc w:val="both"/>
        <w:rPr>
          <w:sz w:val="24"/>
          <w:szCs w:val="24"/>
        </w:rPr>
      </w:pPr>
      <w:r>
        <w:rPr>
          <w:sz w:val="24"/>
          <w:szCs w:val="24"/>
        </w:rPr>
        <w:t>d) informar ao gerenciador a eventual recusa do contratado em atender às condições estabelecidas no instrumento convocatório, quando houver,</w:t>
      </w:r>
      <w:r>
        <w:rPr>
          <w:rFonts w:eastAsia="Arial"/>
          <w:sz w:val="24"/>
          <w:szCs w:val="24"/>
        </w:rPr>
        <w:t xml:space="preserve"> e no Termo de Referência</w:t>
      </w:r>
      <w:r>
        <w:rPr>
          <w:sz w:val="24"/>
          <w:szCs w:val="24"/>
        </w:rPr>
        <w:t xml:space="preserve">, firmadas na Ata de Registro de Preços, bem como as divergências relativas à entrega, características e origem dos bens adjudicados; e </w:t>
      </w:r>
    </w:p>
    <w:p w14:paraId="5CADE28F">
      <w:pPr>
        <w:spacing w:line="288" w:lineRule="auto"/>
        <w:contextualSpacing/>
        <w:jc w:val="both"/>
        <w:rPr>
          <w:sz w:val="24"/>
          <w:szCs w:val="24"/>
        </w:rPr>
      </w:pPr>
    </w:p>
    <w:p w14:paraId="15D9751F">
      <w:pPr>
        <w:spacing w:line="288" w:lineRule="auto"/>
        <w:contextualSpacing/>
        <w:jc w:val="both"/>
        <w:rPr>
          <w:rFonts w:eastAsia="Arial"/>
          <w:b/>
          <w:sz w:val="24"/>
          <w:szCs w:val="24"/>
        </w:rPr>
      </w:pPr>
      <w:r>
        <w:rPr>
          <w:sz w:val="24"/>
          <w:szCs w:val="24"/>
        </w:rPr>
        <w:t>e) promover a correta gestão, fiscalização e execução contratual, nos termos do Capítulo VI do Título III da Lei nº 14.133/2021, e o disposto no Decreto nº 40/2025, no Termo de Referência e no contrato, com relação às suas próprias contratações.</w:t>
      </w:r>
    </w:p>
    <w:p w14:paraId="526EF2B0">
      <w:pPr>
        <w:autoSpaceDE w:val="0"/>
        <w:autoSpaceDN w:val="0"/>
        <w:adjustRightInd w:val="0"/>
        <w:spacing w:line="288" w:lineRule="auto"/>
        <w:contextualSpacing/>
        <w:jc w:val="both"/>
        <w:rPr>
          <w:sz w:val="24"/>
          <w:szCs w:val="24"/>
        </w:rPr>
      </w:pPr>
    </w:p>
    <w:p w14:paraId="05612E45">
      <w:pPr>
        <w:spacing w:line="288" w:lineRule="auto"/>
        <w:contextualSpacing/>
        <w:jc w:val="both"/>
        <w:rPr>
          <w:rFonts w:eastAsia="Arial"/>
          <w:b/>
          <w:sz w:val="24"/>
          <w:szCs w:val="24"/>
        </w:rPr>
      </w:pPr>
      <w:r>
        <w:rPr>
          <w:b/>
          <w:bCs/>
          <w:sz w:val="24"/>
          <w:szCs w:val="24"/>
        </w:rPr>
        <w:t>CLÁUSULA QUINTA:</w:t>
      </w:r>
      <w:r>
        <w:rPr>
          <w:sz w:val="24"/>
          <w:szCs w:val="24"/>
        </w:rPr>
        <w:t xml:space="preserve"> </w:t>
      </w:r>
      <w:r>
        <w:rPr>
          <w:rFonts w:eastAsia="Arial"/>
          <w:b/>
          <w:sz w:val="24"/>
          <w:szCs w:val="24"/>
        </w:rPr>
        <w:t xml:space="preserve">DO QUANTITATIVO </w:t>
      </w:r>
    </w:p>
    <w:p w14:paraId="7C38C8DB">
      <w:pPr>
        <w:spacing w:line="288" w:lineRule="auto"/>
        <w:contextualSpacing/>
        <w:jc w:val="both"/>
        <w:rPr>
          <w:sz w:val="24"/>
          <w:szCs w:val="24"/>
        </w:rPr>
      </w:pPr>
    </w:p>
    <w:p w14:paraId="297E77D1">
      <w:pPr>
        <w:spacing w:line="288" w:lineRule="auto"/>
        <w:contextualSpacing/>
        <w:jc w:val="both"/>
        <w:rPr>
          <w:sz w:val="24"/>
          <w:szCs w:val="24"/>
        </w:rPr>
      </w:pPr>
      <w:r>
        <w:rPr>
          <w:sz w:val="24"/>
          <w:szCs w:val="24"/>
        </w:rPr>
        <w:t xml:space="preserve">5.1 As quantidades estimadas para a contratação, conforme descrição no Termo de Referência e reunidas no Anexo I – Consolidação das Informações da Ata de Registro de Preços, são as seguintes: </w:t>
      </w:r>
    </w:p>
    <w:p w14:paraId="73C742F2">
      <w:pPr>
        <w:spacing w:line="288" w:lineRule="auto"/>
        <w:contextualSpacing/>
        <w:jc w:val="both"/>
        <w:rPr>
          <w:sz w:val="24"/>
          <w:szCs w:val="24"/>
        </w:rPr>
      </w:pPr>
    </w:p>
    <w:p w14:paraId="3E603CB1">
      <w:pPr>
        <w:spacing w:line="288" w:lineRule="auto"/>
        <w:contextualSpacing/>
        <w:jc w:val="both"/>
        <w:rPr>
          <w:rFonts w:eastAsia="Arial"/>
          <w:sz w:val="24"/>
          <w:szCs w:val="24"/>
        </w:rPr>
      </w:pPr>
      <w:r>
        <w:rPr>
          <w:sz w:val="24"/>
          <w:szCs w:val="24"/>
        </w:rPr>
        <w:t xml:space="preserve">a) previsão de contratação pelo </w:t>
      </w:r>
      <w:r>
        <w:rPr>
          <w:bCs/>
          <w:sz w:val="24"/>
          <w:szCs w:val="24"/>
        </w:rPr>
        <w:t xml:space="preserve">gerenciador e pelos </w:t>
      </w:r>
      <w:r>
        <w:rPr>
          <w:rFonts w:eastAsia="Arial"/>
          <w:bCs/>
          <w:sz w:val="24"/>
          <w:szCs w:val="24"/>
        </w:rPr>
        <w:t>participantes, em conformidade com disposto na lei nº 14133/2021</w:t>
      </w:r>
      <w:r>
        <w:rPr>
          <w:rFonts w:eastAsia="Arial"/>
          <w:sz w:val="24"/>
          <w:szCs w:val="24"/>
        </w:rPr>
        <w:t>.</w:t>
      </w:r>
    </w:p>
    <w:p w14:paraId="0D053908">
      <w:pPr>
        <w:spacing w:line="288" w:lineRule="auto"/>
        <w:contextualSpacing/>
        <w:jc w:val="both"/>
        <w:rPr>
          <w:rFonts w:eastAsia="Arial"/>
          <w:sz w:val="24"/>
          <w:szCs w:val="24"/>
        </w:rPr>
      </w:pPr>
    </w:p>
    <w:p w14:paraId="1C699C82">
      <w:pPr>
        <w:spacing w:line="288" w:lineRule="auto"/>
        <w:contextualSpacing/>
        <w:jc w:val="both"/>
        <w:rPr>
          <w:rFonts w:eastAsia="Arial"/>
          <w:bCs/>
          <w:sz w:val="24"/>
          <w:szCs w:val="24"/>
        </w:rPr>
      </w:pPr>
      <w:r>
        <w:rPr>
          <w:rFonts w:eastAsia="Arial"/>
          <w:sz w:val="24"/>
          <w:szCs w:val="24"/>
        </w:rPr>
        <w:t xml:space="preserve">b) </w:t>
      </w:r>
      <w:r>
        <w:rPr>
          <w:sz w:val="24"/>
          <w:szCs w:val="24"/>
        </w:rPr>
        <w:t xml:space="preserve">previsão de contratação pelos </w:t>
      </w:r>
      <w:r>
        <w:rPr>
          <w:bCs/>
          <w:color w:val="231F20"/>
          <w:sz w:val="24"/>
          <w:szCs w:val="24"/>
        </w:rPr>
        <w:t>não-participantes,</w:t>
      </w:r>
      <w:r>
        <w:rPr>
          <w:rFonts w:eastAsia="Arial"/>
          <w:bCs/>
          <w:sz w:val="24"/>
          <w:szCs w:val="24"/>
        </w:rPr>
        <w:t xml:space="preserve"> em conformidade com disposto na lei nº 14133/2021.</w:t>
      </w:r>
    </w:p>
    <w:p w14:paraId="1AA5EE56">
      <w:pPr>
        <w:spacing w:line="288" w:lineRule="auto"/>
        <w:contextualSpacing/>
        <w:jc w:val="both"/>
        <w:rPr>
          <w:rFonts w:eastAsia="Arial"/>
          <w:sz w:val="24"/>
          <w:szCs w:val="24"/>
        </w:rPr>
      </w:pPr>
    </w:p>
    <w:p w14:paraId="6AB51B2D">
      <w:pPr>
        <w:autoSpaceDE w:val="0"/>
        <w:autoSpaceDN w:val="0"/>
        <w:adjustRightInd w:val="0"/>
        <w:spacing w:line="288" w:lineRule="auto"/>
        <w:contextualSpacing/>
        <w:jc w:val="both"/>
        <w:rPr>
          <w:rFonts w:eastAsia="Arial"/>
          <w:sz w:val="24"/>
          <w:szCs w:val="24"/>
        </w:rPr>
      </w:pPr>
      <w:r>
        <w:rPr>
          <w:bCs/>
          <w:sz w:val="24"/>
          <w:szCs w:val="24"/>
        </w:rPr>
        <w:t>5.2</w:t>
      </w:r>
      <w:r>
        <w:rPr>
          <w:sz w:val="24"/>
          <w:szCs w:val="24"/>
        </w:rPr>
        <w:t xml:space="preserve"> </w:t>
      </w:r>
      <w:r>
        <w:rPr>
          <w:rFonts w:eastAsia="Arial"/>
          <w:sz w:val="24"/>
          <w:szCs w:val="24"/>
        </w:rPr>
        <w:t xml:space="preserve">As quantidades dos itens indicadas nas alíneas a e b do item 5.1 são meramente estimativas e não implicam obrigatoriedade de contratação </w:t>
      </w:r>
      <w:r>
        <w:rPr>
          <w:sz w:val="24"/>
          <w:szCs w:val="24"/>
        </w:rPr>
        <w:t xml:space="preserve">pelo gerenciador e pelos </w:t>
      </w:r>
      <w:r>
        <w:rPr>
          <w:rFonts w:eastAsia="Arial"/>
          <w:sz w:val="24"/>
          <w:szCs w:val="24"/>
        </w:rPr>
        <w:t>participantes, quando houver, durante a vigência da Ata de Registro de Preços.</w:t>
      </w:r>
    </w:p>
    <w:p w14:paraId="40E0878E">
      <w:pPr>
        <w:autoSpaceDE w:val="0"/>
        <w:autoSpaceDN w:val="0"/>
        <w:adjustRightInd w:val="0"/>
        <w:spacing w:line="288" w:lineRule="auto"/>
        <w:contextualSpacing/>
        <w:jc w:val="both"/>
        <w:rPr>
          <w:rFonts w:eastAsia="Arial"/>
          <w:sz w:val="24"/>
          <w:szCs w:val="24"/>
        </w:rPr>
      </w:pPr>
    </w:p>
    <w:p w14:paraId="00BD363F">
      <w:pPr>
        <w:autoSpaceDE w:val="0"/>
        <w:autoSpaceDN w:val="0"/>
        <w:adjustRightInd w:val="0"/>
        <w:spacing w:line="288" w:lineRule="auto"/>
        <w:contextualSpacing/>
        <w:jc w:val="both"/>
        <w:rPr>
          <w:sz w:val="24"/>
          <w:szCs w:val="24"/>
        </w:rPr>
      </w:pPr>
      <w:r>
        <w:rPr>
          <w:sz w:val="24"/>
          <w:szCs w:val="24"/>
        </w:rPr>
        <w:t>5.3 As contratações adicionais de que trata o item 4 não poderão exceder, por órgão ou entidade aderente, conforme estipulado no decreto Municipal n° 46/2025, art.33,</w:t>
      </w:r>
      <w:r>
        <w:rPr>
          <w:bCs/>
          <w:sz w:val="24"/>
          <w:szCs w:val="24"/>
        </w:rPr>
        <w:t xml:space="preserve"> </w:t>
      </w:r>
      <w:r>
        <w:rPr>
          <w:sz w:val="24"/>
          <w:szCs w:val="24"/>
        </w:rPr>
        <w:t xml:space="preserve">dos quantitativos dos itens registrados na Ata de Registro de Preços para o gerenciador e para os </w:t>
      </w:r>
      <w:r>
        <w:rPr>
          <w:rFonts w:eastAsia="Arial"/>
          <w:sz w:val="24"/>
          <w:szCs w:val="24"/>
        </w:rPr>
        <w:t>participantes, quando houver</w:t>
      </w:r>
      <w:r>
        <w:rPr>
          <w:sz w:val="24"/>
          <w:szCs w:val="24"/>
        </w:rPr>
        <w:t xml:space="preserve">. </w:t>
      </w:r>
    </w:p>
    <w:p w14:paraId="75D6B253">
      <w:pPr>
        <w:autoSpaceDE w:val="0"/>
        <w:autoSpaceDN w:val="0"/>
        <w:adjustRightInd w:val="0"/>
        <w:spacing w:line="288" w:lineRule="auto"/>
        <w:contextualSpacing/>
        <w:jc w:val="both"/>
        <w:rPr>
          <w:sz w:val="24"/>
          <w:szCs w:val="24"/>
        </w:rPr>
      </w:pPr>
    </w:p>
    <w:p w14:paraId="48841722">
      <w:pPr>
        <w:autoSpaceDE w:val="0"/>
        <w:autoSpaceDN w:val="0"/>
        <w:adjustRightInd w:val="0"/>
        <w:spacing w:line="288" w:lineRule="auto"/>
        <w:contextualSpacing/>
        <w:jc w:val="both"/>
        <w:rPr>
          <w:bCs/>
          <w:color w:val="231F20"/>
          <w:sz w:val="24"/>
          <w:szCs w:val="24"/>
        </w:rPr>
      </w:pPr>
      <w:r>
        <w:rPr>
          <w:sz w:val="24"/>
          <w:szCs w:val="24"/>
        </w:rPr>
        <w:t xml:space="preserve">5.3.1 O quantitativo decorrente das adesões à Ata de Registro de Preços não poderá exceder, na totalidade, </w:t>
      </w:r>
      <w:r>
        <w:rPr>
          <w:bCs/>
          <w:sz w:val="24"/>
          <w:szCs w:val="24"/>
        </w:rPr>
        <w:t xml:space="preserve">ao limite </w:t>
      </w:r>
      <w:r>
        <w:rPr>
          <w:sz w:val="24"/>
          <w:szCs w:val="24"/>
        </w:rPr>
        <w:t>estipulado no decreto Municipal n° 46/2025, art.33</w:t>
      </w:r>
      <w:r>
        <w:rPr>
          <w:bCs/>
          <w:sz w:val="24"/>
          <w:szCs w:val="24"/>
        </w:rPr>
        <w:t xml:space="preserve"> </w:t>
      </w:r>
      <w:r>
        <w:rPr>
          <w:sz w:val="24"/>
          <w:szCs w:val="24"/>
        </w:rPr>
        <w:t xml:space="preserve">do quantitativo de cada item registrado nesta Ata para o gerenciador e pelos </w:t>
      </w:r>
      <w:r>
        <w:rPr>
          <w:rFonts w:eastAsia="Arial"/>
          <w:sz w:val="24"/>
          <w:szCs w:val="24"/>
        </w:rPr>
        <w:t>participantes</w:t>
      </w:r>
      <w:r>
        <w:rPr>
          <w:sz w:val="24"/>
          <w:szCs w:val="24"/>
        </w:rPr>
        <w:t>, quando houver, independentemente do número de órgãos ou entidades não-participantes que aderirem.</w:t>
      </w:r>
    </w:p>
    <w:p w14:paraId="0E7857D5">
      <w:pPr>
        <w:spacing w:line="288" w:lineRule="auto"/>
        <w:contextualSpacing/>
        <w:jc w:val="both"/>
        <w:rPr>
          <w:sz w:val="24"/>
          <w:szCs w:val="24"/>
        </w:rPr>
      </w:pPr>
    </w:p>
    <w:p w14:paraId="39CE501C">
      <w:pPr>
        <w:spacing w:line="288" w:lineRule="auto"/>
        <w:ind w:right="49"/>
        <w:contextualSpacing/>
        <w:jc w:val="both"/>
        <w:rPr>
          <w:color w:val="231F20"/>
          <w:sz w:val="24"/>
          <w:szCs w:val="24"/>
        </w:rPr>
      </w:pPr>
      <w:r>
        <w:rPr>
          <w:sz w:val="24"/>
          <w:szCs w:val="24"/>
        </w:rPr>
        <w:t>5.4 É vedado efetuar acréscimos nos quantitativos fixados na Ata de Registro de Preços, inclusive o acréscimo de que trata o art. 125 da Lei nº 14.133/2021.</w:t>
      </w:r>
    </w:p>
    <w:p w14:paraId="3AE411D2">
      <w:pPr>
        <w:spacing w:line="288" w:lineRule="auto"/>
        <w:contextualSpacing/>
        <w:jc w:val="both"/>
        <w:rPr>
          <w:b/>
          <w:sz w:val="24"/>
          <w:szCs w:val="24"/>
        </w:rPr>
      </w:pPr>
    </w:p>
    <w:p w14:paraId="5A8C8259">
      <w:pPr>
        <w:spacing w:line="288" w:lineRule="auto"/>
        <w:contextualSpacing/>
        <w:jc w:val="both"/>
        <w:rPr>
          <w:rFonts w:eastAsia="Arial"/>
          <w:b/>
          <w:sz w:val="24"/>
          <w:szCs w:val="24"/>
        </w:rPr>
      </w:pPr>
      <w:r>
        <w:rPr>
          <w:bCs/>
          <w:sz w:val="24"/>
          <w:szCs w:val="24"/>
        </w:rPr>
        <w:t xml:space="preserve">5.5 </w:t>
      </w:r>
      <w:r>
        <w:rPr>
          <w:sz w:val="24"/>
          <w:szCs w:val="24"/>
        </w:rPr>
        <w:t xml:space="preserve">As quantidades previstas na Ata de Registro de Preços para os itens com preços registrados poderão ser remanejadas, pelo </w:t>
      </w:r>
      <w:r>
        <w:rPr>
          <w:bCs/>
          <w:sz w:val="24"/>
          <w:szCs w:val="24"/>
        </w:rPr>
        <w:t>gerenciador</w:t>
      </w:r>
      <w:r>
        <w:rPr>
          <w:sz w:val="24"/>
          <w:szCs w:val="24"/>
        </w:rPr>
        <w:t xml:space="preserve">, entre os </w:t>
      </w:r>
      <w:r>
        <w:rPr>
          <w:rFonts w:eastAsia="Arial"/>
          <w:sz w:val="24"/>
          <w:szCs w:val="24"/>
        </w:rPr>
        <w:t>participantes</w:t>
      </w:r>
      <w:r>
        <w:rPr>
          <w:sz w:val="24"/>
          <w:szCs w:val="24"/>
        </w:rPr>
        <w:t xml:space="preserve"> do procedimento para registro de preços, quando houver. </w:t>
      </w:r>
    </w:p>
    <w:p w14:paraId="5B718119">
      <w:pPr>
        <w:spacing w:line="288" w:lineRule="auto"/>
        <w:contextualSpacing/>
        <w:jc w:val="both"/>
        <w:rPr>
          <w:sz w:val="24"/>
          <w:szCs w:val="24"/>
        </w:rPr>
      </w:pPr>
    </w:p>
    <w:p w14:paraId="2C728416">
      <w:pPr>
        <w:spacing w:line="288" w:lineRule="auto"/>
        <w:contextualSpacing/>
        <w:jc w:val="both"/>
        <w:rPr>
          <w:rFonts w:eastAsia="Arial"/>
          <w:b/>
          <w:sz w:val="24"/>
          <w:szCs w:val="24"/>
        </w:rPr>
      </w:pPr>
      <w:r>
        <w:rPr>
          <w:bCs/>
          <w:sz w:val="24"/>
          <w:szCs w:val="24"/>
        </w:rPr>
        <w:t xml:space="preserve">5.5.1 </w:t>
      </w:r>
      <w:r>
        <w:rPr>
          <w:sz w:val="24"/>
          <w:szCs w:val="24"/>
        </w:rPr>
        <w:t xml:space="preserve">Caberá ao gerenciador autorizar o remanejamento, com a transferência dos quantitativos entre os </w:t>
      </w:r>
      <w:r>
        <w:rPr>
          <w:rFonts w:eastAsia="Arial"/>
          <w:sz w:val="24"/>
          <w:szCs w:val="24"/>
        </w:rPr>
        <w:t>participantes</w:t>
      </w:r>
      <w:r>
        <w:rPr>
          <w:sz w:val="24"/>
          <w:szCs w:val="24"/>
        </w:rPr>
        <w:t xml:space="preserve">, desde que haja anuência daquele que vier a sofrer a redução dos quantitativos informados. </w:t>
      </w:r>
    </w:p>
    <w:p w14:paraId="4041F7F7">
      <w:pPr>
        <w:autoSpaceDE w:val="0"/>
        <w:autoSpaceDN w:val="0"/>
        <w:adjustRightInd w:val="0"/>
        <w:spacing w:line="288" w:lineRule="auto"/>
        <w:contextualSpacing/>
        <w:jc w:val="both"/>
        <w:rPr>
          <w:color w:val="231F20"/>
          <w:sz w:val="24"/>
          <w:szCs w:val="24"/>
        </w:rPr>
      </w:pPr>
    </w:p>
    <w:p w14:paraId="3DD28C82">
      <w:pPr>
        <w:spacing w:line="288" w:lineRule="auto"/>
        <w:contextualSpacing/>
        <w:jc w:val="both"/>
        <w:rPr>
          <w:rFonts w:eastAsia="Arial"/>
          <w:b/>
          <w:sz w:val="24"/>
          <w:szCs w:val="24"/>
        </w:rPr>
      </w:pPr>
      <w:r>
        <w:rPr>
          <w:rFonts w:eastAsia="Arial"/>
          <w:b/>
          <w:sz w:val="24"/>
          <w:szCs w:val="24"/>
        </w:rPr>
        <w:t>CLÁUSULA SEXTA: DO PREÇO REGISTRADO</w:t>
      </w:r>
    </w:p>
    <w:p w14:paraId="51651F88">
      <w:pPr>
        <w:spacing w:line="288" w:lineRule="auto"/>
        <w:contextualSpacing/>
        <w:jc w:val="both"/>
        <w:rPr>
          <w:rFonts w:eastAsia="Arial"/>
          <w:sz w:val="24"/>
          <w:szCs w:val="24"/>
        </w:rPr>
      </w:pPr>
    </w:p>
    <w:p w14:paraId="2F77891C">
      <w:pPr>
        <w:spacing w:line="288" w:lineRule="auto"/>
        <w:contextualSpacing/>
        <w:jc w:val="both"/>
        <w:rPr>
          <w:sz w:val="24"/>
          <w:szCs w:val="24"/>
        </w:rPr>
      </w:pPr>
      <w:r>
        <w:rPr>
          <w:rFonts w:eastAsia="Arial"/>
          <w:sz w:val="24"/>
          <w:szCs w:val="24"/>
        </w:rPr>
        <w:t xml:space="preserve">6.1 O preço unitário de cada item registrado é o constante da(s) proposta(s) final(is), cujos valores estão reunidos </w:t>
      </w:r>
      <w:r>
        <w:rPr>
          <w:sz w:val="24"/>
          <w:szCs w:val="24"/>
        </w:rPr>
        <w:t xml:space="preserve">no Anexo I – Consolidação das Informações da Ata de Registro de Preços. </w:t>
      </w:r>
    </w:p>
    <w:p w14:paraId="17D3D5CF">
      <w:pPr>
        <w:autoSpaceDE w:val="0"/>
        <w:autoSpaceDN w:val="0"/>
        <w:adjustRightInd w:val="0"/>
        <w:spacing w:line="288" w:lineRule="auto"/>
        <w:contextualSpacing/>
        <w:jc w:val="both"/>
        <w:rPr>
          <w:color w:val="231F20"/>
          <w:sz w:val="24"/>
          <w:szCs w:val="24"/>
        </w:rPr>
      </w:pPr>
    </w:p>
    <w:p w14:paraId="34BE297C">
      <w:pPr>
        <w:spacing w:line="288" w:lineRule="auto"/>
        <w:contextualSpacing/>
        <w:jc w:val="both"/>
        <w:rPr>
          <w:color w:val="231F20"/>
          <w:sz w:val="24"/>
          <w:szCs w:val="24"/>
        </w:rPr>
      </w:pPr>
      <w:r>
        <w:rPr>
          <w:bCs/>
          <w:sz w:val="24"/>
          <w:szCs w:val="24"/>
        </w:rPr>
        <w:t xml:space="preserve">6.2 </w:t>
      </w:r>
      <w:r>
        <w:rPr>
          <w:color w:val="231F20"/>
          <w:sz w:val="24"/>
          <w:szCs w:val="24"/>
        </w:rPr>
        <w:t xml:space="preserve">Os preços registrados poderão ser revistos e alterados </w:t>
      </w:r>
      <w:bookmarkStart w:id="46" w:name="_Hlk158811219"/>
      <w:r>
        <w:rPr>
          <w:color w:val="231F20"/>
          <w:sz w:val="24"/>
          <w:szCs w:val="24"/>
        </w:rPr>
        <w:t xml:space="preserve">em decorrência de eventual redução dos preços praticados no mercado ou de fato que eleve o custo dos bens, obras ou serviços registrados, </w:t>
      </w:r>
      <w:r>
        <w:rPr>
          <w:sz w:val="24"/>
          <w:szCs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iCs/>
          <w:sz w:val="24"/>
          <w:szCs w:val="24"/>
        </w:rPr>
        <w:t>caput</w:t>
      </w:r>
      <w:r>
        <w:rPr>
          <w:sz w:val="24"/>
          <w:szCs w:val="24"/>
        </w:rPr>
        <w:t xml:space="preserve"> do art. 124 da Lei nº 14.133/2021</w:t>
      </w:r>
      <w:r>
        <w:rPr>
          <w:color w:val="231F20"/>
          <w:sz w:val="24"/>
          <w:szCs w:val="24"/>
        </w:rPr>
        <w:t>.</w:t>
      </w:r>
    </w:p>
    <w:bookmarkEnd w:id="46"/>
    <w:p w14:paraId="7E4A583A">
      <w:pPr>
        <w:autoSpaceDE w:val="0"/>
        <w:autoSpaceDN w:val="0"/>
        <w:adjustRightInd w:val="0"/>
        <w:spacing w:line="288" w:lineRule="auto"/>
        <w:contextualSpacing/>
        <w:jc w:val="both"/>
        <w:rPr>
          <w:b/>
          <w:bCs/>
          <w:color w:val="231F20"/>
          <w:sz w:val="24"/>
          <w:szCs w:val="24"/>
        </w:rPr>
      </w:pPr>
    </w:p>
    <w:p w14:paraId="0527B5A4">
      <w:pPr>
        <w:autoSpaceDE w:val="0"/>
        <w:autoSpaceDN w:val="0"/>
        <w:adjustRightInd w:val="0"/>
        <w:spacing w:line="288" w:lineRule="auto"/>
        <w:contextualSpacing/>
        <w:jc w:val="both"/>
        <w:rPr>
          <w:color w:val="231F20"/>
          <w:sz w:val="24"/>
          <w:szCs w:val="24"/>
        </w:rPr>
      </w:pPr>
      <w:r>
        <w:rPr>
          <w:bCs/>
          <w:sz w:val="24"/>
          <w:szCs w:val="24"/>
        </w:rPr>
        <w:t>6.3</w:t>
      </w:r>
      <w:r>
        <w:rPr>
          <w:sz w:val="24"/>
          <w:szCs w:val="24"/>
        </w:rPr>
        <w:t xml:space="preserve"> Q</w:t>
      </w:r>
      <w:r>
        <w:rPr>
          <w:color w:val="231F20"/>
          <w:sz w:val="24"/>
          <w:szCs w:val="24"/>
        </w:rPr>
        <w:t xml:space="preserve">uando o preço registrado se tornar superior ao preço praticado no mercado por motivo superveniente, o </w:t>
      </w:r>
      <w:r>
        <w:rPr>
          <w:bCs/>
          <w:color w:val="231F20"/>
          <w:sz w:val="24"/>
          <w:szCs w:val="24"/>
        </w:rPr>
        <w:t>gerenciador</w:t>
      </w:r>
      <w:r>
        <w:rPr>
          <w:color w:val="231F20"/>
          <w:sz w:val="24"/>
          <w:szCs w:val="24"/>
        </w:rPr>
        <w:t xml:space="preserve"> convocará o(s) fornecedor(es) para negociar a redução dos preços aos valores praticados pelo mercado, na ordem de classificação.</w:t>
      </w:r>
    </w:p>
    <w:p w14:paraId="5F6FFEC3">
      <w:pPr>
        <w:autoSpaceDE w:val="0"/>
        <w:autoSpaceDN w:val="0"/>
        <w:adjustRightInd w:val="0"/>
        <w:spacing w:line="288" w:lineRule="auto"/>
        <w:contextualSpacing/>
        <w:jc w:val="both"/>
        <w:rPr>
          <w:b/>
          <w:bCs/>
          <w:color w:val="231F20"/>
          <w:sz w:val="24"/>
          <w:szCs w:val="24"/>
        </w:rPr>
      </w:pPr>
    </w:p>
    <w:p w14:paraId="668D62CB">
      <w:pPr>
        <w:autoSpaceDE w:val="0"/>
        <w:autoSpaceDN w:val="0"/>
        <w:adjustRightInd w:val="0"/>
        <w:spacing w:line="288" w:lineRule="auto"/>
        <w:contextualSpacing/>
        <w:jc w:val="both"/>
        <w:rPr>
          <w:sz w:val="24"/>
          <w:szCs w:val="24"/>
        </w:rPr>
      </w:pPr>
      <w:r>
        <w:rPr>
          <w:sz w:val="24"/>
          <w:szCs w:val="24"/>
        </w:rPr>
        <w:t xml:space="preserve">6.3.1 Caso o(s) </w:t>
      </w:r>
      <w:r>
        <w:rPr>
          <w:color w:val="231F20"/>
          <w:sz w:val="24"/>
          <w:szCs w:val="24"/>
        </w:rPr>
        <w:t>fornecedor(es) cadastrado(s)</w:t>
      </w:r>
      <w:r>
        <w:rPr>
          <w:sz w:val="24"/>
          <w:szCs w:val="24"/>
        </w:rPr>
        <w:t xml:space="preserve"> para o item ou lote não aceite(m) reduzir seu preço ao valor praticado pelo mercado deverá(ão) ser liberado(s) do compromisso assumido, sem aplicação de penalidades administrativas.  </w:t>
      </w:r>
    </w:p>
    <w:p w14:paraId="5913EB6C">
      <w:pPr>
        <w:autoSpaceDE w:val="0"/>
        <w:autoSpaceDN w:val="0"/>
        <w:adjustRightInd w:val="0"/>
        <w:spacing w:line="288" w:lineRule="auto"/>
        <w:contextualSpacing/>
        <w:jc w:val="both"/>
        <w:rPr>
          <w:sz w:val="24"/>
          <w:szCs w:val="24"/>
        </w:rPr>
      </w:pPr>
    </w:p>
    <w:p w14:paraId="6C3B7ABA">
      <w:pPr>
        <w:autoSpaceDE w:val="0"/>
        <w:autoSpaceDN w:val="0"/>
        <w:adjustRightInd w:val="0"/>
        <w:spacing w:line="288" w:lineRule="auto"/>
        <w:contextualSpacing/>
        <w:jc w:val="both"/>
        <w:rPr>
          <w:sz w:val="24"/>
          <w:szCs w:val="24"/>
        </w:rPr>
      </w:pPr>
      <w:r>
        <w:rPr>
          <w:sz w:val="24"/>
          <w:szCs w:val="24"/>
        </w:rPr>
        <w:t xml:space="preserve">6.3.2 Havendo a liberação do(s) </w:t>
      </w:r>
      <w:r>
        <w:rPr>
          <w:color w:val="231F20"/>
          <w:sz w:val="24"/>
          <w:szCs w:val="24"/>
        </w:rPr>
        <w:t>fornecedor(es)</w:t>
      </w:r>
      <w:r>
        <w:rPr>
          <w:sz w:val="24"/>
          <w:szCs w:val="24"/>
        </w:rPr>
        <w:t xml:space="preserve">, nos termos do item 6.3.1, o </w:t>
      </w:r>
      <w:r>
        <w:rPr>
          <w:bCs/>
          <w:color w:val="231F20"/>
          <w:sz w:val="24"/>
          <w:szCs w:val="24"/>
        </w:rPr>
        <w:t>órgão gerenciador</w:t>
      </w:r>
      <w:r>
        <w:rPr>
          <w:sz w:val="24"/>
          <w:szCs w:val="24"/>
        </w:rPr>
        <w:t xml:space="preserve"> deverá convocar os proponentes do Cadastro de Reserva, na ordem de classificação, para verificar se aceitam reduzir seus preços aos valores de mercado, observado o disposto no art. 19, § 3º, do Decreto nº 46/2025. </w:t>
      </w:r>
    </w:p>
    <w:p w14:paraId="40E0325F">
      <w:pPr>
        <w:autoSpaceDE w:val="0"/>
        <w:autoSpaceDN w:val="0"/>
        <w:adjustRightInd w:val="0"/>
        <w:spacing w:line="288" w:lineRule="auto"/>
        <w:contextualSpacing/>
        <w:jc w:val="both"/>
        <w:rPr>
          <w:sz w:val="24"/>
          <w:szCs w:val="24"/>
        </w:rPr>
      </w:pPr>
    </w:p>
    <w:p w14:paraId="73F949A4">
      <w:pPr>
        <w:autoSpaceDE w:val="0"/>
        <w:autoSpaceDN w:val="0"/>
        <w:adjustRightInd w:val="0"/>
        <w:spacing w:line="288" w:lineRule="auto"/>
        <w:contextualSpacing/>
        <w:jc w:val="both"/>
        <w:rPr>
          <w:sz w:val="24"/>
          <w:szCs w:val="24"/>
        </w:rPr>
      </w:pPr>
      <w:r>
        <w:rPr>
          <w:sz w:val="24"/>
          <w:szCs w:val="24"/>
        </w:rPr>
        <w:t xml:space="preserve">6.3.3 A ordem de classificação dos fornecedores que aceitarem reduzir seus preços aos valores de mercado observará a classificação original. </w:t>
      </w:r>
    </w:p>
    <w:p w14:paraId="3D8AFE55">
      <w:pPr>
        <w:autoSpaceDE w:val="0"/>
        <w:autoSpaceDN w:val="0"/>
        <w:adjustRightInd w:val="0"/>
        <w:spacing w:line="288" w:lineRule="auto"/>
        <w:contextualSpacing/>
        <w:jc w:val="both"/>
        <w:rPr>
          <w:sz w:val="24"/>
          <w:szCs w:val="24"/>
        </w:rPr>
      </w:pPr>
    </w:p>
    <w:p w14:paraId="184BD022">
      <w:pPr>
        <w:autoSpaceDE w:val="0"/>
        <w:autoSpaceDN w:val="0"/>
        <w:adjustRightInd w:val="0"/>
        <w:spacing w:line="288" w:lineRule="auto"/>
        <w:contextualSpacing/>
        <w:jc w:val="both"/>
        <w:rPr>
          <w:sz w:val="24"/>
          <w:szCs w:val="24"/>
        </w:rPr>
      </w:pPr>
      <w:r>
        <w:rPr>
          <w:sz w:val="24"/>
          <w:szCs w:val="24"/>
        </w:rPr>
        <w:t xml:space="preserve">6.3.4 Não havendo êxito nas negociações, o </w:t>
      </w:r>
      <w:r>
        <w:rPr>
          <w:bCs/>
          <w:color w:val="231F20"/>
          <w:sz w:val="24"/>
          <w:szCs w:val="24"/>
        </w:rPr>
        <w:t>gerenciador</w:t>
      </w:r>
      <w:r>
        <w:rPr>
          <w:sz w:val="24"/>
          <w:szCs w:val="24"/>
        </w:rPr>
        <w:t xml:space="preserve"> deverá proceder ao cancelamento da Ata de Registro de Preços, nos termos do art. 32 do Decreto nº 46/2025 e da cláusula décima desta Ata, com a adoção das medidas cabíveis para obtenção da contratação mais vantajosa. </w:t>
      </w:r>
    </w:p>
    <w:p w14:paraId="2F7C663E">
      <w:pPr>
        <w:autoSpaceDE w:val="0"/>
        <w:autoSpaceDN w:val="0"/>
        <w:adjustRightInd w:val="0"/>
        <w:spacing w:line="288" w:lineRule="auto"/>
        <w:contextualSpacing/>
        <w:jc w:val="both"/>
        <w:rPr>
          <w:sz w:val="24"/>
          <w:szCs w:val="24"/>
        </w:rPr>
      </w:pPr>
    </w:p>
    <w:p w14:paraId="526B33B6">
      <w:pPr>
        <w:autoSpaceDE w:val="0"/>
        <w:autoSpaceDN w:val="0"/>
        <w:adjustRightInd w:val="0"/>
        <w:spacing w:line="288" w:lineRule="auto"/>
        <w:contextualSpacing/>
        <w:jc w:val="both"/>
        <w:rPr>
          <w:b/>
          <w:bCs/>
          <w:color w:val="231F20"/>
          <w:sz w:val="24"/>
          <w:szCs w:val="24"/>
        </w:rPr>
      </w:pPr>
      <w:r>
        <w:rPr>
          <w:sz w:val="24"/>
          <w:szCs w:val="24"/>
        </w:rPr>
        <w:t xml:space="preserve">6.3.5 Caso haja a redução do preço registrado, o </w:t>
      </w:r>
      <w:r>
        <w:rPr>
          <w:bCs/>
          <w:color w:val="231F20"/>
          <w:sz w:val="24"/>
          <w:szCs w:val="24"/>
        </w:rPr>
        <w:t>gerenciador</w:t>
      </w:r>
      <w:r>
        <w:rPr>
          <w:sz w:val="24"/>
          <w:szCs w:val="24"/>
        </w:rPr>
        <w:t xml:space="preserve"> deverá comunicar aos órgãos e as entidades que tiverem formalizado contratos, para que avaliem a necessidade de efetuar a revisão dos preços contratados.</w:t>
      </w:r>
    </w:p>
    <w:p w14:paraId="75ABA920">
      <w:pPr>
        <w:autoSpaceDE w:val="0"/>
        <w:autoSpaceDN w:val="0"/>
        <w:adjustRightInd w:val="0"/>
        <w:spacing w:line="288" w:lineRule="auto"/>
        <w:contextualSpacing/>
        <w:jc w:val="both"/>
        <w:rPr>
          <w:b/>
          <w:bCs/>
          <w:color w:val="231F20"/>
          <w:sz w:val="24"/>
          <w:szCs w:val="24"/>
        </w:rPr>
      </w:pPr>
    </w:p>
    <w:p w14:paraId="558432ED">
      <w:pPr>
        <w:autoSpaceDE w:val="0"/>
        <w:autoSpaceDN w:val="0"/>
        <w:adjustRightInd w:val="0"/>
        <w:spacing w:line="288" w:lineRule="auto"/>
        <w:contextualSpacing/>
        <w:jc w:val="both"/>
        <w:rPr>
          <w:color w:val="231F20"/>
          <w:sz w:val="24"/>
          <w:szCs w:val="24"/>
        </w:rPr>
      </w:pPr>
      <w:r>
        <w:rPr>
          <w:bCs/>
          <w:sz w:val="24"/>
          <w:szCs w:val="24"/>
        </w:rPr>
        <w:t>6.4 Q</w:t>
      </w:r>
      <w:r>
        <w:rPr>
          <w:color w:val="231F20"/>
          <w:sz w:val="24"/>
          <w:szCs w:val="24"/>
        </w:rPr>
        <w:t xml:space="preserve">uando o preço de mercado se tornar superior aos preços registrados e o fornecedor, mediante requerimento devidamente fundamentado, não puder cumprir as obrigações contidas na Ata de Registro de Preços, </w:t>
      </w:r>
      <w:r>
        <w:rPr>
          <w:sz w:val="24"/>
          <w:szCs w:val="24"/>
        </w:rPr>
        <w:t xml:space="preserve">ser-lhe-á facultado requerer ao </w:t>
      </w:r>
      <w:r>
        <w:rPr>
          <w:bCs/>
          <w:color w:val="231F20"/>
          <w:sz w:val="24"/>
          <w:szCs w:val="24"/>
        </w:rPr>
        <w:t>gerenciador</w:t>
      </w:r>
      <w:r>
        <w:rPr>
          <w:sz w:val="24"/>
          <w:szCs w:val="24"/>
        </w:rPr>
        <w:t xml:space="preserve"> a alteração dos preços registrados, mediante comprovação de fato superveniente que supostamente o impossibilite de cumprir o compromisso.</w:t>
      </w:r>
      <w:r>
        <w:rPr>
          <w:color w:val="231F20"/>
          <w:sz w:val="24"/>
          <w:szCs w:val="24"/>
        </w:rPr>
        <w:t xml:space="preserve"> </w:t>
      </w:r>
    </w:p>
    <w:p w14:paraId="4BA28324">
      <w:pPr>
        <w:autoSpaceDE w:val="0"/>
        <w:autoSpaceDN w:val="0"/>
        <w:adjustRightInd w:val="0"/>
        <w:spacing w:line="288" w:lineRule="auto"/>
        <w:contextualSpacing/>
        <w:jc w:val="both"/>
        <w:rPr>
          <w:color w:val="231F20"/>
          <w:sz w:val="24"/>
          <w:szCs w:val="24"/>
        </w:rPr>
      </w:pPr>
    </w:p>
    <w:p w14:paraId="348DDC23">
      <w:pPr>
        <w:autoSpaceDE w:val="0"/>
        <w:autoSpaceDN w:val="0"/>
        <w:adjustRightInd w:val="0"/>
        <w:spacing w:line="288" w:lineRule="auto"/>
        <w:contextualSpacing/>
        <w:jc w:val="both"/>
        <w:rPr>
          <w:color w:val="231F20"/>
          <w:sz w:val="24"/>
          <w:szCs w:val="24"/>
        </w:rPr>
      </w:pPr>
      <w:r>
        <w:rPr>
          <w:color w:val="231F20"/>
          <w:sz w:val="24"/>
          <w:szCs w:val="24"/>
        </w:rPr>
        <w:t xml:space="preserve">6.4.1 </w:t>
      </w:r>
      <w:r>
        <w:rPr>
          <w:sz w:val="24"/>
          <w:szCs w:val="24"/>
        </w:rPr>
        <w:t xml:space="preserve">O </w:t>
      </w:r>
      <w:r>
        <w:rPr>
          <w:color w:val="231F20"/>
          <w:sz w:val="24"/>
          <w:szCs w:val="24"/>
        </w:rPr>
        <w:t>fornecedor</w:t>
      </w:r>
      <w:r>
        <w:rPr>
          <w:sz w:val="24"/>
          <w:szCs w:val="24"/>
        </w:rPr>
        <w:t xml:space="preserve"> deverá encaminhar, juntamente com o pedido de alteração, documentação comprobatória ou planilha de custos que demonstre que o preço registrado se tornou inviável frente às condições inicialmente pactuadas, cabendo ao </w:t>
      </w:r>
      <w:r>
        <w:rPr>
          <w:bCs/>
          <w:color w:val="231F20"/>
          <w:sz w:val="24"/>
          <w:szCs w:val="24"/>
        </w:rPr>
        <w:t>gerenciador</w:t>
      </w:r>
      <w:r>
        <w:rPr>
          <w:sz w:val="24"/>
          <w:szCs w:val="24"/>
        </w:rPr>
        <w:t xml:space="preserve"> a análise e deliberação a respeito do pedido.</w:t>
      </w:r>
    </w:p>
    <w:p w14:paraId="4142FF4F">
      <w:pPr>
        <w:autoSpaceDE w:val="0"/>
        <w:autoSpaceDN w:val="0"/>
        <w:adjustRightInd w:val="0"/>
        <w:spacing w:line="288" w:lineRule="auto"/>
        <w:contextualSpacing/>
        <w:jc w:val="both"/>
        <w:rPr>
          <w:color w:val="231F20"/>
          <w:sz w:val="24"/>
          <w:szCs w:val="24"/>
        </w:rPr>
      </w:pPr>
    </w:p>
    <w:p w14:paraId="42495650">
      <w:pPr>
        <w:autoSpaceDE w:val="0"/>
        <w:autoSpaceDN w:val="0"/>
        <w:adjustRightInd w:val="0"/>
        <w:spacing w:line="288" w:lineRule="auto"/>
        <w:contextualSpacing/>
        <w:jc w:val="both"/>
        <w:rPr>
          <w:sz w:val="24"/>
          <w:szCs w:val="24"/>
        </w:rPr>
      </w:pPr>
      <w:r>
        <w:rPr>
          <w:sz w:val="24"/>
          <w:szCs w:val="24"/>
        </w:rPr>
        <w:t xml:space="preserve">6.4.2 Na hipótese de deferimento do pedido, o </w:t>
      </w:r>
      <w:r>
        <w:rPr>
          <w:bCs/>
          <w:color w:val="231F20"/>
          <w:sz w:val="24"/>
          <w:szCs w:val="24"/>
        </w:rPr>
        <w:t>gerenciador</w:t>
      </w:r>
      <w:r>
        <w:rPr>
          <w:sz w:val="24"/>
          <w:szCs w:val="24"/>
        </w:rPr>
        <w:t xml:space="preserve"> procederá à atualização do preço registrado, de acordo com a realidade dos valores praticados pelo mercado. </w:t>
      </w:r>
    </w:p>
    <w:p w14:paraId="12810206">
      <w:pPr>
        <w:autoSpaceDE w:val="0"/>
        <w:autoSpaceDN w:val="0"/>
        <w:adjustRightInd w:val="0"/>
        <w:spacing w:line="288" w:lineRule="auto"/>
        <w:contextualSpacing/>
        <w:jc w:val="both"/>
        <w:rPr>
          <w:color w:val="231F20"/>
          <w:sz w:val="24"/>
          <w:szCs w:val="24"/>
        </w:rPr>
      </w:pPr>
    </w:p>
    <w:p w14:paraId="7A37542D">
      <w:pPr>
        <w:autoSpaceDE w:val="0"/>
        <w:autoSpaceDN w:val="0"/>
        <w:adjustRightInd w:val="0"/>
        <w:spacing w:line="288" w:lineRule="auto"/>
        <w:contextualSpacing/>
        <w:jc w:val="both"/>
        <w:rPr>
          <w:color w:val="231F20"/>
          <w:sz w:val="24"/>
          <w:szCs w:val="24"/>
        </w:rPr>
      </w:pPr>
      <w:r>
        <w:rPr>
          <w:color w:val="231F20"/>
          <w:sz w:val="24"/>
          <w:szCs w:val="24"/>
        </w:rPr>
        <w:t xml:space="preserve">6.4.3 O </w:t>
      </w:r>
      <w:r>
        <w:rPr>
          <w:bCs/>
          <w:color w:val="231F20"/>
          <w:sz w:val="24"/>
          <w:szCs w:val="24"/>
        </w:rPr>
        <w:t xml:space="preserve">fornecedor </w:t>
      </w:r>
      <w:r>
        <w:rPr>
          <w:color w:val="231F20"/>
          <w:sz w:val="24"/>
          <w:szCs w:val="24"/>
        </w:rPr>
        <w:t xml:space="preserve">do compromisso assumido poderá ser liberado pelo </w:t>
      </w:r>
      <w:r>
        <w:rPr>
          <w:bCs/>
          <w:color w:val="231F20"/>
          <w:sz w:val="24"/>
          <w:szCs w:val="24"/>
        </w:rPr>
        <w:t>gerenciador</w:t>
      </w:r>
      <w:r>
        <w:rPr>
          <w:color w:val="231F20"/>
          <w:sz w:val="24"/>
          <w:szCs w:val="24"/>
        </w:rPr>
        <w:t>, caso a comunicação ocorra antes do pedido de fornecimento, e sem aplicação de penalidades administrativas, se confirmada a veracidade dos motivos e comprovantes apresentados.</w:t>
      </w:r>
    </w:p>
    <w:p w14:paraId="37A544CC">
      <w:pPr>
        <w:autoSpaceDE w:val="0"/>
        <w:autoSpaceDN w:val="0"/>
        <w:adjustRightInd w:val="0"/>
        <w:spacing w:line="288" w:lineRule="auto"/>
        <w:contextualSpacing/>
        <w:jc w:val="both"/>
        <w:rPr>
          <w:color w:val="231F20"/>
          <w:sz w:val="24"/>
          <w:szCs w:val="24"/>
        </w:rPr>
      </w:pPr>
    </w:p>
    <w:p w14:paraId="5A4D2917">
      <w:pPr>
        <w:autoSpaceDE w:val="0"/>
        <w:autoSpaceDN w:val="0"/>
        <w:adjustRightInd w:val="0"/>
        <w:spacing w:line="288" w:lineRule="auto"/>
        <w:contextualSpacing/>
        <w:jc w:val="both"/>
        <w:rPr>
          <w:color w:val="231F20"/>
          <w:sz w:val="24"/>
          <w:szCs w:val="24"/>
        </w:rPr>
      </w:pPr>
      <w:r>
        <w:rPr>
          <w:color w:val="231F20"/>
          <w:sz w:val="24"/>
          <w:szCs w:val="24"/>
        </w:rPr>
        <w:t xml:space="preserve">6.4.4 </w:t>
      </w:r>
      <w:r>
        <w:rPr>
          <w:sz w:val="24"/>
          <w:szCs w:val="24"/>
        </w:rPr>
        <w:t xml:space="preserve">Caso não demonstrada a existência de fato superveniente que torne insubsistente o preço registrado, o pedido será indeferido pelo </w:t>
      </w:r>
      <w:r>
        <w:rPr>
          <w:bCs/>
          <w:color w:val="231F20"/>
          <w:sz w:val="24"/>
          <w:szCs w:val="24"/>
        </w:rPr>
        <w:t>gerenciador,</w:t>
      </w:r>
      <w:r>
        <w:rPr>
          <w:sz w:val="24"/>
          <w:szCs w:val="24"/>
        </w:rPr>
        <w:t xml:space="preserve"> 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w:t>
      </w:r>
      <w:r>
        <w:rPr>
          <w:rFonts w:eastAsia="Arial"/>
          <w:sz w:val="24"/>
          <w:szCs w:val="24"/>
        </w:rPr>
        <w:t xml:space="preserve"> e no Termo de Referência</w:t>
      </w:r>
      <w:r>
        <w:rPr>
          <w:sz w:val="24"/>
          <w:szCs w:val="24"/>
        </w:rPr>
        <w:t>, e em outras legislações aplicáveis.</w:t>
      </w:r>
    </w:p>
    <w:p w14:paraId="5D2E2F2C">
      <w:pPr>
        <w:autoSpaceDE w:val="0"/>
        <w:autoSpaceDN w:val="0"/>
        <w:adjustRightInd w:val="0"/>
        <w:spacing w:line="288" w:lineRule="auto"/>
        <w:contextualSpacing/>
        <w:jc w:val="both"/>
        <w:rPr>
          <w:b/>
          <w:bCs/>
          <w:color w:val="231F20"/>
          <w:sz w:val="24"/>
          <w:szCs w:val="24"/>
        </w:rPr>
      </w:pPr>
    </w:p>
    <w:p w14:paraId="4FD48054">
      <w:pPr>
        <w:autoSpaceDE w:val="0"/>
        <w:autoSpaceDN w:val="0"/>
        <w:adjustRightInd w:val="0"/>
        <w:spacing w:line="288" w:lineRule="auto"/>
        <w:contextualSpacing/>
        <w:jc w:val="both"/>
        <w:rPr>
          <w:sz w:val="24"/>
          <w:szCs w:val="24"/>
        </w:rPr>
      </w:pPr>
      <w:r>
        <w:rPr>
          <w:sz w:val="24"/>
          <w:szCs w:val="24"/>
        </w:rPr>
        <w:t xml:space="preserve">6.4.4.1 Havendo cancelamento do registro do fornecedor, nos termos do item 6.4.4, o </w:t>
      </w:r>
      <w:r>
        <w:rPr>
          <w:bCs/>
          <w:color w:val="231F20"/>
          <w:sz w:val="24"/>
          <w:szCs w:val="24"/>
        </w:rPr>
        <w:t>gerenciador</w:t>
      </w:r>
      <w:r>
        <w:rPr>
          <w:sz w:val="24"/>
          <w:szCs w:val="24"/>
        </w:rPr>
        <w:t xml:space="preserve"> deverá convocar os proponentes do Cadastro de Reserva, observada a ordem de classificação, para verificar se aceitam manter seus preços registrados, observado o disposto no art. 19, § 3º, do Decreto nº 56/2025. </w:t>
      </w:r>
    </w:p>
    <w:p w14:paraId="264BEC16">
      <w:pPr>
        <w:autoSpaceDE w:val="0"/>
        <w:autoSpaceDN w:val="0"/>
        <w:adjustRightInd w:val="0"/>
        <w:spacing w:line="288" w:lineRule="auto"/>
        <w:contextualSpacing/>
        <w:jc w:val="both"/>
        <w:rPr>
          <w:sz w:val="24"/>
          <w:szCs w:val="24"/>
        </w:rPr>
      </w:pPr>
    </w:p>
    <w:p w14:paraId="49ACCC1A">
      <w:pPr>
        <w:autoSpaceDE w:val="0"/>
        <w:autoSpaceDN w:val="0"/>
        <w:adjustRightInd w:val="0"/>
        <w:spacing w:line="288" w:lineRule="auto"/>
        <w:contextualSpacing/>
        <w:jc w:val="both"/>
        <w:rPr>
          <w:sz w:val="24"/>
          <w:szCs w:val="24"/>
        </w:rPr>
      </w:pPr>
      <w:r>
        <w:rPr>
          <w:sz w:val="24"/>
          <w:szCs w:val="24"/>
        </w:rPr>
        <w:t xml:space="preserve">6.4.4.2 Não havendo êxito nas negociações, o </w:t>
      </w:r>
      <w:r>
        <w:rPr>
          <w:bCs/>
          <w:color w:val="231F20"/>
          <w:sz w:val="24"/>
          <w:szCs w:val="24"/>
        </w:rPr>
        <w:t>gerenciador</w:t>
      </w:r>
      <w:r>
        <w:rPr>
          <w:sz w:val="24"/>
          <w:szCs w:val="24"/>
        </w:rPr>
        <w:t xml:space="preserve"> deverá proceder ao cancelamento da Ata de Registro de Preços, adotando as medidas cabíveis para obtenção da contratação mais vantajosa. </w:t>
      </w:r>
    </w:p>
    <w:p w14:paraId="051EDF8F">
      <w:pPr>
        <w:autoSpaceDE w:val="0"/>
        <w:autoSpaceDN w:val="0"/>
        <w:adjustRightInd w:val="0"/>
        <w:spacing w:line="288" w:lineRule="auto"/>
        <w:contextualSpacing/>
        <w:jc w:val="both"/>
        <w:rPr>
          <w:sz w:val="24"/>
          <w:szCs w:val="24"/>
        </w:rPr>
      </w:pPr>
    </w:p>
    <w:p w14:paraId="0C7329D3">
      <w:pPr>
        <w:autoSpaceDE w:val="0"/>
        <w:autoSpaceDN w:val="0"/>
        <w:adjustRightInd w:val="0"/>
        <w:spacing w:line="288" w:lineRule="auto"/>
        <w:contextualSpacing/>
        <w:jc w:val="both"/>
        <w:rPr>
          <w:sz w:val="24"/>
          <w:szCs w:val="24"/>
        </w:rPr>
      </w:pPr>
      <w:r>
        <w:rPr>
          <w:sz w:val="24"/>
          <w:szCs w:val="24"/>
        </w:rPr>
        <w:t xml:space="preserve">6.5 Os novos valores a serem registrados, conforme itens 6.3.5 e 6.4.2, deverão ser formalizados mediante termo aditivo à Ata de Registro de Preços. </w:t>
      </w:r>
    </w:p>
    <w:p w14:paraId="391831F5">
      <w:pPr>
        <w:autoSpaceDE w:val="0"/>
        <w:autoSpaceDN w:val="0"/>
        <w:adjustRightInd w:val="0"/>
        <w:spacing w:line="288" w:lineRule="auto"/>
        <w:contextualSpacing/>
        <w:jc w:val="both"/>
        <w:rPr>
          <w:sz w:val="24"/>
          <w:szCs w:val="24"/>
        </w:rPr>
      </w:pPr>
    </w:p>
    <w:p w14:paraId="70416795">
      <w:pPr>
        <w:autoSpaceDE w:val="0"/>
        <w:autoSpaceDN w:val="0"/>
        <w:adjustRightInd w:val="0"/>
        <w:spacing w:line="288" w:lineRule="auto"/>
        <w:contextualSpacing/>
        <w:jc w:val="both"/>
        <w:rPr>
          <w:sz w:val="24"/>
          <w:szCs w:val="24"/>
        </w:rPr>
      </w:pPr>
      <w:r>
        <w:rPr>
          <w:sz w:val="24"/>
          <w:szCs w:val="24"/>
        </w:rPr>
        <w:t>6.6 Os preços registrados poderão, ainda, ser reajustados ou repactuados, conforme estabelecido no instrumento convocatório, quando houver,</w:t>
      </w:r>
      <w:r>
        <w:rPr>
          <w:rFonts w:eastAsia="Arial"/>
          <w:sz w:val="24"/>
          <w:szCs w:val="24"/>
        </w:rPr>
        <w:t xml:space="preserve"> e no Termo de Referência</w:t>
      </w:r>
      <w:r>
        <w:rPr>
          <w:sz w:val="24"/>
          <w:szCs w:val="24"/>
        </w:rPr>
        <w:t>, nos termos da Lei nº 14.133/ 2021.</w:t>
      </w:r>
    </w:p>
    <w:p w14:paraId="182FA855">
      <w:pPr>
        <w:autoSpaceDE w:val="0"/>
        <w:autoSpaceDN w:val="0"/>
        <w:adjustRightInd w:val="0"/>
        <w:spacing w:line="288" w:lineRule="auto"/>
        <w:contextualSpacing/>
        <w:jc w:val="both"/>
        <w:rPr>
          <w:sz w:val="24"/>
          <w:szCs w:val="24"/>
        </w:rPr>
      </w:pPr>
    </w:p>
    <w:p w14:paraId="77597940">
      <w:pPr>
        <w:autoSpaceDE w:val="0"/>
        <w:autoSpaceDN w:val="0"/>
        <w:adjustRightInd w:val="0"/>
        <w:spacing w:line="288" w:lineRule="auto"/>
        <w:contextualSpacing/>
        <w:jc w:val="both"/>
        <w:rPr>
          <w:sz w:val="24"/>
          <w:szCs w:val="24"/>
        </w:rPr>
      </w:pPr>
      <w:r>
        <w:rPr>
          <w:sz w:val="24"/>
          <w:szCs w:val="24"/>
        </w:rPr>
        <w:t>6.6.1 O reajustamento ou repactuação poderá ser efetuado mediante apostilamento.</w:t>
      </w:r>
    </w:p>
    <w:p w14:paraId="3E8D8B2E">
      <w:pPr>
        <w:spacing w:line="288" w:lineRule="auto"/>
        <w:contextualSpacing/>
        <w:jc w:val="both"/>
        <w:rPr>
          <w:sz w:val="24"/>
          <w:szCs w:val="24"/>
        </w:rPr>
      </w:pPr>
    </w:p>
    <w:p w14:paraId="57213229">
      <w:pPr>
        <w:spacing w:line="288" w:lineRule="auto"/>
        <w:contextualSpacing/>
        <w:jc w:val="both"/>
        <w:rPr>
          <w:rFonts w:eastAsia="Arial"/>
          <w:b/>
          <w:sz w:val="24"/>
          <w:szCs w:val="24"/>
        </w:rPr>
      </w:pPr>
      <w:r>
        <w:rPr>
          <w:rFonts w:eastAsia="Arial"/>
          <w:b/>
          <w:sz w:val="24"/>
          <w:szCs w:val="24"/>
        </w:rPr>
        <w:t>CLÁUSULA SÉTIMA: DOS LOCAIS DE PRESTAÇÃO DOS SERVIÇOS</w:t>
      </w:r>
    </w:p>
    <w:p w14:paraId="2F8E2F8E">
      <w:pPr>
        <w:autoSpaceDE w:val="0"/>
        <w:autoSpaceDN w:val="0"/>
        <w:adjustRightInd w:val="0"/>
        <w:spacing w:line="288" w:lineRule="auto"/>
        <w:contextualSpacing/>
        <w:jc w:val="both"/>
        <w:rPr>
          <w:color w:val="231F20"/>
          <w:sz w:val="24"/>
          <w:szCs w:val="24"/>
        </w:rPr>
      </w:pPr>
    </w:p>
    <w:p w14:paraId="7CC31A32">
      <w:pPr>
        <w:autoSpaceDE w:val="0"/>
        <w:autoSpaceDN w:val="0"/>
        <w:adjustRightInd w:val="0"/>
        <w:spacing w:line="288" w:lineRule="auto"/>
        <w:contextualSpacing/>
        <w:jc w:val="both"/>
        <w:rPr>
          <w:color w:val="231F20"/>
          <w:sz w:val="24"/>
          <w:szCs w:val="24"/>
        </w:rPr>
      </w:pPr>
      <w:r>
        <w:rPr>
          <w:color w:val="231F20"/>
          <w:sz w:val="24"/>
          <w:szCs w:val="24"/>
        </w:rPr>
        <w:t xml:space="preserve">7.1 Os locais </w:t>
      </w:r>
      <w:r>
        <w:rPr>
          <w:color w:val="000000" w:themeColor="text1"/>
          <w:sz w:val="24"/>
          <w:szCs w:val="24"/>
          <w14:textFill>
            <w14:solidFill>
              <w14:schemeClr w14:val="tx1"/>
            </w14:solidFill>
          </w14:textFill>
        </w:rPr>
        <w:t xml:space="preserve">de entrega dos bens objeto </w:t>
      </w:r>
      <w:r>
        <w:rPr>
          <w:color w:val="231F20"/>
          <w:sz w:val="24"/>
          <w:szCs w:val="24"/>
        </w:rPr>
        <w:t>do registro de preços estão listados no Termo de Referência.</w:t>
      </w:r>
    </w:p>
    <w:p w14:paraId="63D0F888">
      <w:pPr>
        <w:spacing w:line="288" w:lineRule="auto"/>
        <w:contextualSpacing/>
        <w:jc w:val="both"/>
        <w:rPr>
          <w:rFonts w:eastAsia="Arial"/>
          <w:b/>
          <w:sz w:val="24"/>
          <w:szCs w:val="24"/>
          <w:u w:val="single"/>
        </w:rPr>
      </w:pPr>
    </w:p>
    <w:p w14:paraId="62DB69B9">
      <w:pPr>
        <w:spacing w:line="288" w:lineRule="auto"/>
        <w:contextualSpacing/>
        <w:jc w:val="both"/>
        <w:rPr>
          <w:rFonts w:eastAsia="Arial"/>
          <w:b/>
          <w:sz w:val="24"/>
          <w:szCs w:val="24"/>
        </w:rPr>
      </w:pPr>
      <w:r>
        <w:rPr>
          <w:rFonts w:eastAsia="Arial"/>
          <w:b/>
          <w:sz w:val="24"/>
          <w:szCs w:val="24"/>
        </w:rPr>
        <w:t>CLÁUSULA OITAVA: DO PRAZO DE VALIDADE DA ATA DE REGISTRO DE PREÇOS</w:t>
      </w:r>
    </w:p>
    <w:p w14:paraId="1673C2C3">
      <w:pPr>
        <w:autoSpaceDE w:val="0"/>
        <w:autoSpaceDN w:val="0"/>
        <w:adjustRightInd w:val="0"/>
        <w:spacing w:line="288" w:lineRule="auto"/>
        <w:contextualSpacing/>
        <w:jc w:val="both"/>
        <w:rPr>
          <w:color w:val="231F20"/>
          <w:sz w:val="24"/>
          <w:szCs w:val="24"/>
        </w:rPr>
      </w:pPr>
    </w:p>
    <w:p w14:paraId="72038389">
      <w:pPr>
        <w:autoSpaceDE w:val="0"/>
        <w:autoSpaceDN w:val="0"/>
        <w:adjustRightInd w:val="0"/>
        <w:spacing w:line="288" w:lineRule="auto"/>
        <w:contextualSpacing/>
        <w:jc w:val="both"/>
        <w:rPr>
          <w:color w:val="231F20"/>
          <w:sz w:val="24"/>
          <w:szCs w:val="24"/>
        </w:rPr>
      </w:pPr>
      <w:r>
        <w:rPr>
          <w:color w:val="231F20"/>
          <w:sz w:val="24"/>
          <w:szCs w:val="24"/>
        </w:rPr>
        <w:t xml:space="preserve">8.1 O prazo de validade da Ata de Registro de Preços é de 1 (um) ano, </w:t>
      </w:r>
      <w:r>
        <w:rPr>
          <w:color w:val="000000"/>
          <w:sz w:val="24"/>
          <w:szCs w:val="24"/>
        </w:rPr>
        <w:t xml:space="preserve">contado a partir </w:t>
      </w:r>
      <w:r>
        <w:rPr>
          <w:sz w:val="24"/>
          <w:szCs w:val="24"/>
        </w:rPr>
        <w:t>do 1º (primeiro) dia útil subsequente à data de divulgação no PNCP.</w:t>
      </w:r>
      <w:r>
        <w:rPr>
          <w:color w:val="231F20"/>
          <w:sz w:val="24"/>
          <w:szCs w:val="24"/>
        </w:rPr>
        <w:t xml:space="preserve"> </w:t>
      </w:r>
    </w:p>
    <w:p w14:paraId="0BDA10AA">
      <w:pPr>
        <w:autoSpaceDE w:val="0"/>
        <w:autoSpaceDN w:val="0"/>
        <w:adjustRightInd w:val="0"/>
        <w:spacing w:line="288" w:lineRule="auto"/>
        <w:contextualSpacing/>
        <w:jc w:val="both"/>
        <w:rPr>
          <w:color w:val="231F20"/>
          <w:sz w:val="24"/>
          <w:szCs w:val="24"/>
        </w:rPr>
      </w:pPr>
    </w:p>
    <w:p w14:paraId="47BE00D4">
      <w:pPr>
        <w:autoSpaceDE w:val="0"/>
        <w:autoSpaceDN w:val="0"/>
        <w:adjustRightInd w:val="0"/>
        <w:spacing w:line="288" w:lineRule="auto"/>
        <w:contextualSpacing/>
        <w:jc w:val="both"/>
        <w:rPr>
          <w:sz w:val="24"/>
          <w:szCs w:val="24"/>
        </w:rPr>
      </w:pPr>
      <w:r>
        <w:rPr>
          <w:color w:val="231F20"/>
          <w:sz w:val="24"/>
          <w:szCs w:val="24"/>
        </w:rPr>
        <w:t xml:space="preserve">8.2 </w:t>
      </w:r>
      <w:r>
        <w:rPr>
          <w:sz w:val="24"/>
          <w:szCs w:val="24"/>
        </w:rPr>
        <w:t>O prazo de vigência da Ata de Registro de Preços poderá ser prorrogado, por igual período, mediante termo aditivo, desde que as condições e os preços permaneçam vantajosos, observados os seguintes requisitos:</w:t>
      </w:r>
    </w:p>
    <w:p w14:paraId="5F32B242">
      <w:pPr>
        <w:autoSpaceDE w:val="0"/>
        <w:autoSpaceDN w:val="0"/>
        <w:adjustRightInd w:val="0"/>
        <w:spacing w:line="288" w:lineRule="auto"/>
        <w:contextualSpacing/>
        <w:jc w:val="both"/>
        <w:rPr>
          <w:sz w:val="24"/>
          <w:szCs w:val="24"/>
        </w:rPr>
      </w:pPr>
    </w:p>
    <w:p w14:paraId="36ED87BC">
      <w:pPr>
        <w:autoSpaceDE w:val="0"/>
        <w:autoSpaceDN w:val="0"/>
        <w:adjustRightInd w:val="0"/>
        <w:spacing w:line="288" w:lineRule="auto"/>
        <w:contextualSpacing/>
        <w:jc w:val="both"/>
        <w:rPr>
          <w:sz w:val="24"/>
          <w:szCs w:val="24"/>
        </w:rPr>
      </w:pPr>
      <w:r>
        <w:rPr>
          <w:sz w:val="24"/>
          <w:szCs w:val="24"/>
        </w:rPr>
        <w:t xml:space="preserve">8.2.1 somente o saldo remanescente será mantido; </w:t>
      </w:r>
    </w:p>
    <w:p w14:paraId="517D1781">
      <w:pPr>
        <w:autoSpaceDE w:val="0"/>
        <w:autoSpaceDN w:val="0"/>
        <w:adjustRightInd w:val="0"/>
        <w:spacing w:line="288" w:lineRule="auto"/>
        <w:contextualSpacing/>
        <w:jc w:val="both"/>
        <w:rPr>
          <w:sz w:val="24"/>
          <w:szCs w:val="24"/>
        </w:rPr>
      </w:pPr>
    </w:p>
    <w:p w14:paraId="46FB9265">
      <w:pPr>
        <w:autoSpaceDE w:val="0"/>
        <w:autoSpaceDN w:val="0"/>
        <w:adjustRightInd w:val="0"/>
        <w:spacing w:line="288" w:lineRule="auto"/>
        <w:contextualSpacing/>
        <w:jc w:val="both"/>
        <w:rPr>
          <w:sz w:val="24"/>
          <w:szCs w:val="24"/>
        </w:rPr>
      </w:pPr>
      <w:r>
        <w:rPr>
          <w:sz w:val="24"/>
          <w:szCs w:val="24"/>
        </w:rPr>
        <w:t>8.2.2 deverá ser indicado expressamente o prazo de prorrogação; e</w:t>
      </w:r>
    </w:p>
    <w:p w14:paraId="3C2C0110">
      <w:pPr>
        <w:autoSpaceDE w:val="0"/>
        <w:autoSpaceDN w:val="0"/>
        <w:adjustRightInd w:val="0"/>
        <w:spacing w:line="288" w:lineRule="auto"/>
        <w:contextualSpacing/>
        <w:jc w:val="both"/>
        <w:rPr>
          <w:sz w:val="24"/>
          <w:szCs w:val="24"/>
        </w:rPr>
      </w:pPr>
    </w:p>
    <w:p w14:paraId="7F318A84">
      <w:pPr>
        <w:autoSpaceDE w:val="0"/>
        <w:autoSpaceDN w:val="0"/>
        <w:adjustRightInd w:val="0"/>
        <w:spacing w:line="288" w:lineRule="auto"/>
        <w:contextualSpacing/>
        <w:jc w:val="both"/>
        <w:rPr>
          <w:sz w:val="24"/>
          <w:szCs w:val="24"/>
        </w:rPr>
      </w:pPr>
      <w:r>
        <w:rPr>
          <w:sz w:val="24"/>
          <w:szCs w:val="24"/>
        </w:rPr>
        <w:t>8.2.3 deverá ser confirmado se os preços registrados permanecem atualizados, por meio de pesquisa de preços realizada na forma do Decreto nº 46/2025.</w:t>
      </w:r>
    </w:p>
    <w:p w14:paraId="2A9BE3A3">
      <w:pPr>
        <w:spacing w:line="288" w:lineRule="auto"/>
        <w:contextualSpacing/>
        <w:jc w:val="both"/>
        <w:rPr>
          <w:sz w:val="24"/>
          <w:szCs w:val="24"/>
        </w:rPr>
      </w:pPr>
    </w:p>
    <w:p w14:paraId="3978BD75">
      <w:pPr>
        <w:spacing w:line="288" w:lineRule="auto"/>
        <w:contextualSpacing/>
        <w:jc w:val="both"/>
        <w:rPr>
          <w:sz w:val="24"/>
          <w:szCs w:val="24"/>
        </w:rPr>
      </w:pPr>
      <w:r>
        <w:rPr>
          <w:b/>
          <w:sz w:val="24"/>
          <w:szCs w:val="24"/>
        </w:rPr>
        <w:t>CLÁUSULA NONA: DO CADASTRO DE RESERVA</w:t>
      </w:r>
    </w:p>
    <w:p w14:paraId="6808F1CA">
      <w:pPr>
        <w:spacing w:line="288" w:lineRule="auto"/>
        <w:contextualSpacing/>
        <w:jc w:val="both"/>
        <w:rPr>
          <w:rFonts w:eastAsia="Arial"/>
          <w:sz w:val="24"/>
          <w:szCs w:val="24"/>
        </w:rPr>
      </w:pPr>
    </w:p>
    <w:p w14:paraId="3A30CCBE">
      <w:pPr>
        <w:spacing w:line="288" w:lineRule="auto"/>
        <w:contextualSpacing/>
        <w:jc w:val="both"/>
        <w:rPr>
          <w:rFonts w:eastAsia="Arial"/>
          <w:sz w:val="24"/>
          <w:szCs w:val="24"/>
        </w:rPr>
      </w:pPr>
      <w:r>
        <w:rPr>
          <w:rFonts w:eastAsia="Arial"/>
          <w:sz w:val="24"/>
          <w:szCs w:val="24"/>
        </w:rPr>
        <w:t xml:space="preserve">9.1 Fazem parte do Cadastro de Reserva os </w:t>
      </w:r>
      <w:r>
        <w:rPr>
          <w:sz w:val="24"/>
          <w:szCs w:val="24"/>
        </w:rPr>
        <w:t xml:space="preserve">proponentes que aceitaram cotar os bens ou serviços em preços iguais aos do proponente vencedor do certame, observada a ordem de classificação, e os proponentes que mantiveram sua proposta original, conforme informações reunidas no Anexo II – Cadastro de Reserva. </w:t>
      </w:r>
    </w:p>
    <w:p w14:paraId="7D2B603F">
      <w:pPr>
        <w:autoSpaceDE w:val="0"/>
        <w:autoSpaceDN w:val="0"/>
        <w:adjustRightInd w:val="0"/>
        <w:spacing w:line="288" w:lineRule="auto"/>
        <w:contextualSpacing/>
        <w:jc w:val="both"/>
        <w:rPr>
          <w:color w:val="231F20"/>
          <w:sz w:val="24"/>
          <w:szCs w:val="24"/>
        </w:rPr>
      </w:pPr>
    </w:p>
    <w:p w14:paraId="04185F2E">
      <w:pPr>
        <w:autoSpaceDE w:val="0"/>
        <w:autoSpaceDN w:val="0"/>
        <w:adjustRightInd w:val="0"/>
        <w:spacing w:line="288" w:lineRule="auto"/>
        <w:contextualSpacing/>
        <w:jc w:val="both"/>
        <w:rPr>
          <w:color w:val="231F20"/>
          <w:sz w:val="24"/>
          <w:szCs w:val="24"/>
        </w:rPr>
      </w:pPr>
      <w:r>
        <w:rPr>
          <w:color w:val="231F20"/>
          <w:sz w:val="24"/>
          <w:szCs w:val="24"/>
        </w:rPr>
        <w:t>9.2 A ordem de classificação dos registrados na ata deverá ser respeitada para as contratações, cabendo ao gerenciador realizar os devidos registros na Ata de Registro de Preços, para a sua atualização.</w:t>
      </w:r>
    </w:p>
    <w:p w14:paraId="360818CA">
      <w:pPr>
        <w:autoSpaceDE w:val="0"/>
        <w:autoSpaceDN w:val="0"/>
        <w:adjustRightInd w:val="0"/>
        <w:spacing w:line="288" w:lineRule="auto"/>
        <w:contextualSpacing/>
        <w:jc w:val="both"/>
        <w:rPr>
          <w:color w:val="231F20"/>
          <w:sz w:val="24"/>
          <w:szCs w:val="24"/>
        </w:rPr>
      </w:pPr>
    </w:p>
    <w:p w14:paraId="6FABD63F">
      <w:pPr>
        <w:autoSpaceDE w:val="0"/>
        <w:autoSpaceDN w:val="0"/>
        <w:adjustRightInd w:val="0"/>
        <w:spacing w:line="288" w:lineRule="auto"/>
        <w:contextualSpacing/>
        <w:jc w:val="both"/>
        <w:rPr>
          <w:color w:val="231F20"/>
          <w:sz w:val="24"/>
          <w:szCs w:val="24"/>
        </w:rPr>
      </w:pPr>
      <w:r>
        <w:rPr>
          <w:color w:val="231F20"/>
          <w:sz w:val="24"/>
          <w:szCs w:val="24"/>
        </w:rPr>
        <w:t xml:space="preserve">9.3 </w:t>
      </w:r>
      <w:r>
        <w:rPr>
          <w:sz w:val="24"/>
          <w:szCs w:val="24"/>
        </w:rPr>
        <w:t>A habilitação dos proponentes que irão compor o Cadastro de Reserva somente será efetuada quando houver necessidade de contratação dos proponentes remanescentes, na forma do parágrafo 3º do art. 19 do Decreto nº 46/2025.</w:t>
      </w:r>
    </w:p>
    <w:p w14:paraId="2E471910">
      <w:pPr>
        <w:autoSpaceDE w:val="0"/>
        <w:autoSpaceDN w:val="0"/>
        <w:adjustRightInd w:val="0"/>
        <w:spacing w:line="288" w:lineRule="auto"/>
        <w:contextualSpacing/>
        <w:jc w:val="both"/>
        <w:rPr>
          <w:color w:val="231F20"/>
          <w:sz w:val="24"/>
          <w:szCs w:val="24"/>
        </w:rPr>
      </w:pPr>
    </w:p>
    <w:p w14:paraId="78993D1F">
      <w:pPr>
        <w:autoSpaceDE w:val="0"/>
        <w:autoSpaceDN w:val="0"/>
        <w:adjustRightInd w:val="0"/>
        <w:spacing w:line="288" w:lineRule="auto"/>
        <w:contextualSpacing/>
        <w:jc w:val="both"/>
        <w:rPr>
          <w:color w:val="231F20"/>
          <w:sz w:val="24"/>
          <w:szCs w:val="24"/>
        </w:rPr>
      </w:pPr>
      <w:r>
        <w:rPr>
          <w:color w:val="231F20"/>
          <w:sz w:val="24"/>
          <w:szCs w:val="24"/>
        </w:rPr>
        <w:t xml:space="preserve">9.4 </w:t>
      </w:r>
      <w:r>
        <w:rPr>
          <w:sz w:val="24"/>
          <w:szCs w:val="24"/>
        </w:rPr>
        <w:t>É facultado à Administração, quando o convocado não assinar a Ata de Registro de Preços no prazo e condições estabelecidos no instrumento convocatório, quando houver,</w:t>
      </w:r>
      <w:r>
        <w:rPr>
          <w:rFonts w:eastAsia="Arial"/>
          <w:sz w:val="24"/>
          <w:szCs w:val="24"/>
        </w:rPr>
        <w:t xml:space="preserve"> e no Termo de Referência</w:t>
      </w:r>
      <w:r>
        <w:rPr>
          <w:sz w:val="24"/>
          <w:szCs w:val="24"/>
        </w:rPr>
        <w:t xml:space="preserve">, convocar os proponentes do Cadastro de Reserva, na ordem de classificação, para fazê-lo em igual prazo e nas mesmas condições propostas pelo primeiro classificado. </w:t>
      </w:r>
    </w:p>
    <w:p w14:paraId="29CAC4F3">
      <w:pPr>
        <w:autoSpaceDE w:val="0"/>
        <w:autoSpaceDN w:val="0"/>
        <w:adjustRightInd w:val="0"/>
        <w:spacing w:line="288" w:lineRule="auto"/>
        <w:contextualSpacing/>
        <w:jc w:val="both"/>
        <w:rPr>
          <w:color w:val="231F20"/>
          <w:sz w:val="24"/>
          <w:szCs w:val="24"/>
        </w:rPr>
      </w:pPr>
    </w:p>
    <w:p w14:paraId="62F26D53">
      <w:pPr>
        <w:autoSpaceDE w:val="0"/>
        <w:autoSpaceDN w:val="0"/>
        <w:adjustRightInd w:val="0"/>
        <w:spacing w:line="288" w:lineRule="auto"/>
        <w:contextualSpacing/>
        <w:jc w:val="both"/>
        <w:rPr>
          <w:color w:val="231F20"/>
          <w:sz w:val="24"/>
          <w:szCs w:val="24"/>
        </w:rPr>
      </w:pPr>
      <w:r>
        <w:rPr>
          <w:color w:val="231F20"/>
          <w:sz w:val="24"/>
          <w:szCs w:val="24"/>
        </w:rPr>
        <w:t xml:space="preserve">9.5 O Cadastro de Reserva poderá ser empregado no caso de exclusão do fornecedor da Ata de Registro de Preços, nas seguintes ocorrências: </w:t>
      </w:r>
    </w:p>
    <w:p w14:paraId="0958FB32">
      <w:pPr>
        <w:autoSpaceDE w:val="0"/>
        <w:autoSpaceDN w:val="0"/>
        <w:adjustRightInd w:val="0"/>
        <w:spacing w:line="288" w:lineRule="auto"/>
        <w:contextualSpacing/>
        <w:jc w:val="both"/>
        <w:rPr>
          <w:color w:val="231F20"/>
          <w:sz w:val="24"/>
          <w:szCs w:val="24"/>
        </w:rPr>
      </w:pPr>
      <w:r>
        <w:rPr>
          <w:color w:val="231F20"/>
          <w:sz w:val="24"/>
          <w:szCs w:val="24"/>
        </w:rPr>
        <w:t xml:space="preserve"> </w:t>
      </w:r>
    </w:p>
    <w:p w14:paraId="35A9722D">
      <w:pPr>
        <w:autoSpaceDE w:val="0"/>
        <w:autoSpaceDN w:val="0"/>
        <w:adjustRightInd w:val="0"/>
        <w:spacing w:line="288" w:lineRule="auto"/>
        <w:contextualSpacing/>
        <w:jc w:val="both"/>
        <w:rPr>
          <w:color w:val="231F20"/>
          <w:sz w:val="24"/>
          <w:szCs w:val="24"/>
        </w:rPr>
      </w:pPr>
      <w:r>
        <w:rPr>
          <w:color w:val="231F20"/>
          <w:sz w:val="24"/>
          <w:szCs w:val="24"/>
        </w:rPr>
        <w:t xml:space="preserve">a) cancelamento do registro do fornecedor, nas hipóteses previstas na cláusula décima; ou </w:t>
      </w:r>
    </w:p>
    <w:p w14:paraId="408DE6FD">
      <w:pPr>
        <w:autoSpaceDE w:val="0"/>
        <w:autoSpaceDN w:val="0"/>
        <w:adjustRightInd w:val="0"/>
        <w:spacing w:line="288" w:lineRule="auto"/>
        <w:contextualSpacing/>
        <w:jc w:val="both"/>
        <w:rPr>
          <w:color w:val="231F20"/>
          <w:sz w:val="24"/>
          <w:szCs w:val="24"/>
        </w:rPr>
      </w:pPr>
    </w:p>
    <w:p w14:paraId="1EE34C0F">
      <w:pPr>
        <w:autoSpaceDE w:val="0"/>
        <w:autoSpaceDN w:val="0"/>
        <w:adjustRightInd w:val="0"/>
        <w:spacing w:line="288" w:lineRule="auto"/>
        <w:contextualSpacing/>
        <w:jc w:val="both"/>
        <w:rPr>
          <w:color w:val="231F20"/>
          <w:sz w:val="24"/>
          <w:szCs w:val="24"/>
        </w:rPr>
      </w:pPr>
      <w:r>
        <w:rPr>
          <w:color w:val="231F20"/>
          <w:sz w:val="24"/>
          <w:szCs w:val="24"/>
        </w:rPr>
        <w:t>b) cancelamento do registro de preços, nas hipóteses previstas nos arts. 28, § 4º, 29 e 31, do Decreto nº 46/2025, e itens 6.3.4 e 6.4 da cláusula sexta.</w:t>
      </w:r>
    </w:p>
    <w:p w14:paraId="10E98E41">
      <w:pPr>
        <w:pStyle w:val="20"/>
        <w:spacing w:line="288" w:lineRule="auto"/>
        <w:contextualSpacing/>
        <w:jc w:val="both"/>
        <w:rPr>
          <w:rFonts w:ascii="Times New Roman" w:hAnsi="Times New Roman" w:cs="Times New Roman"/>
        </w:rPr>
      </w:pPr>
    </w:p>
    <w:p w14:paraId="6B030CEE">
      <w:pPr>
        <w:spacing w:line="288" w:lineRule="auto"/>
        <w:contextualSpacing/>
        <w:jc w:val="both"/>
        <w:rPr>
          <w:b/>
          <w:sz w:val="24"/>
          <w:szCs w:val="24"/>
        </w:rPr>
      </w:pPr>
      <w:r>
        <w:rPr>
          <w:b/>
          <w:sz w:val="24"/>
          <w:szCs w:val="24"/>
        </w:rPr>
        <w:t xml:space="preserve">CLÁUSULA DÉCIMA: DO CANCELAMENTO DO REGISTRO DO FORNECEDOR </w:t>
      </w:r>
    </w:p>
    <w:p w14:paraId="6F1404F0">
      <w:pPr>
        <w:spacing w:line="288" w:lineRule="auto"/>
        <w:contextualSpacing/>
        <w:jc w:val="both"/>
        <w:rPr>
          <w:color w:val="231F20"/>
          <w:sz w:val="24"/>
          <w:szCs w:val="24"/>
        </w:rPr>
      </w:pPr>
    </w:p>
    <w:p w14:paraId="6E0E5C67">
      <w:pPr>
        <w:spacing w:line="288" w:lineRule="auto"/>
        <w:contextualSpacing/>
        <w:jc w:val="both"/>
        <w:rPr>
          <w:sz w:val="24"/>
          <w:szCs w:val="24"/>
        </w:rPr>
      </w:pPr>
      <w:r>
        <w:rPr>
          <w:color w:val="231F20"/>
          <w:sz w:val="24"/>
          <w:szCs w:val="24"/>
        </w:rPr>
        <w:t>10.1 O registro do fornecedor será cancelado quando:</w:t>
      </w:r>
    </w:p>
    <w:p w14:paraId="37FBC6F1">
      <w:pPr>
        <w:autoSpaceDE w:val="0"/>
        <w:autoSpaceDN w:val="0"/>
        <w:adjustRightInd w:val="0"/>
        <w:spacing w:line="288" w:lineRule="auto"/>
        <w:contextualSpacing/>
        <w:jc w:val="both"/>
        <w:rPr>
          <w:b/>
          <w:bCs/>
          <w:color w:val="231F20"/>
          <w:sz w:val="24"/>
          <w:szCs w:val="24"/>
        </w:rPr>
      </w:pPr>
    </w:p>
    <w:p w14:paraId="510BD834">
      <w:pPr>
        <w:autoSpaceDE w:val="0"/>
        <w:autoSpaceDN w:val="0"/>
        <w:adjustRightInd w:val="0"/>
        <w:spacing w:line="288" w:lineRule="auto"/>
        <w:contextualSpacing/>
        <w:jc w:val="both"/>
        <w:rPr>
          <w:color w:val="231F20"/>
          <w:sz w:val="24"/>
          <w:szCs w:val="24"/>
        </w:rPr>
      </w:pPr>
      <w:r>
        <w:rPr>
          <w:color w:val="231F20"/>
          <w:sz w:val="24"/>
          <w:szCs w:val="24"/>
        </w:rPr>
        <w:t>a) forem descumpridas as condições da ata de registro de preços, sem motivo justificado;</w:t>
      </w:r>
    </w:p>
    <w:p w14:paraId="4E7215C3">
      <w:pPr>
        <w:autoSpaceDE w:val="0"/>
        <w:autoSpaceDN w:val="0"/>
        <w:adjustRightInd w:val="0"/>
        <w:spacing w:line="288" w:lineRule="auto"/>
        <w:contextualSpacing/>
        <w:jc w:val="both"/>
        <w:rPr>
          <w:color w:val="231F20"/>
          <w:sz w:val="24"/>
          <w:szCs w:val="24"/>
        </w:rPr>
      </w:pPr>
    </w:p>
    <w:p w14:paraId="09B9AFA3">
      <w:pPr>
        <w:autoSpaceDE w:val="0"/>
        <w:autoSpaceDN w:val="0"/>
        <w:adjustRightInd w:val="0"/>
        <w:spacing w:line="288" w:lineRule="auto"/>
        <w:contextualSpacing/>
        <w:jc w:val="both"/>
        <w:rPr>
          <w:color w:val="231F20"/>
          <w:sz w:val="24"/>
          <w:szCs w:val="24"/>
        </w:rPr>
      </w:pPr>
      <w:r>
        <w:rPr>
          <w:color w:val="231F20"/>
          <w:sz w:val="24"/>
          <w:szCs w:val="24"/>
        </w:rPr>
        <w:t xml:space="preserve">b) </w:t>
      </w:r>
      <w:r>
        <w:rPr>
          <w:sz w:val="24"/>
          <w:szCs w:val="24"/>
        </w:rPr>
        <w:t>não assinar o contrato ou não retirar a nota de empenho ou instrumento equivalente no prazo estabelecido pela Administração, sem justificativa aceitável;</w:t>
      </w:r>
    </w:p>
    <w:p w14:paraId="3393B2DE">
      <w:pPr>
        <w:autoSpaceDE w:val="0"/>
        <w:autoSpaceDN w:val="0"/>
        <w:adjustRightInd w:val="0"/>
        <w:spacing w:line="288" w:lineRule="auto"/>
        <w:contextualSpacing/>
        <w:jc w:val="both"/>
        <w:rPr>
          <w:color w:val="231F20"/>
          <w:sz w:val="24"/>
          <w:szCs w:val="24"/>
        </w:rPr>
      </w:pPr>
    </w:p>
    <w:p w14:paraId="4441C065">
      <w:pPr>
        <w:autoSpaceDE w:val="0"/>
        <w:autoSpaceDN w:val="0"/>
        <w:adjustRightInd w:val="0"/>
        <w:spacing w:line="288" w:lineRule="auto"/>
        <w:contextualSpacing/>
        <w:jc w:val="both"/>
        <w:rPr>
          <w:color w:val="231F20"/>
          <w:sz w:val="24"/>
          <w:szCs w:val="24"/>
        </w:rPr>
      </w:pPr>
      <w:r>
        <w:rPr>
          <w:color w:val="231F20"/>
          <w:sz w:val="24"/>
          <w:szCs w:val="24"/>
        </w:rPr>
        <w:t>c) não aceitar reduzir o seu preço registrado, na hipótese deste se tornar superior àqueles praticados no mercado; ou</w:t>
      </w:r>
    </w:p>
    <w:p w14:paraId="297EC30D">
      <w:pPr>
        <w:autoSpaceDE w:val="0"/>
        <w:autoSpaceDN w:val="0"/>
        <w:adjustRightInd w:val="0"/>
        <w:spacing w:line="288" w:lineRule="auto"/>
        <w:contextualSpacing/>
        <w:jc w:val="both"/>
        <w:rPr>
          <w:color w:val="231F20"/>
          <w:sz w:val="24"/>
          <w:szCs w:val="24"/>
        </w:rPr>
      </w:pPr>
    </w:p>
    <w:p w14:paraId="7F0D93D3">
      <w:pPr>
        <w:autoSpaceDE w:val="0"/>
        <w:autoSpaceDN w:val="0"/>
        <w:adjustRightInd w:val="0"/>
        <w:spacing w:line="288" w:lineRule="auto"/>
        <w:contextualSpacing/>
        <w:jc w:val="both"/>
        <w:rPr>
          <w:sz w:val="24"/>
          <w:szCs w:val="24"/>
        </w:rPr>
      </w:pPr>
      <w:r>
        <w:rPr>
          <w:color w:val="231F20"/>
          <w:sz w:val="24"/>
          <w:szCs w:val="24"/>
        </w:rPr>
        <w:t xml:space="preserve">d) </w:t>
      </w:r>
      <w:r>
        <w:rPr>
          <w:sz w:val="24"/>
          <w:szCs w:val="24"/>
        </w:rPr>
        <w:t xml:space="preserve">sofrer sanção prevista nos incisos III ou IV do </w:t>
      </w:r>
      <w:r>
        <w:rPr>
          <w:i/>
          <w:iCs/>
          <w:sz w:val="24"/>
          <w:szCs w:val="24"/>
        </w:rPr>
        <w:t>caput</w:t>
      </w:r>
      <w:r>
        <w:rPr>
          <w:sz w:val="24"/>
          <w:szCs w:val="24"/>
        </w:rPr>
        <w:t xml:space="preserve"> do art. 156 da Lei nº 14.133/2021, observado os parágrafos 4º e 5º do referido dispositivo. </w:t>
      </w:r>
    </w:p>
    <w:p w14:paraId="46ECF825">
      <w:pPr>
        <w:autoSpaceDE w:val="0"/>
        <w:autoSpaceDN w:val="0"/>
        <w:adjustRightInd w:val="0"/>
        <w:spacing w:line="288" w:lineRule="auto"/>
        <w:contextualSpacing/>
        <w:jc w:val="both"/>
        <w:rPr>
          <w:sz w:val="24"/>
          <w:szCs w:val="24"/>
        </w:rPr>
      </w:pPr>
    </w:p>
    <w:p w14:paraId="0BF86BE7">
      <w:pPr>
        <w:autoSpaceDE w:val="0"/>
        <w:autoSpaceDN w:val="0"/>
        <w:adjustRightInd w:val="0"/>
        <w:spacing w:line="288" w:lineRule="auto"/>
        <w:contextualSpacing/>
        <w:jc w:val="both"/>
        <w:rPr>
          <w:sz w:val="24"/>
          <w:szCs w:val="24"/>
        </w:rPr>
      </w:pPr>
      <w:r>
        <w:rPr>
          <w:sz w:val="24"/>
          <w:szCs w:val="24"/>
        </w:rPr>
        <w:t xml:space="preserve">10.2 Na hipótese de que trata a alínea d do item 10.1, caso a penalidade aplicada ao </w:t>
      </w:r>
      <w:r>
        <w:rPr>
          <w:color w:val="231F20"/>
          <w:sz w:val="24"/>
          <w:szCs w:val="24"/>
        </w:rPr>
        <w:t>fornecedor</w:t>
      </w:r>
      <w:r>
        <w:rPr>
          <w:sz w:val="24"/>
          <w:szCs w:val="24"/>
        </w:rPr>
        <w:t xml:space="preserve"> não ultrapasse o prazo de vigência da ata, poderá o gerenciador, desde que não seja o responsável pela aplicação da sanção, mediante decisão fundamentada, garantido o contraditório e a ampla defesa, decidir pela manutenção do registro de preços. </w:t>
      </w:r>
    </w:p>
    <w:p w14:paraId="545022D5">
      <w:pPr>
        <w:autoSpaceDE w:val="0"/>
        <w:autoSpaceDN w:val="0"/>
        <w:adjustRightInd w:val="0"/>
        <w:spacing w:line="288" w:lineRule="auto"/>
        <w:contextualSpacing/>
        <w:jc w:val="both"/>
        <w:rPr>
          <w:sz w:val="24"/>
          <w:szCs w:val="24"/>
        </w:rPr>
      </w:pPr>
    </w:p>
    <w:p w14:paraId="21551BC6">
      <w:pPr>
        <w:autoSpaceDE w:val="0"/>
        <w:autoSpaceDN w:val="0"/>
        <w:adjustRightInd w:val="0"/>
        <w:spacing w:line="288" w:lineRule="auto"/>
        <w:contextualSpacing/>
        <w:jc w:val="both"/>
        <w:rPr>
          <w:b/>
          <w:bCs/>
          <w:color w:val="231F20"/>
          <w:sz w:val="24"/>
          <w:szCs w:val="24"/>
        </w:rPr>
      </w:pPr>
      <w:r>
        <w:rPr>
          <w:sz w:val="24"/>
          <w:szCs w:val="24"/>
        </w:rPr>
        <w:t xml:space="preserve">10.3 O cancelamento do registro nas hipóteses previstas das alíneas a, b e d do item 10.1 será formalizado por decisão do gerenciador, assegurado o contraditório e a ampla defesa ao </w:t>
      </w:r>
      <w:r>
        <w:rPr>
          <w:color w:val="231F20"/>
          <w:sz w:val="24"/>
          <w:szCs w:val="24"/>
        </w:rPr>
        <w:t>fornecedor</w:t>
      </w:r>
      <w:r>
        <w:rPr>
          <w:sz w:val="24"/>
          <w:szCs w:val="24"/>
        </w:rPr>
        <w:t>.</w:t>
      </w:r>
    </w:p>
    <w:p w14:paraId="59173EF7">
      <w:pPr>
        <w:spacing w:line="288" w:lineRule="auto"/>
        <w:contextualSpacing/>
        <w:jc w:val="both"/>
        <w:rPr>
          <w:b/>
          <w:sz w:val="24"/>
          <w:szCs w:val="24"/>
          <w:u w:val="single"/>
        </w:rPr>
      </w:pPr>
    </w:p>
    <w:p w14:paraId="6BD760DF">
      <w:pPr>
        <w:spacing w:line="288" w:lineRule="auto"/>
        <w:contextualSpacing/>
        <w:jc w:val="both"/>
        <w:rPr>
          <w:b/>
          <w:sz w:val="24"/>
          <w:szCs w:val="24"/>
        </w:rPr>
      </w:pPr>
      <w:r>
        <w:rPr>
          <w:b/>
          <w:sz w:val="24"/>
          <w:szCs w:val="24"/>
        </w:rPr>
        <w:t xml:space="preserve">CLÁUSULA DÉCIMA PRIMEIRA: DO CANCELAMENTO DO REGISTRO DE PREÇOS: </w:t>
      </w:r>
    </w:p>
    <w:p w14:paraId="40AC2E5E">
      <w:pPr>
        <w:autoSpaceDE w:val="0"/>
        <w:autoSpaceDN w:val="0"/>
        <w:adjustRightInd w:val="0"/>
        <w:spacing w:line="288" w:lineRule="auto"/>
        <w:contextualSpacing/>
        <w:jc w:val="both"/>
        <w:rPr>
          <w:color w:val="231F20"/>
          <w:sz w:val="24"/>
          <w:szCs w:val="24"/>
        </w:rPr>
      </w:pPr>
    </w:p>
    <w:p w14:paraId="287BA098">
      <w:pPr>
        <w:autoSpaceDE w:val="0"/>
        <w:autoSpaceDN w:val="0"/>
        <w:adjustRightInd w:val="0"/>
        <w:spacing w:line="288" w:lineRule="auto"/>
        <w:contextualSpacing/>
        <w:jc w:val="both"/>
        <w:rPr>
          <w:sz w:val="24"/>
          <w:szCs w:val="24"/>
        </w:rPr>
      </w:pPr>
      <w:r>
        <w:rPr>
          <w:color w:val="231F20"/>
          <w:sz w:val="24"/>
          <w:szCs w:val="24"/>
        </w:rPr>
        <w:t>11.1 O cancelamento do registro de preços poderá ocorrer</w:t>
      </w:r>
      <w:r>
        <w:rPr>
          <w:sz w:val="24"/>
          <w:szCs w:val="24"/>
        </w:rPr>
        <w:t xml:space="preserve">, total ou parcialmente, pelo gerenciador, desde que devidamente comprovados e justificados: </w:t>
      </w:r>
    </w:p>
    <w:p w14:paraId="29CCB5E5">
      <w:pPr>
        <w:autoSpaceDE w:val="0"/>
        <w:autoSpaceDN w:val="0"/>
        <w:adjustRightInd w:val="0"/>
        <w:spacing w:line="288" w:lineRule="auto"/>
        <w:contextualSpacing/>
        <w:jc w:val="both"/>
        <w:rPr>
          <w:sz w:val="24"/>
          <w:szCs w:val="24"/>
        </w:rPr>
      </w:pPr>
    </w:p>
    <w:p w14:paraId="2D6AE164">
      <w:pPr>
        <w:autoSpaceDE w:val="0"/>
        <w:autoSpaceDN w:val="0"/>
        <w:adjustRightInd w:val="0"/>
        <w:spacing w:line="288" w:lineRule="auto"/>
        <w:contextualSpacing/>
        <w:jc w:val="both"/>
        <w:rPr>
          <w:sz w:val="24"/>
          <w:szCs w:val="24"/>
        </w:rPr>
      </w:pPr>
      <w:r>
        <w:rPr>
          <w:sz w:val="24"/>
          <w:szCs w:val="24"/>
        </w:rPr>
        <w:t xml:space="preserve">a)  por razão de interesse público; </w:t>
      </w:r>
    </w:p>
    <w:p w14:paraId="785592F0">
      <w:pPr>
        <w:autoSpaceDE w:val="0"/>
        <w:autoSpaceDN w:val="0"/>
        <w:adjustRightInd w:val="0"/>
        <w:spacing w:line="288" w:lineRule="auto"/>
        <w:contextualSpacing/>
        <w:jc w:val="both"/>
        <w:rPr>
          <w:sz w:val="24"/>
          <w:szCs w:val="24"/>
        </w:rPr>
      </w:pPr>
    </w:p>
    <w:p w14:paraId="05F30AAF">
      <w:pPr>
        <w:autoSpaceDE w:val="0"/>
        <w:autoSpaceDN w:val="0"/>
        <w:adjustRightInd w:val="0"/>
        <w:spacing w:line="288" w:lineRule="auto"/>
        <w:contextualSpacing/>
        <w:jc w:val="both"/>
        <w:rPr>
          <w:sz w:val="24"/>
          <w:szCs w:val="24"/>
        </w:rPr>
      </w:pPr>
      <w:r>
        <w:rPr>
          <w:sz w:val="24"/>
          <w:szCs w:val="24"/>
        </w:rPr>
        <w:t xml:space="preserve">b) pelo cancelamento de todos os preços registrados; ou </w:t>
      </w:r>
    </w:p>
    <w:p w14:paraId="57ED9B0A">
      <w:pPr>
        <w:autoSpaceDE w:val="0"/>
        <w:autoSpaceDN w:val="0"/>
        <w:adjustRightInd w:val="0"/>
        <w:spacing w:line="288" w:lineRule="auto"/>
        <w:contextualSpacing/>
        <w:jc w:val="both"/>
        <w:rPr>
          <w:sz w:val="24"/>
          <w:szCs w:val="24"/>
        </w:rPr>
      </w:pPr>
    </w:p>
    <w:p w14:paraId="5161A2B4">
      <w:pPr>
        <w:autoSpaceDE w:val="0"/>
        <w:autoSpaceDN w:val="0"/>
        <w:adjustRightInd w:val="0"/>
        <w:spacing w:line="288" w:lineRule="auto"/>
        <w:contextualSpacing/>
        <w:jc w:val="both"/>
        <w:rPr>
          <w:sz w:val="24"/>
          <w:szCs w:val="24"/>
        </w:rPr>
      </w:pPr>
      <w:r>
        <w:rPr>
          <w:sz w:val="24"/>
          <w:szCs w:val="24"/>
        </w:rPr>
        <w:t xml:space="preserve">c) a pedido do </w:t>
      </w:r>
      <w:r>
        <w:rPr>
          <w:color w:val="231F20"/>
          <w:sz w:val="24"/>
          <w:szCs w:val="24"/>
        </w:rPr>
        <w:t>fornecedor</w:t>
      </w:r>
      <w:r>
        <w:rPr>
          <w:sz w:val="24"/>
          <w:szCs w:val="24"/>
        </w:rPr>
        <w:t>, decorrente de fato superveniente, de caso fortuito ou força maior, que prejudique o cumprimento da Ata.</w:t>
      </w:r>
    </w:p>
    <w:p w14:paraId="29ABA597">
      <w:pPr>
        <w:spacing w:line="288" w:lineRule="auto"/>
        <w:contextualSpacing/>
        <w:jc w:val="both"/>
        <w:rPr>
          <w:sz w:val="24"/>
          <w:szCs w:val="24"/>
        </w:rPr>
      </w:pPr>
    </w:p>
    <w:p w14:paraId="38FC4F4C">
      <w:pPr>
        <w:spacing w:line="288" w:lineRule="auto"/>
        <w:contextualSpacing/>
        <w:jc w:val="both"/>
        <w:rPr>
          <w:rFonts w:eastAsia="Arial"/>
          <w:b/>
          <w:sz w:val="24"/>
          <w:szCs w:val="24"/>
        </w:rPr>
      </w:pPr>
      <w:r>
        <w:rPr>
          <w:rFonts w:eastAsia="Arial"/>
          <w:b/>
          <w:sz w:val="24"/>
          <w:szCs w:val="24"/>
        </w:rPr>
        <w:t xml:space="preserve">CLÁUSULA DÉCIMA SEGUNDA: DOS CONTRATOS DECORRENTES DA ATA DE REGISTRO DE PREÇOS </w:t>
      </w:r>
    </w:p>
    <w:p w14:paraId="427AEE5A">
      <w:pPr>
        <w:pStyle w:val="99"/>
        <w:numPr>
          <w:ilvl w:val="1"/>
          <w:numId w:val="0"/>
        </w:numPr>
        <w:autoSpaceDE w:val="0"/>
        <w:autoSpaceDN w:val="0"/>
        <w:adjustRightInd w:val="0"/>
        <w:spacing w:before="0" w:line="288" w:lineRule="auto"/>
        <w:contextualSpacing/>
        <w:rPr>
          <w:rFonts w:ascii="Times New Roman" w:hAnsi="Times New Roman" w:cs="Times New Roman"/>
          <w:sz w:val="24"/>
          <w:szCs w:val="24"/>
        </w:rPr>
      </w:pPr>
    </w:p>
    <w:p w14:paraId="0116C113">
      <w:pPr>
        <w:pStyle w:val="99"/>
        <w:numPr>
          <w:ilvl w:val="1"/>
          <w:numId w:val="0"/>
        </w:numPr>
        <w:autoSpaceDE w:val="0"/>
        <w:autoSpaceDN w:val="0"/>
        <w:adjustRightInd w:val="0"/>
        <w:spacing w:before="0" w:after="0" w:line="288" w:lineRule="auto"/>
        <w:contextualSpacing/>
        <w:rPr>
          <w:rFonts w:ascii="Times New Roman" w:hAnsi="Times New Roman" w:cs="Times New Roman"/>
          <w:b/>
          <w:sz w:val="24"/>
          <w:szCs w:val="24"/>
          <w:highlight w:val="yellow"/>
        </w:rPr>
      </w:pPr>
      <w:r>
        <w:rPr>
          <w:rFonts w:ascii="Times New Roman" w:hAnsi="Times New Roman" w:cs="Times New Roman"/>
          <w:sz w:val="24"/>
          <w:szCs w:val="24"/>
        </w:rPr>
        <w:t xml:space="preserve">12.1 As </w:t>
      </w:r>
      <w:bookmarkStart w:id="47" w:name="_Hlk158816472"/>
      <w:r>
        <w:rPr>
          <w:rFonts w:ascii="Times New Roman" w:hAnsi="Times New Roman" w:cs="Times New Roman"/>
          <w:sz w:val="24"/>
          <w:szCs w:val="24"/>
        </w:rPr>
        <w:t xml:space="preserve">condições gerais de execução do objeto, tais como os prazos para entrega e recebimento, as obrigações da Administração e do </w:t>
      </w:r>
      <w:r>
        <w:rPr>
          <w:rFonts w:ascii="Times New Roman" w:hAnsi="Times New Roman" w:cs="Times New Roman"/>
          <w:color w:val="231F20"/>
          <w:sz w:val="24"/>
          <w:szCs w:val="24"/>
        </w:rPr>
        <w:t>fornecedor</w:t>
      </w:r>
      <w:r>
        <w:rPr>
          <w:rFonts w:ascii="Times New Roman" w:hAnsi="Times New Roman" w:cs="Times New Roman"/>
          <w:sz w:val="24"/>
          <w:szCs w:val="24"/>
        </w:rPr>
        <w:t xml:space="preserve"> registrado, penalidades e demais condições do ajuste, inclusive, o prazo de vigência dos contratos a serem celebrados, a garantia, o pagamento, o reajuste ou repactuação, encontram-se definidos no instrumento convocatório, quando houver,</w:t>
      </w:r>
      <w:r>
        <w:rPr>
          <w:rFonts w:ascii="Times New Roman" w:hAnsi="Times New Roman" w:eastAsia="Arial" w:cs="Times New Roman"/>
          <w:sz w:val="24"/>
          <w:szCs w:val="24"/>
        </w:rPr>
        <w:t xml:space="preserve"> </w:t>
      </w:r>
      <w:r>
        <w:rPr>
          <w:rFonts w:ascii="Times New Roman" w:hAnsi="Times New Roman" w:cs="Times New Roman"/>
          <w:color w:val="231F20"/>
          <w:sz w:val="24"/>
          <w:szCs w:val="24"/>
        </w:rPr>
        <w:t>no Termo de Referência e no contrato</w:t>
      </w:r>
      <w:bookmarkEnd w:id="47"/>
      <w:r>
        <w:rPr>
          <w:rFonts w:ascii="Times New Roman" w:hAnsi="Times New Roman" w:cs="Times New Roman"/>
          <w:color w:val="231F20"/>
          <w:sz w:val="24"/>
          <w:szCs w:val="24"/>
        </w:rPr>
        <w:t>.</w:t>
      </w:r>
    </w:p>
    <w:p w14:paraId="60F9A93A">
      <w:pPr>
        <w:tabs>
          <w:tab w:val="left" w:pos="1404"/>
        </w:tabs>
        <w:spacing w:line="288" w:lineRule="auto"/>
        <w:contextualSpacing/>
        <w:jc w:val="both"/>
        <w:rPr>
          <w:rFonts w:eastAsia="Arial"/>
          <w:sz w:val="24"/>
          <w:szCs w:val="24"/>
        </w:rPr>
      </w:pPr>
    </w:p>
    <w:p w14:paraId="64DE002B">
      <w:pPr>
        <w:tabs>
          <w:tab w:val="left" w:pos="1404"/>
        </w:tabs>
        <w:spacing w:line="288" w:lineRule="auto"/>
        <w:contextualSpacing/>
        <w:jc w:val="both"/>
        <w:rPr>
          <w:rFonts w:eastAsia="Arial"/>
          <w:sz w:val="24"/>
          <w:szCs w:val="24"/>
        </w:rPr>
      </w:pPr>
      <w:r>
        <w:rPr>
          <w:rFonts w:eastAsia="Arial"/>
          <w:sz w:val="24"/>
          <w:szCs w:val="24"/>
        </w:rPr>
        <w:t xml:space="preserve">12.1.1 </w:t>
      </w:r>
      <w:r>
        <w:rPr>
          <w:sz w:val="24"/>
          <w:szCs w:val="24"/>
        </w:rPr>
        <w:t>Os contratos decorrentes de registro de preços poderão ser alterados, observado o disposto no art. 124 da Lei nº 14.133/2021.</w:t>
      </w:r>
    </w:p>
    <w:p w14:paraId="33B95EB8">
      <w:pPr>
        <w:tabs>
          <w:tab w:val="left" w:pos="1404"/>
        </w:tabs>
        <w:spacing w:line="288" w:lineRule="auto"/>
        <w:contextualSpacing/>
        <w:jc w:val="both"/>
        <w:rPr>
          <w:rFonts w:eastAsia="Arial"/>
          <w:sz w:val="24"/>
          <w:szCs w:val="24"/>
        </w:rPr>
      </w:pPr>
    </w:p>
    <w:p w14:paraId="69737E4D">
      <w:pPr>
        <w:tabs>
          <w:tab w:val="left" w:pos="1404"/>
        </w:tabs>
        <w:spacing w:line="288" w:lineRule="auto"/>
        <w:contextualSpacing/>
        <w:jc w:val="both"/>
        <w:rPr>
          <w:color w:val="000000" w:themeColor="text1"/>
          <w:sz w:val="24"/>
          <w:szCs w:val="24"/>
          <w14:textFill>
            <w14:solidFill>
              <w14:schemeClr w14:val="tx1"/>
            </w14:solidFill>
          </w14:textFill>
        </w:rPr>
      </w:pPr>
      <w:r>
        <w:rPr>
          <w:rFonts w:eastAsia="Arial"/>
          <w:sz w:val="24"/>
          <w:szCs w:val="24"/>
        </w:rPr>
        <w:t xml:space="preserve">12.2 </w:t>
      </w:r>
      <w:r>
        <w:rPr>
          <w:sz w:val="24"/>
          <w:szCs w:val="24"/>
        </w:rPr>
        <w:t xml:space="preserve">A contratação realizada pelo </w:t>
      </w:r>
      <w:r>
        <w:rPr>
          <w:bCs/>
          <w:sz w:val="24"/>
          <w:szCs w:val="24"/>
        </w:rPr>
        <w:t>gerenciador e pelos participantes</w:t>
      </w:r>
      <w:r>
        <w:rPr>
          <w:b/>
          <w:sz w:val="24"/>
          <w:szCs w:val="24"/>
        </w:rPr>
        <w:t xml:space="preserve"> </w:t>
      </w:r>
      <w:r>
        <w:rPr>
          <w:sz w:val="24"/>
          <w:szCs w:val="24"/>
        </w:rPr>
        <w:t xml:space="preserve">será formalizada, dentro do prazo de validade da Ata de Registro de Preços, por intermédio de </w:t>
      </w:r>
      <w:r>
        <w:rPr>
          <w:color w:val="000000" w:themeColor="text1"/>
          <w:sz w:val="24"/>
          <w:szCs w:val="24"/>
          <w14:textFill>
            <w14:solidFill>
              <w14:schemeClr w14:val="tx1"/>
            </w14:solidFill>
          </w14:textFill>
        </w:rPr>
        <w:t>instrumento contratual A</w:t>
      </w:r>
      <w:r>
        <w:rPr>
          <w:bCs/>
          <w:color w:val="000000" w:themeColor="text1"/>
          <w:sz w:val="24"/>
          <w:szCs w:val="24"/>
          <w14:textFill>
            <w14:solidFill>
              <w14:schemeClr w14:val="tx1"/>
            </w14:solidFill>
          </w14:textFill>
        </w:rPr>
        <w:t>nexo IX do Edital – Minuta de Contrato</w:t>
      </w:r>
      <w:r>
        <w:rPr>
          <w:color w:val="000000" w:themeColor="text1"/>
          <w:sz w:val="24"/>
          <w:szCs w:val="24"/>
          <w14:textFill>
            <w14:solidFill>
              <w14:schemeClr w14:val="tx1"/>
            </w14:solidFill>
          </w14:textFill>
        </w:rPr>
        <w:t>.</w:t>
      </w:r>
    </w:p>
    <w:p w14:paraId="0EC1386D">
      <w:pPr>
        <w:tabs>
          <w:tab w:val="left" w:pos="0"/>
        </w:tabs>
        <w:spacing w:line="360" w:lineRule="auto"/>
        <w:jc w:val="both"/>
        <w:rPr>
          <w:sz w:val="24"/>
          <w:szCs w:val="24"/>
          <w:highlight w:val="yellow"/>
        </w:rPr>
      </w:pPr>
    </w:p>
    <w:p w14:paraId="259E6905">
      <w:pPr>
        <w:spacing w:line="288" w:lineRule="auto"/>
        <w:contextualSpacing/>
        <w:jc w:val="both"/>
        <w:rPr>
          <w:b/>
          <w:bCs/>
          <w:sz w:val="24"/>
          <w:szCs w:val="24"/>
        </w:rPr>
      </w:pPr>
      <w:r>
        <w:rPr>
          <w:b/>
          <w:bCs/>
          <w:sz w:val="24"/>
          <w:szCs w:val="24"/>
        </w:rPr>
        <w:t>CLÁUSULA DÉCIMA TERCEIRA: DAS INFRAÇÕES ADMINISTRATIVAS E SANÇÕES</w:t>
      </w:r>
    </w:p>
    <w:p w14:paraId="492F99DE">
      <w:pPr>
        <w:spacing w:line="288" w:lineRule="auto"/>
        <w:contextualSpacing/>
        <w:jc w:val="both"/>
        <w:rPr>
          <w:sz w:val="24"/>
          <w:szCs w:val="24"/>
        </w:rPr>
      </w:pPr>
    </w:p>
    <w:p w14:paraId="422EA434">
      <w:pPr>
        <w:pStyle w:val="99"/>
        <w:numPr>
          <w:ilvl w:val="1"/>
          <w:numId w:val="0"/>
        </w:numPr>
        <w:autoSpaceDE w:val="0"/>
        <w:autoSpaceDN w:val="0"/>
        <w:adjustRightInd w:val="0"/>
        <w:spacing w:after="0" w:line="288" w:lineRule="auto"/>
        <w:contextualSpacing/>
        <w:rPr>
          <w:rFonts w:ascii="Times New Roman" w:hAnsi="Times New Roman" w:cs="Times New Roman"/>
          <w:sz w:val="24"/>
          <w:szCs w:val="24"/>
        </w:rPr>
      </w:pPr>
      <w:r>
        <w:rPr>
          <w:rFonts w:ascii="Times New Roman" w:hAnsi="Times New Roman" w:cs="Times New Roman"/>
          <w:sz w:val="24"/>
          <w:szCs w:val="24"/>
        </w:rPr>
        <w:t>13.1 O descumprimento da Ata de Registro de Preços ensejará a aplicação das penalidades estabelecidas no instrumento convocatório, quando houver,</w:t>
      </w:r>
      <w:r>
        <w:rPr>
          <w:rFonts w:ascii="Times New Roman" w:hAnsi="Times New Roman" w:eastAsia="Arial" w:cs="Times New Roman"/>
          <w:sz w:val="24"/>
          <w:szCs w:val="24"/>
        </w:rPr>
        <w:t xml:space="preserve"> e no Termo de Referência</w:t>
      </w:r>
      <w:r>
        <w:rPr>
          <w:rFonts w:ascii="Times New Roman" w:hAnsi="Times New Roman" w:cs="Times New Roman"/>
          <w:sz w:val="24"/>
          <w:szCs w:val="24"/>
        </w:rPr>
        <w:t>.</w:t>
      </w:r>
    </w:p>
    <w:p w14:paraId="125E2E78">
      <w:pPr>
        <w:spacing w:line="288" w:lineRule="auto"/>
        <w:contextualSpacing/>
        <w:jc w:val="both"/>
        <w:rPr>
          <w:sz w:val="24"/>
          <w:szCs w:val="24"/>
        </w:rPr>
      </w:pPr>
    </w:p>
    <w:p w14:paraId="42296153">
      <w:pPr>
        <w:spacing w:line="288" w:lineRule="auto"/>
        <w:contextualSpacing/>
        <w:jc w:val="both"/>
        <w:rPr>
          <w:sz w:val="24"/>
          <w:szCs w:val="24"/>
        </w:rPr>
      </w:pPr>
      <w:r>
        <w:rPr>
          <w:sz w:val="24"/>
          <w:szCs w:val="24"/>
        </w:rPr>
        <w:t>13.2 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48877BAD">
      <w:pPr>
        <w:spacing w:line="288" w:lineRule="auto"/>
        <w:contextualSpacing/>
        <w:jc w:val="both"/>
        <w:rPr>
          <w:sz w:val="24"/>
          <w:szCs w:val="24"/>
        </w:rPr>
      </w:pPr>
    </w:p>
    <w:p w14:paraId="10A0837A">
      <w:pPr>
        <w:spacing w:line="288" w:lineRule="auto"/>
        <w:contextualSpacing/>
        <w:jc w:val="both"/>
        <w:rPr>
          <w:sz w:val="24"/>
          <w:szCs w:val="24"/>
        </w:rPr>
      </w:pPr>
      <w:r>
        <w:rPr>
          <w:sz w:val="24"/>
          <w:szCs w:val="24"/>
        </w:rPr>
        <w:t xml:space="preserve">13.3 Compete aos participantes e aos </w:t>
      </w:r>
      <w:r>
        <w:rPr>
          <w:bCs/>
          <w:color w:val="231F20"/>
          <w:sz w:val="24"/>
          <w:szCs w:val="24"/>
        </w:rPr>
        <w:t xml:space="preserve">não-participantes </w:t>
      </w:r>
      <w:r>
        <w:rPr>
          <w:sz w:val="24"/>
          <w:szCs w:val="24"/>
        </w:rPr>
        <w:t>aplicar, garantida a ampla defesa e o contraditório, as penalidades decorrentes do descumprimento das obrigações contratuais, em relação às suas próprias contratações, e promover as publicações, encaminhamentos e registros cabíveis.</w:t>
      </w:r>
    </w:p>
    <w:p w14:paraId="78E09ACF">
      <w:pPr>
        <w:spacing w:line="288" w:lineRule="auto"/>
        <w:contextualSpacing/>
        <w:jc w:val="both"/>
        <w:rPr>
          <w:sz w:val="24"/>
          <w:szCs w:val="24"/>
        </w:rPr>
      </w:pPr>
    </w:p>
    <w:p w14:paraId="5B9FFFF1">
      <w:pPr>
        <w:spacing w:line="288" w:lineRule="auto"/>
        <w:contextualSpacing/>
        <w:jc w:val="both"/>
        <w:rPr>
          <w:sz w:val="24"/>
          <w:szCs w:val="24"/>
        </w:rPr>
      </w:pPr>
      <w:r>
        <w:rPr>
          <w:sz w:val="24"/>
          <w:szCs w:val="24"/>
        </w:rPr>
        <w:t>13.5 A aplicação das penalidades deverá observar o procedimento estabelecido no instrumento convocatório e contrato, quando houver,</w:t>
      </w:r>
      <w:r>
        <w:rPr>
          <w:rFonts w:eastAsia="Arial"/>
          <w:sz w:val="24"/>
          <w:szCs w:val="24"/>
        </w:rPr>
        <w:t xml:space="preserve"> e no Termo de Referência</w:t>
      </w:r>
      <w:r>
        <w:rPr>
          <w:sz w:val="24"/>
          <w:szCs w:val="24"/>
        </w:rPr>
        <w:t>.</w:t>
      </w:r>
    </w:p>
    <w:p w14:paraId="242AAD6C">
      <w:pPr>
        <w:spacing w:line="288" w:lineRule="auto"/>
        <w:contextualSpacing/>
        <w:jc w:val="both"/>
        <w:rPr>
          <w:sz w:val="24"/>
          <w:szCs w:val="24"/>
        </w:rPr>
      </w:pPr>
    </w:p>
    <w:p w14:paraId="144BDF27">
      <w:pPr>
        <w:spacing w:line="288" w:lineRule="auto"/>
        <w:contextualSpacing/>
        <w:jc w:val="both"/>
        <w:rPr>
          <w:rFonts w:eastAsia="Arial"/>
          <w:b/>
          <w:sz w:val="24"/>
          <w:szCs w:val="24"/>
        </w:rPr>
      </w:pPr>
      <w:r>
        <w:rPr>
          <w:rFonts w:eastAsia="Arial"/>
          <w:b/>
          <w:sz w:val="24"/>
          <w:szCs w:val="24"/>
        </w:rPr>
        <w:t>CLÁUSULA DÉCIMA QUARTA: DOS RECURSOS ORÇAMENTÁRIOS</w:t>
      </w:r>
    </w:p>
    <w:p w14:paraId="3DBCA99E">
      <w:pPr>
        <w:spacing w:line="288" w:lineRule="auto"/>
        <w:contextualSpacing/>
        <w:jc w:val="both"/>
        <w:rPr>
          <w:rFonts w:eastAsia="Arial"/>
          <w:sz w:val="24"/>
          <w:szCs w:val="24"/>
        </w:rPr>
      </w:pPr>
    </w:p>
    <w:p w14:paraId="09C3F30F">
      <w:pPr>
        <w:spacing w:line="288" w:lineRule="auto"/>
        <w:contextualSpacing/>
        <w:jc w:val="both"/>
        <w:rPr>
          <w:bCs/>
          <w:sz w:val="24"/>
          <w:szCs w:val="24"/>
        </w:rPr>
      </w:pPr>
      <w:r>
        <w:rPr>
          <w:rFonts w:eastAsia="Arial"/>
          <w:sz w:val="24"/>
          <w:szCs w:val="24"/>
        </w:rPr>
        <w:t xml:space="preserve">14.1 Os recursos necessários para as contratações decorrentes desta Ata de Registro de Preços correrão por conta da Natureza da Despesa e do Programa de Trabalho próprios do </w:t>
      </w:r>
      <w:r>
        <w:rPr>
          <w:bCs/>
          <w:sz w:val="24"/>
          <w:szCs w:val="24"/>
        </w:rPr>
        <w:t>gerenciador, dos participantes e dos não-participantes.</w:t>
      </w:r>
    </w:p>
    <w:p w14:paraId="3D504610">
      <w:pPr>
        <w:spacing w:line="288" w:lineRule="auto"/>
        <w:contextualSpacing/>
        <w:jc w:val="both"/>
        <w:rPr>
          <w:b/>
          <w:sz w:val="24"/>
          <w:szCs w:val="24"/>
          <w:highlight w:val="yellow"/>
        </w:rPr>
      </w:pPr>
    </w:p>
    <w:p w14:paraId="4B9CB5D1">
      <w:pPr>
        <w:spacing w:line="288" w:lineRule="auto"/>
        <w:contextualSpacing/>
        <w:jc w:val="both"/>
        <w:rPr>
          <w:b/>
          <w:sz w:val="24"/>
          <w:szCs w:val="24"/>
        </w:rPr>
      </w:pPr>
      <w:r>
        <w:rPr>
          <w:b/>
          <w:sz w:val="24"/>
          <w:szCs w:val="24"/>
        </w:rPr>
        <w:t>CLÁUSULA DÉCIMA QUINTA:</w:t>
      </w:r>
      <w:r>
        <w:rPr>
          <w:rFonts w:eastAsia="Arial"/>
          <w:b/>
          <w:sz w:val="24"/>
          <w:szCs w:val="24"/>
        </w:rPr>
        <w:t xml:space="preserve"> </w:t>
      </w:r>
      <w:r>
        <w:rPr>
          <w:b/>
          <w:sz w:val="24"/>
          <w:szCs w:val="24"/>
        </w:rPr>
        <w:t>DO FORO DE ELEIÇÃO</w:t>
      </w:r>
    </w:p>
    <w:p w14:paraId="55F8033E">
      <w:pPr>
        <w:spacing w:line="288" w:lineRule="auto"/>
        <w:contextualSpacing/>
        <w:jc w:val="both"/>
        <w:rPr>
          <w:sz w:val="24"/>
          <w:szCs w:val="24"/>
        </w:rPr>
      </w:pPr>
    </w:p>
    <w:p w14:paraId="26A14614">
      <w:pPr>
        <w:spacing w:line="288" w:lineRule="auto"/>
        <w:contextualSpacing/>
        <w:jc w:val="both"/>
        <w:rPr>
          <w:sz w:val="24"/>
          <w:szCs w:val="24"/>
        </w:rPr>
      </w:pPr>
      <w:r>
        <w:rPr>
          <w:sz w:val="24"/>
          <w:szCs w:val="24"/>
        </w:rPr>
        <w:t xml:space="preserve">15.1 Fica eleito o Foro da Comarca de Valença RJ para dirimir qualquer litígio decorrente da presente Ata de Registro de Preços que não possa ser resolvido por meio amigável, com expressa renúncia a qualquer outro, por mais privilegiado que seja. </w:t>
      </w:r>
    </w:p>
    <w:p w14:paraId="140A3DF7">
      <w:pPr>
        <w:widowControl w:val="0"/>
        <w:autoSpaceDE w:val="0"/>
        <w:autoSpaceDN w:val="0"/>
        <w:adjustRightInd w:val="0"/>
        <w:spacing w:before="120" w:after="120" w:line="288" w:lineRule="auto"/>
        <w:contextualSpacing/>
        <w:jc w:val="both"/>
        <w:rPr>
          <w:sz w:val="24"/>
          <w:szCs w:val="24"/>
        </w:rPr>
      </w:pPr>
    </w:p>
    <w:p w14:paraId="67F7F842">
      <w:pPr>
        <w:widowControl w:val="0"/>
        <w:autoSpaceDE w:val="0"/>
        <w:autoSpaceDN w:val="0"/>
        <w:adjustRightInd w:val="0"/>
        <w:spacing w:before="120" w:after="120" w:line="288" w:lineRule="auto"/>
        <w:contextualSpacing/>
        <w:jc w:val="both"/>
        <w:rPr>
          <w:i/>
          <w:iCs/>
          <w:color w:val="FF0000"/>
          <w:sz w:val="24"/>
          <w:szCs w:val="24"/>
        </w:rPr>
      </w:pPr>
      <w:r>
        <w:rPr>
          <w:sz w:val="24"/>
          <w:szCs w:val="24"/>
        </w:rPr>
        <w:t xml:space="preserve">Para firmeza e validade do pactuado, a presente Ata foi lavrada em 02 (duas) vias de igual teor, que, depois de lida e achada em ordem, vai assinada pelas partes e encaminhada cópia aos demais órgãos participantes. </w:t>
      </w:r>
    </w:p>
    <w:p w14:paraId="2EFBD96A">
      <w:pPr>
        <w:spacing w:line="288" w:lineRule="auto"/>
        <w:contextualSpacing/>
        <w:jc w:val="both"/>
        <w:rPr>
          <w:sz w:val="24"/>
          <w:szCs w:val="24"/>
        </w:rPr>
      </w:pPr>
    </w:p>
    <w:p w14:paraId="0ED07E65">
      <w:pPr>
        <w:spacing w:line="288" w:lineRule="auto"/>
        <w:contextualSpacing/>
        <w:jc w:val="both"/>
        <w:rPr>
          <w:sz w:val="24"/>
          <w:szCs w:val="24"/>
        </w:rPr>
      </w:pPr>
    </w:p>
    <w:p w14:paraId="6F8D95B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xxx de xxx de 2025</w:t>
      </w:r>
    </w:p>
    <w:p w14:paraId="25B5BA6B">
      <w:pPr>
        <w:pStyle w:val="99"/>
        <w:spacing w:before="0" w:after="0" w:line="288" w:lineRule="auto"/>
        <w:ind w:left="0" w:firstLine="567"/>
        <w:contextualSpacing/>
        <w:jc w:val="center"/>
        <w:rPr>
          <w:rFonts w:ascii="Times New Roman" w:hAnsi="Times New Roman" w:cs="Times New Roman"/>
          <w:color w:val="FF0000"/>
          <w:sz w:val="24"/>
          <w:szCs w:val="24"/>
        </w:rPr>
      </w:pPr>
    </w:p>
    <w:p w14:paraId="47BD570A">
      <w:pPr>
        <w:pStyle w:val="99"/>
        <w:spacing w:before="0" w:after="0" w:line="288" w:lineRule="auto"/>
        <w:ind w:left="0" w:firstLine="567"/>
        <w:contextualSpacing/>
        <w:jc w:val="center"/>
        <w:rPr>
          <w:rFonts w:ascii="Times New Roman" w:hAnsi="Times New Roman" w:cs="Times New Roman"/>
          <w:color w:val="auto"/>
          <w:sz w:val="24"/>
          <w:szCs w:val="24"/>
        </w:rPr>
      </w:pPr>
    </w:p>
    <w:p w14:paraId="45C0EF01">
      <w:pPr>
        <w:spacing w:line="288" w:lineRule="auto"/>
        <w:ind w:firstLine="567"/>
        <w:contextualSpacing/>
        <w:jc w:val="center"/>
        <w:rPr>
          <w:bCs/>
          <w:sz w:val="24"/>
          <w:szCs w:val="24"/>
        </w:rPr>
      </w:pPr>
      <w:r>
        <w:rPr>
          <w:bCs/>
          <w:sz w:val="24"/>
          <w:szCs w:val="24"/>
        </w:rPr>
        <w:t>_________________________</w:t>
      </w:r>
    </w:p>
    <w:p w14:paraId="159DC113">
      <w:pPr>
        <w:spacing w:line="288" w:lineRule="auto"/>
        <w:ind w:firstLine="567"/>
        <w:contextualSpacing/>
        <w:jc w:val="center"/>
        <w:rPr>
          <w:sz w:val="24"/>
          <w:szCs w:val="24"/>
        </w:rPr>
      </w:pPr>
      <w:r>
        <w:rPr>
          <w:sz w:val="24"/>
          <w:szCs w:val="24"/>
        </w:rPr>
        <w:t>Rafael de Oliveira Tavares</w:t>
      </w:r>
    </w:p>
    <w:p w14:paraId="6004A2DC">
      <w:pPr>
        <w:spacing w:line="288" w:lineRule="auto"/>
        <w:ind w:firstLine="567"/>
        <w:contextualSpacing/>
        <w:jc w:val="center"/>
        <w:rPr>
          <w:bCs/>
          <w:sz w:val="24"/>
          <w:szCs w:val="24"/>
        </w:rPr>
      </w:pPr>
      <w:r>
        <w:rPr>
          <w:sz w:val="24"/>
          <w:szCs w:val="24"/>
        </w:rPr>
        <w:t>Secretária Municipal de Saúde</w:t>
      </w:r>
    </w:p>
    <w:p w14:paraId="2CE8AB2A">
      <w:pPr>
        <w:spacing w:line="288" w:lineRule="auto"/>
        <w:ind w:firstLine="567"/>
        <w:contextualSpacing/>
        <w:jc w:val="center"/>
        <w:rPr>
          <w:bCs/>
          <w:sz w:val="24"/>
          <w:szCs w:val="24"/>
        </w:rPr>
      </w:pPr>
      <w:r>
        <w:rPr>
          <w:bCs/>
          <w:sz w:val="24"/>
          <w:szCs w:val="24"/>
        </w:rPr>
        <w:t>MUNICÍPIO DE VALENÇA</w:t>
      </w:r>
    </w:p>
    <w:p w14:paraId="74FB2A8B">
      <w:pPr>
        <w:spacing w:line="288" w:lineRule="auto"/>
        <w:ind w:firstLine="567"/>
        <w:contextualSpacing/>
        <w:jc w:val="center"/>
        <w:rPr>
          <w:bCs/>
          <w:sz w:val="24"/>
          <w:szCs w:val="24"/>
        </w:rPr>
      </w:pPr>
    </w:p>
    <w:p w14:paraId="629C10DA">
      <w:pPr>
        <w:spacing w:line="288" w:lineRule="auto"/>
        <w:ind w:firstLine="567"/>
        <w:contextualSpacing/>
        <w:jc w:val="center"/>
        <w:rPr>
          <w:sz w:val="24"/>
          <w:szCs w:val="24"/>
        </w:rPr>
      </w:pPr>
      <w:r>
        <w:rPr>
          <w:sz w:val="24"/>
          <w:szCs w:val="24"/>
        </w:rPr>
        <w:t>_________________________</w:t>
      </w:r>
    </w:p>
    <w:p w14:paraId="183F6CDD">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544022D1">
      <w:pPr>
        <w:spacing w:line="288" w:lineRule="auto"/>
        <w:contextualSpacing/>
        <w:jc w:val="both"/>
        <w:rPr>
          <w:color w:val="FF0000"/>
          <w:sz w:val="24"/>
          <w:szCs w:val="24"/>
        </w:rPr>
      </w:pPr>
    </w:p>
    <w:p w14:paraId="3B847F2C">
      <w:pPr>
        <w:spacing w:line="288" w:lineRule="auto"/>
        <w:contextualSpacing/>
        <w:jc w:val="both"/>
        <w:rPr>
          <w:sz w:val="24"/>
          <w:szCs w:val="24"/>
        </w:rPr>
      </w:pPr>
      <w:r>
        <w:rPr>
          <w:sz w:val="24"/>
          <w:szCs w:val="24"/>
        </w:rPr>
        <w:t>TESTEMUNHAS:</w:t>
      </w:r>
    </w:p>
    <w:p w14:paraId="650F8D41">
      <w:pPr>
        <w:spacing w:line="288" w:lineRule="auto"/>
        <w:contextualSpacing/>
        <w:rPr>
          <w:sz w:val="24"/>
          <w:szCs w:val="24"/>
        </w:rPr>
      </w:pPr>
      <w:r>
        <w:rPr>
          <w:sz w:val="24"/>
          <w:szCs w:val="24"/>
        </w:rPr>
        <w:t>1-</w:t>
      </w:r>
    </w:p>
    <w:p w14:paraId="20AAE163">
      <w:pPr>
        <w:spacing w:line="288" w:lineRule="auto"/>
        <w:contextualSpacing/>
        <w:rPr>
          <w:sz w:val="24"/>
          <w:szCs w:val="24"/>
        </w:rPr>
      </w:pPr>
      <w:r>
        <w:rPr>
          <w:sz w:val="24"/>
          <w:szCs w:val="24"/>
        </w:rPr>
        <w:t xml:space="preserve">2- </w:t>
      </w:r>
    </w:p>
    <w:p w14:paraId="56956695">
      <w:pPr>
        <w:spacing w:line="360" w:lineRule="auto"/>
        <w:jc w:val="both"/>
        <w:rPr>
          <w:b/>
          <w:sz w:val="24"/>
          <w:szCs w:val="24"/>
        </w:rPr>
      </w:pPr>
    </w:p>
    <w:p w14:paraId="3C8D573E">
      <w:pPr>
        <w:spacing w:line="360" w:lineRule="auto"/>
        <w:jc w:val="both"/>
        <w:rPr>
          <w:b/>
          <w:sz w:val="24"/>
          <w:szCs w:val="24"/>
        </w:rPr>
      </w:pPr>
      <w:r>
        <w:rPr>
          <w:b/>
          <w:sz w:val="24"/>
          <w:szCs w:val="24"/>
        </w:rPr>
        <w:t xml:space="preserve">Anexos: </w:t>
      </w:r>
    </w:p>
    <w:p w14:paraId="1558BBB2">
      <w:pPr>
        <w:spacing w:line="360" w:lineRule="auto"/>
        <w:jc w:val="both"/>
        <w:rPr>
          <w:sz w:val="24"/>
          <w:szCs w:val="24"/>
        </w:rPr>
      </w:pPr>
      <w:r>
        <w:rPr>
          <w:sz w:val="24"/>
          <w:szCs w:val="24"/>
        </w:rPr>
        <w:t>Anexo I – Consolidação das Informações da Ata de Registro de Preços</w:t>
      </w:r>
    </w:p>
    <w:p w14:paraId="08254ACC">
      <w:pPr>
        <w:spacing w:line="360" w:lineRule="auto"/>
        <w:jc w:val="both"/>
        <w:rPr>
          <w:sz w:val="24"/>
          <w:szCs w:val="24"/>
        </w:rPr>
      </w:pPr>
      <w:r>
        <w:rPr>
          <w:sz w:val="24"/>
          <w:szCs w:val="24"/>
        </w:rPr>
        <w:t xml:space="preserve">Anexo II – Cadastro de Reserva </w:t>
      </w:r>
    </w:p>
    <w:p w14:paraId="19B33141">
      <w:pPr>
        <w:spacing w:line="360" w:lineRule="auto"/>
        <w:jc w:val="both"/>
        <w:rPr>
          <w:b/>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Anexo III – Relação de órgãos/entidades participantes</w:t>
      </w:r>
    </w:p>
    <w:p w14:paraId="0A75467C">
      <w:pPr>
        <w:spacing w:line="288" w:lineRule="auto"/>
        <w:contextualSpacing/>
        <w:jc w:val="center"/>
        <w:rPr>
          <w:rFonts w:eastAsia="Calibri"/>
          <w:b/>
          <w:bCs/>
          <w:sz w:val="24"/>
          <w:szCs w:val="24"/>
          <w:lang w:eastAsia="en-US"/>
        </w:rPr>
      </w:pPr>
    </w:p>
    <w:p w14:paraId="501DBB8B">
      <w:pPr>
        <w:jc w:val="center"/>
        <w:rPr>
          <w:b/>
          <w:sz w:val="24"/>
          <w:szCs w:val="24"/>
          <w:u w:val="single"/>
        </w:rPr>
      </w:pPr>
      <w:r>
        <w:rPr>
          <w:b/>
          <w:sz w:val="24"/>
          <w:szCs w:val="24"/>
          <w:u w:val="single"/>
        </w:rPr>
        <w:t>Anexo I – Consolidação das Informações da Ata de Registro de Preços</w:t>
      </w:r>
    </w:p>
    <w:p w14:paraId="1FB09BB0">
      <w:pPr>
        <w:jc w:val="center"/>
        <w:rPr>
          <w:b/>
          <w:sz w:val="24"/>
          <w:szCs w:val="24"/>
          <w:u w:val="single"/>
        </w:rPr>
      </w:pPr>
    </w:p>
    <w:p w14:paraId="555180C2">
      <w:pPr>
        <w:jc w:val="center"/>
        <w:rPr>
          <w:rFonts w:eastAsia="Arial"/>
          <w:b/>
          <w:sz w:val="24"/>
          <w:szCs w:val="24"/>
        </w:rPr>
      </w:pPr>
    </w:p>
    <w:p w14:paraId="32C579CE">
      <w:pPr>
        <w:ind w:hanging="426"/>
        <w:rPr>
          <w:rFonts w:eastAsia="Arial"/>
          <w:b/>
          <w:sz w:val="24"/>
          <w:szCs w:val="24"/>
        </w:rPr>
      </w:pPr>
      <w:r>
        <w:rPr>
          <w:rFonts w:eastAsia="Arial"/>
          <w:b/>
          <w:sz w:val="24"/>
          <w:szCs w:val="24"/>
        </w:rPr>
        <w:t>ATA DE REGISTRO DE PREÇOS nº ___/___</w:t>
      </w:r>
    </w:p>
    <w:p w14:paraId="5CDE99D1">
      <w:pPr>
        <w:ind w:hanging="426"/>
        <w:rPr>
          <w:rFonts w:eastAsia="Arial"/>
          <w:b/>
          <w:sz w:val="24"/>
          <w:szCs w:val="24"/>
        </w:rPr>
      </w:pPr>
      <w:r>
        <w:rPr>
          <w:rFonts w:eastAsia="Arial"/>
          <w:b/>
          <w:sz w:val="24"/>
          <w:szCs w:val="24"/>
        </w:rPr>
        <w:t>ÓRGÃO GERENCIADOR:</w:t>
      </w:r>
    </w:p>
    <w:p w14:paraId="62BFD9CA">
      <w:pPr>
        <w:ind w:hanging="426"/>
        <w:rPr>
          <w:rFonts w:eastAsia="Arial"/>
          <w:b/>
          <w:sz w:val="24"/>
          <w:szCs w:val="24"/>
        </w:rPr>
      </w:pPr>
      <w:r>
        <w:rPr>
          <w:rFonts w:eastAsia="Arial"/>
          <w:b/>
          <w:sz w:val="24"/>
          <w:szCs w:val="24"/>
        </w:rPr>
        <w:t>OBJETO:</w:t>
      </w:r>
    </w:p>
    <w:p w14:paraId="751305AD">
      <w:pPr>
        <w:ind w:hanging="426"/>
        <w:rPr>
          <w:rFonts w:eastAsia="Arial"/>
          <w:b/>
          <w:sz w:val="24"/>
          <w:szCs w:val="24"/>
        </w:rPr>
      </w:pPr>
      <w:r>
        <w:rPr>
          <w:rFonts w:eastAsia="Arial"/>
          <w:b/>
          <w:sz w:val="24"/>
          <w:szCs w:val="24"/>
        </w:rPr>
        <w:t xml:space="preserve">FORNECEDOR: </w:t>
      </w:r>
    </w:p>
    <w:p w14:paraId="75CDC23E">
      <w:pPr>
        <w:ind w:hanging="426"/>
        <w:rPr>
          <w:rFonts w:eastAsia="Arial"/>
          <w:b/>
          <w:sz w:val="24"/>
          <w:szCs w:val="24"/>
        </w:rPr>
      </w:pPr>
    </w:p>
    <w:p w14:paraId="71A1C339">
      <w:pPr>
        <w:jc w:val="center"/>
        <w:rPr>
          <w:rFonts w:eastAsia="Arial"/>
          <w:b/>
          <w:sz w:val="24"/>
          <w:szCs w:val="24"/>
        </w:rPr>
      </w:pPr>
    </w:p>
    <w:tbl>
      <w:tblPr>
        <w:tblStyle w:val="10"/>
        <w:tblW w:w="963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851"/>
        <w:gridCol w:w="1135"/>
        <w:gridCol w:w="2126"/>
        <w:gridCol w:w="1701"/>
        <w:gridCol w:w="1560"/>
        <w:gridCol w:w="1417"/>
      </w:tblGrid>
      <w:tr w14:paraId="49A8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65CB67E7">
            <w:pPr>
              <w:jc w:val="center"/>
              <w:rPr>
                <w:rFonts w:eastAsia="Arial"/>
                <w:b/>
                <w:color w:val="FF0000"/>
                <w:sz w:val="24"/>
                <w:szCs w:val="24"/>
              </w:rPr>
            </w:pPr>
          </w:p>
        </w:tc>
        <w:tc>
          <w:tcPr>
            <w:tcW w:w="851" w:type="dxa"/>
            <w:shd w:val="clear" w:color="auto" w:fill="auto"/>
          </w:tcPr>
          <w:p w14:paraId="475DEF0C">
            <w:pPr>
              <w:jc w:val="center"/>
              <w:rPr>
                <w:rFonts w:eastAsia="Arial"/>
                <w:b/>
                <w:sz w:val="24"/>
                <w:szCs w:val="24"/>
              </w:rPr>
            </w:pPr>
            <w:r>
              <w:rPr>
                <w:rFonts w:eastAsia="Arial"/>
                <w:b/>
                <w:sz w:val="24"/>
                <w:szCs w:val="24"/>
              </w:rPr>
              <w:t>ITEM</w:t>
            </w:r>
          </w:p>
          <w:p w14:paraId="79A868F0">
            <w:pPr>
              <w:jc w:val="center"/>
              <w:rPr>
                <w:rFonts w:eastAsia="Arial"/>
                <w:b/>
                <w:sz w:val="24"/>
                <w:szCs w:val="24"/>
              </w:rPr>
            </w:pPr>
          </w:p>
        </w:tc>
        <w:tc>
          <w:tcPr>
            <w:tcW w:w="1134" w:type="dxa"/>
            <w:shd w:val="clear" w:color="auto" w:fill="auto"/>
          </w:tcPr>
          <w:p w14:paraId="4CCEA743">
            <w:pPr>
              <w:jc w:val="center"/>
              <w:rPr>
                <w:rFonts w:eastAsia="Arial"/>
                <w:b/>
                <w:sz w:val="24"/>
                <w:szCs w:val="24"/>
              </w:rPr>
            </w:pPr>
            <w:r>
              <w:rPr>
                <w:rFonts w:eastAsia="Arial"/>
                <w:b/>
                <w:sz w:val="24"/>
                <w:szCs w:val="24"/>
              </w:rPr>
              <w:t>CÓD.</w:t>
            </w:r>
          </w:p>
          <w:p w14:paraId="2EF39AB8">
            <w:pPr>
              <w:jc w:val="center"/>
              <w:rPr>
                <w:rFonts w:eastAsia="Arial"/>
                <w:b/>
                <w:sz w:val="24"/>
                <w:szCs w:val="24"/>
              </w:rPr>
            </w:pPr>
            <w:r>
              <w:rPr>
                <w:rFonts w:eastAsia="Arial"/>
                <w:b/>
                <w:sz w:val="24"/>
                <w:szCs w:val="24"/>
              </w:rPr>
              <w:t>ID SIGA</w:t>
            </w:r>
          </w:p>
        </w:tc>
        <w:tc>
          <w:tcPr>
            <w:tcW w:w="2126" w:type="dxa"/>
            <w:shd w:val="clear" w:color="auto" w:fill="auto"/>
          </w:tcPr>
          <w:p w14:paraId="52835577">
            <w:pPr>
              <w:jc w:val="center"/>
              <w:rPr>
                <w:rFonts w:eastAsia="Arial"/>
                <w:b/>
                <w:sz w:val="24"/>
                <w:szCs w:val="24"/>
              </w:rPr>
            </w:pPr>
            <w:r>
              <w:rPr>
                <w:rFonts w:eastAsia="Arial"/>
                <w:b/>
                <w:sz w:val="24"/>
                <w:szCs w:val="24"/>
              </w:rPr>
              <w:t>DESCRIÇÃO/</w:t>
            </w:r>
          </w:p>
          <w:p w14:paraId="1372A128">
            <w:pPr>
              <w:jc w:val="center"/>
              <w:rPr>
                <w:rFonts w:eastAsia="Arial"/>
                <w:b/>
                <w:sz w:val="24"/>
                <w:szCs w:val="24"/>
              </w:rPr>
            </w:pPr>
            <w:r>
              <w:rPr>
                <w:rFonts w:eastAsia="Arial"/>
                <w:b/>
                <w:sz w:val="24"/>
                <w:szCs w:val="24"/>
              </w:rPr>
              <w:t>ESPECIFICAÇÃO</w:t>
            </w:r>
          </w:p>
        </w:tc>
        <w:tc>
          <w:tcPr>
            <w:tcW w:w="1701" w:type="dxa"/>
            <w:shd w:val="clear" w:color="auto" w:fill="auto"/>
          </w:tcPr>
          <w:p w14:paraId="2F9D36BA">
            <w:pPr>
              <w:spacing w:line="288" w:lineRule="auto"/>
              <w:jc w:val="center"/>
              <w:rPr>
                <w:rFonts w:eastAsia="Arial"/>
                <w:b/>
                <w:sz w:val="24"/>
                <w:szCs w:val="24"/>
              </w:rPr>
            </w:pPr>
            <w:r>
              <w:rPr>
                <w:rFonts w:eastAsia="Arial"/>
                <w:b/>
                <w:sz w:val="24"/>
                <w:szCs w:val="24"/>
              </w:rPr>
              <w:t>QUANTIDADE TOTAL REGISTRADA</w:t>
            </w:r>
          </w:p>
          <w:p w14:paraId="3D494414">
            <w:pPr>
              <w:jc w:val="center"/>
              <w:rPr>
                <w:rFonts w:eastAsia="Arial"/>
                <w:b/>
                <w:sz w:val="24"/>
                <w:szCs w:val="24"/>
              </w:rPr>
            </w:pPr>
          </w:p>
        </w:tc>
        <w:tc>
          <w:tcPr>
            <w:tcW w:w="1560" w:type="dxa"/>
            <w:shd w:val="clear" w:color="auto" w:fill="auto"/>
          </w:tcPr>
          <w:p w14:paraId="3EC58A2F">
            <w:pPr>
              <w:spacing w:line="288" w:lineRule="auto"/>
              <w:jc w:val="center"/>
              <w:rPr>
                <w:rFonts w:eastAsia="Arial"/>
                <w:b/>
                <w:sz w:val="24"/>
                <w:szCs w:val="24"/>
              </w:rPr>
            </w:pPr>
            <w:r>
              <w:rPr>
                <w:rFonts w:eastAsia="Arial"/>
                <w:b/>
                <w:sz w:val="24"/>
                <w:szCs w:val="24"/>
              </w:rPr>
              <w:t>UNIDADE DE MEDIDA</w:t>
            </w:r>
          </w:p>
          <w:p w14:paraId="3B52FB86">
            <w:pPr>
              <w:spacing w:line="288" w:lineRule="auto"/>
              <w:jc w:val="center"/>
              <w:rPr>
                <w:rFonts w:eastAsia="Arial"/>
                <w:b/>
                <w:color w:val="FF0000"/>
                <w:sz w:val="24"/>
                <w:szCs w:val="24"/>
              </w:rPr>
            </w:pPr>
            <w:r>
              <w:rPr>
                <w:rFonts w:eastAsia="Arial"/>
                <w:b/>
                <w:color w:val="FF0000"/>
                <w:sz w:val="24"/>
                <w:szCs w:val="24"/>
              </w:rPr>
              <w:t>(ex.: m</w:t>
            </w:r>
            <w:r>
              <w:rPr>
                <w:rFonts w:eastAsia="Arial"/>
                <w:b/>
                <w:color w:val="FF0000"/>
                <w:sz w:val="24"/>
                <w:szCs w:val="24"/>
                <w:vertAlign w:val="superscript"/>
              </w:rPr>
              <w:t>2</w:t>
            </w:r>
            <w:r>
              <w:rPr>
                <w:rFonts w:eastAsia="Arial"/>
                <w:b/>
                <w:color w:val="FF0000"/>
                <w:sz w:val="24"/>
                <w:szCs w:val="24"/>
              </w:rPr>
              <w:t>, item, litros, kg, pacote etc.)</w:t>
            </w:r>
          </w:p>
          <w:p w14:paraId="79882456">
            <w:pPr>
              <w:jc w:val="center"/>
              <w:rPr>
                <w:rFonts w:eastAsia="Arial"/>
                <w:b/>
                <w:sz w:val="24"/>
                <w:szCs w:val="24"/>
              </w:rPr>
            </w:pPr>
          </w:p>
        </w:tc>
        <w:tc>
          <w:tcPr>
            <w:tcW w:w="1417" w:type="dxa"/>
            <w:shd w:val="clear" w:color="auto" w:fill="auto"/>
          </w:tcPr>
          <w:p w14:paraId="76E6DD37">
            <w:pPr>
              <w:spacing w:line="288" w:lineRule="auto"/>
              <w:jc w:val="center"/>
              <w:rPr>
                <w:rFonts w:eastAsia="Arial"/>
                <w:b/>
                <w:sz w:val="24"/>
                <w:szCs w:val="24"/>
              </w:rPr>
            </w:pPr>
            <w:r>
              <w:rPr>
                <w:rFonts w:eastAsia="Arial"/>
                <w:b/>
                <w:sz w:val="24"/>
                <w:szCs w:val="24"/>
              </w:rPr>
              <w:t>PREÇO UNITÁRIO</w:t>
            </w:r>
          </w:p>
          <w:p w14:paraId="11C18F6E">
            <w:pPr>
              <w:jc w:val="center"/>
              <w:rPr>
                <w:rFonts w:eastAsia="Arial"/>
                <w:b/>
                <w:sz w:val="24"/>
                <w:szCs w:val="24"/>
              </w:rPr>
            </w:pPr>
          </w:p>
        </w:tc>
      </w:tr>
      <w:tr w14:paraId="6BF5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50EAC39E">
            <w:pPr>
              <w:jc w:val="center"/>
              <w:rPr>
                <w:rFonts w:eastAsia="Arial"/>
                <w:b/>
                <w:sz w:val="24"/>
                <w:szCs w:val="24"/>
              </w:rPr>
            </w:pPr>
          </w:p>
        </w:tc>
        <w:tc>
          <w:tcPr>
            <w:tcW w:w="851" w:type="dxa"/>
            <w:shd w:val="clear" w:color="auto" w:fill="auto"/>
          </w:tcPr>
          <w:p w14:paraId="595F77B6">
            <w:pPr>
              <w:jc w:val="center"/>
              <w:rPr>
                <w:rFonts w:eastAsia="Arial"/>
                <w:b/>
                <w:sz w:val="24"/>
                <w:szCs w:val="24"/>
              </w:rPr>
            </w:pPr>
          </w:p>
        </w:tc>
        <w:tc>
          <w:tcPr>
            <w:tcW w:w="1135" w:type="dxa"/>
            <w:shd w:val="clear" w:color="auto" w:fill="auto"/>
          </w:tcPr>
          <w:p w14:paraId="3E806FDD">
            <w:pPr>
              <w:jc w:val="center"/>
              <w:rPr>
                <w:rFonts w:eastAsia="Arial"/>
                <w:b/>
                <w:sz w:val="24"/>
                <w:szCs w:val="24"/>
              </w:rPr>
            </w:pPr>
          </w:p>
        </w:tc>
        <w:tc>
          <w:tcPr>
            <w:tcW w:w="2125" w:type="dxa"/>
            <w:shd w:val="clear" w:color="auto" w:fill="auto"/>
          </w:tcPr>
          <w:p w14:paraId="60503698">
            <w:pPr>
              <w:jc w:val="center"/>
              <w:rPr>
                <w:rFonts w:eastAsia="Arial"/>
                <w:b/>
                <w:sz w:val="24"/>
                <w:szCs w:val="24"/>
              </w:rPr>
            </w:pPr>
          </w:p>
        </w:tc>
        <w:tc>
          <w:tcPr>
            <w:tcW w:w="1701" w:type="dxa"/>
            <w:shd w:val="clear" w:color="auto" w:fill="auto"/>
          </w:tcPr>
          <w:p w14:paraId="004B3FBD">
            <w:pPr>
              <w:spacing w:line="288" w:lineRule="auto"/>
              <w:jc w:val="center"/>
              <w:rPr>
                <w:rFonts w:eastAsia="Arial"/>
                <w:b/>
                <w:sz w:val="24"/>
                <w:szCs w:val="24"/>
              </w:rPr>
            </w:pPr>
          </w:p>
        </w:tc>
        <w:tc>
          <w:tcPr>
            <w:tcW w:w="1560" w:type="dxa"/>
            <w:shd w:val="clear" w:color="auto" w:fill="auto"/>
          </w:tcPr>
          <w:p w14:paraId="61D8D2F5">
            <w:pPr>
              <w:spacing w:line="288" w:lineRule="auto"/>
              <w:jc w:val="center"/>
              <w:rPr>
                <w:rFonts w:eastAsia="Arial"/>
                <w:b/>
                <w:sz w:val="24"/>
                <w:szCs w:val="24"/>
              </w:rPr>
            </w:pPr>
          </w:p>
        </w:tc>
        <w:tc>
          <w:tcPr>
            <w:tcW w:w="1417" w:type="dxa"/>
            <w:shd w:val="clear" w:color="auto" w:fill="auto"/>
          </w:tcPr>
          <w:p w14:paraId="5621DBAB">
            <w:pPr>
              <w:spacing w:line="288" w:lineRule="auto"/>
              <w:jc w:val="center"/>
              <w:rPr>
                <w:rFonts w:eastAsia="Arial"/>
                <w:b/>
                <w:sz w:val="24"/>
                <w:szCs w:val="24"/>
              </w:rPr>
            </w:pPr>
          </w:p>
        </w:tc>
      </w:tr>
      <w:tr w14:paraId="47FF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33514C6F">
            <w:pPr>
              <w:jc w:val="center"/>
              <w:rPr>
                <w:rFonts w:eastAsia="Arial"/>
                <w:b/>
                <w:sz w:val="24"/>
                <w:szCs w:val="24"/>
              </w:rPr>
            </w:pPr>
          </w:p>
        </w:tc>
        <w:tc>
          <w:tcPr>
            <w:tcW w:w="851" w:type="dxa"/>
            <w:shd w:val="clear" w:color="auto" w:fill="auto"/>
          </w:tcPr>
          <w:p w14:paraId="50EE1F0E">
            <w:pPr>
              <w:jc w:val="center"/>
              <w:rPr>
                <w:rFonts w:eastAsia="Arial"/>
                <w:b/>
                <w:sz w:val="24"/>
                <w:szCs w:val="24"/>
              </w:rPr>
            </w:pPr>
          </w:p>
        </w:tc>
        <w:tc>
          <w:tcPr>
            <w:tcW w:w="1135" w:type="dxa"/>
            <w:shd w:val="clear" w:color="auto" w:fill="auto"/>
          </w:tcPr>
          <w:p w14:paraId="5A2A4908">
            <w:pPr>
              <w:jc w:val="center"/>
              <w:rPr>
                <w:rFonts w:eastAsia="Arial"/>
                <w:b/>
                <w:sz w:val="24"/>
                <w:szCs w:val="24"/>
              </w:rPr>
            </w:pPr>
          </w:p>
        </w:tc>
        <w:tc>
          <w:tcPr>
            <w:tcW w:w="2125" w:type="dxa"/>
            <w:shd w:val="clear" w:color="auto" w:fill="auto"/>
          </w:tcPr>
          <w:p w14:paraId="234095CB">
            <w:pPr>
              <w:jc w:val="center"/>
              <w:rPr>
                <w:rFonts w:eastAsia="Arial"/>
                <w:b/>
                <w:sz w:val="24"/>
                <w:szCs w:val="24"/>
              </w:rPr>
            </w:pPr>
          </w:p>
        </w:tc>
        <w:tc>
          <w:tcPr>
            <w:tcW w:w="1701" w:type="dxa"/>
            <w:shd w:val="clear" w:color="auto" w:fill="auto"/>
          </w:tcPr>
          <w:p w14:paraId="7FBF5712">
            <w:pPr>
              <w:spacing w:line="288" w:lineRule="auto"/>
              <w:jc w:val="center"/>
              <w:rPr>
                <w:rFonts w:eastAsia="Arial"/>
                <w:b/>
                <w:sz w:val="24"/>
                <w:szCs w:val="24"/>
              </w:rPr>
            </w:pPr>
          </w:p>
        </w:tc>
        <w:tc>
          <w:tcPr>
            <w:tcW w:w="1560" w:type="dxa"/>
            <w:shd w:val="clear" w:color="auto" w:fill="auto"/>
          </w:tcPr>
          <w:p w14:paraId="6A7C54EF">
            <w:pPr>
              <w:spacing w:line="288" w:lineRule="auto"/>
              <w:jc w:val="center"/>
              <w:rPr>
                <w:rFonts w:eastAsia="Arial"/>
                <w:b/>
                <w:sz w:val="24"/>
                <w:szCs w:val="24"/>
              </w:rPr>
            </w:pPr>
          </w:p>
        </w:tc>
        <w:tc>
          <w:tcPr>
            <w:tcW w:w="1417" w:type="dxa"/>
            <w:shd w:val="clear" w:color="auto" w:fill="auto"/>
          </w:tcPr>
          <w:p w14:paraId="3ED3375B">
            <w:pPr>
              <w:spacing w:line="288" w:lineRule="auto"/>
              <w:jc w:val="center"/>
              <w:rPr>
                <w:rFonts w:eastAsia="Arial"/>
                <w:b/>
                <w:sz w:val="24"/>
                <w:szCs w:val="24"/>
              </w:rPr>
            </w:pPr>
          </w:p>
        </w:tc>
      </w:tr>
      <w:tr w14:paraId="6344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shd w:val="clear" w:color="auto" w:fill="auto"/>
          </w:tcPr>
          <w:p w14:paraId="2DD5ADAB">
            <w:pPr>
              <w:jc w:val="center"/>
              <w:rPr>
                <w:rFonts w:eastAsia="Arial"/>
                <w:b/>
                <w:sz w:val="24"/>
                <w:szCs w:val="24"/>
              </w:rPr>
            </w:pPr>
          </w:p>
        </w:tc>
        <w:tc>
          <w:tcPr>
            <w:tcW w:w="851" w:type="dxa"/>
            <w:shd w:val="clear" w:color="auto" w:fill="auto"/>
          </w:tcPr>
          <w:p w14:paraId="79744C70">
            <w:pPr>
              <w:jc w:val="center"/>
              <w:rPr>
                <w:rFonts w:eastAsia="Arial"/>
                <w:b/>
                <w:sz w:val="24"/>
                <w:szCs w:val="24"/>
              </w:rPr>
            </w:pPr>
          </w:p>
        </w:tc>
        <w:tc>
          <w:tcPr>
            <w:tcW w:w="1135" w:type="dxa"/>
            <w:shd w:val="clear" w:color="auto" w:fill="auto"/>
          </w:tcPr>
          <w:p w14:paraId="7DA56449">
            <w:pPr>
              <w:jc w:val="center"/>
              <w:rPr>
                <w:rFonts w:eastAsia="Arial"/>
                <w:b/>
                <w:sz w:val="24"/>
                <w:szCs w:val="24"/>
              </w:rPr>
            </w:pPr>
          </w:p>
        </w:tc>
        <w:tc>
          <w:tcPr>
            <w:tcW w:w="2125" w:type="dxa"/>
            <w:shd w:val="clear" w:color="auto" w:fill="auto"/>
          </w:tcPr>
          <w:p w14:paraId="4D05519C">
            <w:pPr>
              <w:jc w:val="center"/>
              <w:rPr>
                <w:rFonts w:eastAsia="Arial"/>
                <w:b/>
                <w:sz w:val="24"/>
                <w:szCs w:val="24"/>
              </w:rPr>
            </w:pPr>
          </w:p>
        </w:tc>
        <w:tc>
          <w:tcPr>
            <w:tcW w:w="1701" w:type="dxa"/>
            <w:shd w:val="clear" w:color="auto" w:fill="auto"/>
          </w:tcPr>
          <w:p w14:paraId="6018A8B5">
            <w:pPr>
              <w:spacing w:line="288" w:lineRule="auto"/>
              <w:jc w:val="center"/>
              <w:rPr>
                <w:rFonts w:eastAsia="Arial"/>
                <w:b/>
                <w:sz w:val="24"/>
                <w:szCs w:val="24"/>
              </w:rPr>
            </w:pPr>
          </w:p>
        </w:tc>
        <w:tc>
          <w:tcPr>
            <w:tcW w:w="1560" w:type="dxa"/>
            <w:shd w:val="clear" w:color="auto" w:fill="auto"/>
          </w:tcPr>
          <w:p w14:paraId="2D0D1C32">
            <w:pPr>
              <w:spacing w:line="288" w:lineRule="auto"/>
              <w:jc w:val="center"/>
              <w:rPr>
                <w:rFonts w:eastAsia="Arial"/>
                <w:b/>
                <w:sz w:val="24"/>
                <w:szCs w:val="24"/>
              </w:rPr>
            </w:pPr>
          </w:p>
        </w:tc>
        <w:tc>
          <w:tcPr>
            <w:tcW w:w="1417" w:type="dxa"/>
            <w:shd w:val="clear" w:color="auto" w:fill="auto"/>
          </w:tcPr>
          <w:p w14:paraId="6AFF67FA">
            <w:pPr>
              <w:spacing w:line="288" w:lineRule="auto"/>
              <w:jc w:val="center"/>
              <w:rPr>
                <w:rFonts w:eastAsia="Arial"/>
                <w:b/>
                <w:sz w:val="24"/>
                <w:szCs w:val="24"/>
              </w:rPr>
            </w:pPr>
          </w:p>
        </w:tc>
      </w:tr>
    </w:tbl>
    <w:p w14:paraId="63C83B8D">
      <w:pPr>
        <w:jc w:val="center"/>
        <w:rPr>
          <w:b/>
          <w:sz w:val="24"/>
          <w:szCs w:val="24"/>
          <w:u w:val="single"/>
        </w:rPr>
      </w:pPr>
    </w:p>
    <w:p w14:paraId="13A16BCA">
      <w:pPr>
        <w:jc w:val="center"/>
        <w:rPr>
          <w:b/>
          <w:sz w:val="24"/>
          <w:szCs w:val="24"/>
          <w:u w:val="single"/>
        </w:rPr>
      </w:pPr>
    </w:p>
    <w:p w14:paraId="32B0D683">
      <w:pPr>
        <w:jc w:val="center"/>
        <w:rPr>
          <w:b/>
          <w:sz w:val="24"/>
          <w:szCs w:val="24"/>
          <w:u w:val="single"/>
        </w:rPr>
      </w:pPr>
    </w:p>
    <w:p w14:paraId="452226EC">
      <w:pPr>
        <w:jc w:val="center"/>
        <w:rPr>
          <w:b/>
          <w:sz w:val="24"/>
          <w:szCs w:val="24"/>
          <w:u w:val="single"/>
        </w:rPr>
      </w:pPr>
    </w:p>
    <w:p w14:paraId="4A3C0293">
      <w:pPr>
        <w:jc w:val="center"/>
        <w:rPr>
          <w:b/>
          <w:sz w:val="24"/>
          <w:szCs w:val="24"/>
          <w:u w:val="single"/>
        </w:rPr>
      </w:pPr>
      <w:r>
        <w:rPr>
          <w:b/>
          <w:sz w:val="24"/>
          <w:szCs w:val="24"/>
          <w:u w:val="single"/>
        </w:rPr>
        <w:t>Anexo II – Cadastro de Reserva</w:t>
      </w:r>
    </w:p>
    <w:p w14:paraId="7B3BAF3E">
      <w:pPr>
        <w:rPr>
          <w:rFonts w:eastAsia="Arial"/>
          <w:b/>
          <w:sz w:val="24"/>
          <w:szCs w:val="24"/>
        </w:rPr>
      </w:pPr>
    </w:p>
    <w:p w14:paraId="3BBEE8AA">
      <w:pPr>
        <w:rPr>
          <w:rFonts w:eastAsia="Arial"/>
          <w:b/>
          <w:sz w:val="24"/>
          <w:szCs w:val="24"/>
        </w:rPr>
      </w:pPr>
      <w:r>
        <w:rPr>
          <w:rFonts w:eastAsia="Arial"/>
          <w:b/>
          <w:sz w:val="24"/>
          <w:szCs w:val="24"/>
        </w:rPr>
        <w:t>ATA DE REGISTRO DE PREÇOS nº ___/202</w:t>
      </w:r>
      <w:r>
        <w:rPr>
          <w:rFonts w:eastAsia="Arial"/>
          <w:b/>
          <w:color w:val="FF0000"/>
          <w:sz w:val="24"/>
          <w:szCs w:val="24"/>
        </w:rPr>
        <w:t>...._</w:t>
      </w:r>
      <w:r>
        <w:rPr>
          <w:rFonts w:eastAsia="Arial"/>
          <w:b/>
          <w:sz w:val="24"/>
          <w:szCs w:val="24"/>
        </w:rPr>
        <w:t>__</w:t>
      </w:r>
    </w:p>
    <w:p w14:paraId="25F0A770">
      <w:pPr>
        <w:rPr>
          <w:rFonts w:eastAsia="Arial"/>
          <w:b/>
          <w:sz w:val="24"/>
          <w:szCs w:val="24"/>
        </w:rPr>
      </w:pPr>
      <w:r>
        <w:rPr>
          <w:rFonts w:eastAsia="Arial"/>
          <w:b/>
          <w:sz w:val="24"/>
          <w:szCs w:val="24"/>
        </w:rPr>
        <w:t>ÓRGÃO GERENCIADOR:</w:t>
      </w:r>
    </w:p>
    <w:p w14:paraId="1C5439D3">
      <w:pPr>
        <w:rPr>
          <w:rFonts w:eastAsia="Arial"/>
          <w:b/>
          <w:sz w:val="24"/>
          <w:szCs w:val="24"/>
        </w:rPr>
      </w:pPr>
      <w:r>
        <w:rPr>
          <w:rFonts w:eastAsia="Arial"/>
          <w:b/>
          <w:sz w:val="24"/>
          <w:szCs w:val="24"/>
        </w:rPr>
        <w:t>OBJETO:</w:t>
      </w:r>
    </w:p>
    <w:p w14:paraId="663B07BA">
      <w:pPr>
        <w:rPr>
          <w:rFonts w:eastAsia="Arial"/>
          <w:b/>
          <w:sz w:val="24"/>
          <w:szCs w:val="24"/>
        </w:rPr>
      </w:pPr>
    </w:p>
    <w:p w14:paraId="01A44DA1">
      <w:pPr>
        <w:jc w:val="both"/>
        <w:rPr>
          <w:rFonts w:eastAsia="Arial"/>
          <w:b/>
          <w:sz w:val="24"/>
          <w:szCs w:val="24"/>
        </w:rPr>
      </w:pPr>
      <w:r>
        <w:rPr>
          <w:rFonts w:eastAsia="Arial"/>
          <w:b/>
          <w:sz w:val="24"/>
          <w:szCs w:val="24"/>
        </w:rPr>
        <w:t xml:space="preserve">FORNECEDOR nº1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1742D1E9">
      <w:pPr>
        <w:rPr>
          <w:rFonts w:eastAsia="Arial"/>
          <w:b/>
          <w:sz w:val="24"/>
          <w:szCs w:val="24"/>
        </w:rPr>
      </w:pPr>
    </w:p>
    <w:p w14:paraId="797BA8DD">
      <w:pPr>
        <w:rPr>
          <w:rFonts w:eastAsia="Arial"/>
          <w:b/>
          <w:sz w:val="24"/>
          <w:szCs w:val="24"/>
        </w:rPr>
      </w:pPr>
    </w:p>
    <w:p w14:paraId="180A2E18">
      <w:pPr>
        <w:jc w:val="both"/>
        <w:rPr>
          <w:rFonts w:eastAsia="Arial"/>
          <w:b/>
          <w:sz w:val="24"/>
          <w:szCs w:val="24"/>
        </w:rPr>
      </w:pPr>
      <w:r>
        <w:rPr>
          <w:rFonts w:eastAsia="Arial"/>
          <w:b/>
          <w:sz w:val="24"/>
          <w:szCs w:val="24"/>
        </w:rPr>
        <w:t xml:space="preserve">FORNECEDOR nº2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59971E11">
      <w:pPr>
        <w:rPr>
          <w:rFonts w:eastAsia="Arial"/>
          <w:b/>
          <w:sz w:val="24"/>
          <w:szCs w:val="24"/>
        </w:rPr>
      </w:pPr>
    </w:p>
    <w:p w14:paraId="156959BB">
      <w:pPr>
        <w:rPr>
          <w:rFonts w:eastAsia="Arial"/>
          <w:b/>
          <w:sz w:val="24"/>
          <w:szCs w:val="24"/>
        </w:rPr>
      </w:pPr>
    </w:p>
    <w:p w14:paraId="05A40F76">
      <w:pPr>
        <w:jc w:val="both"/>
        <w:rPr>
          <w:rFonts w:eastAsia="Arial"/>
          <w:b/>
          <w:sz w:val="24"/>
          <w:szCs w:val="24"/>
        </w:rPr>
      </w:pPr>
      <w:r>
        <w:rPr>
          <w:rFonts w:eastAsia="Arial"/>
          <w:b/>
          <w:sz w:val="24"/>
          <w:szCs w:val="24"/>
        </w:rPr>
        <w:t xml:space="preserve">FORNECEDOR nº3 DO CADASTRO DE RESERVA: </w:t>
      </w:r>
      <w:r>
        <w:rPr>
          <w:sz w:val="24"/>
          <w:szCs w:val="24"/>
        </w:rPr>
        <w:t xml:space="preserve">empresa </w:t>
      </w:r>
      <w:r>
        <w:rPr>
          <w:color w:val="FF0000"/>
          <w:sz w:val="24"/>
          <w:szCs w:val="24"/>
        </w:rPr>
        <w:t>.............</w:t>
      </w:r>
      <w:r>
        <w:rPr>
          <w:sz w:val="24"/>
          <w:szCs w:val="24"/>
        </w:rPr>
        <w:t xml:space="preserve">, situada na Rua </w:t>
      </w:r>
      <w:r>
        <w:rPr>
          <w:color w:val="FF0000"/>
          <w:sz w:val="24"/>
          <w:szCs w:val="24"/>
        </w:rPr>
        <w:t>.............</w:t>
      </w:r>
      <w:r>
        <w:rPr>
          <w:sz w:val="24"/>
          <w:szCs w:val="24"/>
        </w:rPr>
        <w:t xml:space="preserve">, Bairro </w:t>
      </w:r>
      <w:r>
        <w:rPr>
          <w:color w:val="FF0000"/>
          <w:sz w:val="24"/>
          <w:szCs w:val="24"/>
        </w:rPr>
        <w:t>.............</w:t>
      </w:r>
      <w:r>
        <w:rPr>
          <w:sz w:val="24"/>
          <w:szCs w:val="24"/>
        </w:rPr>
        <w:t xml:space="preserve">, Cidade </w:t>
      </w:r>
      <w:r>
        <w:rPr>
          <w:color w:val="FF0000"/>
          <w:sz w:val="24"/>
          <w:szCs w:val="24"/>
        </w:rPr>
        <w:t>.............</w:t>
      </w:r>
      <w:r>
        <w:rPr>
          <w:sz w:val="24"/>
          <w:szCs w:val="24"/>
        </w:rPr>
        <w:t xml:space="preserve"> e inscrita no CNPJ/MF sob o nº </w:t>
      </w:r>
      <w:r>
        <w:rPr>
          <w:color w:val="FF0000"/>
          <w:sz w:val="24"/>
          <w:szCs w:val="24"/>
        </w:rPr>
        <w:t>.............</w:t>
      </w:r>
      <w:r>
        <w:rPr>
          <w:sz w:val="24"/>
          <w:szCs w:val="24"/>
        </w:rPr>
        <w:t xml:space="preserve">, representada neste ato por </w:t>
      </w:r>
      <w:r>
        <w:rPr>
          <w:color w:val="FF0000"/>
          <w:sz w:val="24"/>
          <w:szCs w:val="24"/>
        </w:rPr>
        <w:t>.............</w:t>
      </w:r>
      <w:r>
        <w:rPr>
          <w:sz w:val="24"/>
          <w:szCs w:val="24"/>
        </w:rPr>
        <w:t xml:space="preserve">, cédula de identidade nº </w:t>
      </w:r>
      <w:r>
        <w:rPr>
          <w:color w:val="FF0000"/>
          <w:sz w:val="24"/>
          <w:szCs w:val="24"/>
        </w:rPr>
        <w:t>.............</w:t>
      </w:r>
      <w:r>
        <w:rPr>
          <w:sz w:val="24"/>
          <w:szCs w:val="24"/>
        </w:rPr>
        <w:t xml:space="preserve">,  domiciliada na Rua </w:t>
      </w:r>
      <w:r>
        <w:rPr>
          <w:color w:val="FF0000"/>
          <w:sz w:val="24"/>
          <w:szCs w:val="24"/>
        </w:rPr>
        <w:t>.............</w:t>
      </w:r>
      <w:r>
        <w:rPr>
          <w:color w:val="000000"/>
          <w:sz w:val="24"/>
          <w:szCs w:val="24"/>
        </w:rPr>
        <w:t xml:space="preserve">, Cidade </w:t>
      </w:r>
      <w:r>
        <w:rPr>
          <w:color w:val="FF0000"/>
          <w:sz w:val="24"/>
          <w:szCs w:val="24"/>
        </w:rPr>
        <w:t>.............</w:t>
      </w:r>
      <w:r>
        <w:rPr>
          <w:color w:val="000000"/>
          <w:sz w:val="24"/>
          <w:szCs w:val="24"/>
        </w:rPr>
        <w:t xml:space="preserve">; </w:t>
      </w:r>
    </w:p>
    <w:p w14:paraId="01F1E203">
      <w:pPr>
        <w:rPr>
          <w:rFonts w:eastAsia="Arial"/>
          <w:b/>
          <w:sz w:val="24"/>
          <w:szCs w:val="24"/>
        </w:rPr>
      </w:pPr>
    </w:p>
    <w:p w14:paraId="37782CC9">
      <w:pPr>
        <w:spacing w:line="288" w:lineRule="auto"/>
        <w:jc w:val="center"/>
        <w:rPr>
          <w:rFonts w:eastAsia="Arial"/>
          <w:b/>
          <w:sz w:val="24"/>
          <w:szCs w:val="24"/>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3"/>
        <w:gridCol w:w="4223"/>
      </w:tblGrid>
      <w:tr w14:paraId="7E3A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185AEE7F">
            <w:pPr>
              <w:spacing w:line="288" w:lineRule="auto"/>
              <w:jc w:val="center"/>
              <w:rPr>
                <w:rFonts w:eastAsia="Arial"/>
                <w:b/>
                <w:sz w:val="24"/>
                <w:szCs w:val="24"/>
              </w:rPr>
            </w:pPr>
            <w:r>
              <w:rPr>
                <w:rFonts w:eastAsia="Arial"/>
                <w:b/>
                <w:sz w:val="24"/>
                <w:szCs w:val="24"/>
              </w:rPr>
              <w:t>FORNECEDOR</w:t>
            </w:r>
          </w:p>
        </w:tc>
        <w:tc>
          <w:tcPr>
            <w:tcW w:w="7072" w:type="dxa"/>
            <w:shd w:val="clear" w:color="auto" w:fill="auto"/>
          </w:tcPr>
          <w:p w14:paraId="737C2F96">
            <w:pPr>
              <w:spacing w:line="288" w:lineRule="auto"/>
              <w:jc w:val="center"/>
              <w:rPr>
                <w:rFonts w:eastAsia="Arial"/>
                <w:b/>
                <w:sz w:val="24"/>
                <w:szCs w:val="24"/>
              </w:rPr>
            </w:pPr>
            <w:r>
              <w:rPr>
                <w:rFonts w:eastAsia="Arial"/>
                <w:b/>
                <w:sz w:val="24"/>
                <w:szCs w:val="24"/>
              </w:rPr>
              <w:t>ITEM</w:t>
            </w:r>
          </w:p>
        </w:tc>
      </w:tr>
      <w:tr w14:paraId="562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4" w:type="dxa"/>
            <w:shd w:val="clear" w:color="auto" w:fill="auto"/>
          </w:tcPr>
          <w:p w14:paraId="26AE3F2C">
            <w:pPr>
              <w:spacing w:line="288" w:lineRule="auto"/>
              <w:jc w:val="center"/>
              <w:rPr>
                <w:rFonts w:eastAsia="Arial"/>
                <w:b/>
                <w:sz w:val="24"/>
                <w:szCs w:val="24"/>
              </w:rPr>
            </w:pPr>
          </w:p>
        </w:tc>
        <w:tc>
          <w:tcPr>
            <w:tcW w:w="7072" w:type="dxa"/>
            <w:shd w:val="clear" w:color="auto" w:fill="auto"/>
          </w:tcPr>
          <w:p w14:paraId="05BA4624">
            <w:pPr>
              <w:spacing w:line="288" w:lineRule="auto"/>
              <w:jc w:val="center"/>
              <w:rPr>
                <w:rFonts w:eastAsia="Arial"/>
                <w:b/>
                <w:sz w:val="24"/>
                <w:szCs w:val="24"/>
              </w:rPr>
            </w:pPr>
          </w:p>
        </w:tc>
      </w:tr>
    </w:tbl>
    <w:p w14:paraId="6044DAF8">
      <w:pPr>
        <w:spacing w:line="288" w:lineRule="auto"/>
        <w:jc w:val="center"/>
        <w:rPr>
          <w:rFonts w:eastAsia="Arial"/>
          <w:b/>
          <w:sz w:val="24"/>
          <w:szCs w:val="24"/>
        </w:rPr>
      </w:pPr>
    </w:p>
    <w:p w14:paraId="4C9153FB">
      <w:pPr>
        <w:spacing w:line="288" w:lineRule="auto"/>
        <w:contextualSpacing/>
        <w:rPr>
          <w:b/>
          <w:bCs/>
          <w:sz w:val="24"/>
          <w:szCs w:val="24"/>
        </w:rPr>
      </w:pPr>
    </w:p>
    <w:p w14:paraId="7E4F8FA2">
      <w:pPr>
        <w:spacing w:line="288" w:lineRule="auto"/>
        <w:contextualSpacing/>
        <w:jc w:val="center"/>
        <w:rPr>
          <w:b/>
          <w:bCs/>
          <w:color w:val="000000" w:themeColor="text1"/>
          <w:sz w:val="24"/>
          <w:szCs w:val="24"/>
          <w14:textFill>
            <w14:solidFill>
              <w14:schemeClr w14:val="tx1"/>
            </w14:solidFill>
          </w14:textFill>
        </w:rPr>
      </w:pPr>
    </w:p>
    <w:p w14:paraId="4D4636AE">
      <w:pPr>
        <w:pStyle w:val="97"/>
        <w:spacing w:before="0" w:beforeAutospacing="0" w:after="0" w:afterAutospacing="0" w:line="360" w:lineRule="auto"/>
        <w:ind w:right="-1" w:firstLine="993"/>
        <w:rPr>
          <w:rFonts w:eastAsia="Calibri"/>
          <w:b/>
          <w:bCs/>
          <w:highlight w:val="yellow"/>
          <w:u w:val="single"/>
          <w:lang w:eastAsia="en-US"/>
        </w:rPr>
      </w:pPr>
      <w:r>
        <w:rPr>
          <w:rFonts w:eastAsia="Calibri"/>
          <w:b/>
          <w:bCs/>
          <w:lang w:eastAsia="en-US"/>
        </w:rPr>
        <w:t xml:space="preserve">                                                    </w:t>
      </w:r>
      <w:r>
        <w:rPr>
          <w:rFonts w:eastAsia="Calibri"/>
          <w:b/>
          <w:bCs/>
          <w:highlight w:val="yellow"/>
          <w:u w:val="single"/>
          <w:lang w:eastAsia="en-US"/>
        </w:rPr>
        <w:t>ANEXO VI</w:t>
      </w:r>
    </w:p>
    <w:p w14:paraId="19ACA2BB">
      <w:pPr>
        <w:spacing w:line="288" w:lineRule="auto"/>
        <w:contextualSpacing/>
        <w:jc w:val="center"/>
        <w:rPr>
          <w:b/>
          <w:bCs/>
          <w:sz w:val="24"/>
          <w:szCs w:val="24"/>
          <w:u w:val="single"/>
        </w:rPr>
      </w:pPr>
      <w:r>
        <w:rPr>
          <w:b/>
          <w:bCs/>
          <w:sz w:val="24"/>
          <w:szCs w:val="24"/>
          <w:highlight w:val="yellow"/>
          <w:u w:val="single"/>
        </w:rPr>
        <w:t>MINUTA- CONTRATO</w:t>
      </w:r>
      <w:r>
        <w:rPr>
          <w:b/>
          <w:bCs/>
          <w:sz w:val="24"/>
          <w:szCs w:val="24"/>
          <w:u w:val="single"/>
        </w:rPr>
        <w:t xml:space="preserve"> </w:t>
      </w:r>
    </w:p>
    <w:p w14:paraId="6D181AED">
      <w:pPr>
        <w:spacing w:line="288" w:lineRule="auto"/>
        <w:contextualSpacing/>
        <w:jc w:val="both"/>
        <w:rPr>
          <w:color w:val="000000" w:themeColor="text1"/>
          <w:sz w:val="24"/>
          <w:szCs w:val="24"/>
          <w14:textFill>
            <w14:solidFill>
              <w14:schemeClr w14:val="tx1"/>
            </w14:solidFill>
          </w14:textFill>
        </w:rPr>
      </w:pPr>
    </w:p>
    <w:p w14:paraId="73579F18">
      <w:pPr>
        <w:spacing w:line="288" w:lineRule="auto"/>
        <w:ind w:left="3544"/>
        <w:contextualSpacing/>
        <w:jc w:val="both"/>
        <w:rPr>
          <w:b/>
          <w:sz w:val="24"/>
          <w:szCs w:val="24"/>
        </w:rPr>
      </w:pPr>
      <w:r>
        <w:rPr>
          <w:b/>
          <w:sz w:val="24"/>
          <w:szCs w:val="24"/>
        </w:rPr>
        <w:t xml:space="preserve">CONTRATO Nº XXX/2026, DE </w:t>
      </w:r>
      <w:r>
        <w:rPr>
          <w:rFonts w:eastAsia="Cambria"/>
          <w:b/>
          <w:sz w:val="24"/>
          <w:szCs w:val="24"/>
        </w:rPr>
        <w:t xml:space="preserve">AQUISIÇÃO DE CATETERES URETRAIS - </w:t>
      </w:r>
      <w:r>
        <w:rPr>
          <w:rFonts w:eastAsia="Cambria" w:asciiTheme="minorHAnsi" w:hAnsiTheme="minorHAnsi" w:cstheme="minorHAnsi"/>
          <w:sz w:val="24"/>
          <w:szCs w:val="24"/>
        </w:rPr>
        <w:t xml:space="preserve"> </w:t>
      </w:r>
      <w:r>
        <w:rPr>
          <w:b/>
          <w:sz w:val="24"/>
          <w:szCs w:val="24"/>
        </w:rPr>
        <w:t xml:space="preserve">QUE FAZEM ENTRE SI O </w:t>
      </w:r>
      <w:r>
        <w:rPr>
          <w:b/>
          <w:bCs/>
          <w:sz w:val="24"/>
          <w:szCs w:val="24"/>
        </w:rPr>
        <w:t>MUNICÍPIO DE VALENÇA, PELA SECRETARIA MUNICIPAL DE SAÚDE.</w:t>
      </w:r>
    </w:p>
    <w:p w14:paraId="0646D28E">
      <w:pPr>
        <w:spacing w:line="288" w:lineRule="auto"/>
        <w:contextualSpacing/>
        <w:jc w:val="both"/>
        <w:rPr>
          <w:rFonts w:eastAsia="Arial"/>
          <w:b/>
          <w:bCs/>
          <w:color w:val="000000" w:themeColor="text1"/>
          <w:sz w:val="24"/>
          <w:szCs w:val="24"/>
          <w14:textFill>
            <w14:solidFill>
              <w14:schemeClr w14:val="tx1"/>
            </w14:solidFill>
          </w14:textFill>
        </w:rPr>
      </w:pPr>
    </w:p>
    <w:p w14:paraId="66083D31">
      <w:pPr>
        <w:spacing w:line="288" w:lineRule="auto"/>
        <w:contextualSpacing/>
        <w:jc w:val="both"/>
        <w:rPr>
          <w:color w:val="000000" w:themeColor="text1"/>
          <w:sz w:val="24"/>
          <w:szCs w:val="24"/>
          <w14:textFill>
            <w14:solidFill>
              <w14:schemeClr w14:val="tx1"/>
            </w14:solidFill>
          </w14:textFill>
        </w:rPr>
      </w:pPr>
      <w:r>
        <w:rPr>
          <w:rFonts w:eastAsia="Arial"/>
          <w:b/>
          <w:bCs/>
          <w:color w:val="000000" w:themeColor="text1"/>
          <w:sz w:val="24"/>
          <w:szCs w:val="24"/>
          <w14:textFill>
            <w14:solidFill>
              <w14:schemeClr w14:val="tx1"/>
            </w14:solidFill>
          </w14:textFill>
        </w:rPr>
        <w:t xml:space="preserve">O MUNICÍPIO DE VALENÇA, </w:t>
      </w:r>
      <w:r>
        <w:rPr>
          <w:b/>
          <w:bCs/>
          <w:color w:val="000000" w:themeColor="text1"/>
          <w:sz w:val="24"/>
          <w:szCs w:val="24"/>
          <w14:textFill>
            <w14:solidFill>
              <w14:schemeClr w14:val="tx1"/>
            </w14:solidFill>
          </w14:textFill>
        </w:rPr>
        <w:t>pela SECRETARIA MUNICIPAL DE SAÚDE</w:t>
      </w:r>
      <w:r>
        <w:rPr>
          <w:color w:val="000000" w:themeColor="text1"/>
          <w:sz w:val="24"/>
          <w:szCs w:val="24"/>
          <w14:textFill>
            <w14:solidFill>
              <w14:schemeClr w14:val="tx1"/>
            </w14:solidFill>
          </w14:textFill>
        </w:rPr>
        <w:t xml:space="preserve">, com sede na ....................................................., na cidade do ......................................, no Estado do Rio de Janeiro, inscrita no CNPJ sob o nº ................................, neste ato representada por Rafael de Oliveira Tavares, portador do CPF nº 105.832.167-65 doravante denominado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 xxx, com sede na xxxx, inscrita no CNPJ/MF sob o nº xxx, neste ato representada por .................................. (nome e função), conforme atos constitutivos da empresa, doravante denominado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com fundamento no Processo SEI nº......., que se regerá pelas disposições da Lei nº 14.133, de 1º de abril de 2021, </w:t>
      </w:r>
      <w:r>
        <w:rPr>
          <w:rFonts w:eastAsia="Arial"/>
          <w:color w:val="000000" w:themeColor="text1"/>
          <w:sz w:val="24"/>
          <w:szCs w:val="24"/>
          <w14:textFill>
            <w14:solidFill>
              <w14:schemeClr w14:val="tx1"/>
            </w14:solidFill>
          </w14:textFill>
        </w:rPr>
        <w:t xml:space="preserve">e pelos normativos municipais aplicáveis, todos disponíveis </w:t>
      </w:r>
      <w:r>
        <w:rPr>
          <w:color w:val="000000" w:themeColor="text1"/>
          <w:sz w:val="24"/>
          <w:szCs w:val="24"/>
          <w14:textFill>
            <w14:solidFill>
              <w14:schemeClr w14:val="tx1"/>
            </w14:solidFill>
          </w14:textFill>
        </w:rPr>
        <w:t>no endereço eletrônico https://valenca.rj.gov.br/, resolvem celebrar o presente instrumento de Contrato, decorrente do Pregão Eletrônico nº xxx/2026 mediante as cláusulas e condições a seguir enunciadas.</w:t>
      </w:r>
    </w:p>
    <w:p w14:paraId="65207610">
      <w:pPr>
        <w:spacing w:line="288" w:lineRule="auto"/>
        <w:contextualSpacing/>
        <w:jc w:val="both"/>
        <w:rPr>
          <w:color w:val="000000" w:themeColor="text1"/>
          <w:sz w:val="24"/>
          <w:szCs w:val="24"/>
          <w14:textFill>
            <w14:solidFill>
              <w14:schemeClr w14:val="tx1"/>
            </w14:solidFill>
          </w14:textFill>
        </w:rPr>
      </w:pPr>
    </w:p>
    <w:p w14:paraId="295E27EB">
      <w:pPr>
        <w:pStyle w:val="101"/>
        <w:spacing w:before="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CLÁUSULA PRIMEIRA – OBJETO</w:t>
      </w:r>
    </w:p>
    <w:p w14:paraId="1C2E2FA0">
      <w:pPr>
        <w:spacing w:line="288" w:lineRule="auto"/>
        <w:contextualSpacing/>
        <w:rPr>
          <w:sz w:val="24"/>
          <w:szCs w:val="24"/>
        </w:rPr>
      </w:pPr>
    </w:p>
    <w:p w14:paraId="248274FD">
      <w:pPr>
        <w:pStyle w:val="77"/>
        <w:spacing w:line="360" w:lineRule="auto"/>
        <w:jc w:val="both"/>
        <w:rPr>
          <w:rFonts w:ascii="Times New Roman" w:hAnsi="Times New Roman" w:eastAsia="SimSun" w:cs="Times New Roman"/>
          <w:sz w:val="24"/>
          <w:szCs w:val="24"/>
        </w:rPr>
      </w:pPr>
      <w:r>
        <w:rPr>
          <w:rFonts w:ascii="Times New Roman" w:hAnsi="Times New Roman" w:eastAsia="SimSun" w:cs="Times New Roman"/>
          <w:sz w:val="24"/>
          <w:szCs w:val="24"/>
        </w:rPr>
        <w:t>Aquisição de cateteres uretrais destinados a atender pacientes assistidos pela Farmácia Assistencial.</w:t>
      </w:r>
    </w:p>
    <w:p w14:paraId="34AA33A4">
      <w:pPr>
        <w:pStyle w:val="99"/>
        <w:spacing w:before="0" w:after="0" w:line="288" w:lineRule="auto"/>
        <w:ind w:left="0" w:firstLine="0"/>
        <w:contextualSpacing/>
        <w:rPr>
          <w:rFonts w:ascii="Times New Roman" w:hAnsi="Times New Roman" w:cs="Times New Roman"/>
          <w:sz w:val="24"/>
          <w:szCs w:val="24"/>
        </w:rPr>
      </w:pPr>
    </w:p>
    <w:p w14:paraId="008BF698">
      <w:pPr>
        <w:pStyle w:val="99"/>
        <w:numPr>
          <w:ilvl w:val="1"/>
          <w:numId w:val="8"/>
        </w:numPr>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Objeto da contratação: </w:t>
      </w:r>
    </w:p>
    <w:p w14:paraId="147FDACC">
      <w:pPr>
        <w:pStyle w:val="99"/>
        <w:spacing w:before="0" w:after="0" w:line="288" w:lineRule="auto"/>
        <w:ind w:left="0" w:firstLine="0"/>
        <w:contextualSpacing/>
        <w:rPr>
          <w:rFonts w:ascii="Times New Roman" w:hAnsi="Times New Roman" w:cs="Times New Roman"/>
          <w:sz w:val="24"/>
          <w:szCs w:val="24"/>
        </w:rPr>
      </w:pPr>
    </w:p>
    <w:tbl>
      <w:tblPr>
        <w:tblStyle w:val="10"/>
        <w:tblW w:w="9649" w:type="dxa"/>
        <w:tblInd w:w="0" w:type="dxa"/>
        <w:tblLayout w:type="fixed"/>
        <w:tblCellMar>
          <w:top w:w="0" w:type="dxa"/>
          <w:left w:w="108" w:type="dxa"/>
          <w:bottom w:w="0" w:type="dxa"/>
          <w:right w:w="108" w:type="dxa"/>
        </w:tblCellMar>
      </w:tblPr>
      <w:tblGrid>
        <w:gridCol w:w="1021"/>
        <w:gridCol w:w="2240"/>
        <w:gridCol w:w="1277"/>
        <w:gridCol w:w="1134"/>
        <w:gridCol w:w="1709"/>
        <w:gridCol w:w="1279"/>
        <w:gridCol w:w="989"/>
      </w:tblGrid>
      <w:tr w14:paraId="483CA3A7">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7F972B8">
            <w:pPr>
              <w:widowControl w:val="0"/>
              <w:spacing w:line="288" w:lineRule="auto"/>
              <w:contextualSpacing/>
              <w:jc w:val="both"/>
              <w:rPr>
                <w:rFonts w:eastAsia="Arial"/>
                <w:b/>
                <w:bCs/>
                <w:color w:val="000000"/>
                <w:sz w:val="24"/>
                <w:szCs w:val="24"/>
              </w:rPr>
            </w:pPr>
            <w:r>
              <w:rPr>
                <w:rFonts w:eastAsia="Arial"/>
                <w:b/>
                <w:bCs/>
                <w:color w:val="000000"/>
                <w:sz w:val="24"/>
                <w:szCs w:val="24"/>
              </w:rPr>
              <w:t>ITEM</w:t>
            </w:r>
          </w:p>
          <w:p w14:paraId="07B2BB13">
            <w:pPr>
              <w:widowControl w:val="0"/>
              <w:spacing w:line="288" w:lineRule="auto"/>
              <w:contextualSpacing/>
              <w:jc w:val="both"/>
              <w:rPr>
                <w:rFonts w:eastAsia="Arial"/>
                <w:b/>
                <w:bCs/>
                <w:color w:val="000000"/>
                <w:sz w:val="24"/>
                <w:szCs w:val="24"/>
              </w:rPr>
            </w:pPr>
          </w:p>
        </w:tc>
        <w:tc>
          <w:tcPr>
            <w:tcW w:w="2240" w:type="dxa"/>
            <w:tcBorders>
              <w:top w:val="single" w:color="000000" w:sz="4" w:space="0"/>
              <w:left w:val="single" w:color="000000" w:sz="4" w:space="0"/>
              <w:bottom w:val="single" w:color="000000" w:sz="4" w:space="0"/>
              <w:right w:val="single" w:color="000000" w:sz="4" w:space="0"/>
            </w:tcBorders>
          </w:tcPr>
          <w:p w14:paraId="6EBF88E6">
            <w:pPr>
              <w:widowControl w:val="0"/>
              <w:spacing w:line="288" w:lineRule="auto"/>
              <w:contextualSpacing/>
              <w:jc w:val="both"/>
              <w:rPr>
                <w:rFonts w:eastAsia="Arial"/>
                <w:color w:val="000000"/>
                <w:sz w:val="24"/>
                <w:szCs w:val="24"/>
              </w:rPr>
            </w:pPr>
            <w:r>
              <w:rPr>
                <w:rFonts w:eastAsia="Arial"/>
                <w:b/>
                <w:bCs/>
                <w:color w:val="000000"/>
                <w:sz w:val="24"/>
                <w:szCs w:val="24"/>
              </w:rPr>
              <w:t>ESPECIFICAÇÃO</w:t>
            </w:r>
          </w:p>
        </w:tc>
        <w:tc>
          <w:tcPr>
            <w:tcW w:w="1277" w:type="dxa"/>
            <w:tcBorders>
              <w:top w:val="single" w:color="000000" w:sz="4" w:space="0"/>
              <w:left w:val="single" w:color="000000" w:sz="4" w:space="0"/>
              <w:bottom w:val="single" w:color="000000" w:sz="4" w:space="0"/>
              <w:right w:val="single" w:color="000000" w:sz="4" w:space="0"/>
            </w:tcBorders>
          </w:tcPr>
          <w:p w14:paraId="44F3E291">
            <w:pPr>
              <w:widowControl w:val="0"/>
              <w:spacing w:line="288" w:lineRule="auto"/>
              <w:contextualSpacing/>
              <w:jc w:val="both"/>
              <w:rPr>
                <w:rFonts w:eastAsia="Arial"/>
                <w:color w:val="000000"/>
                <w:sz w:val="24"/>
                <w:szCs w:val="24"/>
              </w:rPr>
            </w:pPr>
            <w:r>
              <w:rPr>
                <w:rFonts w:eastAsia="Arial"/>
                <w:b/>
                <w:bCs/>
                <w:color w:val="000000"/>
                <w:sz w:val="24"/>
                <w:szCs w:val="24"/>
              </w:rPr>
              <w:t>CATMAT</w:t>
            </w:r>
          </w:p>
        </w:tc>
        <w:tc>
          <w:tcPr>
            <w:tcW w:w="1134" w:type="dxa"/>
            <w:tcBorders>
              <w:top w:val="single" w:color="000000" w:sz="4" w:space="0"/>
              <w:left w:val="single" w:color="000000" w:sz="4" w:space="0"/>
              <w:bottom w:val="single" w:color="000000" w:sz="4" w:space="0"/>
              <w:right w:val="single" w:color="000000" w:sz="4" w:space="0"/>
            </w:tcBorders>
          </w:tcPr>
          <w:p w14:paraId="5B47B269">
            <w:pPr>
              <w:widowControl w:val="0"/>
              <w:spacing w:line="288" w:lineRule="auto"/>
              <w:contextualSpacing/>
              <w:jc w:val="both"/>
              <w:rPr>
                <w:rFonts w:eastAsia="Arial"/>
                <w:color w:val="000000"/>
                <w:sz w:val="24"/>
                <w:szCs w:val="24"/>
              </w:rPr>
            </w:pPr>
            <w:r>
              <w:rPr>
                <w:rFonts w:eastAsia="Arial"/>
                <w:b/>
                <w:bCs/>
                <w:color w:val="000000"/>
                <w:sz w:val="24"/>
                <w:szCs w:val="24"/>
              </w:rPr>
              <w:t>UNIDADE DE MEDIDA</w:t>
            </w:r>
          </w:p>
        </w:tc>
        <w:tc>
          <w:tcPr>
            <w:tcW w:w="1709" w:type="dxa"/>
            <w:tcBorders>
              <w:top w:val="single" w:color="000000" w:sz="4" w:space="0"/>
              <w:left w:val="single" w:color="000000" w:sz="4" w:space="0"/>
              <w:bottom w:val="single" w:color="000000" w:sz="4" w:space="0"/>
              <w:right w:val="single" w:color="000000" w:sz="4" w:space="0"/>
            </w:tcBorders>
          </w:tcPr>
          <w:p w14:paraId="689448E6">
            <w:pPr>
              <w:widowControl w:val="0"/>
              <w:spacing w:line="288" w:lineRule="auto"/>
              <w:contextualSpacing/>
              <w:jc w:val="both"/>
              <w:rPr>
                <w:rFonts w:eastAsia="Arial"/>
                <w:b/>
                <w:bCs/>
                <w:sz w:val="24"/>
                <w:szCs w:val="24"/>
              </w:rPr>
            </w:pPr>
            <w:r>
              <w:rPr>
                <w:rFonts w:eastAsia="Arial"/>
                <w:b/>
                <w:bCs/>
                <w:sz w:val="24"/>
                <w:szCs w:val="24"/>
              </w:rPr>
              <w:t>QUANTIDADE</w:t>
            </w:r>
          </w:p>
        </w:tc>
        <w:tc>
          <w:tcPr>
            <w:tcW w:w="1279" w:type="dxa"/>
            <w:tcBorders>
              <w:top w:val="single" w:color="000000" w:sz="4" w:space="0"/>
              <w:left w:val="single" w:color="000000" w:sz="4" w:space="0"/>
              <w:bottom w:val="single" w:color="000000" w:sz="4" w:space="0"/>
              <w:right w:val="single" w:color="000000" w:sz="4" w:space="0"/>
            </w:tcBorders>
          </w:tcPr>
          <w:p w14:paraId="1BBD88D5">
            <w:pPr>
              <w:widowControl w:val="0"/>
              <w:spacing w:line="288" w:lineRule="auto"/>
              <w:contextualSpacing/>
              <w:jc w:val="both"/>
              <w:rPr>
                <w:rFonts w:eastAsia="Arial"/>
                <w:b/>
                <w:bCs/>
                <w:sz w:val="24"/>
                <w:szCs w:val="24"/>
              </w:rPr>
            </w:pPr>
            <w:r>
              <w:rPr>
                <w:rFonts w:eastAsia="Arial"/>
                <w:b/>
                <w:bCs/>
                <w:sz w:val="24"/>
                <w:szCs w:val="24"/>
              </w:rPr>
              <w:t>VALOR UNITÁRIO</w:t>
            </w:r>
          </w:p>
        </w:tc>
        <w:tc>
          <w:tcPr>
            <w:tcW w:w="989" w:type="dxa"/>
            <w:tcBorders>
              <w:top w:val="single" w:color="000000" w:sz="4" w:space="0"/>
              <w:left w:val="single" w:color="000000" w:sz="4" w:space="0"/>
              <w:bottom w:val="single" w:color="000000" w:sz="4" w:space="0"/>
              <w:right w:val="single" w:color="000000" w:sz="4" w:space="0"/>
            </w:tcBorders>
          </w:tcPr>
          <w:p w14:paraId="51370EB9">
            <w:pPr>
              <w:widowControl w:val="0"/>
              <w:spacing w:line="288" w:lineRule="auto"/>
              <w:contextualSpacing/>
              <w:jc w:val="both"/>
              <w:rPr>
                <w:rFonts w:eastAsia="Arial"/>
                <w:b/>
                <w:bCs/>
                <w:sz w:val="24"/>
                <w:szCs w:val="24"/>
              </w:rPr>
            </w:pPr>
            <w:r>
              <w:rPr>
                <w:rFonts w:eastAsia="Arial"/>
                <w:b/>
                <w:bCs/>
                <w:sz w:val="24"/>
                <w:szCs w:val="24"/>
              </w:rPr>
              <w:t>VALOR TOTAL</w:t>
            </w:r>
          </w:p>
        </w:tc>
      </w:tr>
      <w:tr w14:paraId="466B674F">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595F0C57">
            <w:pPr>
              <w:widowControl w:val="0"/>
              <w:spacing w:line="288" w:lineRule="auto"/>
              <w:contextualSpacing/>
              <w:jc w:val="both"/>
              <w:rPr>
                <w:rFonts w:eastAsia="Arial"/>
                <w:b/>
                <w:bCs/>
                <w:color w:val="000000"/>
                <w:sz w:val="24"/>
                <w:szCs w:val="24"/>
              </w:rPr>
            </w:pPr>
            <w:r>
              <w:rPr>
                <w:rFonts w:eastAsia="Arial"/>
                <w:b/>
                <w:bCs/>
                <w:color w:val="000000"/>
                <w:sz w:val="24"/>
                <w:szCs w:val="24"/>
              </w:rPr>
              <w:t>1</w:t>
            </w:r>
          </w:p>
        </w:tc>
        <w:tc>
          <w:tcPr>
            <w:tcW w:w="2240" w:type="dxa"/>
            <w:tcBorders>
              <w:top w:val="single" w:color="000000" w:sz="4" w:space="0"/>
              <w:left w:val="single" w:color="000000" w:sz="4" w:space="0"/>
              <w:bottom w:val="single" w:color="000000" w:sz="4" w:space="0"/>
              <w:right w:val="single" w:color="000000" w:sz="4" w:space="0"/>
            </w:tcBorders>
          </w:tcPr>
          <w:p w14:paraId="2E695B2B">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1ADB5A3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C2192ED">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5F0E73D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87F3F72">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4B1DCAB">
            <w:pPr>
              <w:widowControl w:val="0"/>
              <w:spacing w:line="288" w:lineRule="auto"/>
              <w:contextualSpacing/>
              <w:jc w:val="both"/>
              <w:rPr>
                <w:rFonts w:eastAsia="Arial"/>
                <w:color w:val="000000"/>
                <w:sz w:val="24"/>
                <w:szCs w:val="24"/>
              </w:rPr>
            </w:pPr>
          </w:p>
        </w:tc>
      </w:tr>
      <w:tr w14:paraId="4BF7ECC6">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21671DB7">
            <w:pPr>
              <w:widowControl w:val="0"/>
              <w:spacing w:line="288" w:lineRule="auto"/>
              <w:contextualSpacing/>
              <w:jc w:val="both"/>
              <w:rPr>
                <w:rFonts w:eastAsia="Arial"/>
                <w:b/>
                <w:bCs/>
                <w:color w:val="000000"/>
                <w:sz w:val="24"/>
                <w:szCs w:val="24"/>
              </w:rPr>
            </w:pPr>
            <w:r>
              <w:rPr>
                <w:rFonts w:eastAsia="Arial"/>
                <w:b/>
                <w:bCs/>
                <w:color w:val="000000"/>
                <w:sz w:val="24"/>
                <w:szCs w:val="24"/>
              </w:rPr>
              <w:t>2</w:t>
            </w:r>
          </w:p>
        </w:tc>
        <w:tc>
          <w:tcPr>
            <w:tcW w:w="2240" w:type="dxa"/>
            <w:tcBorders>
              <w:top w:val="single" w:color="000000" w:sz="4" w:space="0"/>
              <w:left w:val="single" w:color="000000" w:sz="4" w:space="0"/>
              <w:bottom w:val="single" w:color="000000" w:sz="4" w:space="0"/>
              <w:right w:val="single" w:color="000000" w:sz="4" w:space="0"/>
            </w:tcBorders>
          </w:tcPr>
          <w:p w14:paraId="0BEBAB0F">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B0E0D0D">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1517AB2E">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480EB623">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776E3FEB">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B970717">
            <w:pPr>
              <w:widowControl w:val="0"/>
              <w:spacing w:line="288" w:lineRule="auto"/>
              <w:contextualSpacing/>
              <w:jc w:val="both"/>
              <w:rPr>
                <w:rFonts w:eastAsia="Arial"/>
                <w:color w:val="000000"/>
                <w:sz w:val="24"/>
                <w:szCs w:val="24"/>
              </w:rPr>
            </w:pPr>
          </w:p>
        </w:tc>
      </w:tr>
      <w:tr w14:paraId="56305809">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01434598">
            <w:pPr>
              <w:widowControl w:val="0"/>
              <w:spacing w:line="288" w:lineRule="auto"/>
              <w:contextualSpacing/>
              <w:jc w:val="both"/>
              <w:rPr>
                <w:rFonts w:eastAsia="Arial"/>
                <w:b/>
                <w:bCs/>
                <w:color w:val="000000"/>
                <w:sz w:val="24"/>
                <w:szCs w:val="24"/>
              </w:rPr>
            </w:pPr>
            <w:r>
              <w:rPr>
                <w:rFonts w:eastAsia="Arial"/>
                <w:b/>
                <w:bCs/>
                <w:color w:val="000000"/>
                <w:sz w:val="24"/>
                <w:szCs w:val="24"/>
              </w:rPr>
              <w:t>3</w:t>
            </w:r>
          </w:p>
        </w:tc>
        <w:tc>
          <w:tcPr>
            <w:tcW w:w="2240" w:type="dxa"/>
            <w:tcBorders>
              <w:top w:val="single" w:color="000000" w:sz="4" w:space="0"/>
              <w:left w:val="single" w:color="000000" w:sz="4" w:space="0"/>
              <w:bottom w:val="single" w:color="000000" w:sz="4" w:space="0"/>
              <w:right w:val="single" w:color="000000" w:sz="4" w:space="0"/>
            </w:tcBorders>
          </w:tcPr>
          <w:p w14:paraId="0CD18DA5">
            <w:pPr>
              <w:widowControl w:val="0"/>
              <w:spacing w:line="288" w:lineRule="auto"/>
              <w:contextualSpacing/>
              <w:jc w:val="both"/>
              <w:rPr>
                <w:rFonts w:eastAsia="Arial"/>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5E33B9F9">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0172724B">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1E976789">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316BC6C4">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0EB523F0">
            <w:pPr>
              <w:widowControl w:val="0"/>
              <w:spacing w:line="288" w:lineRule="auto"/>
              <w:contextualSpacing/>
              <w:jc w:val="both"/>
              <w:rPr>
                <w:rFonts w:eastAsia="Arial"/>
                <w:color w:val="000000"/>
                <w:sz w:val="24"/>
                <w:szCs w:val="24"/>
              </w:rPr>
            </w:pPr>
          </w:p>
        </w:tc>
      </w:tr>
      <w:tr w14:paraId="06CDE73E">
        <w:tblPrEx>
          <w:tblCellMar>
            <w:top w:w="0" w:type="dxa"/>
            <w:left w:w="108" w:type="dxa"/>
            <w:bottom w:w="0" w:type="dxa"/>
            <w:right w:w="108" w:type="dxa"/>
          </w:tblCellMar>
        </w:tblPrEx>
        <w:tc>
          <w:tcPr>
            <w:tcW w:w="1021" w:type="dxa"/>
            <w:tcBorders>
              <w:top w:val="single" w:color="000000" w:sz="4" w:space="0"/>
              <w:left w:val="single" w:color="000000" w:sz="4" w:space="0"/>
              <w:bottom w:val="single" w:color="000000" w:sz="4" w:space="0"/>
              <w:right w:val="single" w:color="000000" w:sz="4" w:space="0"/>
            </w:tcBorders>
          </w:tcPr>
          <w:p w14:paraId="17AE290D">
            <w:pPr>
              <w:widowControl w:val="0"/>
              <w:spacing w:line="288" w:lineRule="auto"/>
              <w:contextualSpacing/>
              <w:jc w:val="both"/>
              <w:rPr>
                <w:rFonts w:eastAsia="Arial"/>
                <w:b/>
                <w:bCs/>
                <w:color w:val="000000"/>
                <w:sz w:val="24"/>
                <w:szCs w:val="24"/>
              </w:rPr>
            </w:pPr>
            <w:r>
              <w:rPr>
                <w:rFonts w:eastAsia="Arial"/>
                <w:b/>
                <w:bCs/>
                <w:color w:val="000000"/>
                <w:sz w:val="24"/>
                <w:szCs w:val="24"/>
              </w:rPr>
              <w:t>...</w:t>
            </w:r>
          </w:p>
        </w:tc>
        <w:tc>
          <w:tcPr>
            <w:tcW w:w="2240" w:type="dxa"/>
            <w:tcBorders>
              <w:top w:val="single" w:color="000000" w:sz="4" w:space="0"/>
              <w:left w:val="single" w:color="000000" w:sz="4" w:space="0"/>
              <w:bottom w:val="single" w:color="000000" w:sz="4" w:space="0"/>
              <w:right w:val="single" w:color="000000" w:sz="4" w:space="0"/>
            </w:tcBorders>
          </w:tcPr>
          <w:p w14:paraId="0F69965E">
            <w:pPr>
              <w:widowControl w:val="0"/>
              <w:spacing w:line="288" w:lineRule="auto"/>
              <w:contextualSpacing/>
              <w:jc w:val="both"/>
              <w:rPr>
                <w:rFonts w:eastAsia="Arial"/>
                <w:sz w:val="24"/>
                <w:szCs w:val="24"/>
              </w:rPr>
            </w:pPr>
          </w:p>
        </w:tc>
        <w:tc>
          <w:tcPr>
            <w:tcW w:w="1277" w:type="dxa"/>
            <w:tcBorders>
              <w:top w:val="single" w:color="000000" w:sz="4" w:space="0"/>
              <w:left w:val="single" w:color="000000" w:sz="4" w:space="0"/>
              <w:bottom w:val="single" w:color="000000" w:sz="4" w:space="0"/>
              <w:right w:val="single" w:color="000000" w:sz="4" w:space="0"/>
            </w:tcBorders>
          </w:tcPr>
          <w:p w14:paraId="60BA41EE">
            <w:pPr>
              <w:widowControl w:val="0"/>
              <w:spacing w:line="288" w:lineRule="auto"/>
              <w:contextualSpacing/>
              <w:jc w:val="both"/>
              <w:rPr>
                <w:rFonts w:eastAsia="Arial"/>
                <w:color w:val="000000"/>
                <w:sz w:val="24"/>
                <w:szCs w:val="24"/>
              </w:rPr>
            </w:pPr>
          </w:p>
        </w:tc>
        <w:tc>
          <w:tcPr>
            <w:tcW w:w="1134" w:type="dxa"/>
            <w:tcBorders>
              <w:top w:val="single" w:color="000000" w:sz="4" w:space="0"/>
              <w:left w:val="single" w:color="000000" w:sz="4" w:space="0"/>
              <w:bottom w:val="single" w:color="000000" w:sz="4" w:space="0"/>
              <w:right w:val="single" w:color="000000" w:sz="4" w:space="0"/>
            </w:tcBorders>
          </w:tcPr>
          <w:p w14:paraId="648020A0">
            <w:pPr>
              <w:widowControl w:val="0"/>
              <w:spacing w:line="288" w:lineRule="auto"/>
              <w:contextualSpacing/>
              <w:jc w:val="both"/>
              <w:rPr>
                <w:rFonts w:eastAsia="Arial"/>
                <w:color w:val="000000"/>
                <w:sz w:val="24"/>
                <w:szCs w:val="24"/>
              </w:rPr>
            </w:pPr>
          </w:p>
        </w:tc>
        <w:tc>
          <w:tcPr>
            <w:tcW w:w="1709" w:type="dxa"/>
            <w:tcBorders>
              <w:top w:val="single" w:color="000000" w:sz="4" w:space="0"/>
              <w:left w:val="single" w:color="000000" w:sz="4" w:space="0"/>
              <w:bottom w:val="single" w:color="000000" w:sz="4" w:space="0"/>
              <w:right w:val="single" w:color="000000" w:sz="4" w:space="0"/>
            </w:tcBorders>
          </w:tcPr>
          <w:p w14:paraId="227079D0">
            <w:pPr>
              <w:widowControl w:val="0"/>
              <w:spacing w:line="288" w:lineRule="auto"/>
              <w:contextualSpacing/>
              <w:jc w:val="both"/>
              <w:rPr>
                <w:rFonts w:eastAsia="Arial"/>
                <w:color w:val="000000"/>
                <w:sz w:val="24"/>
                <w:szCs w:val="24"/>
              </w:rPr>
            </w:pPr>
          </w:p>
        </w:tc>
        <w:tc>
          <w:tcPr>
            <w:tcW w:w="1279" w:type="dxa"/>
            <w:tcBorders>
              <w:top w:val="single" w:color="000000" w:sz="4" w:space="0"/>
              <w:left w:val="single" w:color="000000" w:sz="4" w:space="0"/>
              <w:bottom w:val="single" w:color="000000" w:sz="4" w:space="0"/>
              <w:right w:val="single" w:color="000000" w:sz="4" w:space="0"/>
            </w:tcBorders>
          </w:tcPr>
          <w:p w14:paraId="4FFDD250">
            <w:pPr>
              <w:widowControl w:val="0"/>
              <w:spacing w:line="288" w:lineRule="auto"/>
              <w:contextualSpacing/>
              <w:jc w:val="both"/>
              <w:rPr>
                <w:rFonts w:eastAsia="Arial"/>
                <w:color w:val="000000"/>
                <w:sz w:val="24"/>
                <w:szCs w:val="24"/>
              </w:rPr>
            </w:pPr>
          </w:p>
        </w:tc>
        <w:tc>
          <w:tcPr>
            <w:tcW w:w="989" w:type="dxa"/>
            <w:tcBorders>
              <w:top w:val="single" w:color="000000" w:sz="4" w:space="0"/>
              <w:left w:val="single" w:color="000000" w:sz="4" w:space="0"/>
              <w:bottom w:val="single" w:color="000000" w:sz="4" w:space="0"/>
              <w:right w:val="single" w:color="000000" w:sz="4" w:space="0"/>
            </w:tcBorders>
          </w:tcPr>
          <w:p w14:paraId="577A3847">
            <w:pPr>
              <w:widowControl w:val="0"/>
              <w:spacing w:line="288" w:lineRule="auto"/>
              <w:contextualSpacing/>
              <w:jc w:val="both"/>
              <w:rPr>
                <w:rFonts w:eastAsia="Arial"/>
                <w:color w:val="000000"/>
                <w:sz w:val="24"/>
                <w:szCs w:val="24"/>
              </w:rPr>
            </w:pPr>
          </w:p>
        </w:tc>
      </w:tr>
    </w:tbl>
    <w:p w14:paraId="242CFB22">
      <w:pPr>
        <w:autoSpaceDE w:val="0"/>
        <w:spacing w:line="288" w:lineRule="auto"/>
        <w:contextualSpacing/>
        <w:jc w:val="both"/>
        <w:rPr>
          <w:sz w:val="24"/>
          <w:szCs w:val="24"/>
          <w:lang w:val="zh-CN"/>
        </w:rPr>
      </w:pPr>
      <w:r>
        <w:rPr>
          <w:sz w:val="24"/>
          <w:szCs w:val="24"/>
          <w:lang w:val="zh-CN"/>
        </w:rPr>
        <w:tab/>
      </w:r>
    </w:p>
    <w:p w14:paraId="6CAB175F">
      <w:pPr>
        <w:pStyle w:val="99"/>
        <w:tabs>
          <w:tab w:val="left" w:pos="1620"/>
        </w:tabs>
        <w:spacing w:before="0" w:after="0" w:line="288" w:lineRule="auto"/>
        <w:ind w:left="0" w:firstLine="0"/>
        <w:contextualSpacing/>
        <w:rPr>
          <w:rFonts w:ascii="Times New Roman" w:hAnsi="Times New Roman" w:cs="Times New Roman"/>
          <w:sz w:val="24"/>
          <w:szCs w:val="24"/>
          <w:lang w:val="zh-CN"/>
        </w:rPr>
      </w:pPr>
      <w:r>
        <w:rPr>
          <w:rFonts w:ascii="Times New Roman" w:hAnsi="Times New Roman" w:cs="Times New Roman"/>
          <w:sz w:val="24"/>
          <w:szCs w:val="24"/>
        </w:rPr>
        <w:t xml:space="preserve"> 1.3    São anexos a este instrumento e vinculam esta contratação, independentemente de transcrição:</w:t>
      </w:r>
    </w:p>
    <w:p w14:paraId="7AAC9769">
      <w:pPr>
        <w:pStyle w:val="99"/>
        <w:spacing w:before="0" w:after="0" w:line="288" w:lineRule="auto"/>
        <w:ind w:left="0" w:firstLine="0"/>
        <w:contextualSpacing/>
        <w:rPr>
          <w:rFonts w:ascii="Times New Roman" w:hAnsi="Times New Roman" w:cs="Times New Roman"/>
          <w:sz w:val="24"/>
          <w:szCs w:val="24"/>
          <w:lang w:val="zh-CN"/>
        </w:rPr>
      </w:pPr>
    </w:p>
    <w:p w14:paraId="4A3999B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1.3.1 O Termo de Referência que embasou a contratação;</w:t>
      </w:r>
    </w:p>
    <w:p w14:paraId="1ECBFEF1">
      <w:pPr>
        <w:pStyle w:val="103"/>
        <w:spacing w:before="0" w:after="0" w:line="288" w:lineRule="auto"/>
        <w:ind w:left="0" w:firstLine="0"/>
        <w:contextualSpacing/>
        <w:rPr>
          <w:rFonts w:ascii="Times New Roman" w:hAnsi="Times New Roman" w:cs="Times New Roman"/>
          <w:color w:val="auto"/>
          <w:sz w:val="24"/>
          <w:szCs w:val="24"/>
          <w:lang w:val="zh-CN"/>
        </w:rPr>
      </w:pPr>
    </w:p>
    <w:p w14:paraId="13003321">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sz w:val="24"/>
          <w:szCs w:val="24"/>
        </w:rPr>
        <w:t>1.3.2 O instrumento convocatório, assim considerado o Edital de Licitação ou o Aviso de Contratação Direta, conforme o caso</w:t>
      </w:r>
      <w:r>
        <w:rPr>
          <w:rFonts w:ascii="Times New Roman" w:hAnsi="Times New Roman" w:cs="Times New Roman"/>
          <w:color w:val="auto"/>
          <w:sz w:val="24"/>
          <w:szCs w:val="24"/>
        </w:rPr>
        <w:t>;</w:t>
      </w:r>
    </w:p>
    <w:p w14:paraId="09B628B9">
      <w:pPr>
        <w:pStyle w:val="103"/>
        <w:spacing w:before="0" w:after="0" w:line="288" w:lineRule="auto"/>
        <w:ind w:left="0" w:firstLine="0"/>
        <w:contextualSpacing/>
        <w:rPr>
          <w:rFonts w:ascii="Times New Roman" w:hAnsi="Times New Roman" w:cs="Times New Roman"/>
          <w:color w:val="auto"/>
          <w:sz w:val="24"/>
          <w:szCs w:val="24"/>
          <w:lang w:val="zh-CN"/>
        </w:rPr>
      </w:pPr>
    </w:p>
    <w:p w14:paraId="2C44E95F">
      <w:pPr>
        <w:pStyle w:val="103"/>
        <w:spacing w:before="0" w:after="0" w:line="288" w:lineRule="auto"/>
        <w:ind w:left="0" w:firstLine="0"/>
        <w:contextualSpacing/>
        <w:rPr>
          <w:rFonts w:ascii="Times New Roman" w:hAnsi="Times New Roman" w:cs="Times New Roman"/>
          <w:color w:val="auto"/>
          <w:sz w:val="24"/>
          <w:szCs w:val="24"/>
          <w:lang w:val="zh-CN"/>
        </w:rPr>
      </w:pPr>
      <w:r>
        <w:rPr>
          <w:rFonts w:ascii="Times New Roman" w:hAnsi="Times New Roman" w:cs="Times New Roman"/>
          <w:color w:val="auto"/>
          <w:sz w:val="24"/>
          <w:szCs w:val="24"/>
        </w:rPr>
        <w:t xml:space="preserve">1.3.3 A Proposta do </w:t>
      </w:r>
      <w:r>
        <w:rPr>
          <w:rFonts w:ascii="Times New Roman" w:hAnsi="Times New Roman" w:eastAsia="Arial" w:cs="Times New Roman"/>
          <w:b/>
          <w:bCs/>
          <w:sz w:val="24"/>
          <w:szCs w:val="24"/>
        </w:rPr>
        <w:t>CONTRATADO</w:t>
      </w:r>
      <w:r>
        <w:rPr>
          <w:rFonts w:ascii="Times New Roman" w:hAnsi="Times New Roman" w:cs="Times New Roman"/>
          <w:color w:val="auto"/>
          <w:sz w:val="24"/>
          <w:szCs w:val="24"/>
        </w:rPr>
        <w:t xml:space="preserve">, </w:t>
      </w:r>
      <w:r>
        <w:rPr>
          <w:rFonts w:ascii="Times New Roman" w:hAnsi="Times New Roman" w:cs="Times New Roman"/>
          <w:sz w:val="24"/>
          <w:szCs w:val="24"/>
        </w:rPr>
        <w:t>que, em caso de divergência com as condições estabelecidas neste Contrato e nos demais instrumentos anexos, cederá àquelas</w:t>
      </w:r>
      <w:r>
        <w:rPr>
          <w:rFonts w:ascii="Times New Roman" w:hAnsi="Times New Roman" w:cs="Times New Roman"/>
          <w:color w:val="auto"/>
          <w:sz w:val="24"/>
          <w:szCs w:val="24"/>
        </w:rPr>
        <w:t>;</w:t>
      </w:r>
    </w:p>
    <w:p w14:paraId="6AB9A2C6">
      <w:pPr>
        <w:pStyle w:val="103"/>
        <w:spacing w:before="0" w:after="0" w:line="288" w:lineRule="auto"/>
        <w:ind w:left="0" w:firstLine="0"/>
        <w:contextualSpacing/>
        <w:rPr>
          <w:rFonts w:ascii="Times New Roman" w:hAnsi="Times New Roman" w:cs="Times New Roman"/>
          <w:color w:val="auto"/>
          <w:sz w:val="24"/>
          <w:szCs w:val="24"/>
          <w:lang w:val="zh-CN"/>
        </w:rPr>
      </w:pPr>
    </w:p>
    <w:p w14:paraId="6EA667C9">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1.3.4 Eventuais </w:t>
      </w:r>
      <w:r>
        <w:rPr>
          <w:rFonts w:ascii="Times New Roman" w:hAnsi="Times New Roman" w:cs="Times New Roman"/>
          <w:sz w:val="24"/>
          <w:szCs w:val="24"/>
        </w:rPr>
        <w:t>anexos dos documentos supracitados.</w:t>
      </w:r>
    </w:p>
    <w:p w14:paraId="00E86C68">
      <w:pPr>
        <w:pStyle w:val="103"/>
        <w:spacing w:before="0" w:after="0" w:line="288" w:lineRule="auto"/>
        <w:ind w:left="0" w:firstLine="0"/>
        <w:contextualSpacing/>
        <w:rPr>
          <w:rFonts w:ascii="Times New Roman" w:hAnsi="Times New Roman" w:cs="Times New Roman"/>
          <w:sz w:val="24"/>
          <w:szCs w:val="24"/>
          <w:lang w:val="zh-CN"/>
        </w:rPr>
      </w:pPr>
    </w:p>
    <w:p w14:paraId="6F9371EC">
      <w:pPr>
        <w:spacing w:line="288" w:lineRule="auto"/>
        <w:contextualSpacing/>
        <w:jc w:val="both"/>
        <w:rPr>
          <w:sz w:val="24"/>
          <w:szCs w:val="24"/>
        </w:rPr>
      </w:pPr>
      <w:r>
        <w:rPr>
          <w:sz w:val="24"/>
          <w:szCs w:val="24"/>
        </w:rPr>
        <w:t>1.4 Havendo qualquer divergência entre as disposições deste instrumento e dos seus Anexos, como o Termo de Referência, prevalecerá o disposto no presente Contrato.</w:t>
      </w:r>
    </w:p>
    <w:p w14:paraId="06866805">
      <w:pPr>
        <w:spacing w:line="288" w:lineRule="auto"/>
        <w:contextualSpacing/>
        <w:jc w:val="both"/>
        <w:rPr>
          <w:sz w:val="24"/>
          <w:szCs w:val="24"/>
        </w:rPr>
      </w:pPr>
    </w:p>
    <w:p w14:paraId="6D513B71">
      <w:pPr>
        <w:pStyle w:val="107"/>
        <w:numPr>
          <w:ilvl w:val="0"/>
          <w:numId w:val="0"/>
        </w:numPr>
        <w:spacing w:before="0" w:after="0" w:line="288" w:lineRule="auto"/>
        <w:contextualSpacing/>
        <w:rPr>
          <w:rFonts w:ascii="Times New Roman" w:hAnsi="Times New Roman" w:cs="Times New Roman"/>
          <w:color w:val="auto"/>
          <w:sz w:val="24"/>
          <w:szCs w:val="24"/>
        </w:rPr>
      </w:pPr>
      <w:r>
        <w:rPr>
          <w:rFonts w:ascii="Times New Roman" w:hAnsi="Times New Roman" w:cs="Times New Roman"/>
          <w:color w:val="auto"/>
          <w:sz w:val="24"/>
          <w:szCs w:val="24"/>
        </w:rPr>
        <w:t>CLÁUSULA SEGUNDA – VIGÊNCIA E PRORROGAÇÃO</w:t>
      </w:r>
    </w:p>
    <w:p w14:paraId="60623DA8">
      <w:pPr>
        <w:spacing w:line="288" w:lineRule="auto"/>
        <w:contextualSpacing/>
        <w:jc w:val="both"/>
        <w:rPr>
          <w:sz w:val="24"/>
          <w:szCs w:val="24"/>
        </w:rPr>
      </w:pPr>
    </w:p>
    <w:p w14:paraId="33E44D8B">
      <w:pPr>
        <w:tabs>
          <w:tab w:val="left" w:pos="7938"/>
        </w:tabs>
        <w:spacing w:line="288" w:lineRule="auto"/>
        <w:ind w:right="849"/>
        <w:contextualSpacing/>
        <w:jc w:val="both"/>
        <w:rPr>
          <w:bCs/>
          <w:color w:val="000000" w:themeColor="text1"/>
          <w:sz w:val="24"/>
          <w:szCs w:val="24"/>
          <w14:textFill>
            <w14:solidFill>
              <w14:schemeClr w14:val="tx1"/>
            </w14:solidFill>
          </w14:textFill>
        </w:rPr>
      </w:pPr>
      <w:r>
        <w:rPr>
          <w:bCs/>
          <w:color w:val="000000" w:themeColor="text1"/>
          <w:sz w:val="24"/>
          <w:szCs w:val="24"/>
          <w14:textFill>
            <w14:solidFill>
              <w14:schemeClr w14:val="tx1"/>
            </w14:solidFill>
          </w14:textFill>
        </w:rPr>
        <w:t>2.1 O prazo de vigência do Contrato é de 12 meses</w:t>
      </w:r>
      <w:r>
        <w:rPr>
          <w:rFonts w:eastAsia="Arial"/>
          <w:color w:val="000000" w:themeColor="text1"/>
          <w:sz w:val="24"/>
          <w:szCs w:val="24"/>
          <w14:textFill>
            <w14:solidFill>
              <w14:schemeClr w14:val="tx1"/>
            </w14:solidFill>
          </w14:textFill>
        </w:rPr>
        <w:t xml:space="preserve">, contado da expedição da </w:t>
      </w:r>
      <w:r>
        <w:rPr>
          <w:color w:val="000000" w:themeColor="text1"/>
          <w:sz w:val="24"/>
          <w:szCs w:val="24"/>
          <w14:textFill>
            <w14:solidFill>
              <w14:schemeClr w14:val="tx1"/>
            </w14:solidFill>
          </w14:textFill>
        </w:rPr>
        <w:t>Autorização de Fornecimento</w:t>
      </w:r>
      <w:r>
        <w:rPr>
          <w:rFonts w:eastAsia="Arial"/>
          <w:color w:val="000000" w:themeColor="text1"/>
          <w:sz w:val="24"/>
          <w:szCs w:val="24"/>
          <w14:textFill>
            <w14:solidFill>
              <w14:schemeClr w14:val="tx1"/>
            </w14:solidFill>
          </w14:textFill>
        </w:rPr>
        <w:t>, desde que previamente divulgado no Portal Nacional de Contratações Públicas.</w:t>
      </w:r>
      <w:r>
        <w:rPr>
          <w:bCs/>
          <w:color w:val="000000" w:themeColor="text1"/>
          <w:sz w:val="24"/>
          <w:szCs w:val="24"/>
          <w14:textFill>
            <w14:solidFill>
              <w14:schemeClr w14:val="tx1"/>
            </w14:solidFill>
          </w14:textFill>
        </w:rPr>
        <w:t xml:space="preserve"> </w:t>
      </w:r>
    </w:p>
    <w:p w14:paraId="587F9C78">
      <w:pPr>
        <w:spacing w:line="288" w:lineRule="auto"/>
        <w:ind w:left="567" w:right="565"/>
        <w:contextualSpacing/>
        <w:jc w:val="both"/>
        <w:rPr>
          <w:color w:val="000000" w:themeColor="text1"/>
          <w:sz w:val="24"/>
          <w:szCs w:val="24"/>
          <w14:textFill>
            <w14:solidFill>
              <w14:schemeClr w14:val="tx1"/>
            </w14:solidFill>
          </w14:textFill>
        </w:rPr>
      </w:pPr>
    </w:p>
    <w:p w14:paraId="32A292AB">
      <w:pPr>
        <w:spacing w:line="288" w:lineRule="auto"/>
        <w:ind w:right="565"/>
        <w:contextualSpacing/>
        <w:jc w:val="both"/>
        <w:rPr>
          <w:rFonts w:eastAsia="Arial"/>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2.2 O prazo de vigência do Contrato poderá</w:t>
      </w:r>
      <w:r>
        <w:rPr>
          <w:rFonts w:eastAsia="Arial"/>
          <w:color w:val="000000" w:themeColor="text1"/>
          <w:sz w:val="24"/>
          <w:szCs w:val="24"/>
          <w14:textFill>
            <w14:solidFill>
              <w14:schemeClr w14:val="tx1"/>
            </w14:solidFill>
          </w14:textFill>
        </w:rPr>
        <w:t xml:space="preserve"> ser prorrogado, sucessivamente, até o máximo de 10 (dez) anos, na forma dos artigos 106 e 107 da </w:t>
      </w:r>
      <w:r>
        <w:fldChar w:fldCharType="begin"/>
      </w:r>
      <w:r>
        <w:instrText xml:space="preserve"> HYPERLINK "http://www.planalto.gov.br/ccivil_03/_ato2019-2022/2021/lei/L14133.htm" </w:instrText>
      </w:r>
      <w:r>
        <w:fldChar w:fldCharType="separate"/>
      </w:r>
      <w:r>
        <w:rPr>
          <w:rStyle w:val="16"/>
          <w:rFonts w:eastAsia="Arial"/>
          <w:color w:val="000000" w:themeColor="text1"/>
          <w:sz w:val="24"/>
          <w:szCs w:val="24"/>
          <w14:textFill>
            <w14:solidFill>
              <w14:schemeClr w14:val="tx1"/>
            </w14:solidFill>
          </w14:textFill>
        </w:rPr>
        <w:t>Lei nº 14.133/2021</w:t>
      </w:r>
      <w:r>
        <w:rPr>
          <w:rStyle w:val="16"/>
          <w:rFonts w:eastAsia="Arial"/>
          <w:color w:val="000000" w:themeColor="text1"/>
          <w:sz w:val="24"/>
          <w:szCs w:val="24"/>
          <w14:textFill>
            <w14:solidFill>
              <w14:schemeClr w14:val="tx1"/>
            </w14:solidFill>
          </w14:textFill>
        </w:rPr>
        <w:fldChar w:fldCharType="end"/>
      </w:r>
      <w:r>
        <w:rPr>
          <w:rFonts w:eastAsia="Arial"/>
          <w:color w:val="000000" w:themeColor="text1"/>
          <w:sz w:val="24"/>
          <w:szCs w:val="24"/>
          <w14:textFill>
            <w14:solidFill>
              <w14:schemeClr w14:val="tx1"/>
            </w14:solidFill>
          </w14:textFill>
        </w:rPr>
        <w:t>.</w:t>
      </w:r>
    </w:p>
    <w:p w14:paraId="21E1734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2.2.1 A prorrogação de que trata este item é condicionada ao ateste, pela autoridade competente, de que as condições e os preços permanecem vantajosos para a Administração, permitida a negociação com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desde que observados, ainda, os seguintes requisitos:</w:t>
      </w:r>
    </w:p>
    <w:p w14:paraId="610F42E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a) demonstração formal, no processo, de que a forma do fornecimento tem natureza continuada;</w:t>
      </w:r>
    </w:p>
    <w:p w14:paraId="21858968">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b) juntada de relatório sobre a execução do Contrato, com informações de que o fornecimento tenha sido realizado regularmente;  </w:t>
      </w:r>
    </w:p>
    <w:p w14:paraId="1AF52231">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c) juntada de justificativa de que a Administração mantém interesse na continuidade do fornecimento;  </w:t>
      </w:r>
    </w:p>
    <w:p w14:paraId="492D693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d) manifestação expressa do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informando o interesse na prorrogação; </w:t>
      </w:r>
    </w:p>
    <w:p w14:paraId="6E2B7F9C">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e) comprovação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mantém as condições de habilitação; e</w:t>
      </w:r>
    </w:p>
    <w:p w14:paraId="15CB68D4">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f) informação quanto à existência de disponibilidade orçamentário-financeira para as despesas vindouras.</w:t>
      </w:r>
    </w:p>
    <w:p w14:paraId="378148E2">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2.3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tem direito subjetivo à prorrogação do prazo de vigência contratual.</w:t>
      </w:r>
    </w:p>
    <w:p w14:paraId="75D5E4F5">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2.4 A prorrogação do Contrato deverá ser promovida mediante a celebração de termo aditivo.</w:t>
      </w:r>
    </w:p>
    <w:p w14:paraId="29BD898F">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 2.5 O Contrato não poderá ser prorrogado quando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tiver sido penalizado com as sanções de declaração de inidoneidade ou impedimento de licitar e contratar com o Poder Público, observadas as abrangências de aplicação.</w:t>
      </w:r>
    </w:p>
    <w:p w14:paraId="675304D8">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sz w:val="24"/>
          <w:szCs w:val="24"/>
        </w:rPr>
      </w:pPr>
      <w:r>
        <w:rPr>
          <w:rFonts w:ascii="Times New Roman" w:hAnsi="Times New Roman" w:cs="Times New Roman"/>
          <w:sz w:val="24"/>
          <w:szCs w:val="24"/>
        </w:rPr>
        <w:t>CLÁUSULA TERCEIRA – EXECUÇÃO, GESTÃO E FISCALIZAÇÃO CONTRATUAIS</w:t>
      </w:r>
    </w:p>
    <w:p w14:paraId="76EDC0C3">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p>
    <w:p w14:paraId="1A08E111">
      <w:pPr>
        <w:pStyle w:val="101"/>
        <w:tabs>
          <w:tab w:val="left" w:pos="32"/>
          <w:tab w:val="clear" w:pos="567"/>
        </w:tabs>
        <w:spacing w:before="288" w:beforeLines="120" w:after="288" w:afterLines="120" w:line="288" w:lineRule="auto"/>
        <w:ind w:left="34"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3.1 O regime de execução contratual, o modelo de gestão e a fiscalização, assim como os prazos e condições de conclusão, entrega, observação e recebimento se submetem ao disposto no Termo de Referência anexo a este Contrato e no Decreto nº 40, 25 de fevereiro de 2025.</w:t>
      </w:r>
    </w:p>
    <w:p w14:paraId="61AF1620">
      <w:pPr>
        <w:pStyle w:val="101"/>
        <w:spacing w:before="0" w:line="288" w:lineRule="auto"/>
        <w:ind w:left="0" w:firstLine="0"/>
        <w:contextualSpacing/>
        <w:rPr>
          <w:rFonts w:ascii="Times New Roman" w:hAnsi="Times New Roman" w:cs="Times New Roman"/>
          <w:sz w:val="24"/>
          <w:szCs w:val="24"/>
        </w:rPr>
      </w:pPr>
    </w:p>
    <w:p w14:paraId="14F0B85F">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QUARTA – SUBCONTRATAÇÃO</w:t>
      </w:r>
    </w:p>
    <w:p w14:paraId="71DDD9D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6FA27CD">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4.1 Não será admitida a subcontratação do objeto contratual.</w:t>
      </w:r>
    </w:p>
    <w:p w14:paraId="25D5CD80">
      <w:pPr>
        <w:pStyle w:val="113"/>
        <w:spacing w:before="0" w:after="0" w:line="288" w:lineRule="auto"/>
        <w:contextualSpacing/>
        <w:jc w:val="both"/>
        <w:rPr>
          <w:rFonts w:ascii="Times New Roman" w:hAnsi="Times New Roman" w:cs="Times New Roman"/>
          <w:lang w:eastAsia="zh-CN" w:bidi="hi-IN"/>
        </w:rPr>
      </w:pPr>
    </w:p>
    <w:p w14:paraId="16395BCE">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QUINTA – PREÇO</w:t>
      </w:r>
    </w:p>
    <w:p w14:paraId="31839912">
      <w:pPr>
        <w:pStyle w:val="113"/>
        <w:spacing w:before="0" w:after="0" w:line="288" w:lineRule="auto"/>
        <w:contextualSpacing/>
        <w:jc w:val="both"/>
        <w:rPr>
          <w:rFonts w:ascii="Times New Roman" w:hAnsi="Times New Roman" w:cs="Times New Roman"/>
          <w:b w:val="0"/>
          <w:bCs w:val="0"/>
          <w:i w:val="0"/>
          <w:iCs w:val="0"/>
          <w:u w:val="none"/>
        </w:rPr>
      </w:pPr>
    </w:p>
    <w:p w14:paraId="209419F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r>
        <w:rPr>
          <w:rFonts w:ascii="Times New Roman" w:hAnsi="Times New Roman" w:cs="Times New Roman"/>
          <w:i w:val="0"/>
          <w:iCs w:val="0"/>
          <w:color w:val="auto"/>
          <w:sz w:val="24"/>
          <w:szCs w:val="24"/>
        </w:rPr>
        <w:t xml:space="preserve">5.1 O valor total máximo do Contrato é de R$ </w:t>
      </w:r>
      <w:r>
        <w:rPr>
          <w:rFonts w:ascii="Times New Roman" w:hAnsi="Times New Roman" w:cs="Times New Roman"/>
          <w:i w:val="0"/>
          <w:iCs w:val="0"/>
          <w:sz w:val="24"/>
          <w:szCs w:val="24"/>
          <w:lang w:eastAsia="en-US"/>
        </w:rPr>
        <w:t xml:space="preserve">......... </w:t>
      </w:r>
      <w:r>
        <w:rPr>
          <w:rFonts w:ascii="Times New Roman" w:hAnsi="Times New Roman" w:cs="Times New Roman"/>
          <w:i w:val="0"/>
          <w:iCs w:val="0"/>
          <w:color w:val="auto"/>
          <w:sz w:val="24"/>
          <w:szCs w:val="24"/>
          <w:lang w:eastAsia="en-US"/>
        </w:rPr>
        <w:t>(</w:t>
      </w:r>
      <w:r>
        <w:rPr>
          <w:rFonts w:ascii="Times New Roman" w:hAnsi="Times New Roman" w:cs="Times New Roman"/>
          <w:iCs w:val="0"/>
          <w:sz w:val="24"/>
          <w:szCs w:val="24"/>
        </w:rPr>
        <w:t>.....</w:t>
      </w:r>
      <w:r>
        <w:rPr>
          <w:rFonts w:ascii="Times New Roman" w:hAnsi="Times New Roman" w:cs="Times New Roman"/>
          <w:i w:val="0"/>
          <w:iCs w:val="0"/>
          <w:color w:val="auto"/>
          <w:sz w:val="24"/>
          <w:szCs w:val="24"/>
          <w:lang w:eastAsia="en-US"/>
        </w:rPr>
        <w:t>).</w:t>
      </w:r>
    </w:p>
    <w:p w14:paraId="6CB4C4B6">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6DEB6BD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5.2 No valor acima estão incluídas todas as despesas ordinárias diretas e indiretas decorrentes da execução do objeto, inclusive tributos, encargos sociais, trabalhistas, previdenciários, fiscais e comerciais incidentes, taxa de administração, frete, seguro e outros necessários ao cumprimento integral do objeto da contratação.</w:t>
      </w:r>
    </w:p>
    <w:p w14:paraId="7B95A691">
      <w:pPr>
        <w:pStyle w:val="108"/>
        <w:numPr>
          <w:ilvl w:val="0"/>
          <w:numId w:val="0"/>
        </w:numPr>
        <w:spacing w:before="0" w:after="0" w:line="288" w:lineRule="auto"/>
        <w:contextualSpacing/>
        <w:rPr>
          <w:rFonts w:ascii="Times New Roman" w:hAnsi="Times New Roman" w:cs="Times New Roman"/>
          <w:i w:val="0"/>
          <w:iCs w:val="0"/>
          <w:sz w:val="24"/>
          <w:szCs w:val="24"/>
        </w:rPr>
      </w:pPr>
    </w:p>
    <w:p w14:paraId="37240C2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5.3 Os pagamentos devidos ao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xml:space="preserve"> dependerão dos quantitativos efetivamente fornecidos.</w:t>
      </w:r>
    </w:p>
    <w:p w14:paraId="7CF3EBCB">
      <w:pPr>
        <w:pStyle w:val="108"/>
        <w:numPr>
          <w:ilvl w:val="0"/>
          <w:numId w:val="0"/>
        </w:numPr>
        <w:spacing w:before="0" w:after="0" w:line="288" w:lineRule="auto"/>
        <w:contextualSpacing/>
        <w:rPr>
          <w:rFonts w:ascii="Times New Roman" w:hAnsi="Times New Roman" w:cs="Times New Roman"/>
          <w:i w:val="0"/>
          <w:iCs w:val="0"/>
          <w:color w:val="auto"/>
          <w:sz w:val="24"/>
          <w:szCs w:val="24"/>
          <w:lang w:eastAsia="en-US"/>
        </w:rPr>
      </w:pPr>
    </w:p>
    <w:p w14:paraId="34A9B598">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SEXTA – PAGAMENTO</w:t>
      </w:r>
    </w:p>
    <w:p w14:paraId="6DA862F4">
      <w:pPr>
        <w:spacing w:line="288" w:lineRule="auto"/>
        <w:contextualSpacing/>
        <w:jc w:val="both"/>
        <w:rPr>
          <w:sz w:val="24"/>
          <w:szCs w:val="24"/>
        </w:rPr>
      </w:pPr>
    </w:p>
    <w:p w14:paraId="6FE92991">
      <w:pPr>
        <w:pStyle w:val="20"/>
        <w:spacing w:line="288" w:lineRule="auto"/>
        <w:contextualSpacing/>
        <w:jc w:val="both"/>
        <w:rPr>
          <w:rFonts w:ascii="Times New Roman" w:hAnsi="Times New Roman" w:cs="Times New Roman"/>
        </w:rPr>
      </w:pPr>
      <w:r>
        <w:rPr>
          <w:rFonts w:ascii="Times New Roman" w:hAnsi="Times New Roman" w:cs="Times New Roman"/>
        </w:rPr>
        <w:t xml:space="preserve">6.1 O </w:t>
      </w:r>
      <w:r>
        <w:rPr>
          <w:rFonts w:ascii="Times New Roman" w:hAnsi="Times New Roman" w:cs="Times New Roman"/>
          <w:b/>
        </w:rPr>
        <w:t>CONTRATANTE</w:t>
      </w:r>
      <w:r>
        <w:rPr>
          <w:rFonts w:ascii="Times New Roman" w:hAnsi="Times New Roman" w:cs="Times New Roman"/>
          <w:bCs/>
        </w:rPr>
        <w:t xml:space="preserve"> deverá pagar ao </w:t>
      </w:r>
      <w:r>
        <w:rPr>
          <w:rFonts w:ascii="Times New Roman" w:hAnsi="Times New Roman" w:cs="Times New Roman"/>
          <w:b/>
        </w:rPr>
        <w:t>CONTRATADO</w:t>
      </w:r>
      <w:r>
        <w:rPr>
          <w:rFonts w:ascii="Times New Roman" w:hAnsi="Times New Roman" w:cs="Times New Roman"/>
        </w:rPr>
        <w:t xml:space="preserve"> o valor total de R$ </w:t>
      </w:r>
      <w:r>
        <w:rPr>
          <w:rFonts w:ascii="Times New Roman" w:hAnsi="Times New Roman" w:cs="Times New Roman"/>
          <w:color w:val="FF0000"/>
        </w:rPr>
        <w:t xml:space="preserve">xxx </w:t>
      </w:r>
      <w:r>
        <w:rPr>
          <w:rFonts w:ascii="Times New Roman" w:hAnsi="Times New Roman" w:cs="Times New Roman"/>
        </w:rPr>
        <w:t>(</w:t>
      </w:r>
      <w:r>
        <w:rPr>
          <w:rFonts w:ascii="Times New Roman" w:hAnsi="Times New Roman" w:cs="Times New Roman"/>
          <w:iCs/>
          <w:color w:val="FF0000"/>
        </w:rPr>
        <w:t>xx</w:t>
      </w:r>
      <w:r>
        <w:rPr>
          <w:rFonts w:ascii="Times New Roman" w:hAnsi="Times New Roman" w:cs="Times New Roman"/>
        </w:rPr>
        <w:t xml:space="preserve">), em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w:t>
      </w:r>
      <w:r>
        <w:rPr>
          <w:rFonts w:ascii="Times New Roman" w:hAnsi="Times New Roman" w:cs="Times New Roman"/>
          <w:color w:val="FF0000"/>
        </w:rPr>
        <w:t xml:space="preserve"> </w:t>
      </w:r>
      <w:r>
        <w:rPr>
          <w:rFonts w:ascii="Times New Roman" w:hAnsi="Times New Roman" w:cs="Times New Roman"/>
        </w:rPr>
        <w:t xml:space="preserve">parcelas, no valor de R$ </w:t>
      </w:r>
      <w:r>
        <w:rPr>
          <w:rFonts w:ascii="Times New Roman" w:hAnsi="Times New Roman" w:cs="Times New Roman"/>
          <w:color w:val="FF0000"/>
        </w:rPr>
        <w:t xml:space="preserve">........ </w:t>
      </w:r>
      <w:r>
        <w:rPr>
          <w:rFonts w:ascii="Times New Roman" w:hAnsi="Times New Roman" w:cs="Times New Roman"/>
        </w:rPr>
        <w:t>(</w:t>
      </w:r>
      <w:r>
        <w:rPr>
          <w:rFonts w:ascii="Times New Roman" w:hAnsi="Times New Roman" w:cs="Times New Roman"/>
          <w:iCs/>
          <w:color w:val="FF0000"/>
        </w:rPr>
        <w:t>.....</w:t>
      </w:r>
      <w:r>
        <w:rPr>
          <w:rFonts w:ascii="Times New Roman" w:hAnsi="Times New Roman" w:cs="Times New Roman"/>
        </w:rPr>
        <w:t xml:space="preserve">), cada uma delas, conforme cronograma de pagamento em anexo, diretamente na conta corrente nº </w:t>
      </w:r>
      <w:r>
        <w:rPr>
          <w:rFonts w:ascii="Times New Roman" w:hAnsi="Times New Roman" w:cs="Times New Roman"/>
          <w:color w:val="FF0000"/>
        </w:rPr>
        <w:t>......</w:t>
      </w:r>
      <w:r>
        <w:rPr>
          <w:rFonts w:ascii="Times New Roman" w:hAnsi="Times New Roman" w:cs="Times New Roman"/>
        </w:rPr>
        <w:t xml:space="preserve"> da agência </w:t>
      </w:r>
      <w:r>
        <w:rPr>
          <w:rFonts w:ascii="Times New Roman" w:hAnsi="Times New Roman" w:cs="Times New Roman"/>
          <w:color w:val="FF0000"/>
        </w:rPr>
        <w:t>......</w:t>
      </w:r>
      <w:r>
        <w:rPr>
          <w:rFonts w:ascii="Times New Roman" w:hAnsi="Times New Roman" w:cs="Times New Roman"/>
        </w:rPr>
        <w:t>, de titularidade d</w:t>
      </w:r>
      <w:r>
        <w:rPr>
          <w:rFonts w:ascii="Times New Roman" w:hAnsi="Times New Roman" w:cs="Times New Roman"/>
          <w:bCs/>
        </w:rPr>
        <w:t xml:space="preserve">o </w:t>
      </w:r>
      <w:r>
        <w:rPr>
          <w:rFonts w:ascii="Times New Roman" w:hAnsi="Times New Roman" w:cs="Times New Roman"/>
          <w:b/>
        </w:rPr>
        <w:t>CONTRATADO</w:t>
      </w:r>
      <w:r>
        <w:rPr>
          <w:rFonts w:ascii="Times New Roman" w:hAnsi="Times New Roman" w:cs="Times New Roman"/>
        </w:rPr>
        <w:t xml:space="preserve">, junto à instituição indicada pelo mesmo, observando-se o disposto no item 5.3. deste Contrato. </w:t>
      </w:r>
    </w:p>
    <w:p w14:paraId="7866DE58">
      <w:pPr>
        <w:pStyle w:val="20"/>
        <w:spacing w:line="288" w:lineRule="auto"/>
        <w:contextualSpacing/>
        <w:jc w:val="both"/>
        <w:rPr>
          <w:rFonts w:ascii="Times New Roman" w:hAnsi="Times New Roman" w:cs="Times New Roman"/>
        </w:rPr>
      </w:pPr>
    </w:p>
    <w:p w14:paraId="1CBE5D47">
      <w:pPr>
        <w:pStyle w:val="20"/>
        <w:spacing w:line="288" w:lineRule="auto"/>
        <w:contextualSpacing/>
        <w:jc w:val="both"/>
        <w:rPr>
          <w:rFonts w:ascii="Times New Roman" w:hAnsi="Times New Roman" w:cs="Times New Roman"/>
        </w:rPr>
      </w:pPr>
      <w:r>
        <w:rPr>
          <w:rFonts w:ascii="Times New Roman" w:hAnsi="Times New Roman" w:cs="Times New Roman"/>
        </w:rPr>
        <w:t xml:space="preserve">6.2 Os pagamentos relativos à aquisição de bens e à contratação de serviços de qualquer natureza realizados pelos órgãos e entidades da Administração Pública Municipal Direta, Autárquica e Fundacional do Poder Executivo serão efetuados exclusivamente, por meio da Instituição financeira contratada pelo município atualmente </w:t>
      </w:r>
      <w:r>
        <w:rPr>
          <w:rFonts w:ascii="Times New Roman" w:hAnsi="Times New Roman" w:cs="Times New Roman"/>
          <w:b/>
        </w:rPr>
        <w:t>Banco Itaú S.A</w:t>
      </w:r>
      <w:r>
        <w:rPr>
          <w:rFonts w:ascii="Times New Roman" w:hAnsi="Times New Roman" w:cs="Times New Roman"/>
        </w:rPr>
        <w:t>, cujo número e agência deverão ser informados pelo adjudicatário.</w:t>
      </w:r>
    </w:p>
    <w:p w14:paraId="5EEC947D">
      <w:pPr>
        <w:spacing w:line="288" w:lineRule="auto"/>
        <w:contextualSpacing/>
        <w:jc w:val="both"/>
        <w:rPr>
          <w:sz w:val="24"/>
          <w:szCs w:val="24"/>
        </w:rPr>
      </w:pPr>
    </w:p>
    <w:p w14:paraId="35096025">
      <w:pPr>
        <w:spacing w:line="288" w:lineRule="auto"/>
        <w:contextualSpacing/>
        <w:jc w:val="both"/>
        <w:rPr>
          <w:sz w:val="24"/>
          <w:szCs w:val="24"/>
        </w:rPr>
      </w:pPr>
      <w:r>
        <w:rPr>
          <w:sz w:val="24"/>
          <w:szCs w:val="24"/>
        </w:rPr>
        <w:t xml:space="preserve">6.3 </w:t>
      </w:r>
      <w:r>
        <w:rPr>
          <w:rFonts w:eastAsia="Arial"/>
          <w:sz w:val="24"/>
          <w:szCs w:val="24"/>
        </w:rPr>
        <w:t xml:space="preserve"> A emissão da Nota Fiscal ou Fatura será precedida do recebimento definitivo do objeto ou de cada parcela, mediante atestação, que não poderá ser realizada pelo ordenador de despesas, conforme disposto neste instrumento e/ou no Termo de Referência, bem ainda no artigo 140, II, alínea b, da Lei nº 14.133/2021 e nos arts. 20 e 22, XXIII, do Decreto nº 40/2025.</w:t>
      </w:r>
    </w:p>
    <w:p w14:paraId="43BA3206">
      <w:pPr>
        <w:spacing w:line="288" w:lineRule="auto"/>
        <w:contextualSpacing/>
        <w:jc w:val="both"/>
        <w:rPr>
          <w:sz w:val="24"/>
          <w:szCs w:val="24"/>
        </w:rPr>
      </w:pPr>
    </w:p>
    <w:p w14:paraId="591DEE10">
      <w:pPr>
        <w:spacing w:line="288" w:lineRule="auto"/>
        <w:contextualSpacing/>
        <w:jc w:val="both"/>
        <w:rPr>
          <w:rFonts w:eastAsia="Arial"/>
          <w:sz w:val="24"/>
          <w:szCs w:val="24"/>
        </w:rPr>
      </w:pPr>
      <w:r>
        <w:rPr>
          <w:rFonts w:eastAsia="Arial"/>
          <w:sz w:val="24"/>
          <w:szCs w:val="24"/>
        </w:rPr>
        <w:t xml:space="preserve">6.3.1 Quando houver glosa parcial do objeto, o </w:t>
      </w:r>
      <w:r>
        <w:rPr>
          <w:rFonts w:eastAsia="Arial"/>
          <w:b/>
          <w:bCs/>
          <w:sz w:val="24"/>
          <w:szCs w:val="24"/>
        </w:rPr>
        <w:t>CONTRATANTE</w:t>
      </w:r>
      <w:r>
        <w:rPr>
          <w:rFonts w:eastAsia="Arial"/>
          <w:sz w:val="24"/>
          <w:szCs w:val="24"/>
        </w:rPr>
        <w:t xml:space="preserve"> deverá comunicar ao </w:t>
      </w:r>
      <w:r>
        <w:rPr>
          <w:rFonts w:eastAsia="Arial"/>
          <w:b/>
          <w:bCs/>
          <w:sz w:val="24"/>
          <w:szCs w:val="24"/>
        </w:rPr>
        <w:t>CONTRATADO</w:t>
      </w:r>
      <w:r>
        <w:rPr>
          <w:rFonts w:eastAsia="Arial"/>
          <w:sz w:val="24"/>
          <w:szCs w:val="24"/>
        </w:rPr>
        <w:t xml:space="preserve"> para que emita Nota Fiscal ou Fatura com o valor exato dimensionado.</w:t>
      </w:r>
    </w:p>
    <w:p w14:paraId="6C42CC81">
      <w:pPr>
        <w:spacing w:line="288" w:lineRule="auto"/>
        <w:contextualSpacing/>
        <w:jc w:val="both"/>
        <w:rPr>
          <w:sz w:val="24"/>
          <w:szCs w:val="24"/>
        </w:rPr>
      </w:pPr>
    </w:p>
    <w:p w14:paraId="59AC51E5">
      <w:pPr>
        <w:spacing w:line="288" w:lineRule="auto"/>
        <w:contextualSpacing/>
        <w:jc w:val="both"/>
        <w:rPr>
          <w:rFonts w:eastAsia="Arial"/>
          <w:sz w:val="24"/>
          <w:szCs w:val="24"/>
        </w:rPr>
      </w:pPr>
      <w:r>
        <w:rPr>
          <w:sz w:val="24"/>
          <w:szCs w:val="24"/>
        </w:rPr>
        <w:t xml:space="preserve">6.4 O </w:t>
      </w:r>
      <w:r>
        <w:rPr>
          <w:b/>
          <w:bCs/>
          <w:sz w:val="24"/>
          <w:szCs w:val="24"/>
        </w:rPr>
        <w:t>CONTRATADO</w:t>
      </w:r>
      <w:r>
        <w:rPr>
          <w:sz w:val="24"/>
          <w:szCs w:val="24"/>
        </w:rPr>
        <w:t xml:space="preserve"> deverá encaminhar a Nota Fiscal ou Fatura para pagamento à </w:t>
      </w:r>
      <w:r>
        <w:rPr>
          <w:color w:val="FF0000"/>
          <w:sz w:val="24"/>
          <w:szCs w:val="24"/>
        </w:rPr>
        <w:t>......</w:t>
      </w:r>
      <w:r>
        <w:rPr>
          <w:rFonts w:eastAsia="Arial"/>
          <w:sz w:val="24"/>
          <w:szCs w:val="24"/>
        </w:rPr>
        <w:t xml:space="preserve">, situada </w:t>
      </w:r>
      <w:r>
        <w:rPr>
          <w:rFonts w:eastAsia="Arial"/>
          <w:color w:val="FF0000"/>
          <w:sz w:val="24"/>
          <w:szCs w:val="24"/>
        </w:rPr>
        <w:t xml:space="preserve">na </w:t>
      </w:r>
      <w:r>
        <w:rPr>
          <w:color w:val="FF0000"/>
          <w:sz w:val="24"/>
          <w:szCs w:val="24"/>
        </w:rPr>
        <w:t>......</w:t>
      </w:r>
      <w:r>
        <w:rPr>
          <w:rFonts w:eastAsia="Arial"/>
          <w:sz w:val="24"/>
          <w:szCs w:val="24"/>
        </w:rPr>
        <w:t xml:space="preserve">, na cidade </w:t>
      </w:r>
      <w:r>
        <w:rPr>
          <w:rFonts w:eastAsia="Arial"/>
          <w:color w:val="FF0000"/>
          <w:sz w:val="24"/>
          <w:szCs w:val="24"/>
        </w:rPr>
        <w:t xml:space="preserve">do </w:t>
      </w:r>
      <w:r>
        <w:rPr>
          <w:color w:val="FF0000"/>
          <w:sz w:val="24"/>
          <w:szCs w:val="24"/>
        </w:rPr>
        <w:t>......</w:t>
      </w:r>
      <w:r>
        <w:rPr>
          <w:rFonts w:eastAsia="Arial"/>
          <w:sz w:val="24"/>
          <w:szCs w:val="24"/>
        </w:rPr>
        <w:t xml:space="preserve">, no Estado do Rio de Janeiro ou para o endereço eletrônico </w:t>
      </w:r>
      <w:r>
        <w:rPr>
          <w:color w:val="FF0000"/>
          <w:sz w:val="24"/>
          <w:szCs w:val="24"/>
        </w:rPr>
        <w:t>......</w:t>
      </w:r>
      <w:r>
        <w:rPr>
          <w:rFonts w:eastAsia="Arial"/>
          <w:sz w:val="24"/>
          <w:szCs w:val="24"/>
        </w:rPr>
        <w:t>.</w:t>
      </w:r>
    </w:p>
    <w:p w14:paraId="42CEA0B9">
      <w:pPr>
        <w:spacing w:line="288" w:lineRule="auto"/>
        <w:contextualSpacing/>
        <w:jc w:val="both"/>
        <w:rPr>
          <w:rFonts w:eastAsia="Arial"/>
          <w:sz w:val="24"/>
          <w:szCs w:val="24"/>
        </w:rPr>
      </w:pPr>
    </w:p>
    <w:p w14:paraId="0BF8AD94">
      <w:pPr>
        <w:spacing w:line="288" w:lineRule="auto"/>
        <w:contextualSpacing/>
        <w:jc w:val="both"/>
        <w:rPr>
          <w:rFonts w:eastAsia="Arial"/>
          <w:sz w:val="24"/>
          <w:szCs w:val="24"/>
        </w:rPr>
      </w:pPr>
      <w:r>
        <w:rPr>
          <w:rFonts w:eastAsia="Arial"/>
          <w:sz w:val="24"/>
          <w:szCs w:val="24"/>
        </w:rPr>
        <w:t>6.5  Recebida a Nota Fiscal ou Fatura, o órgão competente deverá realizar consulta ao SICAF para verificar:</w:t>
      </w:r>
    </w:p>
    <w:p w14:paraId="5E27CE78">
      <w:pPr>
        <w:spacing w:line="288" w:lineRule="auto"/>
        <w:contextualSpacing/>
        <w:jc w:val="both"/>
        <w:rPr>
          <w:sz w:val="24"/>
          <w:szCs w:val="24"/>
        </w:rPr>
      </w:pPr>
      <w:r>
        <w:rPr>
          <w:sz w:val="24"/>
          <w:szCs w:val="24"/>
        </w:rPr>
        <w:t xml:space="preserve">a) a manutenção das condições de habilitação exigidas pelo instrumento convocatório; </w:t>
      </w:r>
    </w:p>
    <w:p w14:paraId="3828CB47">
      <w:pPr>
        <w:spacing w:line="288" w:lineRule="auto"/>
        <w:contextualSpacing/>
        <w:jc w:val="both"/>
        <w:rPr>
          <w:sz w:val="24"/>
          <w:szCs w:val="24"/>
        </w:rPr>
      </w:pPr>
      <w:r>
        <w:rPr>
          <w:sz w:val="24"/>
          <w:szCs w:val="24"/>
        </w:rPr>
        <w:t xml:space="preserve">b) se o </w:t>
      </w:r>
      <w:r>
        <w:rPr>
          <w:b/>
          <w:bCs/>
          <w:sz w:val="24"/>
          <w:szCs w:val="24"/>
        </w:rPr>
        <w:t>CONTRATADO</w:t>
      </w:r>
      <w:r>
        <w:rPr>
          <w:sz w:val="24"/>
          <w:szCs w:val="24"/>
        </w:rPr>
        <w:t xml:space="preserve"> foi penalizado com as sanções de declaração de inidoneidade ou impedimento de licitar e contratar com o Poder Público, observadas as abrangências de aplicação; e</w:t>
      </w:r>
    </w:p>
    <w:p w14:paraId="100B3C09">
      <w:pPr>
        <w:spacing w:line="288" w:lineRule="auto"/>
        <w:contextualSpacing/>
        <w:jc w:val="both"/>
        <w:rPr>
          <w:sz w:val="24"/>
          <w:szCs w:val="24"/>
        </w:rPr>
      </w:pPr>
      <w:r>
        <w:rPr>
          <w:sz w:val="24"/>
          <w:szCs w:val="24"/>
        </w:rPr>
        <w:t>c) eventuais ocorrências impeditivas indiretas, hipótese na qual o gestor deverá verificar se houve fraude por parte das empresas apontadas no Relatório de Ocorrências Impeditivas Indiretas;</w:t>
      </w:r>
    </w:p>
    <w:p w14:paraId="1A0AE590">
      <w:pPr>
        <w:spacing w:line="288" w:lineRule="auto"/>
        <w:contextualSpacing/>
        <w:jc w:val="both"/>
        <w:rPr>
          <w:sz w:val="24"/>
          <w:szCs w:val="24"/>
        </w:rPr>
      </w:pPr>
    </w:p>
    <w:p w14:paraId="2F1572F2">
      <w:pPr>
        <w:spacing w:line="288" w:lineRule="auto"/>
        <w:contextualSpacing/>
        <w:jc w:val="both"/>
        <w:rPr>
          <w:sz w:val="24"/>
          <w:szCs w:val="24"/>
        </w:rPr>
      </w:pPr>
      <w:r>
        <w:rPr>
          <w:sz w:val="24"/>
          <w:szCs w:val="24"/>
        </w:rPr>
        <w:t xml:space="preserve">6.5.1 Constatando-se a situação de irregularidade do </w:t>
      </w:r>
      <w:r>
        <w:rPr>
          <w:b/>
          <w:bCs/>
          <w:sz w:val="24"/>
          <w:szCs w:val="24"/>
        </w:rPr>
        <w:t>CONTRATADO</w:t>
      </w:r>
      <w:r>
        <w:rPr>
          <w:sz w:val="24"/>
          <w:szCs w:val="24"/>
        </w:rPr>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bCs/>
          <w:sz w:val="24"/>
          <w:szCs w:val="24"/>
        </w:rPr>
        <w:t>CONTRATANTE</w:t>
      </w:r>
      <w:r>
        <w:rPr>
          <w:sz w:val="24"/>
          <w:szCs w:val="24"/>
        </w:rPr>
        <w:t>.</w:t>
      </w:r>
    </w:p>
    <w:p w14:paraId="64E77924">
      <w:pPr>
        <w:spacing w:line="288" w:lineRule="auto"/>
        <w:contextualSpacing/>
        <w:jc w:val="both"/>
        <w:rPr>
          <w:sz w:val="24"/>
          <w:szCs w:val="24"/>
        </w:rPr>
      </w:pPr>
    </w:p>
    <w:p w14:paraId="1F1F4202">
      <w:pPr>
        <w:spacing w:line="288" w:lineRule="auto"/>
        <w:contextualSpacing/>
        <w:jc w:val="both"/>
        <w:rPr>
          <w:sz w:val="24"/>
          <w:szCs w:val="24"/>
        </w:rPr>
      </w:pPr>
      <w:r>
        <w:rPr>
          <w:sz w:val="24"/>
          <w:szCs w:val="24"/>
        </w:rPr>
        <w:t xml:space="preserve">6.5.2 Não havendo regularização ou sendo a defesa considerada improcedente, o </w:t>
      </w:r>
      <w:r>
        <w:rPr>
          <w:b/>
          <w:bCs/>
          <w:sz w:val="24"/>
          <w:szCs w:val="24"/>
        </w:rPr>
        <w:t>CONTRATANTE</w:t>
      </w:r>
      <w:r>
        <w:rPr>
          <w:sz w:val="24"/>
          <w:szCs w:val="24"/>
        </w:rPr>
        <w:t xml:space="preserve"> deverá comunicar aos órgãos responsáveis pela fiscalização da regularidade fiscal quanto à inadimplência do </w:t>
      </w:r>
      <w:r>
        <w:rPr>
          <w:b/>
          <w:bCs/>
          <w:sz w:val="24"/>
          <w:szCs w:val="24"/>
        </w:rPr>
        <w:t>CONTRATADO</w:t>
      </w:r>
      <w:r>
        <w:rPr>
          <w:sz w:val="24"/>
          <w:szCs w:val="24"/>
        </w:rPr>
        <w:t xml:space="preserve">, bem como quanto à existência de pagamento a ser efetuado, para que sejam acionados os meios pertinentes e necessários para garantir o recebimento de seus créditos.  </w:t>
      </w:r>
    </w:p>
    <w:p w14:paraId="0D33F7BC">
      <w:pPr>
        <w:spacing w:line="288" w:lineRule="auto"/>
        <w:contextualSpacing/>
        <w:jc w:val="both"/>
        <w:rPr>
          <w:sz w:val="24"/>
          <w:szCs w:val="24"/>
        </w:rPr>
      </w:pPr>
    </w:p>
    <w:p w14:paraId="1DB392D5">
      <w:pPr>
        <w:spacing w:line="288" w:lineRule="auto"/>
        <w:contextualSpacing/>
        <w:jc w:val="both"/>
        <w:rPr>
          <w:sz w:val="24"/>
          <w:szCs w:val="24"/>
        </w:rPr>
      </w:pPr>
      <w:r>
        <w:rPr>
          <w:sz w:val="24"/>
          <w:szCs w:val="24"/>
        </w:rPr>
        <w:t xml:space="preserve">6.5.3 Persistindo a irregularidade, o </w:t>
      </w:r>
      <w:r>
        <w:rPr>
          <w:b/>
          <w:bCs/>
          <w:sz w:val="24"/>
          <w:szCs w:val="24"/>
        </w:rPr>
        <w:t>CONTRATANTE</w:t>
      </w:r>
      <w:r>
        <w:rPr>
          <w:sz w:val="24"/>
          <w:szCs w:val="24"/>
        </w:rPr>
        <w:t xml:space="preserve"> deverá adotar as medidas necessárias à rescisão do Contrato nos autos do processo administrativo correspondente, assegurada ao </w:t>
      </w:r>
      <w:r>
        <w:rPr>
          <w:b/>
          <w:bCs/>
          <w:sz w:val="24"/>
          <w:szCs w:val="24"/>
        </w:rPr>
        <w:t>CONTRATADO</w:t>
      </w:r>
      <w:r>
        <w:rPr>
          <w:sz w:val="24"/>
          <w:szCs w:val="24"/>
        </w:rPr>
        <w:t xml:space="preserve"> a ampla defesa.</w:t>
      </w:r>
    </w:p>
    <w:p w14:paraId="0D14BD50">
      <w:pPr>
        <w:spacing w:line="288" w:lineRule="auto"/>
        <w:contextualSpacing/>
        <w:jc w:val="both"/>
        <w:rPr>
          <w:sz w:val="24"/>
          <w:szCs w:val="24"/>
        </w:rPr>
      </w:pPr>
    </w:p>
    <w:p w14:paraId="6FAF67EC">
      <w:pPr>
        <w:spacing w:line="288" w:lineRule="auto"/>
        <w:contextualSpacing/>
        <w:jc w:val="both"/>
        <w:rPr>
          <w:sz w:val="24"/>
          <w:szCs w:val="24"/>
        </w:rPr>
      </w:pPr>
      <w:r>
        <w:rPr>
          <w:sz w:val="24"/>
          <w:szCs w:val="24"/>
        </w:rPr>
        <w:t xml:space="preserve">6.5.4 Havendo a efetiva execução do objeto, os pagamentos serão realizados normalmente, até que se decida pela rescisão do Contrato, caso o </w:t>
      </w:r>
      <w:r>
        <w:rPr>
          <w:b/>
          <w:bCs/>
          <w:sz w:val="24"/>
          <w:szCs w:val="24"/>
        </w:rPr>
        <w:t>CONTRATADO</w:t>
      </w:r>
      <w:r>
        <w:rPr>
          <w:sz w:val="24"/>
          <w:szCs w:val="24"/>
        </w:rPr>
        <w:t xml:space="preserve"> não regularize sua situação. </w:t>
      </w:r>
    </w:p>
    <w:p w14:paraId="3732BBFA">
      <w:pPr>
        <w:spacing w:line="288" w:lineRule="auto"/>
        <w:contextualSpacing/>
        <w:jc w:val="both"/>
        <w:rPr>
          <w:sz w:val="24"/>
          <w:szCs w:val="24"/>
        </w:rPr>
      </w:pPr>
    </w:p>
    <w:p w14:paraId="30622762">
      <w:pPr>
        <w:spacing w:line="288" w:lineRule="auto"/>
        <w:contextualSpacing/>
        <w:jc w:val="both"/>
        <w:rPr>
          <w:sz w:val="24"/>
          <w:szCs w:val="24"/>
        </w:rPr>
      </w:pPr>
      <w:r>
        <w:rPr>
          <w:sz w:val="24"/>
          <w:szCs w:val="24"/>
        </w:rPr>
        <w:t>6.6 O pagamento será efetuado no prazo máximo de até 30</w:t>
      </w:r>
      <w:r>
        <w:rPr>
          <w:color w:val="FF0000"/>
          <w:sz w:val="24"/>
          <w:szCs w:val="24"/>
        </w:rPr>
        <w:t xml:space="preserve"> </w:t>
      </w:r>
      <w:r>
        <w:rPr>
          <w:sz w:val="24"/>
          <w:szCs w:val="24"/>
        </w:rPr>
        <w:t>(trinta)</w:t>
      </w:r>
      <w:r>
        <w:rPr>
          <w:color w:val="FF0000"/>
          <w:sz w:val="24"/>
          <w:szCs w:val="24"/>
        </w:rPr>
        <w:t xml:space="preserve"> </w:t>
      </w:r>
      <w:r>
        <w:rPr>
          <w:sz w:val="24"/>
          <w:szCs w:val="24"/>
        </w:rPr>
        <w:t>dias, contado do recebimento da Nota Fiscal ou Fatura.</w:t>
      </w:r>
    </w:p>
    <w:p w14:paraId="408DB1F8">
      <w:pPr>
        <w:spacing w:line="288" w:lineRule="auto"/>
        <w:contextualSpacing/>
        <w:jc w:val="both"/>
        <w:rPr>
          <w:color w:val="FF0000"/>
          <w:sz w:val="24"/>
          <w:szCs w:val="24"/>
        </w:rPr>
      </w:pPr>
    </w:p>
    <w:p w14:paraId="16F148FE">
      <w:pPr>
        <w:spacing w:line="288" w:lineRule="auto"/>
        <w:contextualSpacing/>
        <w:jc w:val="both"/>
        <w:rPr>
          <w:sz w:val="24"/>
          <w:szCs w:val="24"/>
        </w:rPr>
      </w:pPr>
      <w:r>
        <w:rPr>
          <w:sz w:val="24"/>
          <w:szCs w:val="24"/>
        </w:rPr>
        <w:t xml:space="preserve">6.6.1 Havendo erro na apresentação da Nota Fiscal ou Fatura, ou circunstância que impeça a liquidação da despesa, o pagamento ficará sobrestado até que o </w:t>
      </w:r>
      <w:r>
        <w:rPr>
          <w:b/>
          <w:bCs/>
          <w:sz w:val="24"/>
          <w:szCs w:val="24"/>
        </w:rPr>
        <w:t>CONTRATADO</w:t>
      </w:r>
      <w:r>
        <w:rPr>
          <w:sz w:val="24"/>
          <w:szCs w:val="24"/>
        </w:rPr>
        <w:t xml:space="preserve"> providencie as medidas saneadoras. Nessa hipótese, o prazo para pagamento iniciar-se-á após a comprovação da regularização da situação, não acarretando qualquer ônus para o </w:t>
      </w:r>
      <w:r>
        <w:rPr>
          <w:b/>
          <w:bCs/>
          <w:sz w:val="24"/>
          <w:szCs w:val="24"/>
        </w:rPr>
        <w:t>CONTRATANTE</w:t>
      </w:r>
      <w:r>
        <w:rPr>
          <w:sz w:val="24"/>
          <w:szCs w:val="24"/>
        </w:rPr>
        <w:t>.</w:t>
      </w:r>
    </w:p>
    <w:p w14:paraId="418A0034">
      <w:pPr>
        <w:spacing w:line="288" w:lineRule="auto"/>
        <w:contextualSpacing/>
        <w:jc w:val="both"/>
        <w:rPr>
          <w:sz w:val="24"/>
          <w:szCs w:val="24"/>
        </w:rPr>
      </w:pPr>
    </w:p>
    <w:p w14:paraId="6636B31D">
      <w:pPr>
        <w:spacing w:line="288" w:lineRule="auto"/>
        <w:contextualSpacing/>
        <w:jc w:val="both"/>
        <w:rPr>
          <w:sz w:val="24"/>
          <w:szCs w:val="24"/>
        </w:rPr>
      </w:pPr>
      <w:r>
        <w:rPr>
          <w:sz w:val="24"/>
          <w:szCs w:val="24"/>
        </w:rPr>
        <w:t>6.7 Quando do pagamento, será efetuada a retenção tributária prevista na legislação aplicável.</w:t>
      </w:r>
    </w:p>
    <w:p w14:paraId="5B8252C6">
      <w:pPr>
        <w:spacing w:line="288" w:lineRule="auto"/>
        <w:contextualSpacing/>
        <w:jc w:val="both"/>
        <w:rPr>
          <w:sz w:val="24"/>
          <w:szCs w:val="24"/>
        </w:rPr>
      </w:pPr>
    </w:p>
    <w:p w14:paraId="31AE5DB5">
      <w:pPr>
        <w:spacing w:line="288" w:lineRule="auto"/>
        <w:contextualSpacing/>
        <w:jc w:val="both"/>
        <w:rPr>
          <w:sz w:val="24"/>
          <w:szCs w:val="24"/>
        </w:rPr>
      </w:pPr>
      <w:r>
        <w:rPr>
          <w:sz w:val="24"/>
          <w:szCs w:val="24"/>
        </w:rPr>
        <w:t>6.7.1 Independentemente do percentual de tributo inserido na planilha, no pagamento serão retidos na fonte os percentuais estabelecidos na legislação vigente.</w:t>
      </w:r>
    </w:p>
    <w:p w14:paraId="094DB230">
      <w:pPr>
        <w:spacing w:line="288" w:lineRule="auto"/>
        <w:contextualSpacing/>
        <w:jc w:val="both"/>
        <w:rPr>
          <w:sz w:val="24"/>
          <w:szCs w:val="24"/>
        </w:rPr>
      </w:pPr>
    </w:p>
    <w:p w14:paraId="04B98F38">
      <w:pPr>
        <w:spacing w:line="288" w:lineRule="auto"/>
        <w:contextualSpacing/>
        <w:jc w:val="both"/>
        <w:rPr>
          <w:sz w:val="24"/>
          <w:szCs w:val="24"/>
        </w:rPr>
      </w:pPr>
      <w:r>
        <w:rPr>
          <w:sz w:val="24"/>
          <w:szCs w:val="24"/>
        </w:rPr>
        <w:t xml:space="preserve">6.7.2 O </w:t>
      </w:r>
      <w:r>
        <w:rPr>
          <w:b/>
          <w:bCs/>
          <w:sz w:val="24"/>
          <w:szCs w:val="24"/>
        </w:rPr>
        <w:t>CONTRATADO</w:t>
      </w:r>
      <w:r>
        <w:rPr>
          <w:sz w:val="24"/>
          <w:szCs w:val="24"/>
        </w:rPr>
        <w:t xml:space="preserve">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DB7F829">
      <w:pPr>
        <w:spacing w:line="288" w:lineRule="auto"/>
        <w:contextualSpacing/>
        <w:jc w:val="both"/>
        <w:rPr>
          <w:sz w:val="24"/>
          <w:szCs w:val="24"/>
        </w:rPr>
      </w:pPr>
    </w:p>
    <w:p w14:paraId="75B82C29">
      <w:pPr>
        <w:spacing w:line="288" w:lineRule="auto"/>
        <w:contextualSpacing/>
        <w:jc w:val="both"/>
        <w:rPr>
          <w:iCs/>
          <w:sz w:val="24"/>
          <w:szCs w:val="24"/>
        </w:rPr>
      </w:pPr>
      <w:r>
        <w:rPr>
          <w:color w:val="000000"/>
          <w:sz w:val="24"/>
          <w:szCs w:val="24"/>
        </w:rPr>
        <w:t>6.8 Os pagamentos eventualmente realizados com atraso, desde</w:t>
      </w:r>
      <w:r>
        <w:rPr>
          <w:sz w:val="24"/>
          <w:szCs w:val="24"/>
        </w:rPr>
        <w:t xml:space="preserve"> que não decorram de ato ou fato atribuível ao </w:t>
      </w:r>
      <w:r>
        <w:rPr>
          <w:b/>
          <w:bCs/>
          <w:sz w:val="24"/>
          <w:szCs w:val="24"/>
        </w:rPr>
        <w:t>CONTRATADO</w:t>
      </w:r>
      <w:r>
        <w:rPr>
          <w:sz w:val="24"/>
          <w:szCs w:val="24"/>
        </w:rPr>
        <w:t xml:space="preserve">, sofrerão a incidência de atualização monetária e juros de mora pelo IPCA-E, calculado </w:t>
      </w:r>
      <w:r>
        <w:rPr>
          <w:i/>
          <w:sz w:val="24"/>
          <w:szCs w:val="24"/>
        </w:rPr>
        <w:t>pro rata die</w:t>
      </w:r>
      <w:r>
        <w:rPr>
          <w:sz w:val="24"/>
          <w:szCs w:val="24"/>
        </w:rPr>
        <w:t xml:space="preserve">, e aqueles pagos em prazo inferior ao estabelecido no instrumento convocatório serão feitos mediante desconto de 0,5% (um meio por cento) ao mês, calculado </w:t>
      </w:r>
      <w:r>
        <w:rPr>
          <w:i/>
          <w:sz w:val="24"/>
          <w:szCs w:val="24"/>
        </w:rPr>
        <w:t>pro rata die</w:t>
      </w:r>
      <w:r>
        <w:rPr>
          <w:iCs/>
          <w:sz w:val="24"/>
          <w:szCs w:val="24"/>
        </w:rPr>
        <w:t>.</w:t>
      </w:r>
    </w:p>
    <w:p w14:paraId="358316FC">
      <w:pPr>
        <w:spacing w:line="288" w:lineRule="auto"/>
        <w:contextualSpacing/>
        <w:jc w:val="both"/>
        <w:rPr>
          <w:color w:val="000000"/>
          <w:sz w:val="24"/>
          <w:szCs w:val="24"/>
        </w:rPr>
      </w:pPr>
    </w:p>
    <w:p w14:paraId="01157F38">
      <w:pPr>
        <w:spacing w:line="288" w:lineRule="auto"/>
        <w:contextualSpacing/>
        <w:jc w:val="both"/>
        <w:rPr>
          <w:sz w:val="24"/>
          <w:szCs w:val="24"/>
        </w:rPr>
      </w:pPr>
      <w:r>
        <w:rPr>
          <w:color w:val="000000"/>
          <w:sz w:val="24"/>
          <w:szCs w:val="24"/>
        </w:rPr>
        <w:t xml:space="preserve">6.9 </w:t>
      </w:r>
      <w:r>
        <w:rPr>
          <w:sz w:val="24"/>
          <w:szCs w:val="24"/>
        </w:rPr>
        <w:t xml:space="preserve">O </w:t>
      </w:r>
      <w:r>
        <w:rPr>
          <w:b/>
          <w:bCs/>
          <w:sz w:val="24"/>
          <w:szCs w:val="24"/>
        </w:rPr>
        <w:t>CONTRATADO</w:t>
      </w:r>
      <w:r>
        <w:rPr>
          <w:sz w:val="24"/>
          <w:szCs w:val="24"/>
        </w:rPr>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w:t>
      </w:r>
      <w:r>
        <w:rPr>
          <w:iCs/>
          <w:sz w:val="24"/>
          <w:szCs w:val="24"/>
        </w:rPr>
        <w:t>a, b, c, d e e</w:t>
      </w:r>
      <w:r>
        <w:rPr>
          <w:i/>
          <w:sz w:val="24"/>
          <w:szCs w:val="24"/>
        </w:rPr>
        <w:t xml:space="preserve"> </w:t>
      </w:r>
      <w:r>
        <w:rPr>
          <w:sz w:val="24"/>
          <w:szCs w:val="24"/>
        </w:rPr>
        <w:t>do parágrafo 1º do artigo 2º da Resolução SEFAZ nº 971/2016.</w:t>
      </w:r>
    </w:p>
    <w:p w14:paraId="30BE2744">
      <w:pPr>
        <w:spacing w:line="288" w:lineRule="auto"/>
        <w:contextualSpacing/>
        <w:jc w:val="both"/>
        <w:rPr>
          <w:sz w:val="24"/>
          <w:szCs w:val="24"/>
        </w:rPr>
      </w:pPr>
    </w:p>
    <w:p w14:paraId="09F51DB8">
      <w:pPr>
        <w:spacing w:line="288" w:lineRule="auto"/>
        <w:contextualSpacing/>
        <w:jc w:val="both"/>
        <w:rPr>
          <w:sz w:val="24"/>
          <w:szCs w:val="24"/>
        </w:rPr>
      </w:pPr>
      <w:r>
        <w:rPr>
          <w:sz w:val="24"/>
          <w:szCs w:val="24"/>
        </w:rPr>
        <w:t xml:space="preserve">6.10 Caso o Edital admita a subcontratação, os pagamentos aos subcontratados serão realizados diretamente pelo </w:t>
      </w:r>
      <w:r>
        <w:rPr>
          <w:b/>
          <w:bCs/>
          <w:sz w:val="24"/>
          <w:szCs w:val="24"/>
        </w:rPr>
        <w:t>CONTRATADO</w:t>
      </w:r>
      <w:r>
        <w:rPr>
          <w:sz w:val="24"/>
          <w:szCs w:val="24"/>
        </w:rPr>
        <w:t xml:space="preserve">, ficando vedada a emissão de nota de empenho do </w:t>
      </w:r>
      <w:r>
        <w:rPr>
          <w:b/>
          <w:bCs/>
          <w:sz w:val="24"/>
          <w:szCs w:val="24"/>
        </w:rPr>
        <w:t>CONTRATANTE</w:t>
      </w:r>
      <w:r>
        <w:rPr>
          <w:sz w:val="24"/>
          <w:szCs w:val="24"/>
        </w:rPr>
        <w:t xml:space="preserve"> diretamente aos subcontratados. </w:t>
      </w:r>
    </w:p>
    <w:p w14:paraId="1B81DBC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5FD9E8E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6.10.1 A subcontratação porventura realizada será integralmente custeada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45C9BD0D">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76681EC">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SÉTIMA - REAJUSTE </w:t>
      </w:r>
    </w:p>
    <w:p w14:paraId="629331A5">
      <w:pPr>
        <w:spacing w:line="288" w:lineRule="auto"/>
        <w:contextualSpacing/>
        <w:jc w:val="both"/>
        <w:rPr>
          <w:sz w:val="24"/>
          <w:szCs w:val="24"/>
        </w:rPr>
      </w:pPr>
    </w:p>
    <w:p w14:paraId="43E46AE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7.1 Os preços contratados serão reajustados após o interregno de 1 (um) ano, mediante solicitação do </w:t>
      </w:r>
      <w:r>
        <w:rPr>
          <w:rFonts w:ascii="Times New Roman" w:hAnsi="Times New Roman" w:cs="Times New Roman"/>
          <w:b/>
          <w:bCs/>
          <w:sz w:val="24"/>
          <w:szCs w:val="24"/>
        </w:rPr>
        <w:t>CONTRATADO</w:t>
      </w:r>
      <w:r>
        <w:rPr>
          <w:rFonts w:ascii="Times New Roman" w:hAnsi="Times New Roman" w:cs="Times New Roman"/>
          <w:sz w:val="24"/>
          <w:szCs w:val="24"/>
        </w:rPr>
        <w:t>.</w:t>
      </w:r>
    </w:p>
    <w:p w14:paraId="2CE5B8DF">
      <w:pPr>
        <w:pStyle w:val="99"/>
        <w:spacing w:before="0" w:after="0" w:line="288" w:lineRule="auto"/>
        <w:ind w:left="0" w:firstLine="0"/>
        <w:contextualSpacing/>
        <w:rPr>
          <w:rFonts w:ascii="Times New Roman" w:hAnsi="Times New Roman" w:cs="Times New Roman"/>
          <w:sz w:val="24"/>
          <w:szCs w:val="24"/>
        </w:rPr>
      </w:pPr>
    </w:p>
    <w:p w14:paraId="03F2092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7.2 O interregno mínimo de 1 (um) ano para o primeiro reajuste será contado da data do orçamento estimado. </w:t>
      </w:r>
    </w:p>
    <w:p w14:paraId="7755AAE0">
      <w:pPr>
        <w:pStyle w:val="99"/>
        <w:spacing w:before="0" w:after="0" w:line="288" w:lineRule="auto"/>
        <w:ind w:left="0" w:firstLine="0"/>
        <w:contextualSpacing/>
        <w:rPr>
          <w:rFonts w:ascii="Times New Roman" w:hAnsi="Times New Roman" w:cs="Times New Roman"/>
          <w:sz w:val="24"/>
          <w:szCs w:val="24"/>
        </w:rPr>
      </w:pPr>
    </w:p>
    <w:p w14:paraId="2C895CC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7.3 Nos reajustes subsequentes ao primeiro, o interregno mínimo de 1 (um) ano será contado a partir do fato gerador que deu ensejo ao último reajuste.</w:t>
      </w:r>
    </w:p>
    <w:p w14:paraId="2CB9B6AF">
      <w:pPr>
        <w:pStyle w:val="99"/>
        <w:spacing w:before="0" w:after="0" w:line="288" w:lineRule="auto"/>
        <w:ind w:left="0" w:firstLine="0"/>
        <w:contextualSpacing/>
        <w:rPr>
          <w:rFonts w:ascii="Times New Roman" w:hAnsi="Times New Roman" w:cs="Times New Roman"/>
          <w:sz w:val="24"/>
          <w:szCs w:val="24"/>
        </w:rPr>
      </w:pPr>
    </w:p>
    <w:p w14:paraId="6BA2105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7.4 Os preços iniciais serão reajustados, mediante a aplicação, pelo </w:t>
      </w:r>
      <w:r>
        <w:rPr>
          <w:rFonts w:ascii="Times New Roman" w:hAnsi="Times New Roman" w:cs="Times New Roman"/>
          <w:b/>
          <w:bCs/>
          <w:sz w:val="24"/>
          <w:szCs w:val="24"/>
        </w:rPr>
        <w:t>CONTRATANTE</w:t>
      </w:r>
      <w:r>
        <w:rPr>
          <w:rFonts w:ascii="Times New Roman" w:hAnsi="Times New Roman" w:cs="Times New Roman"/>
          <w:sz w:val="24"/>
          <w:szCs w:val="24"/>
        </w:rPr>
        <w:t>, do índice IPCA-E</w:t>
      </w:r>
      <w:r>
        <w:rPr>
          <w:rFonts w:ascii="Times New Roman" w:hAnsi="Times New Roman" w:cs="Times New Roman"/>
          <w:i/>
          <w:iCs/>
          <w:sz w:val="24"/>
          <w:szCs w:val="24"/>
        </w:rPr>
        <w:t>,</w:t>
      </w:r>
      <w:r>
        <w:rPr>
          <w:rFonts w:ascii="Times New Roman" w:hAnsi="Times New Roman" w:cs="Times New Roman"/>
          <w:sz w:val="24"/>
          <w:szCs w:val="24"/>
        </w:rPr>
        <w:t xml:space="preserve"> exclusivamente para as obrigações </w:t>
      </w:r>
      <w:r>
        <w:rPr>
          <w:rFonts w:ascii="Times New Roman" w:hAnsi="Times New Roman" w:cs="Times New Roman"/>
          <w:color w:val="auto"/>
          <w:sz w:val="24"/>
          <w:szCs w:val="24"/>
        </w:rPr>
        <w:t>que se iniciem após a anualidade</w:t>
      </w:r>
      <w:r>
        <w:rPr>
          <w:rFonts w:ascii="Times New Roman" w:hAnsi="Times New Roman" w:cs="Times New Roman"/>
          <w:sz w:val="24"/>
          <w:szCs w:val="24"/>
        </w:rPr>
        <w:t>.</w:t>
      </w:r>
    </w:p>
    <w:p w14:paraId="435ADA36">
      <w:pPr>
        <w:pStyle w:val="99"/>
        <w:spacing w:before="0" w:after="0" w:line="288" w:lineRule="auto"/>
        <w:ind w:left="0" w:firstLine="0"/>
        <w:contextualSpacing/>
        <w:rPr>
          <w:rFonts w:ascii="Times New Roman" w:hAnsi="Times New Roman" w:cs="Times New Roman"/>
          <w:sz w:val="24"/>
          <w:szCs w:val="24"/>
        </w:rPr>
      </w:pPr>
    </w:p>
    <w:p w14:paraId="0F72316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 No caso de atraso ou não divulgação do(s) índice(s) de reajustamento, o </w:t>
      </w:r>
      <w:r>
        <w:rPr>
          <w:rFonts w:ascii="Times New Roman" w:hAnsi="Times New Roman" w:cs="Times New Roman"/>
          <w:b/>
          <w:bCs/>
          <w:sz w:val="24"/>
          <w:szCs w:val="24"/>
        </w:rPr>
        <w:t>CONTRATANTE</w:t>
      </w:r>
      <w:r>
        <w:rPr>
          <w:rFonts w:ascii="Times New Roman" w:hAnsi="Times New Roman" w:cs="Times New Roman"/>
          <w:sz w:val="24"/>
          <w:szCs w:val="24"/>
        </w:rPr>
        <w:t xml:space="preserve"> pagará ao </w:t>
      </w:r>
      <w:r>
        <w:rPr>
          <w:rFonts w:ascii="Times New Roman" w:hAnsi="Times New Roman" w:cs="Times New Roman"/>
          <w:b/>
          <w:bCs/>
          <w:sz w:val="24"/>
          <w:szCs w:val="24"/>
        </w:rPr>
        <w:t>CONTRATADO</w:t>
      </w:r>
      <w:r>
        <w:rPr>
          <w:rFonts w:ascii="Times New Roman" w:hAnsi="Times New Roman" w:cs="Times New Roman"/>
          <w:sz w:val="24"/>
          <w:szCs w:val="24"/>
        </w:rPr>
        <w:t xml:space="preserve"> a importância calculada pela última variação conhecida, liquidando a diferença correspondente tão logo seja(m) divulgado(s) o(s) índice(s) definitivo(s). </w:t>
      </w:r>
    </w:p>
    <w:p w14:paraId="2ADDB91F">
      <w:pPr>
        <w:pStyle w:val="99"/>
        <w:spacing w:before="0" w:after="0" w:line="288" w:lineRule="auto"/>
        <w:ind w:left="0" w:firstLine="0"/>
        <w:contextualSpacing/>
        <w:rPr>
          <w:rFonts w:ascii="Times New Roman" w:hAnsi="Times New Roman" w:cs="Times New Roman"/>
          <w:sz w:val="24"/>
          <w:szCs w:val="24"/>
        </w:rPr>
      </w:pPr>
    </w:p>
    <w:p w14:paraId="1713B46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7.5.1 Fica o </w:t>
      </w:r>
      <w:r>
        <w:rPr>
          <w:rFonts w:ascii="Times New Roman" w:hAnsi="Times New Roman" w:cs="Times New Roman"/>
          <w:b/>
          <w:bCs/>
          <w:sz w:val="24"/>
          <w:szCs w:val="24"/>
        </w:rPr>
        <w:t>CONTRATADO</w:t>
      </w:r>
      <w:r>
        <w:rPr>
          <w:rFonts w:ascii="Times New Roman" w:hAnsi="Times New Roman" w:cs="Times New Roman"/>
          <w:sz w:val="24"/>
          <w:szCs w:val="24"/>
        </w:rPr>
        <w:t xml:space="preserve"> obrigado a apresentar memória de cálculo referente ao reajustamento de preços do valor remanescente, sempre que este ocorrer, sendo adotado na aferição final o índice definitivo.</w:t>
      </w:r>
    </w:p>
    <w:p w14:paraId="69FC9A99">
      <w:pPr>
        <w:pStyle w:val="99"/>
        <w:spacing w:before="0" w:after="0" w:line="288" w:lineRule="auto"/>
        <w:ind w:left="0" w:firstLine="0"/>
        <w:contextualSpacing/>
        <w:rPr>
          <w:rFonts w:ascii="Times New Roman" w:hAnsi="Times New Roman" w:cs="Times New Roman"/>
          <w:sz w:val="24"/>
          <w:szCs w:val="24"/>
        </w:rPr>
      </w:pPr>
    </w:p>
    <w:p w14:paraId="1AC3CED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7.6 Caso o(s) índice(s) estabelecido(s) para reajustamento venha(m) a ser extinto(s) ou de qualquer forma não possa(m) mais ser utilizado(s), será(ão) adotado(s), em substituição, o(s) que vier(em) a ser determinado(s) pela legislação então em vigor.</w:t>
      </w:r>
    </w:p>
    <w:p w14:paraId="64E350EB">
      <w:pPr>
        <w:pStyle w:val="99"/>
        <w:spacing w:before="0" w:after="0" w:line="288" w:lineRule="auto"/>
        <w:ind w:left="0" w:firstLine="0"/>
        <w:contextualSpacing/>
        <w:rPr>
          <w:rFonts w:ascii="Times New Roman" w:hAnsi="Times New Roman" w:cs="Times New Roman"/>
          <w:sz w:val="24"/>
          <w:szCs w:val="24"/>
        </w:rPr>
      </w:pPr>
    </w:p>
    <w:p w14:paraId="7FA42B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7.7 Na ausência de previsão legal quanto ao índice substituto, as partes elegerão novo índice oficial, para reajustamento do preço do valor remanescente, por meio de termo aditivo.</w:t>
      </w:r>
    </w:p>
    <w:p w14:paraId="5821D4B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24E9BF8E">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7.8 O pedido de reajuste deverá ser formulado durante a vigência do Contrato e antes de eventual prorrogação contratual, sob pena de preclusão.</w:t>
      </w:r>
    </w:p>
    <w:p w14:paraId="36666CF9">
      <w:pPr>
        <w:spacing w:after="160" w:line="288" w:lineRule="auto"/>
        <w:contextualSpacing/>
        <w:jc w:val="both"/>
        <w:rPr>
          <w:sz w:val="24"/>
          <w:szCs w:val="24"/>
        </w:rPr>
      </w:pPr>
    </w:p>
    <w:p w14:paraId="126F63C0">
      <w:pPr>
        <w:spacing w:after="160" w:line="288" w:lineRule="auto"/>
        <w:contextualSpacing/>
        <w:jc w:val="both"/>
        <w:rPr>
          <w:sz w:val="24"/>
          <w:szCs w:val="24"/>
        </w:rPr>
      </w:pPr>
      <w:r>
        <w:rPr>
          <w:sz w:val="24"/>
          <w:szCs w:val="24"/>
        </w:rPr>
        <w:t>7.8.1 Os efeitos financeiros do pedido de reajuste serão contados:</w:t>
      </w:r>
    </w:p>
    <w:p w14:paraId="565287AD">
      <w:pPr>
        <w:spacing w:line="288" w:lineRule="auto"/>
        <w:contextualSpacing/>
        <w:jc w:val="both"/>
        <w:rPr>
          <w:sz w:val="24"/>
          <w:szCs w:val="24"/>
        </w:rPr>
      </w:pPr>
      <w:r>
        <w:rPr>
          <w:sz w:val="24"/>
          <w:szCs w:val="24"/>
        </w:rPr>
        <w:t>a) da data-base prevista no Contrato, desde que requerido o reajuste no prazo de 60 (sessenta) dias da data de publicação do índice ajustado contratualmente;</w:t>
      </w:r>
    </w:p>
    <w:p w14:paraId="372BEA44">
      <w:pPr>
        <w:spacing w:line="288" w:lineRule="auto"/>
        <w:ind w:left="40"/>
        <w:contextualSpacing/>
        <w:jc w:val="both"/>
        <w:rPr>
          <w:sz w:val="24"/>
          <w:szCs w:val="24"/>
        </w:rPr>
      </w:pPr>
      <w:r>
        <w:rPr>
          <w:sz w:val="24"/>
          <w:szCs w:val="24"/>
        </w:rPr>
        <w:t xml:space="preserve">b) a partir da data do requerimento do </w:t>
      </w:r>
      <w:r>
        <w:rPr>
          <w:b/>
          <w:bCs/>
          <w:sz w:val="24"/>
          <w:szCs w:val="24"/>
        </w:rPr>
        <w:t>CONTRATADO</w:t>
      </w:r>
      <w:r>
        <w:rPr>
          <w:sz w:val="24"/>
          <w:szCs w:val="24"/>
        </w:rPr>
        <w:t xml:space="preserve">, caso o pedido seja formulado após o prazo fixado na alínea </w:t>
      </w:r>
      <w:r>
        <w:rPr>
          <w:sz w:val="24"/>
          <w:szCs w:val="24"/>
          <w:u w:val="single"/>
        </w:rPr>
        <w:t>a</w:t>
      </w:r>
      <w:r>
        <w:rPr>
          <w:sz w:val="24"/>
          <w:szCs w:val="24"/>
        </w:rPr>
        <w:t>, acima, o que não acarretará a alteração do marco para cômputo da anualidade do reajustamento, já adotado no Edital e no Contrato.</w:t>
      </w:r>
    </w:p>
    <w:p w14:paraId="2AC6F431">
      <w:pPr>
        <w:spacing w:line="288" w:lineRule="auto"/>
        <w:ind w:left="40"/>
        <w:contextualSpacing/>
        <w:jc w:val="both"/>
        <w:rPr>
          <w:sz w:val="24"/>
          <w:szCs w:val="24"/>
        </w:rPr>
      </w:pPr>
    </w:p>
    <w:p w14:paraId="2D92CC33">
      <w:pPr>
        <w:spacing w:line="288" w:lineRule="auto"/>
        <w:ind w:left="40"/>
        <w:contextualSpacing/>
        <w:jc w:val="both"/>
        <w:rPr>
          <w:sz w:val="24"/>
          <w:szCs w:val="24"/>
        </w:rPr>
      </w:pPr>
      <w:r>
        <w:rPr>
          <w:sz w:val="24"/>
          <w:szCs w:val="24"/>
        </w:rPr>
        <w:t xml:space="preserve">7.9 Caso, na data de eventual prorrogação contratual, ainda não tenha sido divulgado o índice de reajuste, deverá, a requerimento do </w:t>
      </w:r>
      <w:r>
        <w:rPr>
          <w:b/>
          <w:bCs/>
          <w:sz w:val="24"/>
          <w:szCs w:val="24"/>
        </w:rPr>
        <w:t>CONTRATADO</w:t>
      </w:r>
      <w:r>
        <w:rPr>
          <w:sz w:val="24"/>
          <w:szCs w:val="24"/>
        </w:rPr>
        <w:t xml:space="preserve">, ser inserida cláusula no termo aditivo de prorrogação para resguardar o direito futuro do </w:t>
      </w:r>
      <w:r>
        <w:rPr>
          <w:b/>
          <w:bCs/>
          <w:sz w:val="24"/>
          <w:szCs w:val="24"/>
        </w:rPr>
        <w:t>CONTRATADO</w:t>
      </w:r>
      <w:r>
        <w:rPr>
          <w:sz w:val="24"/>
          <w:szCs w:val="24"/>
        </w:rPr>
        <w:t>, a ser exercido tão logo se disponha dos valores reajustados, sob pena de preclusão.</w:t>
      </w:r>
    </w:p>
    <w:p w14:paraId="73B0968B">
      <w:pPr>
        <w:spacing w:line="288" w:lineRule="auto"/>
        <w:ind w:left="40"/>
        <w:contextualSpacing/>
        <w:jc w:val="both"/>
        <w:rPr>
          <w:sz w:val="24"/>
          <w:szCs w:val="24"/>
        </w:rPr>
      </w:pPr>
    </w:p>
    <w:p w14:paraId="588C406A">
      <w:pPr>
        <w:spacing w:line="288" w:lineRule="auto"/>
        <w:ind w:left="40"/>
        <w:contextualSpacing/>
        <w:jc w:val="both"/>
        <w:rPr>
          <w:sz w:val="24"/>
          <w:szCs w:val="24"/>
        </w:rPr>
      </w:pPr>
      <w:r>
        <w:rPr>
          <w:sz w:val="24"/>
          <w:szCs w:val="24"/>
        </w:rPr>
        <w:t>7.10 A extinção do Contrato não configurará óbice para o deferimento do reajuste solicitado tempestivamente, hipótese em que será concedido por meio de termo indenizatório.</w:t>
      </w:r>
    </w:p>
    <w:p w14:paraId="17900E55">
      <w:pPr>
        <w:pStyle w:val="99"/>
        <w:spacing w:before="0" w:after="0" w:line="288" w:lineRule="auto"/>
        <w:ind w:left="0" w:firstLine="0"/>
        <w:contextualSpacing/>
        <w:rPr>
          <w:rFonts w:ascii="Times New Roman" w:hAnsi="Times New Roman" w:cs="Times New Roman"/>
          <w:sz w:val="24"/>
          <w:szCs w:val="24"/>
        </w:rPr>
      </w:pPr>
    </w:p>
    <w:p w14:paraId="0C8294F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7.11 O reajuste será realizado por apostilamento, se esta for a única alteração contratual a ser realizada.</w:t>
      </w:r>
    </w:p>
    <w:p w14:paraId="0899A984">
      <w:pPr>
        <w:pStyle w:val="99"/>
        <w:spacing w:before="0" w:after="0" w:line="288" w:lineRule="auto"/>
        <w:ind w:left="0" w:firstLine="0"/>
        <w:contextualSpacing/>
        <w:rPr>
          <w:rFonts w:ascii="Times New Roman" w:hAnsi="Times New Roman" w:cs="Times New Roman"/>
          <w:color w:val="auto"/>
          <w:sz w:val="24"/>
          <w:szCs w:val="24"/>
        </w:rPr>
      </w:pPr>
    </w:p>
    <w:p w14:paraId="0A08E202">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7.12 O reajuste de preços não interfere no direito das partes de solicitar, a qualquer momento, a manutenção do equilíbrio econômico dos contratos com base no disposto no art. 124, inciso II, alínea d, da Lei nº 14.133/2021. </w:t>
      </w:r>
    </w:p>
    <w:p w14:paraId="11D30AEC">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6856A8F1">
      <w:pPr>
        <w:pStyle w:val="108"/>
        <w:numPr>
          <w:ilvl w:val="0"/>
          <w:numId w:val="0"/>
        </w:numPr>
        <w:spacing w:before="0" w:after="0" w:line="288" w:lineRule="auto"/>
        <w:contextualSpacing/>
        <w:rPr>
          <w:rFonts w:ascii="Times New Roman" w:hAnsi="Times New Roman" w:cs="Times New Roman"/>
          <w:b/>
          <w:bCs/>
          <w:i w:val="0"/>
          <w:iCs w:val="0"/>
          <w:color w:val="auto"/>
          <w:sz w:val="24"/>
          <w:szCs w:val="24"/>
        </w:rPr>
      </w:pPr>
      <w:r>
        <w:rPr>
          <w:rFonts w:ascii="Times New Roman" w:hAnsi="Times New Roman" w:cs="Times New Roman"/>
          <w:b/>
          <w:bCs/>
          <w:i w:val="0"/>
          <w:iCs w:val="0"/>
          <w:color w:val="auto"/>
          <w:sz w:val="24"/>
          <w:szCs w:val="24"/>
        </w:rPr>
        <w:t>CLÁUSULA OITAVA – OBRIGAÇÕES DO CONTRATANTE</w:t>
      </w:r>
    </w:p>
    <w:p w14:paraId="5F9C220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3D17541">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 São obrigações do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w:t>
      </w:r>
    </w:p>
    <w:p w14:paraId="158BFFE1">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36E4163B">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8.1.1 Exigir o cumprimento de todas as obrigações assumidas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de acordo com o Contrato e seus Anexos.</w:t>
      </w:r>
    </w:p>
    <w:p w14:paraId="6735B7D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2D9935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8.1.2 Receber o objeto no prazo e condições estabelecidas no Termo de Referência.</w:t>
      </w:r>
    </w:p>
    <w:p w14:paraId="3FF7005F">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01D60F1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8.1.3 Notificar 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 por escrito, sobre vícios, defeitos ou incorreções verificadas no objeto fornecido, para que seja por ele substituído, reparado ou corrigido, no total ou em parte, às suas expensas.</w:t>
      </w:r>
    </w:p>
    <w:p w14:paraId="0C0D78EA">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BE46C24">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8.1.4 Acompanhar e fiscalizar a execução do Contrato e o cumprimento das obrigações pelo </w:t>
      </w:r>
      <w:r>
        <w:rPr>
          <w:rFonts w:ascii="Times New Roman" w:hAnsi="Times New Roman" w:cs="Times New Roman"/>
          <w:b/>
          <w:bCs/>
          <w:i w:val="0"/>
          <w:iCs w:val="0"/>
          <w:color w:val="auto"/>
          <w:sz w:val="24"/>
          <w:szCs w:val="24"/>
        </w:rPr>
        <w:t>CONTRATADO</w:t>
      </w:r>
      <w:r>
        <w:rPr>
          <w:rFonts w:ascii="Times New Roman" w:hAnsi="Times New Roman" w:cs="Times New Roman"/>
          <w:i w:val="0"/>
          <w:iCs w:val="0"/>
          <w:color w:val="auto"/>
          <w:sz w:val="24"/>
          <w:szCs w:val="24"/>
        </w:rPr>
        <w:t>.</w:t>
      </w:r>
    </w:p>
    <w:p w14:paraId="0515AEB0">
      <w:pPr>
        <w:pStyle w:val="101"/>
        <w:spacing w:before="0" w:line="288" w:lineRule="auto"/>
        <w:ind w:left="0" w:firstLine="0"/>
        <w:contextualSpacing/>
        <w:rPr>
          <w:rFonts w:ascii="Times New Roman" w:hAnsi="Times New Roman" w:cs="Times New Roman"/>
          <w:b w:val="0"/>
          <w:bCs w:val="0"/>
          <w:sz w:val="24"/>
          <w:szCs w:val="24"/>
        </w:rPr>
      </w:pPr>
    </w:p>
    <w:p w14:paraId="2BDB45D1">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8.1.5 Comunicar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 \l "art143" </w:instrText>
      </w:r>
      <w:r>
        <w:fldChar w:fldCharType="separate"/>
      </w:r>
      <w:r>
        <w:rPr>
          <w:rStyle w:val="16"/>
          <w:rFonts w:ascii="Times New Roman" w:hAnsi="Times New Roman" w:cs="Times New Roman" w:eastAsiaTheme="minorHAnsi"/>
          <w:b w:val="0"/>
          <w:bCs w:val="0"/>
          <w:sz w:val="24"/>
          <w:szCs w:val="24"/>
        </w:rPr>
        <w:t>art. 143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6123F64">
      <w:pPr>
        <w:pStyle w:val="101"/>
        <w:spacing w:before="0" w:line="288" w:lineRule="auto"/>
        <w:ind w:left="0" w:firstLine="0"/>
        <w:contextualSpacing/>
        <w:rPr>
          <w:rFonts w:ascii="Times New Roman" w:hAnsi="Times New Roman" w:cs="Times New Roman"/>
          <w:b w:val="0"/>
          <w:bCs w:val="0"/>
          <w:sz w:val="24"/>
          <w:szCs w:val="24"/>
        </w:rPr>
      </w:pPr>
    </w:p>
    <w:p w14:paraId="55169859">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8.1.6 Efetuar o pagamento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do valor correspondente ao fornecimento do objeto, no prazo, forma e condições estabelecidos no presente Contrato.</w:t>
      </w:r>
    </w:p>
    <w:p w14:paraId="5EDF70F0">
      <w:pPr>
        <w:pStyle w:val="101"/>
        <w:spacing w:before="0" w:line="288" w:lineRule="auto"/>
        <w:ind w:left="0" w:firstLine="0"/>
        <w:contextualSpacing/>
        <w:rPr>
          <w:rFonts w:ascii="Times New Roman" w:hAnsi="Times New Roman" w:cs="Times New Roman"/>
          <w:b w:val="0"/>
          <w:bCs w:val="0"/>
          <w:sz w:val="24"/>
          <w:szCs w:val="24"/>
        </w:rPr>
      </w:pPr>
    </w:p>
    <w:p w14:paraId="3CFC82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8.1.7 Aplicar ao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sanções motivadas pela inexecução total ou parcial das obrigações contratuais, na forma prevista na lei e neste Contrato.</w:t>
      </w:r>
    </w:p>
    <w:p w14:paraId="3E2838A1">
      <w:pPr>
        <w:pStyle w:val="99"/>
        <w:spacing w:before="0" w:after="0" w:line="288" w:lineRule="auto"/>
        <w:ind w:left="0" w:firstLine="0"/>
        <w:contextualSpacing/>
        <w:rPr>
          <w:rFonts w:ascii="Times New Roman" w:hAnsi="Times New Roman" w:cs="Times New Roman"/>
          <w:sz w:val="24"/>
          <w:szCs w:val="24"/>
        </w:rPr>
      </w:pPr>
    </w:p>
    <w:p w14:paraId="28114C2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8.1.8 Dar ciência à Assessoria Jurídica do órgão ou entidade para as providências junto à Procuradoria Geral do Município, com vistas à adoção de eventuais medidas judiciais, em caso de descumprimento de obrigações pelo </w:t>
      </w:r>
      <w:r>
        <w:rPr>
          <w:rFonts w:ascii="Times New Roman" w:hAnsi="Times New Roman" w:cs="Times New Roman"/>
          <w:b/>
          <w:bCs/>
          <w:sz w:val="24"/>
          <w:szCs w:val="24"/>
        </w:rPr>
        <w:t>CONTRATADO</w:t>
      </w:r>
      <w:r>
        <w:rPr>
          <w:rFonts w:ascii="Times New Roman" w:hAnsi="Times New Roman" w:cs="Times New Roman"/>
          <w:sz w:val="24"/>
          <w:szCs w:val="24"/>
        </w:rPr>
        <w:t>.</w:t>
      </w:r>
    </w:p>
    <w:p w14:paraId="3AA47CCB">
      <w:pPr>
        <w:pStyle w:val="99"/>
        <w:spacing w:before="0" w:after="0" w:line="288" w:lineRule="auto"/>
        <w:ind w:left="0" w:firstLine="0"/>
        <w:contextualSpacing/>
        <w:rPr>
          <w:rFonts w:ascii="Times New Roman" w:hAnsi="Times New Roman" w:cs="Times New Roman"/>
          <w:sz w:val="24"/>
          <w:szCs w:val="24"/>
        </w:rPr>
      </w:pPr>
    </w:p>
    <w:p w14:paraId="535449CB">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8.1.9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639FC69D">
      <w:pPr>
        <w:pStyle w:val="99"/>
        <w:spacing w:before="0" w:after="0" w:line="288" w:lineRule="auto"/>
        <w:ind w:left="0" w:firstLine="0"/>
        <w:contextualSpacing/>
        <w:rPr>
          <w:rFonts w:ascii="Times New Roman" w:hAnsi="Times New Roman" w:cs="Times New Roman"/>
          <w:sz w:val="24"/>
          <w:szCs w:val="24"/>
        </w:rPr>
      </w:pPr>
    </w:p>
    <w:p w14:paraId="0393550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8.1.9.1 O </w:t>
      </w:r>
      <w:r>
        <w:rPr>
          <w:rFonts w:ascii="Times New Roman" w:hAnsi="Times New Roman" w:cs="Times New Roman"/>
          <w:b/>
          <w:bCs/>
          <w:sz w:val="24"/>
          <w:szCs w:val="24"/>
        </w:rPr>
        <w:t>CONTRATANTE</w:t>
      </w:r>
      <w:r>
        <w:rPr>
          <w:rFonts w:ascii="Times New Roman" w:hAnsi="Times New Roman" w:cs="Times New Roman"/>
          <w:sz w:val="24"/>
          <w:szCs w:val="24"/>
        </w:rPr>
        <w:t xml:space="preserve"> terá o prazo de 1 (um) mês, a contar da data do protocolo do requerimento, para decidir, admitida a prorrogação motivada, por igual período. </w:t>
      </w:r>
    </w:p>
    <w:p w14:paraId="46316E71">
      <w:pPr>
        <w:pStyle w:val="99"/>
        <w:spacing w:before="0" w:after="0" w:line="288" w:lineRule="auto"/>
        <w:ind w:left="0" w:firstLine="0"/>
        <w:contextualSpacing/>
        <w:rPr>
          <w:rFonts w:ascii="Times New Roman" w:hAnsi="Times New Roman" w:cs="Times New Roman"/>
          <w:sz w:val="24"/>
          <w:szCs w:val="24"/>
        </w:rPr>
      </w:pPr>
    </w:p>
    <w:p w14:paraId="7166C5C8">
      <w:pPr>
        <w:pStyle w:val="99"/>
        <w:spacing w:before="0" w:after="0" w:line="288" w:lineRule="auto"/>
        <w:ind w:left="0"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sz w:val="24"/>
          <w:szCs w:val="24"/>
        </w:rPr>
        <w:t xml:space="preserve">8.1.10 Responder aos eventuais pedidos de reestabelecimento do equilíbrio econômico-financeiro feitos pelo </w:t>
      </w:r>
      <w:r>
        <w:rPr>
          <w:rFonts w:ascii="Times New Roman" w:hAnsi="Times New Roman" w:cs="Times New Roman"/>
          <w:b/>
          <w:bCs/>
          <w:sz w:val="24"/>
          <w:szCs w:val="24"/>
        </w:rPr>
        <w:t>CONTRATADO</w:t>
      </w:r>
      <w:r>
        <w:rPr>
          <w:rFonts w:ascii="Times New Roman" w:hAnsi="Times New Roman" w:cs="Times New Roman"/>
          <w:sz w:val="24"/>
          <w:szCs w:val="24"/>
        </w:rPr>
        <w:t xml:space="preserve"> no prazo máximo de </w:t>
      </w:r>
      <w:r>
        <w:rPr>
          <w:rFonts w:ascii="Times New Roman" w:hAnsi="Times New Roman" w:cs="Times New Roman"/>
          <w:color w:val="000000" w:themeColor="text1"/>
          <w:sz w:val="24"/>
          <w:szCs w:val="24"/>
          <w14:textFill>
            <w14:solidFill>
              <w14:schemeClr w14:val="tx1"/>
            </w14:solidFill>
          </w14:textFill>
        </w:rPr>
        <w:t>45 (quarenta e cinco) dias, admitida a prorrogação motivada, por uma única vez, por igual período.</w:t>
      </w:r>
    </w:p>
    <w:p w14:paraId="0EBE769B">
      <w:pPr>
        <w:pStyle w:val="99"/>
        <w:spacing w:before="0" w:after="0" w:line="288" w:lineRule="auto"/>
        <w:ind w:left="0" w:firstLine="0"/>
        <w:contextualSpacing/>
        <w:rPr>
          <w:rFonts w:ascii="Times New Roman" w:hAnsi="Times New Roman" w:cs="Times New Roman"/>
          <w:color w:val="FF0000"/>
          <w:sz w:val="24"/>
          <w:szCs w:val="24"/>
        </w:rPr>
      </w:pPr>
    </w:p>
    <w:p w14:paraId="3BD8CFFB">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8.1.11 Notificar os emitentes das garantias quanto ao início de processo administrativo para apuração de descumprimento de cláusulas contratuais, na forma do art. 137, § 4º, da Lei nº 14.133/2021.</w:t>
      </w:r>
    </w:p>
    <w:p w14:paraId="07AFA874">
      <w:pPr>
        <w:pStyle w:val="99"/>
        <w:spacing w:before="0" w:after="0" w:line="288" w:lineRule="auto"/>
        <w:ind w:left="0" w:firstLine="0"/>
        <w:contextualSpacing/>
        <w:rPr>
          <w:rFonts w:ascii="Times New Roman" w:hAnsi="Times New Roman" w:cs="Times New Roman"/>
          <w:sz w:val="24"/>
          <w:szCs w:val="24"/>
        </w:rPr>
      </w:pPr>
    </w:p>
    <w:p w14:paraId="78DE1C9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8.1.12 A Administração não responderá por quaisquer compromissos assumidos pelo </w:t>
      </w:r>
      <w:r>
        <w:rPr>
          <w:rFonts w:ascii="Times New Roman" w:hAnsi="Times New Roman" w:cs="Times New Roman"/>
          <w:b/>
          <w:bCs/>
          <w:sz w:val="24"/>
          <w:szCs w:val="24"/>
        </w:rPr>
        <w:t>CONTRATADO</w:t>
      </w:r>
      <w:r>
        <w:rPr>
          <w:rFonts w:ascii="Times New Roman" w:hAnsi="Times New Roman" w:cs="Times New Roman"/>
          <w:sz w:val="24"/>
          <w:szCs w:val="24"/>
        </w:rPr>
        <w:t xml:space="preserve"> perante terceiros, ainda que vinculados à execução do Contrato, bem como por qualquer dano causado a terceiros em decorrência de ato do </w:t>
      </w:r>
      <w:r>
        <w:rPr>
          <w:rFonts w:ascii="Times New Roman" w:hAnsi="Times New Roman" w:cs="Times New Roman"/>
          <w:b/>
          <w:bCs/>
          <w:sz w:val="24"/>
          <w:szCs w:val="24"/>
        </w:rPr>
        <w:t>CONTRATADO</w:t>
      </w:r>
      <w:r>
        <w:rPr>
          <w:rFonts w:ascii="Times New Roman" w:hAnsi="Times New Roman" w:cs="Times New Roman"/>
          <w:sz w:val="24"/>
          <w:szCs w:val="24"/>
        </w:rPr>
        <w:t>, de seus empregados, prepostos ou subordinados.</w:t>
      </w:r>
    </w:p>
    <w:p w14:paraId="7BFAC9E1">
      <w:pPr>
        <w:spacing w:line="288" w:lineRule="auto"/>
        <w:contextualSpacing/>
        <w:jc w:val="both"/>
        <w:rPr>
          <w:sz w:val="24"/>
          <w:szCs w:val="24"/>
        </w:rPr>
      </w:pPr>
    </w:p>
    <w:p w14:paraId="5F1FA975">
      <w:pPr>
        <w:spacing w:line="288" w:lineRule="auto"/>
        <w:contextualSpacing/>
        <w:jc w:val="both"/>
        <w:rPr>
          <w:sz w:val="24"/>
          <w:szCs w:val="24"/>
        </w:rPr>
      </w:pPr>
      <w:r>
        <w:rPr>
          <w:sz w:val="24"/>
          <w:szCs w:val="24"/>
        </w:rPr>
        <w:t xml:space="preserve">8.1.13 O presente Contrato não configura vínculo empregatício entre os trabalhadores ou sócios do </w:t>
      </w:r>
      <w:r>
        <w:rPr>
          <w:b/>
          <w:bCs/>
          <w:sz w:val="24"/>
          <w:szCs w:val="24"/>
        </w:rPr>
        <w:t>CONTRATADO</w:t>
      </w:r>
      <w:r>
        <w:rPr>
          <w:sz w:val="24"/>
          <w:szCs w:val="24"/>
        </w:rPr>
        <w:t xml:space="preserve"> e o </w:t>
      </w:r>
      <w:r>
        <w:rPr>
          <w:b/>
          <w:bCs/>
          <w:sz w:val="24"/>
          <w:szCs w:val="24"/>
        </w:rPr>
        <w:t>CONTRATANTE</w:t>
      </w:r>
      <w:r>
        <w:rPr>
          <w:sz w:val="24"/>
          <w:szCs w:val="24"/>
        </w:rPr>
        <w:t>.</w:t>
      </w:r>
    </w:p>
    <w:p w14:paraId="5CB4DCEC">
      <w:pPr>
        <w:spacing w:line="288" w:lineRule="auto"/>
        <w:contextualSpacing/>
        <w:jc w:val="both"/>
        <w:rPr>
          <w:sz w:val="24"/>
          <w:szCs w:val="24"/>
        </w:rPr>
      </w:pPr>
    </w:p>
    <w:p w14:paraId="218C2766">
      <w:pPr>
        <w:pStyle w:val="101"/>
        <w:spacing w:before="0" w:line="288" w:lineRule="auto"/>
        <w:ind w:left="0" w:firstLine="0"/>
        <w:contextualSpacing/>
        <w:rPr>
          <w:rStyle w:val="16"/>
          <w:rFonts w:ascii="Times New Roman" w:hAnsi="Times New Roman" w:cs="Times New Roman" w:eastAsiaTheme="minorHAnsi"/>
          <w:b w:val="0"/>
          <w:bCs w:val="0"/>
          <w:sz w:val="24"/>
          <w:szCs w:val="24"/>
        </w:rPr>
      </w:pPr>
      <w:r>
        <w:rPr>
          <w:rFonts w:ascii="Times New Roman" w:hAnsi="Times New Roman" w:cs="Times New Roman"/>
          <w:sz w:val="24"/>
          <w:szCs w:val="24"/>
        </w:rPr>
        <w:t xml:space="preserve">CLÁUSULA NONA – OBRIGAÇÕES DO CONTRATADO </w:t>
      </w:r>
    </w:p>
    <w:p w14:paraId="18D0297B">
      <w:pPr>
        <w:spacing w:line="288" w:lineRule="auto"/>
        <w:contextualSpacing/>
        <w:rPr>
          <w:sz w:val="24"/>
          <w:szCs w:val="24"/>
        </w:rPr>
      </w:pPr>
    </w:p>
    <w:p w14:paraId="04D41AB8">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 xml:space="preserve">9.1 O </w:t>
      </w:r>
      <w:r>
        <w:rPr>
          <w:rFonts w:ascii="Times New Roman" w:hAnsi="Times New Roman" w:cs="Times New Roman"/>
          <w:sz w:val="24"/>
          <w:szCs w:val="24"/>
        </w:rPr>
        <w:t>CONTRATADO</w:t>
      </w:r>
      <w:r>
        <w:rPr>
          <w:rFonts w:ascii="Times New Roman" w:hAnsi="Times New Roman" w:cs="Times New Roman"/>
          <w:b w:val="0"/>
          <w:bCs w:val="0"/>
          <w:sz w:val="24"/>
          <w:szCs w:val="24"/>
        </w:rPr>
        <w:t xml:space="preserve"> deverá cumprir todas as obrigações constantes deste Contrato e em seus Anexos, assumindo como exclusivamente seus os riscos e as despesas decorrentes da boa e perfeita execução do objeto, observando, ainda, as obrigações a seguir dispostas:</w:t>
      </w:r>
    </w:p>
    <w:p w14:paraId="5811BFD0">
      <w:pPr>
        <w:pStyle w:val="101"/>
        <w:spacing w:before="0" w:line="288" w:lineRule="auto"/>
        <w:ind w:left="0" w:firstLine="0"/>
        <w:contextualSpacing/>
        <w:rPr>
          <w:rFonts w:ascii="Times New Roman" w:hAnsi="Times New Roman" w:cs="Times New Roman"/>
          <w:b w:val="0"/>
          <w:bCs w:val="0"/>
          <w:sz w:val="24"/>
          <w:szCs w:val="24"/>
        </w:rPr>
      </w:pPr>
    </w:p>
    <w:p w14:paraId="3BF86687">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9.1.1 Entregar o objeto acompanhado, se for o caso, do manual do usuário, com uma versão em português, e da relação da rede de assistência técnica autorizada.</w:t>
      </w:r>
    </w:p>
    <w:p w14:paraId="43822C53">
      <w:pPr>
        <w:pStyle w:val="99"/>
        <w:spacing w:before="0" w:after="0" w:line="288" w:lineRule="auto"/>
        <w:ind w:left="0" w:firstLine="0"/>
        <w:contextualSpacing/>
        <w:rPr>
          <w:rFonts w:ascii="Times New Roman" w:hAnsi="Times New Roman" w:cs="Times New Roman"/>
          <w:sz w:val="24"/>
          <w:szCs w:val="24"/>
        </w:rPr>
      </w:pPr>
    </w:p>
    <w:p w14:paraId="73EB397A">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 Comunicar ao </w:t>
      </w:r>
      <w:r>
        <w:rPr>
          <w:rFonts w:ascii="Times New Roman" w:hAnsi="Times New Roman" w:cs="Times New Roman"/>
          <w:b/>
          <w:bCs/>
          <w:sz w:val="24"/>
          <w:szCs w:val="24"/>
        </w:rPr>
        <w:t>CONTRATANTE</w:t>
      </w:r>
      <w:r>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2208E88B">
      <w:pPr>
        <w:pStyle w:val="99"/>
        <w:spacing w:before="0" w:after="0" w:line="288" w:lineRule="auto"/>
        <w:ind w:left="0" w:firstLine="0"/>
        <w:contextualSpacing/>
        <w:rPr>
          <w:rFonts w:ascii="Times New Roman" w:hAnsi="Times New Roman" w:cs="Times New Roman"/>
          <w:sz w:val="24"/>
          <w:szCs w:val="24"/>
        </w:rPr>
      </w:pPr>
    </w:p>
    <w:p w14:paraId="4ACDF3A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9.1.3 Atender às determinações regulares emitidas pelo fiscal ou gestor do Contrato ou autoridade superior </w:t>
      </w:r>
      <w:r>
        <w:rPr>
          <w:rFonts w:ascii="Times New Roman" w:hAnsi="Times New Roman" w:cs="Times New Roman"/>
          <w:color w:val="auto"/>
          <w:sz w:val="24"/>
          <w:szCs w:val="24"/>
        </w:rPr>
        <w:t>(</w:t>
      </w:r>
      <w:r>
        <w:fldChar w:fldCharType="begin"/>
      </w:r>
      <w:r>
        <w:instrText xml:space="preserve"> HYPERLINK "http://www.planalto.gov.br/ccivil_03/_ato2019-2022/2021/lei/L14133.htm" \l "art137" </w:instrText>
      </w:r>
      <w:r>
        <w:fldChar w:fldCharType="separate"/>
      </w:r>
      <w:r>
        <w:rPr>
          <w:rStyle w:val="16"/>
          <w:rFonts w:ascii="Times New Roman" w:hAnsi="Times New Roman" w:cs="Times New Roman" w:eastAsiaTheme="minorHAnsi"/>
          <w:color w:val="auto"/>
          <w:sz w:val="24"/>
          <w:szCs w:val="24"/>
        </w:rPr>
        <w:t>art. 137, II,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r>
        <w:rPr>
          <w:rFonts w:ascii="Times New Roman" w:hAnsi="Times New Roman" w:cs="Times New Roman"/>
          <w:sz w:val="24"/>
          <w:szCs w:val="24"/>
        </w:rPr>
        <w:t xml:space="preserve"> e prestar todo esclarecimento ou informação por eles solicitados.</w:t>
      </w:r>
    </w:p>
    <w:p w14:paraId="5A089792">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6AB9056">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ECCF3FB">
      <w:pPr>
        <w:pStyle w:val="99"/>
        <w:spacing w:before="0" w:after="0" w:line="288" w:lineRule="auto"/>
        <w:ind w:left="0" w:firstLine="0"/>
        <w:contextualSpacing/>
        <w:rPr>
          <w:rFonts w:ascii="Times New Roman" w:hAnsi="Times New Roman" w:cs="Times New Roman"/>
          <w:sz w:val="24"/>
          <w:szCs w:val="24"/>
        </w:rPr>
      </w:pPr>
    </w:p>
    <w:p w14:paraId="27B8BBA0">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9.1.5 Reparar, corrigir, remover, reconstruir ou substituir, às suas expensas, no total ou em parte, no prazo fixado pelo fiscal do Contrato, os bens nos quais se verificarem vícios, defeitos ou incorreções resultantes da execução ou dos materiais empregados.</w:t>
      </w:r>
    </w:p>
    <w:p w14:paraId="7502C1FD">
      <w:pPr>
        <w:pStyle w:val="99"/>
        <w:spacing w:before="0" w:after="0" w:line="288" w:lineRule="auto"/>
        <w:ind w:left="0" w:firstLine="0"/>
        <w:contextualSpacing/>
        <w:rPr>
          <w:rFonts w:ascii="Times New Roman" w:hAnsi="Times New Roman" w:cs="Times New Roman"/>
          <w:sz w:val="24"/>
          <w:szCs w:val="24"/>
        </w:rPr>
      </w:pPr>
    </w:p>
    <w:p w14:paraId="05D8F11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9.1.6 Responsabilizar-se pelos vícios e danos decorrentes do objeto, de acordo com o Código de Defesa do Consumidor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xml:space="preserve">), bem como por todo e qualquer dano causado à Administração ou terceiros, não reduzindo essa responsabilidade a fiscalização ou o acompanhamento da execução contratual pelo </w:t>
      </w:r>
      <w:r>
        <w:rPr>
          <w:rFonts w:ascii="Times New Roman" w:hAnsi="Times New Roman" w:cs="Times New Roman"/>
          <w:b/>
          <w:bCs/>
          <w:sz w:val="24"/>
          <w:szCs w:val="24"/>
        </w:rPr>
        <w:t>CONTRATANTE</w:t>
      </w:r>
      <w:r>
        <w:rPr>
          <w:rFonts w:ascii="Times New Roman" w:hAnsi="Times New Roman" w:cs="Times New Roman"/>
          <w:sz w:val="24"/>
          <w:szCs w:val="24"/>
        </w:rPr>
        <w:t>, que ficará autorizado a descontar dos pagamentos devidos ou da garantia o valor correspondente aos danos sofridos.</w:t>
      </w:r>
    </w:p>
    <w:p w14:paraId="6EA59B4D">
      <w:pPr>
        <w:pStyle w:val="99"/>
        <w:spacing w:before="0" w:after="0" w:line="288" w:lineRule="auto"/>
        <w:ind w:left="0" w:firstLine="0"/>
        <w:contextualSpacing/>
        <w:rPr>
          <w:rFonts w:ascii="Times New Roman" w:hAnsi="Times New Roman" w:cs="Times New Roman"/>
          <w:sz w:val="24"/>
          <w:szCs w:val="24"/>
        </w:rPr>
      </w:pPr>
    </w:p>
    <w:p w14:paraId="6243CFA8">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9.1.7 Não contratar, durante a vigência do Contrato, cônjuge, companheiro ou parente em linha reta, colateral ou por afinidade, até o terceiro grau, de dirigente do </w:t>
      </w:r>
      <w:r>
        <w:rPr>
          <w:rFonts w:ascii="Times New Roman" w:hAnsi="Times New Roman" w:cs="Times New Roman"/>
          <w:b/>
          <w:bCs/>
          <w:sz w:val="24"/>
          <w:szCs w:val="24"/>
        </w:rPr>
        <w:t>CONTRATANTE</w:t>
      </w:r>
      <w:r>
        <w:rPr>
          <w:rFonts w:ascii="Times New Roman" w:hAnsi="Times New Roman" w:cs="Times New Roman"/>
          <w:sz w:val="24"/>
          <w:szCs w:val="24"/>
        </w:rPr>
        <w:t xml:space="preserve"> ou de agente público que atue na fiscalização ou na gestão do Contrato, nos termos do art. 48, parágrafo único, da Lei nº 14.133/2021.</w:t>
      </w:r>
    </w:p>
    <w:p w14:paraId="5E825571">
      <w:pPr>
        <w:pStyle w:val="99"/>
        <w:spacing w:before="0" w:after="0" w:line="288" w:lineRule="auto"/>
        <w:ind w:left="0" w:firstLine="0"/>
        <w:contextualSpacing/>
        <w:rPr>
          <w:rFonts w:ascii="Times New Roman" w:hAnsi="Times New Roman" w:cs="Times New Roman"/>
          <w:sz w:val="24"/>
          <w:szCs w:val="24"/>
        </w:rPr>
      </w:pPr>
    </w:p>
    <w:p w14:paraId="4914C21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9.1.8 Manter a regularidade junto ao SICAF.</w:t>
      </w:r>
    </w:p>
    <w:p w14:paraId="3C66D7BA">
      <w:pPr>
        <w:pStyle w:val="99"/>
        <w:spacing w:before="0" w:after="0" w:line="288" w:lineRule="auto"/>
        <w:ind w:left="0" w:firstLine="0"/>
        <w:contextualSpacing/>
        <w:rPr>
          <w:rFonts w:ascii="Times New Roman" w:hAnsi="Times New Roman" w:cs="Times New Roman"/>
          <w:sz w:val="24"/>
          <w:szCs w:val="24"/>
        </w:rPr>
      </w:pPr>
    </w:p>
    <w:p w14:paraId="506EDF93">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9.1.8.1 Quando não for possível a verificação da regularidade no Sistema de Cadastro de Fornecedores – SICAF, o </w:t>
      </w:r>
      <w:r>
        <w:rPr>
          <w:rFonts w:ascii="Times New Roman" w:hAnsi="Times New Roman" w:cs="Times New Roman"/>
          <w:b/>
          <w:bCs/>
          <w:sz w:val="24"/>
          <w:szCs w:val="24"/>
        </w:rPr>
        <w:t>CONTRATADO</w:t>
      </w:r>
      <w:r>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4883DE8C">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a) prova de regularidade relativa à Seguridade Social;</w:t>
      </w:r>
    </w:p>
    <w:p w14:paraId="05FD7A0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b) certidão conjunta relativa aos tributos federais e à Dívida Ativa da União;</w:t>
      </w:r>
    </w:p>
    <w:p w14:paraId="683F17DC">
      <w:pPr>
        <w:pStyle w:val="99"/>
        <w:spacing w:before="0" w:after="0" w:line="288" w:lineRule="auto"/>
        <w:ind w:left="0" w:firstLine="0"/>
        <w:contextualSpacing/>
        <w:rPr>
          <w:rFonts w:ascii="Times New Roman" w:hAnsi="Times New Roman" w:cs="Times New Roman"/>
          <w:iCs/>
          <w:sz w:val="24"/>
          <w:szCs w:val="24"/>
        </w:rPr>
      </w:pPr>
      <w:r>
        <w:rPr>
          <w:rFonts w:ascii="Times New Roman" w:hAnsi="Times New Roman" w:cs="Times New Roman"/>
          <w:iCs/>
          <w:sz w:val="24"/>
          <w:szCs w:val="24"/>
        </w:rPr>
        <w:t xml:space="preserve">c) certidões que comprovem a regularidade perante as Fazendas do domicílio ou sede do </w:t>
      </w:r>
      <w:r>
        <w:rPr>
          <w:rFonts w:ascii="Times New Roman" w:hAnsi="Times New Roman" w:cs="Times New Roman"/>
          <w:b/>
          <w:bCs/>
          <w:sz w:val="24"/>
          <w:szCs w:val="24"/>
        </w:rPr>
        <w:t>CONTRATADO</w:t>
      </w:r>
      <w:r>
        <w:rPr>
          <w:rFonts w:ascii="Times New Roman" w:hAnsi="Times New Roman" w:cs="Times New Roman"/>
          <w:iCs/>
          <w:sz w:val="24"/>
          <w:szCs w:val="24"/>
        </w:rPr>
        <w:t xml:space="preserve">, na mesma forma exigida no Edital ou Aviso de Contratação Direta; </w:t>
      </w:r>
    </w:p>
    <w:p w14:paraId="5783516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d) Certificado de Regularidade do FGTS; e</w:t>
      </w:r>
    </w:p>
    <w:p w14:paraId="63D6A745">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e) Certidão Negativa de Débitos Trabalhistas – CNDT. </w:t>
      </w:r>
    </w:p>
    <w:p w14:paraId="3CDBED84">
      <w:pPr>
        <w:pStyle w:val="99"/>
        <w:spacing w:before="0" w:after="0" w:line="288" w:lineRule="auto"/>
        <w:ind w:left="0" w:firstLine="0"/>
        <w:contextualSpacing/>
        <w:rPr>
          <w:rFonts w:ascii="Times New Roman" w:hAnsi="Times New Roman" w:cs="Times New Roman"/>
          <w:sz w:val="24"/>
          <w:szCs w:val="24"/>
        </w:rPr>
      </w:pPr>
    </w:p>
    <w:p w14:paraId="5C33A68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9.1.9 Responsabilizar-se pelo cumprimento de todas as obrigações trabalhistas, previdenciárias, fiscais, comerciais e as demais previstas em legislação específica, cuja inadimplência não transfere a responsabilidade ao </w:t>
      </w:r>
      <w:r>
        <w:rPr>
          <w:rFonts w:ascii="Times New Roman" w:hAnsi="Times New Roman" w:cs="Times New Roman"/>
          <w:b/>
          <w:bCs/>
          <w:sz w:val="24"/>
          <w:szCs w:val="24"/>
        </w:rPr>
        <w:t>CONTRATANTE</w:t>
      </w:r>
      <w:r>
        <w:rPr>
          <w:rFonts w:ascii="Times New Roman" w:hAnsi="Times New Roman" w:cs="Times New Roman"/>
          <w:sz w:val="24"/>
          <w:szCs w:val="24"/>
        </w:rPr>
        <w:t xml:space="preserve"> e não poderá onerar o objeto do Contrato.</w:t>
      </w:r>
    </w:p>
    <w:p w14:paraId="4489B256">
      <w:pPr>
        <w:pStyle w:val="99"/>
        <w:spacing w:before="0" w:after="0" w:line="288" w:lineRule="auto"/>
        <w:ind w:left="0" w:firstLine="0"/>
        <w:contextualSpacing/>
        <w:rPr>
          <w:rFonts w:ascii="Times New Roman" w:hAnsi="Times New Roman" w:cs="Times New Roman"/>
          <w:sz w:val="24"/>
          <w:szCs w:val="24"/>
        </w:rPr>
      </w:pPr>
    </w:p>
    <w:p w14:paraId="718B66C7">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9.1.10 Comunicar ao Fiscal do Contrato, no prazo de 24 (vinte e quatro) horas, qualquer ocorrência anormal ou acidente que se verifique no local da execução do objeto contratual.</w:t>
      </w:r>
    </w:p>
    <w:p w14:paraId="0BF2E2D2">
      <w:pPr>
        <w:pStyle w:val="99"/>
        <w:spacing w:before="0" w:after="0" w:line="288" w:lineRule="auto"/>
        <w:ind w:left="0" w:firstLine="0"/>
        <w:contextualSpacing/>
        <w:rPr>
          <w:rFonts w:ascii="Times New Roman" w:hAnsi="Times New Roman" w:cs="Times New Roman"/>
          <w:sz w:val="24"/>
          <w:szCs w:val="24"/>
        </w:rPr>
      </w:pPr>
    </w:p>
    <w:p w14:paraId="7FF455F2">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9.1.11 Paralisar, por determinação do </w:t>
      </w:r>
      <w:r>
        <w:rPr>
          <w:rFonts w:ascii="Times New Roman" w:hAnsi="Times New Roman" w:cs="Times New Roman"/>
          <w:b/>
          <w:bCs/>
          <w:sz w:val="24"/>
          <w:szCs w:val="24"/>
        </w:rPr>
        <w:t>CONTRATANTE</w:t>
      </w:r>
      <w:r>
        <w:rPr>
          <w:rFonts w:ascii="Times New Roman" w:hAnsi="Times New Roman" w:cs="Times New Roman"/>
          <w:sz w:val="24"/>
          <w:szCs w:val="24"/>
        </w:rPr>
        <w:t>, qualquer atividade que não esteja sendo executada de acordo com a boa técnica ou que ponha em risco a segurança de pessoas ou bens de terceiros.</w:t>
      </w:r>
    </w:p>
    <w:p w14:paraId="5B9225F0">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10C6604D">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9.1.12 Conduzir os trabalhos com estrita observância às normas da legislação pertinente, cumprindo as determinações dos Poderes Públicos, mantendo sempre limpo o local d</w:t>
      </w:r>
      <w:r>
        <w:rPr>
          <w:rFonts w:ascii="Times New Roman" w:hAnsi="Times New Roman" w:cs="Times New Roman"/>
          <w:i w:val="0"/>
          <w:iCs w:val="0"/>
          <w:color w:val="auto"/>
          <w:sz w:val="24"/>
          <w:szCs w:val="24"/>
          <w:lang w:eastAsia="en-US"/>
        </w:rPr>
        <w:t>e execução do objeto</w:t>
      </w:r>
      <w:r>
        <w:rPr>
          <w:rFonts w:ascii="Times New Roman" w:hAnsi="Times New Roman" w:cs="Times New Roman"/>
          <w:i w:val="0"/>
          <w:iCs w:val="0"/>
          <w:color w:val="auto"/>
          <w:sz w:val="24"/>
          <w:szCs w:val="24"/>
        </w:rPr>
        <w:t xml:space="preserve"> e nas melhores condições de segurança, higiene e disciplina.</w:t>
      </w:r>
    </w:p>
    <w:p w14:paraId="256923F8">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4D95AB33">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 xml:space="preserve">9.1.13 Submeter previamente, por escrito, ao </w:t>
      </w:r>
      <w:r>
        <w:rPr>
          <w:rFonts w:ascii="Times New Roman" w:hAnsi="Times New Roman" w:cs="Times New Roman"/>
          <w:b/>
          <w:bCs/>
          <w:i w:val="0"/>
          <w:iCs w:val="0"/>
          <w:color w:val="auto"/>
          <w:sz w:val="24"/>
          <w:szCs w:val="24"/>
        </w:rPr>
        <w:t>CONTRATANTE</w:t>
      </w:r>
      <w:r>
        <w:rPr>
          <w:rFonts w:ascii="Times New Roman" w:hAnsi="Times New Roman" w:cs="Times New Roman"/>
          <w:i w:val="0"/>
          <w:iCs w:val="0"/>
          <w:color w:val="auto"/>
          <w:sz w:val="24"/>
          <w:szCs w:val="24"/>
        </w:rPr>
        <w:t>, para análise e aprovação, quaisquer mudanças nos métodos executivos que fujam às especificações do memorial descritivo ou instrumento congênere.</w:t>
      </w:r>
    </w:p>
    <w:p w14:paraId="01D58FA9">
      <w:pPr>
        <w:pStyle w:val="108"/>
        <w:numPr>
          <w:ilvl w:val="0"/>
          <w:numId w:val="0"/>
        </w:numPr>
        <w:spacing w:before="0" w:after="0" w:line="288" w:lineRule="auto"/>
        <w:contextualSpacing/>
        <w:rPr>
          <w:rFonts w:ascii="Times New Roman" w:hAnsi="Times New Roman" w:cs="Times New Roman"/>
          <w:i w:val="0"/>
          <w:iCs w:val="0"/>
          <w:color w:val="auto"/>
          <w:sz w:val="24"/>
          <w:szCs w:val="24"/>
        </w:rPr>
      </w:pPr>
    </w:p>
    <w:p w14:paraId="78F4E87C">
      <w:pPr>
        <w:pStyle w:val="108"/>
        <w:numPr>
          <w:ilvl w:val="0"/>
          <w:numId w:val="0"/>
        </w:numPr>
        <w:spacing w:before="0" w:after="0" w:line="288" w:lineRule="auto"/>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9.1.14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687CFB0">
      <w:pPr>
        <w:pStyle w:val="99"/>
        <w:spacing w:before="0" w:after="0" w:line="288" w:lineRule="auto"/>
        <w:ind w:left="0" w:firstLine="0"/>
        <w:contextualSpacing/>
        <w:rPr>
          <w:rFonts w:ascii="Times New Roman" w:hAnsi="Times New Roman" w:cs="Times New Roman"/>
          <w:sz w:val="24"/>
          <w:szCs w:val="24"/>
        </w:rPr>
      </w:pPr>
    </w:p>
    <w:p w14:paraId="03378069">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9.1.15 Manter durante toda a vigência do Contrato, em compatibilidade com as obrigações assumidas, todas as condições exigidas para habilitação na licitação.</w:t>
      </w:r>
    </w:p>
    <w:p w14:paraId="0345FE16">
      <w:pPr>
        <w:pStyle w:val="99"/>
        <w:spacing w:before="0" w:after="0" w:line="288" w:lineRule="auto"/>
        <w:ind w:left="0" w:firstLine="0"/>
        <w:contextualSpacing/>
        <w:rPr>
          <w:rFonts w:ascii="Times New Roman" w:hAnsi="Times New Roman" w:cs="Times New Roman"/>
          <w:sz w:val="24"/>
          <w:szCs w:val="24"/>
        </w:rPr>
      </w:pPr>
    </w:p>
    <w:p w14:paraId="2F313F7A">
      <w:pPr>
        <w:pStyle w:val="99"/>
        <w:spacing w:before="0" w:after="0" w:line="288" w:lineRule="auto"/>
        <w:ind w:left="0" w:firstLine="0"/>
        <w:contextualSpacing/>
        <w:rPr>
          <w:rFonts w:ascii="Times New Roman" w:hAnsi="Times New Roman" w:cs="Times New Roman"/>
          <w:b/>
          <w:bCs/>
          <w:color w:val="auto"/>
          <w:sz w:val="24"/>
          <w:szCs w:val="24"/>
        </w:rPr>
      </w:pPr>
      <w:r>
        <w:rPr>
          <w:rFonts w:ascii="Times New Roman" w:hAnsi="Times New Roman" w:cs="Times New Roman"/>
          <w:sz w:val="24"/>
          <w:szCs w:val="24"/>
        </w:rPr>
        <w:t>9.1.16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0F5CFF9D">
      <w:pPr>
        <w:pStyle w:val="99"/>
        <w:spacing w:before="0" w:after="0" w:line="288" w:lineRule="auto"/>
        <w:ind w:left="0" w:firstLine="0"/>
        <w:contextualSpacing/>
        <w:rPr>
          <w:rFonts w:ascii="Times New Roman" w:hAnsi="Times New Roman" w:cs="Times New Roman"/>
          <w:sz w:val="24"/>
          <w:szCs w:val="24"/>
        </w:rPr>
      </w:pPr>
    </w:p>
    <w:p w14:paraId="7DC6E321">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sz w:val="24"/>
          <w:szCs w:val="24"/>
        </w:rPr>
        <w:t>9</w:t>
      </w:r>
      <w:r>
        <w:rPr>
          <w:rFonts w:ascii="Times New Roman" w:hAnsi="Times New Roman" w:cs="Times New Roman"/>
          <w:b/>
          <w:bCs/>
          <w:sz w:val="24"/>
          <w:szCs w:val="24"/>
        </w:rPr>
        <w:t>.</w:t>
      </w:r>
      <w:r>
        <w:rPr>
          <w:rFonts w:ascii="Times New Roman" w:hAnsi="Times New Roman" w:cs="Times New Roman"/>
          <w:sz w:val="24"/>
          <w:szCs w:val="24"/>
        </w:rPr>
        <w:t>1.16.1</w:t>
      </w:r>
      <w:r>
        <w:rPr>
          <w:rFonts w:ascii="Times New Roman" w:hAnsi="Times New Roman" w:cs="Times New Roman"/>
          <w:b/>
          <w:bCs/>
          <w:sz w:val="24"/>
          <w:szCs w:val="24"/>
        </w:rPr>
        <w:t xml:space="preserve"> </w:t>
      </w:r>
      <w:r>
        <w:rPr>
          <w:rFonts w:ascii="Times New Roman" w:hAnsi="Times New Roman" w:cs="Times New Roman"/>
          <w:sz w:val="24"/>
          <w:szCs w:val="24"/>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Style w:val="16"/>
          <w:rFonts w:ascii="Times New Roman" w:hAnsi="Times New Roman" w:cs="Times New Roman" w:eastAsiaTheme="minorHAnsi"/>
          <w:color w:val="auto"/>
          <w:sz w:val="24"/>
          <w:szCs w:val="24"/>
        </w:rPr>
        <w:t>art. 116, parágrafo único,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2045290">
      <w:pPr>
        <w:pStyle w:val="99"/>
        <w:spacing w:before="0" w:after="0" w:line="288" w:lineRule="auto"/>
        <w:ind w:left="0" w:firstLine="0"/>
        <w:contextualSpacing/>
        <w:rPr>
          <w:rFonts w:ascii="Times New Roman" w:hAnsi="Times New Roman" w:cs="Times New Roman"/>
          <w:color w:val="auto"/>
          <w:sz w:val="24"/>
          <w:szCs w:val="24"/>
        </w:rPr>
      </w:pPr>
    </w:p>
    <w:p w14:paraId="0AE0359C">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9.1.16.2 No caso de aprendiz, a comprovação do cumprimento do art. 429 e seguintes da Consolidação das Leis do Trabalho se dará pela apresentação da certidão, expedida pelo Ministério do Trabalho e Emprego, sem prejuízo do item 9.1.16.1.</w:t>
      </w:r>
    </w:p>
    <w:p w14:paraId="5675463C">
      <w:pPr>
        <w:pStyle w:val="99"/>
        <w:spacing w:before="0" w:after="0" w:line="288" w:lineRule="auto"/>
        <w:ind w:left="0" w:firstLine="0"/>
        <w:contextualSpacing/>
        <w:rPr>
          <w:rFonts w:ascii="Times New Roman" w:hAnsi="Times New Roman" w:cs="Times New Roman"/>
          <w:color w:val="auto"/>
          <w:sz w:val="24"/>
          <w:szCs w:val="24"/>
        </w:rPr>
      </w:pPr>
    </w:p>
    <w:p w14:paraId="6C145E3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color w:val="auto"/>
          <w:sz w:val="24"/>
          <w:szCs w:val="24"/>
        </w:rPr>
        <w:t xml:space="preserve">9.1.17 </w:t>
      </w:r>
      <w:r>
        <w:rPr>
          <w:rFonts w:ascii="Times New Roman" w:hAnsi="Times New Roman" w:cs="Times New Roman"/>
          <w:sz w:val="24"/>
          <w:szCs w:val="24"/>
        </w:rPr>
        <w:t>Guardar sigilo sobre todas as informações obtidas em decorrência do cumprimento do Contrato.</w:t>
      </w:r>
    </w:p>
    <w:p w14:paraId="646F2577">
      <w:pPr>
        <w:pStyle w:val="99"/>
        <w:spacing w:before="0" w:after="0" w:line="288" w:lineRule="auto"/>
        <w:ind w:left="0" w:firstLine="0"/>
        <w:contextualSpacing/>
        <w:rPr>
          <w:rFonts w:ascii="Times New Roman" w:hAnsi="Times New Roman" w:cs="Times New Roman"/>
          <w:sz w:val="24"/>
          <w:szCs w:val="24"/>
        </w:rPr>
      </w:pPr>
    </w:p>
    <w:p w14:paraId="16FD3D25">
      <w:pPr>
        <w:pStyle w:val="99"/>
        <w:spacing w:before="0" w:after="0" w:line="288" w:lineRule="auto"/>
        <w:ind w:left="0" w:firstLine="0"/>
        <w:contextualSpacing/>
        <w:rPr>
          <w:rStyle w:val="16"/>
          <w:rFonts w:ascii="Times New Roman" w:hAnsi="Times New Roman" w:cs="Times New Roman" w:eastAsiaTheme="minorHAnsi"/>
          <w:sz w:val="24"/>
          <w:szCs w:val="24"/>
        </w:rPr>
      </w:pPr>
      <w:r>
        <w:rPr>
          <w:rFonts w:ascii="Times New Roman" w:hAnsi="Times New Roman" w:cs="Times New Roman"/>
          <w:sz w:val="24"/>
          <w:szCs w:val="24"/>
        </w:rPr>
        <w:t xml:space="preserve">9.1.18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 exceto quando ocorrer algum dos eventos arrolados no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artigo 124, II, d, da Lei nº 14.133/2021.</w:t>
      </w:r>
      <w:r>
        <w:rPr>
          <w:rStyle w:val="16"/>
          <w:rFonts w:ascii="Times New Roman" w:hAnsi="Times New Roman" w:cs="Times New Roman" w:eastAsiaTheme="minorHAnsi"/>
          <w:color w:val="auto"/>
          <w:sz w:val="24"/>
          <w:szCs w:val="24"/>
        </w:rPr>
        <w:fldChar w:fldCharType="end"/>
      </w:r>
    </w:p>
    <w:p w14:paraId="0C1F7209">
      <w:pPr>
        <w:pStyle w:val="99"/>
        <w:spacing w:before="0" w:after="0" w:line="288" w:lineRule="auto"/>
        <w:ind w:left="0" w:firstLine="0"/>
        <w:contextualSpacing/>
        <w:rPr>
          <w:rFonts w:ascii="Times New Roman" w:hAnsi="Times New Roman" w:cs="Times New Roman"/>
          <w:sz w:val="24"/>
          <w:szCs w:val="24"/>
        </w:rPr>
      </w:pPr>
    </w:p>
    <w:p w14:paraId="2D668296">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9.1.19 Cumprir, além dos postulados legais vigentes de âmbito federal, estadual ou municipal, as normas de segurança do </w:t>
      </w:r>
      <w:r>
        <w:rPr>
          <w:rFonts w:ascii="Times New Roman" w:hAnsi="Times New Roman" w:cs="Times New Roman"/>
          <w:b/>
          <w:bCs/>
          <w:sz w:val="24"/>
          <w:szCs w:val="24"/>
        </w:rPr>
        <w:t>CONTRATANTE</w:t>
      </w:r>
      <w:r>
        <w:rPr>
          <w:rFonts w:ascii="Times New Roman" w:hAnsi="Times New Roman" w:cs="Times New Roman"/>
          <w:sz w:val="24"/>
          <w:szCs w:val="24"/>
        </w:rPr>
        <w:t>.</w:t>
      </w:r>
    </w:p>
    <w:p w14:paraId="50AC7AA0">
      <w:pPr>
        <w:pStyle w:val="99"/>
        <w:spacing w:before="0" w:after="0" w:line="288" w:lineRule="auto"/>
        <w:ind w:left="0" w:firstLine="0"/>
        <w:contextualSpacing/>
        <w:rPr>
          <w:rFonts w:ascii="Times New Roman" w:hAnsi="Times New Roman" w:cs="Times New Roman"/>
          <w:sz w:val="24"/>
          <w:szCs w:val="24"/>
        </w:rPr>
      </w:pPr>
    </w:p>
    <w:p w14:paraId="03E92691">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9.1.20 Prestar esclarecimentos ou informações solicitadas pelo </w:t>
      </w:r>
      <w:r>
        <w:rPr>
          <w:rFonts w:ascii="Times New Roman" w:hAnsi="Times New Roman" w:cs="Times New Roman"/>
          <w:b/>
          <w:bCs/>
          <w:sz w:val="24"/>
          <w:szCs w:val="24"/>
        </w:rPr>
        <w:t>CONTRATANTE</w:t>
      </w:r>
      <w:r>
        <w:rPr>
          <w:rFonts w:ascii="Times New Roman" w:hAnsi="Times New Roman" w:cs="Times New Roman"/>
          <w:sz w:val="24"/>
          <w:szCs w:val="24"/>
        </w:rPr>
        <w:t xml:space="preserve"> ou por seus prepostos, garantindo-lhes o acesso, a qualquer tempo, ao local dos trabalhos, bem como aos documentos relativos à execução do empreendimento.</w:t>
      </w:r>
    </w:p>
    <w:p w14:paraId="2279455F">
      <w:pPr>
        <w:pStyle w:val="99"/>
        <w:spacing w:before="0" w:after="0" w:line="288" w:lineRule="auto"/>
        <w:ind w:left="0" w:firstLine="0"/>
        <w:contextualSpacing/>
        <w:rPr>
          <w:rFonts w:ascii="Times New Roman" w:hAnsi="Times New Roman" w:cs="Times New Roman"/>
          <w:sz w:val="24"/>
          <w:szCs w:val="24"/>
        </w:rPr>
      </w:pPr>
    </w:p>
    <w:p w14:paraId="216705EF">
      <w:pPr>
        <w:pStyle w:val="99"/>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9.1.21 </w:t>
      </w:r>
      <w:bookmarkStart w:id="48" w:name="_Hlk175228415"/>
      <w:r>
        <w:rPr>
          <w:rFonts w:ascii="Times New Roman" w:hAnsi="Times New Roman" w:cs="Times New Roman"/>
          <w:sz w:val="24"/>
          <w:szCs w:val="24"/>
        </w:rPr>
        <w:t>Caso o valor do Contrato se enquadre no limite previsto na legislação vigente,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085B730D">
      <w:pPr>
        <w:pStyle w:val="99"/>
        <w:spacing w:before="0" w:after="0" w:line="288" w:lineRule="auto"/>
        <w:ind w:left="0" w:firstLine="0"/>
        <w:contextualSpacing/>
        <w:rPr>
          <w:rFonts w:ascii="Times New Roman" w:hAnsi="Times New Roman" w:eastAsia="Calibri" w:cs="Times New Roman"/>
          <w:color w:val="auto"/>
          <w:sz w:val="24"/>
          <w:szCs w:val="24"/>
          <w:lang w:eastAsia="en-US"/>
        </w:rPr>
      </w:pPr>
    </w:p>
    <w:p w14:paraId="3759694E">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eastAsia="Calibri" w:cs="Times New Roman"/>
          <w:color w:val="auto"/>
          <w:sz w:val="24"/>
          <w:szCs w:val="24"/>
          <w:lang w:eastAsia="en-US"/>
        </w:rPr>
        <w:t xml:space="preserve">9.1.21.1 Caso o </w:t>
      </w:r>
      <w:r>
        <w:rPr>
          <w:rFonts w:ascii="Times New Roman" w:hAnsi="Times New Roman" w:eastAsia="Calibri" w:cs="Times New Roman"/>
          <w:b/>
          <w:bCs/>
          <w:color w:val="auto"/>
          <w:sz w:val="24"/>
          <w:szCs w:val="24"/>
          <w:lang w:eastAsia="en-US"/>
        </w:rPr>
        <w:t>CONTRATADO</w:t>
      </w:r>
      <w:r>
        <w:rPr>
          <w:rFonts w:ascii="Times New Roman" w:hAnsi="Times New Roman" w:eastAsia="Calibri" w:cs="Times New Roman"/>
          <w:color w:val="auto"/>
          <w:sz w:val="24"/>
          <w:szCs w:val="24"/>
          <w:lang w:eastAsia="en-US"/>
        </w:rPr>
        <w:t xml:space="preserve"> ainda não tenha Programa de Integridade instituído, compromete-se a implantar o Programa de Integridade no prazo de até 180 (cento e oitenta) dias corridos, a partir da data de celebração do presente Contrato, </w:t>
      </w:r>
      <w:r>
        <w:rPr>
          <w:rFonts w:ascii="Times New Roman" w:hAnsi="Times New Roman" w:cs="Times New Roman"/>
          <w:color w:val="auto"/>
          <w:sz w:val="24"/>
          <w:szCs w:val="24"/>
        </w:rPr>
        <w:t>na forma da legislação vigente.</w:t>
      </w:r>
    </w:p>
    <w:bookmarkEnd w:id="48"/>
    <w:p w14:paraId="7C2995EC">
      <w:pPr>
        <w:spacing w:line="288" w:lineRule="auto"/>
        <w:contextualSpacing/>
        <w:jc w:val="both"/>
        <w:rPr>
          <w:sz w:val="24"/>
          <w:szCs w:val="24"/>
        </w:rPr>
      </w:pPr>
    </w:p>
    <w:p w14:paraId="62696E9A">
      <w:pPr>
        <w:spacing w:line="288" w:lineRule="auto"/>
        <w:contextualSpacing/>
        <w:jc w:val="both"/>
        <w:rPr>
          <w:sz w:val="24"/>
          <w:szCs w:val="24"/>
        </w:rPr>
      </w:pPr>
      <w:r>
        <w:rPr>
          <w:sz w:val="24"/>
          <w:szCs w:val="24"/>
        </w:rPr>
        <w:t>9.1.22 Orientar e treinar seus empregados sobre os deveres previstos na Lei nº 13.709, de 14 de agosto de 2018 (LGPD), adotando medidas eficazes para proteção de dados pessoais a que tenha acesso por força da execução deste Contrato.</w:t>
      </w:r>
    </w:p>
    <w:p w14:paraId="01C4EB22">
      <w:pPr>
        <w:spacing w:line="288" w:lineRule="auto"/>
        <w:contextualSpacing/>
        <w:jc w:val="both"/>
        <w:rPr>
          <w:sz w:val="24"/>
          <w:szCs w:val="24"/>
        </w:rPr>
      </w:pPr>
    </w:p>
    <w:p w14:paraId="7A7D1B04">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CLÁUSULA DÉCIMA – GARANTIA DE EXECUÇÃO</w:t>
      </w:r>
    </w:p>
    <w:p w14:paraId="2C8253FB">
      <w:pPr>
        <w:spacing w:line="288" w:lineRule="auto"/>
        <w:contextualSpacing/>
        <w:jc w:val="both"/>
        <w:rPr>
          <w:sz w:val="24"/>
          <w:szCs w:val="24"/>
        </w:rPr>
      </w:pPr>
    </w:p>
    <w:p w14:paraId="1EDC8167">
      <w:pPr>
        <w:spacing w:line="288" w:lineRule="auto"/>
        <w:ind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 O Contrato conta com garantia de execução, nos moldes do </w:t>
      </w:r>
      <w:r>
        <w:fldChar w:fldCharType="begin"/>
      </w:r>
      <w:r>
        <w:instrText xml:space="preserve"> HYPERLINK "http://www.planalto.gov.br/ccivil_03/_ato2019-2022/2021/lei/L14133.htm" \l "art96" </w:instrText>
      </w:r>
      <w:r>
        <w:fldChar w:fldCharType="separate"/>
      </w:r>
      <w:r>
        <w:rPr>
          <w:rStyle w:val="16"/>
          <w:rFonts w:eastAsiaTheme="minorHAnsi"/>
          <w:color w:val="000000" w:themeColor="text1"/>
          <w:sz w:val="24"/>
          <w:szCs w:val="24"/>
          <w14:textFill>
            <w14:solidFill>
              <w14:schemeClr w14:val="tx1"/>
            </w14:solidFill>
          </w14:textFill>
        </w:rPr>
        <w:t>artigo 96 da Lei nº 14.133</w:t>
      </w:r>
      <w:r>
        <w:rPr>
          <w:rStyle w:val="16"/>
          <w:rFonts w:eastAsiaTheme="minorHAnsi"/>
          <w:color w:val="000000" w:themeColor="text1"/>
          <w:sz w:val="24"/>
          <w:szCs w:val="24"/>
          <w14:textFill>
            <w14:solidFill>
              <w14:schemeClr w14:val="tx1"/>
            </w14:solidFill>
          </w14:textFill>
        </w:rPr>
        <w:fldChar w:fldCharType="end"/>
      </w:r>
      <w:r>
        <w:rPr>
          <w:rStyle w:val="16"/>
          <w:rFonts w:eastAsiaTheme="minorHAnsi"/>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2021, correspondente a 5 % (cinco) de seu valor inicial/anual.</w:t>
      </w:r>
    </w:p>
    <w:p w14:paraId="0C5D0F42">
      <w:pPr>
        <w:pStyle w:val="103"/>
        <w:spacing w:before="288" w:beforeLines="120" w:after="288" w:afterLines="120" w:line="288" w:lineRule="auto"/>
        <w:ind w:left="0" w:right="849" w:firstLine="0"/>
        <w:contextualSpacing/>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10.1.1 Na forma do art. 101 da Lei nº 14.133/2021, nos casos de contratos que impliquem a entrega de bens pela Administração, dos quais o </w:t>
      </w:r>
      <w:r>
        <w:rPr>
          <w:rFonts w:ascii="Times New Roman" w:hAnsi="Times New Roman" w:cs="Times New Roman"/>
          <w:b/>
          <w:bCs/>
          <w:color w:val="000000" w:themeColor="text1"/>
          <w:sz w:val="24"/>
          <w:szCs w:val="24"/>
          <w14:textFill>
            <w14:solidFill>
              <w14:schemeClr w14:val="tx1"/>
            </w14:solidFill>
          </w14:textFill>
        </w:rPr>
        <w:t>CONTRATADO</w:t>
      </w:r>
      <w:r>
        <w:rPr>
          <w:rFonts w:ascii="Times New Roman" w:hAnsi="Times New Roman" w:cs="Times New Roman"/>
          <w:color w:val="000000" w:themeColor="text1"/>
          <w:sz w:val="24"/>
          <w:szCs w:val="24"/>
          <w14:textFill>
            <w14:solidFill>
              <w14:schemeClr w14:val="tx1"/>
            </w14:solidFill>
          </w14:textFill>
        </w:rPr>
        <w:t xml:space="preserve"> ficará depositário, o valor desses bens deverá ser acrescido ao valor da garantia.</w:t>
      </w:r>
    </w:p>
    <w:p w14:paraId="691F0B59">
      <w:pPr>
        <w:pStyle w:val="108"/>
        <w:numPr>
          <w:ilvl w:val="0"/>
          <w:numId w:val="0"/>
        </w:numPr>
        <w:spacing w:after="288" w:afterLines="120" w:line="288" w:lineRule="auto"/>
        <w:ind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10.2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poderá optar pelas seguintes modalidades de garantia:</w:t>
      </w:r>
    </w:p>
    <w:p w14:paraId="6703544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 - caução em dinheiro ou em títulos da dívida pública;</w:t>
      </w:r>
    </w:p>
    <w:p w14:paraId="05C45CA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II - seguro-garantia; </w:t>
      </w:r>
    </w:p>
    <w:p w14:paraId="5922D24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III - fiança bancária; e</w:t>
      </w:r>
    </w:p>
    <w:p w14:paraId="27EA9BD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IV - título de capitalização custeado por pagamento único, com resgate pelo valor total.</w:t>
      </w:r>
    </w:p>
    <w:p w14:paraId="6E68F54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4B964F6D">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 Qualquer que seja a modalidade escolhida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 garantia assegurará o pagamento de: </w:t>
      </w:r>
    </w:p>
    <w:p w14:paraId="6071F012">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0E13DCD3">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10.3.1 prejuízos advindos do não cumprimento do objeto do Contrato e do não adimplemento das demais obrigações neste previstas;</w:t>
      </w:r>
    </w:p>
    <w:p w14:paraId="2B0B4EEA">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DF2CB0">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10.3.2 multas moratórias, compensatórias e administrativas aplicadas pela Administração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e</w:t>
      </w:r>
    </w:p>
    <w:p w14:paraId="6BC2594A">
      <w:pPr>
        <w:pStyle w:val="108"/>
        <w:numPr>
          <w:ilvl w:val="0"/>
          <w:numId w:val="0"/>
        </w:numPr>
        <w:spacing w:after="288" w:afterLines="120" w:line="288" w:lineRule="auto"/>
        <w:ind w:left="567" w:right="565"/>
        <w:contextualSpacing/>
        <w:rPr>
          <w:rFonts w:ascii="Times New Roman" w:hAnsi="Times New Roman" w:cs="Times New Roman"/>
          <w:bCs/>
          <w:i w:val="0"/>
          <w:iCs w:val="0"/>
          <w:color w:val="000000" w:themeColor="text1"/>
          <w:sz w:val="24"/>
          <w:szCs w:val="24"/>
          <w14:textFill>
            <w14:solidFill>
              <w14:schemeClr w14:val="tx1"/>
            </w14:solidFill>
          </w14:textFill>
        </w:rPr>
      </w:pPr>
    </w:p>
    <w:p w14:paraId="19E867B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bCs/>
          <w:i w:val="0"/>
          <w:iCs w:val="0"/>
          <w:color w:val="000000" w:themeColor="text1"/>
          <w:sz w:val="24"/>
          <w:szCs w:val="24"/>
          <w14:textFill>
            <w14:solidFill>
              <w14:schemeClr w14:val="tx1"/>
            </w14:solidFill>
          </w14:textFill>
        </w:rPr>
        <w:t xml:space="preserve">10.3.3 obrigações trabalhistas e   previdenciárias de </w:t>
      </w:r>
      <w:r>
        <w:rPr>
          <w:rFonts w:ascii="Times New Roman" w:hAnsi="Times New Roman" w:cs="Times New Roman"/>
          <w:i w:val="0"/>
          <w:iCs w:val="0"/>
          <w:color w:val="000000" w:themeColor="text1"/>
          <w:sz w:val="24"/>
          <w:szCs w:val="24"/>
          <w14:textFill>
            <w14:solidFill>
              <w14:schemeClr w14:val="tx1"/>
            </w14:solidFill>
          </w14:textFill>
        </w:rPr>
        <w:t xml:space="preserve">qualquer natureza, assim como as obrigações de regularidade perante o FGTS, não adimplidas pelo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quando couber.</w:t>
      </w:r>
    </w:p>
    <w:p w14:paraId="03E0A13E">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B968A5C">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10.4</w:t>
      </w:r>
      <w:r>
        <w:rPr>
          <w:rStyle w:val="117"/>
          <w:rFonts w:ascii="Times New Roman" w:hAnsi="Times New Roman" w:cs="Times New Roman"/>
          <w:i w:val="0"/>
          <w:iCs w:val="0"/>
          <w:color w:val="000000" w:themeColor="text1"/>
          <w:sz w:val="24"/>
          <w:szCs w:val="24"/>
          <w:shd w:val="clear" w:color="auto" w:fill="FFFFFF"/>
          <w14:textFill>
            <w14:solidFill>
              <w14:schemeClr w14:val="tx1"/>
            </w14:solidFill>
          </w14:textFill>
        </w:rPr>
        <w:t xml:space="preserve"> </w:t>
      </w:r>
      <w:r>
        <w:rPr>
          <w:rFonts w:ascii="Times New Roman" w:hAnsi="Times New Roman" w:cs="Times New Roman"/>
          <w:i w:val="0"/>
          <w:iCs w:val="0"/>
          <w:color w:val="000000" w:themeColor="text1"/>
          <w:sz w:val="24"/>
          <w:szCs w:val="24"/>
          <w14:textFill>
            <w14:solidFill>
              <w14:schemeClr w14:val="tx1"/>
            </w14:solidFill>
          </w14:textFill>
        </w:rPr>
        <w:t>A garantia, qualquer que seja a modalidade escolhida, terá validade durante a vigência do Contrato e por mais 90 (noventa) dias após o término deste prazo de vigência.</w:t>
      </w:r>
    </w:p>
    <w:p w14:paraId="3946C629">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6B2CEB75">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10.5 Na hipótese de suspensão do Contrato por ordem ou inadimplemento da Administração,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ficará desobrigado de renovar a garantia ou de endossar a apólice de seguro até a ordem de reinício da execução ou o adimplemento pela Administração.</w:t>
      </w:r>
    </w:p>
    <w:p w14:paraId="3551DC2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078306B">
      <w:pPr>
        <w:pStyle w:val="108"/>
        <w:numPr>
          <w:ilvl w:val="0"/>
          <w:numId w:val="0"/>
        </w:numPr>
        <w:spacing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10.6 Ressalvada a hipótese de seguro-garantia, cuja apresentação deve ser anterior à assinatura do Contrato,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apresentará, no prazo máximo de 10 (dez) dias úteis, prorrogáveis por igual período, a critério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contado da assinatura do Contrato, o comprovante de prestação de garantia, na forma do item 10.2.</w:t>
      </w:r>
    </w:p>
    <w:p w14:paraId="3DE647B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 Caso oferecida a modalidade de seguro-garantia, observar-se-ão as seguintes condições:</w:t>
      </w:r>
    </w:p>
    <w:p w14:paraId="465954CD">
      <w:pPr>
        <w:spacing w:line="288" w:lineRule="auto"/>
        <w:ind w:left="567" w:right="565"/>
        <w:contextualSpacing/>
        <w:jc w:val="both"/>
        <w:rPr>
          <w:color w:val="000000" w:themeColor="text1"/>
          <w:sz w:val="24"/>
          <w:szCs w:val="24"/>
          <w14:textFill>
            <w14:solidFill>
              <w14:schemeClr w14:val="tx1"/>
            </w14:solidFill>
          </w14:textFill>
        </w:rPr>
      </w:pPr>
    </w:p>
    <w:p w14:paraId="6C170DD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10.7.1 a apólice permanecerá em vigor mesmo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não pague o prêmio nas datas convencionadas;</w:t>
      </w:r>
    </w:p>
    <w:p w14:paraId="4B7AFB59">
      <w:pPr>
        <w:spacing w:line="288" w:lineRule="auto"/>
        <w:ind w:left="567" w:right="565"/>
        <w:contextualSpacing/>
        <w:jc w:val="both"/>
        <w:rPr>
          <w:color w:val="000000" w:themeColor="text1"/>
          <w:sz w:val="24"/>
          <w:szCs w:val="24"/>
          <w14:textFill>
            <w14:solidFill>
              <w14:schemeClr w14:val="tx1"/>
            </w14:solidFill>
          </w14:textFill>
        </w:rPr>
      </w:pPr>
    </w:p>
    <w:p w14:paraId="4809641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10.7.2 a apólice deverá acompanhar as modificações referentes à vigência do Contrato principal, mediante a emissão do respectivo endosso pela seguradora;</w:t>
      </w:r>
    </w:p>
    <w:p w14:paraId="2B52A41F">
      <w:pPr>
        <w:spacing w:line="288" w:lineRule="auto"/>
        <w:ind w:left="567" w:right="565"/>
        <w:contextualSpacing/>
        <w:jc w:val="both"/>
        <w:rPr>
          <w:color w:val="000000" w:themeColor="text1"/>
          <w:sz w:val="24"/>
          <w:szCs w:val="24"/>
          <w14:textFill>
            <w14:solidFill>
              <w14:schemeClr w14:val="tx1"/>
            </w14:solidFill>
          </w14:textFill>
        </w:rPr>
      </w:pPr>
    </w:p>
    <w:p w14:paraId="1C6F0F3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10.7.3 será permitida a substituição da apólice na data de renovação ou de aniversário, desde que mantidas as condições e coberturas da apólice vigente e nenhum período fique descoberto, ressalvado o disposto no item 10.5 deste Contrato; e</w:t>
      </w:r>
    </w:p>
    <w:p w14:paraId="6BA724D7">
      <w:pPr>
        <w:spacing w:line="288" w:lineRule="auto"/>
        <w:ind w:left="567" w:right="565"/>
        <w:contextualSpacing/>
        <w:jc w:val="both"/>
        <w:rPr>
          <w:color w:val="000000" w:themeColor="text1"/>
          <w:sz w:val="24"/>
          <w:szCs w:val="24"/>
          <w14:textFill>
            <w14:solidFill>
              <w14:schemeClr w14:val="tx1"/>
            </w14:solidFill>
          </w14:textFill>
        </w:rPr>
      </w:pPr>
    </w:p>
    <w:p w14:paraId="063D3BFA">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10.7.4 a apólice somente será aceita se contemplar todos os eventos indicados no item 10.3, observada a legislação que rege a matéria.</w:t>
      </w:r>
    </w:p>
    <w:p w14:paraId="7632A0A3">
      <w:pPr>
        <w:spacing w:line="288" w:lineRule="auto"/>
        <w:ind w:left="567" w:right="565"/>
        <w:contextualSpacing/>
        <w:jc w:val="both"/>
        <w:rPr>
          <w:color w:val="000000" w:themeColor="text1"/>
          <w:sz w:val="24"/>
          <w:szCs w:val="24"/>
          <w14:textFill>
            <w14:solidFill>
              <w14:schemeClr w14:val="tx1"/>
            </w14:solidFill>
          </w14:textFill>
        </w:rPr>
      </w:pPr>
    </w:p>
    <w:p w14:paraId="0F497D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1648ED5">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9C84DF4">
      <w:pPr>
        <w:pStyle w:val="108"/>
        <w:numPr>
          <w:ilvl w:val="0"/>
          <w:numId w:val="0"/>
        </w:numPr>
        <w:spacing w:before="0" w:after="288" w:afterLines="120" w:line="288" w:lineRule="auto"/>
        <w:ind w:left="567" w:right="565"/>
        <w:contextualSpacing/>
        <w:rPr>
          <w:rStyle w:val="16"/>
          <w:rFonts w:ascii="Times New Roman" w:hAnsi="Times New Roman" w:cs="Times New Roman" w:eastAsiaTheme="minorHAnsi"/>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10.9 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 \l "art827" </w:instrText>
      </w:r>
      <w:r>
        <w:fldChar w:fldCharType="separate"/>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t>artigo 827 do Código Civil.</w:t>
      </w:r>
      <w:r>
        <w:rPr>
          <w:rStyle w:val="16"/>
          <w:rFonts w:ascii="Times New Roman" w:hAnsi="Times New Roman" w:cs="Times New Roman" w:eastAsiaTheme="minorHAnsi"/>
          <w:i w:val="0"/>
          <w:iCs w:val="0"/>
          <w:color w:val="000000" w:themeColor="text1"/>
          <w:sz w:val="24"/>
          <w:szCs w:val="24"/>
          <w14:textFill>
            <w14:solidFill>
              <w14:schemeClr w14:val="tx1"/>
            </w14:solidFill>
          </w14:textFill>
        </w:rPr>
        <w:fldChar w:fldCharType="end"/>
      </w:r>
    </w:p>
    <w:p w14:paraId="74637BE7">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27954D32">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10.10 Caso a opção seja por garantia em dinheiro, deverá ser efetuada em favor do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na conta corrente e agência  da instituição financeira contratada pelo Município a ser informada, cujo valor será corrigido monetariamente e restituído ao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na forma do item 10.16 deste Contrato.</w:t>
      </w:r>
    </w:p>
    <w:p w14:paraId="25BF4FCE">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3765671B">
      <w:pPr>
        <w:pStyle w:val="108"/>
        <w:numPr>
          <w:ilvl w:val="0"/>
          <w:numId w:val="0"/>
        </w:numPr>
        <w:spacing w:before="0" w:after="288" w:afterLines="12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10.11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10.1 desta cláusula. </w:t>
      </w:r>
    </w:p>
    <w:p w14:paraId="48314568">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 A inobservância do prazo fixado para apresentação, reposição, suplementação ou renovação da garantia acarretará a aplicação de multa e/ou outras penalidades, na forma disposta na cláusula décima segunda. </w:t>
      </w:r>
    </w:p>
    <w:p w14:paraId="25409561">
      <w:pPr>
        <w:spacing w:line="288" w:lineRule="auto"/>
        <w:ind w:left="567" w:right="565"/>
        <w:contextualSpacing/>
        <w:jc w:val="both"/>
        <w:rPr>
          <w:color w:val="000000" w:themeColor="text1"/>
          <w:sz w:val="24"/>
          <w:szCs w:val="24"/>
          <w14:textFill>
            <w14:solidFill>
              <w14:schemeClr w14:val="tx1"/>
            </w14:solidFill>
          </w14:textFill>
        </w:rPr>
      </w:pPr>
    </w:p>
    <w:p w14:paraId="39AF619C">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10.12.1 O atraso superior a 25 (vinte e cinco) dias autoriza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a promover a rescisão do Contrato por descumprimento ou cumprimento irregular de suas cláusulas, com a aplicação das sanções cabíveis.</w:t>
      </w:r>
    </w:p>
    <w:p w14:paraId="1840806E">
      <w:pPr>
        <w:spacing w:line="288" w:lineRule="auto"/>
        <w:ind w:left="567" w:right="565"/>
        <w:contextualSpacing/>
        <w:jc w:val="both"/>
        <w:rPr>
          <w:color w:val="000000" w:themeColor="text1"/>
          <w:sz w:val="24"/>
          <w:szCs w:val="24"/>
          <w14:textFill>
            <w14:solidFill>
              <w14:schemeClr w14:val="tx1"/>
            </w14:solidFill>
          </w14:textFill>
        </w:rPr>
      </w:pPr>
    </w:p>
    <w:p w14:paraId="7D8BBEDE">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10.13 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executará a garantia na forma prevista na legislação que rege a matéria.</w:t>
      </w:r>
    </w:p>
    <w:p w14:paraId="752652B7">
      <w:pPr>
        <w:spacing w:line="288" w:lineRule="auto"/>
        <w:ind w:left="567" w:right="565"/>
        <w:contextualSpacing/>
        <w:jc w:val="both"/>
        <w:rPr>
          <w:color w:val="000000" w:themeColor="text1"/>
          <w:sz w:val="24"/>
          <w:szCs w:val="24"/>
          <w14:textFill>
            <w14:solidFill>
              <w14:schemeClr w14:val="tx1"/>
            </w14:solidFill>
          </w14:textFill>
        </w:rPr>
      </w:pPr>
    </w:p>
    <w:p w14:paraId="5A403149">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 O emitente da garantia ofertada pelo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deverá ser notificado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quanto ao início de processo administrativo para apuração de descumprimento de cláusulas contratuais.</w:t>
      </w:r>
    </w:p>
    <w:p w14:paraId="6BAFB2A1">
      <w:pPr>
        <w:spacing w:line="288" w:lineRule="auto"/>
        <w:ind w:left="567" w:right="565"/>
        <w:contextualSpacing/>
        <w:jc w:val="both"/>
        <w:rPr>
          <w:color w:val="000000" w:themeColor="text1"/>
          <w:sz w:val="24"/>
          <w:szCs w:val="24"/>
          <w14:textFill>
            <w14:solidFill>
              <w14:schemeClr w14:val="tx1"/>
            </w14:solidFill>
          </w14:textFill>
        </w:rPr>
      </w:pPr>
    </w:p>
    <w:p w14:paraId="4E64C705">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10.14.1 O garantidor não é parte para figurar em processo administrativo instaurado pelo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com o objetivo de apurar prejuízos e/ou aplicar sanções ao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w:t>
      </w:r>
    </w:p>
    <w:p w14:paraId="0B33E077">
      <w:pPr>
        <w:spacing w:line="288" w:lineRule="auto"/>
        <w:ind w:left="567" w:right="565"/>
        <w:contextualSpacing/>
        <w:jc w:val="both"/>
        <w:rPr>
          <w:color w:val="000000" w:themeColor="text1"/>
          <w:sz w:val="24"/>
          <w:szCs w:val="24"/>
          <w14:textFill>
            <w14:solidFill>
              <w14:schemeClr w14:val="tx1"/>
            </w14:solidFill>
          </w14:textFill>
        </w:rPr>
      </w:pPr>
    </w:p>
    <w:p w14:paraId="6036D9F2">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353F2E7">
      <w:pPr>
        <w:spacing w:line="288" w:lineRule="auto"/>
        <w:ind w:left="567" w:right="565"/>
        <w:contextualSpacing/>
        <w:jc w:val="both"/>
        <w:rPr>
          <w:color w:val="000000" w:themeColor="text1"/>
          <w:sz w:val="24"/>
          <w:szCs w:val="24"/>
          <w14:textFill>
            <w14:solidFill>
              <w14:schemeClr w14:val="tx1"/>
            </w14:solidFill>
          </w14:textFill>
        </w:rPr>
      </w:pPr>
    </w:p>
    <w:p w14:paraId="369A678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10.16 Extinguir-se-á a garantia com a restituição da apólice, carta fiança, título da dívida pública ou autorização para a liberação da caução em dinheiro, atualizada monetariamente, acompanhada de declaração do </w:t>
      </w:r>
      <w:r>
        <w:rPr>
          <w:b/>
          <w:bCs/>
          <w:color w:val="000000" w:themeColor="text1"/>
          <w:sz w:val="24"/>
          <w:szCs w:val="24"/>
          <w14:textFill>
            <w14:solidFill>
              <w14:schemeClr w14:val="tx1"/>
            </w14:solidFill>
          </w14:textFill>
        </w:rPr>
        <w:t>CONTRATANTE</w:t>
      </w:r>
      <w:r>
        <w:rPr>
          <w:color w:val="000000" w:themeColor="text1"/>
          <w:sz w:val="24"/>
          <w:szCs w:val="24"/>
          <w14:textFill>
            <w14:solidFill>
              <w14:schemeClr w14:val="tx1"/>
            </w14:solidFill>
          </w14:textFill>
        </w:rPr>
        <w:t xml:space="preserve">, mediante termo circunstanciado, de que o </w:t>
      </w:r>
      <w:r>
        <w:rPr>
          <w:b/>
          <w:bCs/>
          <w:color w:val="000000" w:themeColor="text1"/>
          <w:sz w:val="24"/>
          <w:szCs w:val="24"/>
          <w14:textFill>
            <w14:solidFill>
              <w14:schemeClr w14:val="tx1"/>
            </w14:solidFill>
          </w14:textFill>
        </w:rPr>
        <w:t>CONTRATADO</w:t>
      </w:r>
      <w:r>
        <w:rPr>
          <w:color w:val="000000" w:themeColor="text1"/>
          <w:sz w:val="24"/>
          <w:szCs w:val="24"/>
          <w14:textFill>
            <w14:solidFill>
              <w14:schemeClr w14:val="tx1"/>
            </w14:solidFill>
          </w14:textFill>
        </w:rPr>
        <w:t xml:space="preserve"> cumpriu todas as cláusulas do Contrato.</w:t>
      </w:r>
    </w:p>
    <w:p w14:paraId="5C827730">
      <w:pPr>
        <w:spacing w:line="288" w:lineRule="auto"/>
        <w:ind w:left="567" w:right="565"/>
        <w:contextualSpacing/>
        <w:jc w:val="both"/>
        <w:rPr>
          <w:color w:val="000000" w:themeColor="text1"/>
          <w:sz w:val="24"/>
          <w:szCs w:val="24"/>
          <w14:textFill>
            <w14:solidFill>
              <w14:schemeClr w14:val="tx1"/>
            </w14:solidFill>
          </w14:textFill>
        </w:rPr>
      </w:pPr>
    </w:p>
    <w:p w14:paraId="142361C7">
      <w:pPr>
        <w:spacing w:line="288" w:lineRule="auto"/>
        <w:ind w:left="567" w:right="565"/>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10.16.1 A garantia somente será liberada ou restituída, após a fiel execução do Contrato ou pela sua extinção, por culpa exclusiva da Administração, ou quando assim convencionado, em se tratando de extinção consensual da contratação.</w:t>
      </w:r>
    </w:p>
    <w:p w14:paraId="2C6AD401">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1953F37F">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10.17 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autoriza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a reter, a qualquer tempo, a garantia, na forma prevista no Edital e neste Contrato.</w:t>
      </w:r>
    </w:p>
    <w:p w14:paraId="44B10D67">
      <w:pPr>
        <w:pStyle w:val="108"/>
        <w:numPr>
          <w:ilvl w:val="0"/>
          <w:numId w:val="0"/>
        </w:numPr>
        <w:spacing w:before="0" w:after="0" w:line="288" w:lineRule="auto"/>
        <w:ind w:left="567" w:right="565"/>
        <w:contextualSpacing/>
        <w:rPr>
          <w:rFonts w:ascii="Times New Roman" w:hAnsi="Times New Roman" w:cs="Times New Roman"/>
          <w:i w:val="0"/>
          <w:iCs w:val="0"/>
          <w:color w:val="000000" w:themeColor="text1"/>
          <w:sz w:val="24"/>
          <w:szCs w:val="24"/>
          <w14:textFill>
            <w14:solidFill>
              <w14:schemeClr w14:val="tx1"/>
            </w14:solidFill>
          </w14:textFill>
        </w:rPr>
      </w:pPr>
    </w:p>
    <w:p w14:paraId="575C0015">
      <w:pPr>
        <w:pStyle w:val="105"/>
        <w:numPr>
          <w:ilvl w:val="0"/>
          <w:numId w:val="0"/>
        </w:numPr>
        <w:spacing w:before="0" w:line="288" w:lineRule="auto"/>
        <w:ind w:left="32"/>
        <w:contextualSpacing/>
        <w:rPr>
          <w:rFonts w:ascii="Times New Roman" w:hAnsi="Times New Roman"/>
          <w:color w:val="auto"/>
          <w:sz w:val="24"/>
          <w:szCs w:val="24"/>
        </w:rPr>
      </w:pPr>
      <w:r>
        <w:rPr>
          <w:rFonts w:ascii="Times New Roman" w:hAnsi="Times New Roman"/>
          <w:color w:val="auto"/>
          <w:sz w:val="24"/>
          <w:szCs w:val="24"/>
        </w:rPr>
        <w:t xml:space="preserve">CLÁUSULA DÉCIMA PRIMEIRA – DAS INFRAÇÕES ADMINISTRATIVAS E SANÇÕES </w:t>
      </w:r>
    </w:p>
    <w:p w14:paraId="7F7C1365">
      <w:pPr>
        <w:spacing w:line="288" w:lineRule="auto"/>
        <w:contextualSpacing/>
        <w:jc w:val="both"/>
        <w:rPr>
          <w:sz w:val="24"/>
          <w:szCs w:val="24"/>
        </w:rPr>
      </w:pPr>
    </w:p>
    <w:p w14:paraId="56010DDD">
      <w:pPr>
        <w:spacing w:line="288" w:lineRule="auto"/>
        <w:contextualSpacing/>
        <w:jc w:val="both"/>
        <w:rPr>
          <w:color w:val="000000"/>
          <w:sz w:val="24"/>
          <w:szCs w:val="24"/>
        </w:rPr>
      </w:pPr>
      <w:r>
        <w:rPr>
          <w:color w:val="000000"/>
          <w:sz w:val="24"/>
          <w:szCs w:val="24"/>
        </w:rPr>
        <w:t xml:space="preserve">11.1 Constitui infração administrativa, a prática, pelo </w:t>
      </w:r>
      <w:r>
        <w:rPr>
          <w:b/>
          <w:bCs/>
          <w:color w:val="000000"/>
          <w:sz w:val="24"/>
          <w:szCs w:val="24"/>
        </w:rPr>
        <w:t>CONTRATADO</w:t>
      </w:r>
      <w:r>
        <w:rPr>
          <w:color w:val="000000"/>
          <w:sz w:val="24"/>
          <w:szCs w:val="24"/>
        </w:rPr>
        <w:t>, das seguintes condutas previstas no art. 155 da Lei nº 14.133/2021:</w:t>
      </w:r>
    </w:p>
    <w:p w14:paraId="017DC103">
      <w:pPr>
        <w:spacing w:line="288" w:lineRule="auto"/>
        <w:contextualSpacing/>
        <w:jc w:val="both"/>
        <w:rPr>
          <w:color w:val="000000"/>
          <w:sz w:val="24"/>
          <w:szCs w:val="24"/>
        </w:rPr>
      </w:pPr>
    </w:p>
    <w:p w14:paraId="50624EE1">
      <w:pPr>
        <w:spacing w:line="288" w:lineRule="auto"/>
        <w:contextualSpacing/>
        <w:jc w:val="both"/>
        <w:rPr>
          <w:sz w:val="24"/>
          <w:szCs w:val="24"/>
        </w:rPr>
      </w:pPr>
      <w:r>
        <w:rPr>
          <w:color w:val="000000"/>
          <w:sz w:val="24"/>
          <w:szCs w:val="24"/>
        </w:rPr>
        <w:t>11.1.1 dar causa à inexecução parcial do contrato</w:t>
      </w:r>
      <w:r>
        <w:rPr>
          <w:sz w:val="24"/>
          <w:szCs w:val="24"/>
        </w:rPr>
        <w:t>;</w:t>
      </w:r>
    </w:p>
    <w:p w14:paraId="6678EFD2">
      <w:pPr>
        <w:spacing w:line="288" w:lineRule="auto"/>
        <w:contextualSpacing/>
        <w:jc w:val="both"/>
        <w:rPr>
          <w:sz w:val="24"/>
          <w:szCs w:val="24"/>
        </w:rPr>
      </w:pPr>
    </w:p>
    <w:p w14:paraId="489527AD">
      <w:pPr>
        <w:spacing w:line="288" w:lineRule="auto"/>
        <w:contextualSpacing/>
        <w:jc w:val="both"/>
        <w:rPr>
          <w:sz w:val="24"/>
          <w:szCs w:val="24"/>
        </w:rPr>
      </w:pPr>
      <w:r>
        <w:rPr>
          <w:sz w:val="24"/>
          <w:szCs w:val="24"/>
        </w:rPr>
        <w:t xml:space="preserve">11.1.2 </w:t>
      </w:r>
      <w:r>
        <w:rPr>
          <w:color w:val="000000"/>
          <w:sz w:val="24"/>
          <w:szCs w:val="24"/>
        </w:rPr>
        <w:t>dar causa à inexecução parcial do contrato que cause grave dano à Administração, ao funcionamento dos serviços públicos ou ao interesse coletivo;</w:t>
      </w:r>
    </w:p>
    <w:p w14:paraId="1D1FF044">
      <w:pPr>
        <w:spacing w:line="288" w:lineRule="auto"/>
        <w:contextualSpacing/>
        <w:jc w:val="both"/>
        <w:rPr>
          <w:color w:val="000000"/>
          <w:sz w:val="24"/>
          <w:szCs w:val="24"/>
        </w:rPr>
      </w:pPr>
    </w:p>
    <w:p w14:paraId="6D512110">
      <w:pPr>
        <w:spacing w:line="288" w:lineRule="auto"/>
        <w:contextualSpacing/>
        <w:jc w:val="both"/>
        <w:rPr>
          <w:sz w:val="24"/>
          <w:szCs w:val="24"/>
        </w:rPr>
      </w:pPr>
      <w:r>
        <w:rPr>
          <w:color w:val="000000"/>
          <w:sz w:val="24"/>
          <w:szCs w:val="24"/>
        </w:rPr>
        <w:t>11.1.3 dar causa à inexecução total do contrato;</w:t>
      </w:r>
    </w:p>
    <w:p w14:paraId="5C6E6423">
      <w:pPr>
        <w:spacing w:line="288" w:lineRule="auto"/>
        <w:contextualSpacing/>
        <w:jc w:val="both"/>
        <w:rPr>
          <w:color w:val="000000"/>
          <w:sz w:val="24"/>
          <w:szCs w:val="24"/>
        </w:rPr>
      </w:pPr>
    </w:p>
    <w:p w14:paraId="12048057">
      <w:pPr>
        <w:spacing w:line="288" w:lineRule="auto"/>
        <w:contextualSpacing/>
        <w:jc w:val="both"/>
        <w:rPr>
          <w:sz w:val="24"/>
          <w:szCs w:val="24"/>
        </w:rPr>
      </w:pPr>
      <w:r>
        <w:rPr>
          <w:color w:val="000000"/>
          <w:sz w:val="24"/>
          <w:szCs w:val="24"/>
        </w:rPr>
        <w:t xml:space="preserve">11.1.4 deixar de entregar a documentação exigida para o certame ou não entregar qualquer documento que tenha sido solicitado pelo pregoeiro durante o certame; </w:t>
      </w:r>
    </w:p>
    <w:p w14:paraId="51BC331D">
      <w:pPr>
        <w:spacing w:line="288" w:lineRule="auto"/>
        <w:contextualSpacing/>
        <w:jc w:val="both"/>
        <w:rPr>
          <w:color w:val="000000"/>
          <w:sz w:val="24"/>
          <w:szCs w:val="24"/>
        </w:rPr>
      </w:pPr>
    </w:p>
    <w:p w14:paraId="3C01D180">
      <w:pPr>
        <w:spacing w:line="288" w:lineRule="auto"/>
        <w:contextualSpacing/>
        <w:jc w:val="both"/>
        <w:rPr>
          <w:color w:val="000000"/>
          <w:sz w:val="24"/>
          <w:szCs w:val="24"/>
        </w:rPr>
      </w:pPr>
      <w:r>
        <w:rPr>
          <w:color w:val="000000"/>
          <w:sz w:val="24"/>
          <w:szCs w:val="24"/>
        </w:rPr>
        <w:t>11.1.5 não manter a proposta, salvo em decorrência de fato superveniente devidamente justificado, em especial quando:</w:t>
      </w:r>
    </w:p>
    <w:p w14:paraId="2CCEFFE8">
      <w:pPr>
        <w:spacing w:line="288" w:lineRule="auto"/>
        <w:contextualSpacing/>
        <w:jc w:val="both"/>
        <w:rPr>
          <w:sz w:val="24"/>
          <w:szCs w:val="24"/>
        </w:rPr>
      </w:pPr>
    </w:p>
    <w:p w14:paraId="1C3C2A0B">
      <w:pPr>
        <w:spacing w:line="288" w:lineRule="auto"/>
        <w:contextualSpacing/>
        <w:jc w:val="both"/>
        <w:rPr>
          <w:sz w:val="24"/>
          <w:szCs w:val="24"/>
        </w:rPr>
      </w:pPr>
      <w:r>
        <w:rPr>
          <w:sz w:val="24"/>
          <w:szCs w:val="24"/>
        </w:rPr>
        <w:t xml:space="preserve">11.1.5.1 não enviar a proposta adequada ao último lance ofertado ou após a negociação; </w:t>
      </w:r>
    </w:p>
    <w:p w14:paraId="4B25BBC4">
      <w:pPr>
        <w:spacing w:line="288" w:lineRule="auto"/>
        <w:contextualSpacing/>
        <w:jc w:val="both"/>
        <w:rPr>
          <w:sz w:val="24"/>
          <w:szCs w:val="24"/>
        </w:rPr>
      </w:pPr>
    </w:p>
    <w:p w14:paraId="01A12AE5">
      <w:pPr>
        <w:spacing w:line="288" w:lineRule="auto"/>
        <w:contextualSpacing/>
        <w:jc w:val="both"/>
        <w:rPr>
          <w:sz w:val="24"/>
          <w:szCs w:val="24"/>
        </w:rPr>
      </w:pPr>
      <w:r>
        <w:rPr>
          <w:sz w:val="24"/>
          <w:szCs w:val="24"/>
        </w:rPr>
        <w:t xml:space="preserve">11.1.5.2 recusar-se a enviar o detalhamento da proposta quando exigível; </w:t>
      </w:r>
    </w:p>
    <w:p w14:paraId="1EF73AC2">
      <w:pPr>
        <w:spacing w:line="288" w:lineRule="auto"/>
        <w:contextualSpacing/>
        <w:jc w:val="both"/>
        <w:rPr>
          <w:sz w:val="24"/>
          <w:szCs w:val="24"/>
        </w:rPr>
      </w:pPr>
    </w:p>
    <w:p w14:paraId="0D95D45C">
      <w:pPr>
        <w:spacing w:line="288" w:lineRule="auto"/>
        <w:contextualSpacing/>
        <w:jc w:val="both"/>
        <w:rPr>
          <w:sz w:val="24"/>
          <w:szCs w:val="24"/>
        </w:rPr>
      </w:pPr>
      <w:r>
        <w:rPr>
          <w:sz w:val="24"/>
          <w:szCs w:val="24"/>
        </w:rPr>
        <w:t xml:space="preserve">11.1.5.3 pedir para ser desclassificado quando encerrada a etapa competitiva; ou </w:t>
      </w:r>
    </w:p>
    <w:p w14:paraId="48008F05">
      <w:pPr>
        <w:spacing w:line="288" w:lineRule="auto"/>
        <w:contextualSpacing/>
        <w:jc w:val="both"/>
        <w:rPr>
          <w:sz w:val="24"/>
          <w:szCs w:val="24"/>
        </w:rPr>
      </w:pPr>
    </w:p>
    <w:p w14:paraId="587BA0D9">
      <w:pPr>
        <w:spacing w:line="288" w:lineRule="auto"/>
        <w:contextualSpacing/>
        <w:jc w:val="both"/>
        <w:rPr>
          <w:sz w:val="24"/>
          <w:szCs w:val="24"/>
        </w:rPr>
      </w:pPr>
      <w:r>
        <w:rPr>
          <w:sz w:val="24"/>
          <w:szCs w:val="24"/>
        </w:rPr>
        <w:t>11.1.5.4 deixar de apresentar amostra;</w:t>
      </w:r>
    </w:p>
    <w:p w14:paraId="19D687E4">
      <w:pPr>
        <w:spacing w:line="288" w:lineRule="auto"/>
        <w:contextualSpacing/>
        <w:jc w:val="both"/>
        <w:rPr>
          <w:sz w:val="24"/>
          <w:szCs w:val="24"/>
        </w:rPr>
      </w:pPr>
    </w:p>
    <w:p w14:paraId="5627EE40">
      <w:pPr>
        <w:spacing w:line="288" w:lineRule="auto"/>
        <w:contextualSpacing/>
        <w:jc w:val="both"/>
        <w:rPr>
          <w:sz w:val="24"/>
          <w:szCs w:val="24"/>
        </w:rPr>
      </w:pPr>
      <w:r>
        <w:rPr>
          <w:sz w:val="24"/>
          <w:szCs w:val="24"/>
        </w:rPr>
        <w:t xml:space="preserve">11.1.5.5 apresentar proposta ou amostra em desacordo com as especificações do instrumento convocatório; </w:t>
      </w:r>
    </w:p>
    <w:p w14:paraId="54EBDE79">
      <w:pPr>
        <w:spacing w:line="288" w:lineRule="auto"/>
        <w:contextualSpacing/>
        <w:jc w:val="both"/>
        <w:rPr>
          <w:color w:val="000000"/>
          <w:sz w:val="24"/>
          <w:szCs w:val="24"/>
        </w:rPr>
      </w:pPr>
    </w:p>
    <w:p w14:paraId="77C29DE6">
      <w:pPr>
        <w:spacing w:line="288" w:lineRule="auto"/>
        <w:contextualSpacing/>
        <w:jc w:val="both"/>
        <w:rPr>
          <w:color w:val="000000"/>
          <w:sz w:val="24"/>
          <w:szCs w:val="24"/>
        </w:rPr>
      </w:pPr>
      <w:r>
        <w:rPr>
          <w:color w:val="000000"/>
          <w:sz w:val="24"/>
          <w:szCs w:val="24"/>
        </w:rPr>
        <w:t>11.1.6 não celebrar o contrato ou não entregar a documentação exigida para a contratação, quando convocado dentro do prazo de validade de sua proposta;</w:t>
      </w:r>
    </w:p>
    <w:p w14:paraId="00306783">
      <w:pPr>
        <w:spacing w:line="288" w:lineRule="auto"/>
        <w:contextualSpacing/>
        <w:jc w:val="both"/>
        <w:rPr>
          <w:sz w:val="24"/>
          <w:szCs w:val="24"/>
        </w:rPr>
      </w:pPr>
    </w:p>
    <w:p w14:paraId="5BFFAFE1">
      <w:pPr>
        <w:spacing w:line="288" w:lineRule="auto"/>
        <w:contextualSpacing/>
        <w:jc w:val="both"/>
        <w:rPr>
          <w:sz w:val="24"/>
          <w:szCs w:val="24"/>
        </w:rPr>
      </w:pPr>
      <w:r>
        <w:rPr>
          <w:sz w:val="24"/>
          <w:szCs w:val="24"/>
        </w:rPr>
        <w:t>11.1.6.1 recusar-se, sem justificativa, a assinar o contrato ou a ata de registro de preço, ou a aceitar ou retirar o instrumento equivalente no prazo estabelecido pela Administração;</w:t>
      </w:r>
    </w:p>
    <w:p w14:paraId="7B0B39C8">
      <w:pPr>
        <w:spacing w:line="288" w:lineRule="auto"/>
        <w:contextualSpacing/>
        <w:jc w:val="both"/>
        <w:rPr>
          <w:color w:val="000000"/>
          <w:sz w:val="24"/>
          <w:szCs w:val="24"/>
        </w:rPr>
      </w:pPr>
    </w:p>
    <w:p w14:paraId="78B49D39">
      <w:pPr>
        <w:spacing w:line="288" w:lineRule="auto"/>
        <w:contextualSpacing/>
        <w:jc w:val="both"/>
        <w:rPr>
          <w:color w:val="000000"/>
          <w:sz w:val="24"/>
          <w:szCs w:val="24"/>
        </w:rPr>
      </w:pPr>
      <w:r>
        <w:rPr>
          <w:color w:val="000000"/>
          <w:sz w:val="24"/>
          <w:szCs w:val="24"/>
        </w:rPr>
        <w:t>11.1.7 ensejar o retardamento da execução ou da entrega do objeto da contratação sem motivo justificado;</w:t>
      </w:r>
    </w:p>
    <w:p w14:paraId="44007F61">
      <w:pPr>
        <w:spacing w:line="288" w:lineRule="auto"/>
        <w:contextualSpacing/>
        <w:jc w:val="both"/>
        <w:rPr>
          <w:color w:val="000000"/>
          <w:sz w:val="24"/>
          <w:szCs w:val="24"/>
        </w:rPr>
      </w:pPr>
    </w:p>
    <w:p w14:paraId="622386D3">
      <w:pPr>
        <w:spacing w:line="288" w:lineRule="auto"/>
        <w:contextualSpacing/>
        <w:jc w:val="both"/>
        <w:rPr>
          <w:color w:val="000000"/>
          <w:sz w:val="24"/>
          <w:szCs w:val="24"/>
        </w:rPr>
      </w:pPr>
      <w:r>
        <w:rPr>
          <w:color w:val="000000"/>
          <w:sz w:val="24"/>
          <w:szCs w:val="24"/>
        </w:rPr>
        <w:t>11.1.8 apresentar declaração ou documentação falsa exigida para o certame ou prestar declaração falsa durante o certame ou a execução do contrato;</w:t>
      </w:r>
    </w:p>
    <w:p w14:paraId="07F83DA6">
      <w:pPr>
        <w:spacing w:line="288" w:lineRule="auto"/>
        <w:contextualSpacing/>
        <w:jc w:val="both"/>
        <w:rPr>
          <w:color w:val="000000"/>
          <w:sz w:val="24"/>
          <w:szCs w:val="24"/>
        </w:rPr>
      </w:pPr>
    </w:p>
    <w:p w14:paraId="5961B97B">
      <w:pPr>
        <w:spacing w:line="288" w:lineRule="auto"/>
        <w:contextualSpacing/>
        <w:jc w:val="both"/>
        <w:rPr>
          <w:color w:val="000000"/>
          <w:sz w:val="24"/>
          <w:szCs w:val="24"/>
        </w:rPr>
      </w:pPr>
      <w:r>
        <w:rPr>
          <w:color w:val="000000"/>
          <w:sz w:val="24"/>
          <w:szCs w:val="24"/>
        </w:rPr>
        <w:t>11.1.9 fraudar o certame ou praticar ato fraudulento na execução do contrato;</w:t>
      </w:r>
    </w:p>
    <w:p w14:paraId="15159C05">
      <w:pPr>
        <w:spacing w:line="288" w:lineRule="auto"/>
        <w:contextualSpacing/>
        <w:jc w:val="both"/>
        <w:rPr>
          <w:color w:val="000000"/>
          <w:sz w:val="24"/>
          <w:szCs w:val="24"/>
        </w:rPr>
      </w:pPr>
    </w:p>
    <w:p w14:paraId="790F3AB6">
      <w:pPr>
        <w:spacing w:line="288" w:lineRule="auto"/>
        <w:contextualSpacing/>
        <w:jc w:val="both"/>
        <w:rPr>
          <w:color w:val="000000"/>
          <w:sz w:val="24"/>
          <w:szCs w:val="24"/>
        </w:rPr>
      </w:pPr>
      <w:r>
        <w:rPr>
          <w:color w:val="000000"/>
          <w:sz w:val="24"/>
          <w:szCs w:val="24"/>
        </w:rPr>
        <w:t>11.1.10 comportar-se de modo inidôneo ou cometer fraude de qualquer natureza, em especial quando:</w:t>
      </w:r>
    </w:p>
    <w:p w14:paraId="584C6295">
      <w:pPr>
        <w:spacing w:line="288" w:lineRule="auto"/>
        <w:contextualSpacing/>
        <w:jc w:val="both"/>
        <w:rPr>
          <w:sz w:val="24"/>
          <w:szCs w:val="24"/>
        </w:rPr>
      </w:pPr>
    </w:p>
    <w:p w14:paraId="056EE1BF">
      <w:pPr>
        <w:spacing w:line="288" w:lineRule="auto"/>
        <w:contextualSpacing/>
        <w:jc w:val="both"/>
        <w:rPr>
          <w:sz w:val="24"/>
          <w:szCs w:val="24"/>
        </w:rPr>
      </w:pPr>
      <w:r>
        <w:rPr>
          <w:sz w:val="24"/>
          <w:szCs w:val="24"/>
        </w:rPr>
        <w:t xml:space="preserve">11.1.10.1 agir em conluio ou em desconformidade com a lei; </w:t>
      </w:r>
    </w:p>
    <w:p w14:paraId="09D71A48">
      <w:pPr>
        <w:spacing w:line="288" w:lineRule="auto"/>
        <w:contextualSpacing/>
        <w:jc w:val="both"/>
        <w:rPr>
          <w:sz w:val="24"/>
          <w:szCs w:val="24"/>
        </w:rPr>
      </w:pPr>
    </w:p>
    <w:p w14:paraId="1C17F0FC">
      <w:pPr>
        <w:spacing w:line="288" w:lineRule="auto"/>
        <w:contextualSpacing/>
        <w:jc w:val="both"/>
        <w:rPr>
          <w:sz w:val="24"/>
          <w:szCs w:val="24"/>
        </w:rPr>
      </w:pPr>
      <w:r>
        <w:rPr>
          <w:sz w:val="24"/>
          <w:szCs w:val="24"/>
        </w:rPr>
        <w:t xml:space="preserve">11.1.10.2 induzir deliberadamente a erro no julgamento; </w:t>
      </w:r>
    </w:p>
    <w:p w14:paraId="5D84A932">
      <w:pPr>
        <w:spacing w:line="288" w:lineRule="auto"/>
        <w:contextualSpacing/>
        <w:jc w:val="both"/>
        <w:rPr>
          <w:sz w:val="24"/>
          <w:szCs w:val="24"/>
        </w:rPr>
      </w:pPr>
    </w:p>
    <w:p w14:paraId="455BBF1A">
      <w:pPr>
        <w:spacing w:line="288" w:lineRule="auto"/>
        <w:contextualSpacing/>
        <w:jc w:val="both"/>
        <w:rPr>
          <w:sz w:val="24"/>
          <w:szCs w:val="24"/>
        </w:rPr>
      </w:pPr>
      <w:r>
        <w:rPr>
          <w:sz w:val="24"/>
          <w:szCs w:val="24"/>
        </w:rPr>
        <w:t xml:space="preserve">11.1.10.3 apresentar amostra falsificada ou deteriorada; </w:t>
      </w:r>
    </w:p>
    <w:p w14:paraId="6BBF1D69">
      <w:pPr>
        <w:spacing w:line="288" w:lineRule="auto"/>
        <w:contextualSpacing/>
        <w:jc w:val="both"/>
        <w:rPr>
          <w:sz w:val="24"/>
          <w:szCs w:val="24"/>
        </w:rPr>
      </w:pPr>
    </w:p>
    <w:p w14:paraId="1DD8449A">
      <w:pPr>
        <w:spacing w:line="288" w:lineRule="auto"/>
        <w:contextualSpacing/>
        <w:jc w:val="both"/>
        <w:rPr>
          <w:sz w:val="24"/>
          <w:szCs w:val="24"/>
        </w:rPr>
      </w:pPr>
      <w:r>
        <w:rPr>
          <w:sz w:val="24"/>
          <w:szCs w:val="24"/>
        </w:rPr>
        <w:t xml:space="preserve">11.1.10.4 apresentar declaração falsa quanto às condições de participação ou quanto ao enquadramento como ME/EPP; </w:t>
      </w:r>
    </w:p>
    <w:p w14:paraId="0CCC7A60">
      <w:pPr>
        <w:spacing w:line="288" w:lineRule="auto"/>
        <w:contextualSpacing/>
        <w:jc w:val="both"/>
        <w:rPr>
          <w:color w:val="000000"/>
          <w:sz w:val="24"/>
          <w:szCs w:val="24"/>
        </w:rPr>
      </w:pPr>
    </w:p>
    <w:p w14:paraId="1B7F71B8">
      <w:pPr>
        <w:spacing w:line="288" w:lineRule="auto"/>
        <w:contextualSpacing/>
        <w:jc w:val="both"/>
        <w:rPr>
          <w:color w:val="000000"/>
          <w:sz w:val="24"/>
          <w:szCs w:val="24"/>
        </w:rPr>
      </w:pPr>
      <w:r>
        <w:rPr>
          <w:color w:val="000000"/>
          <w:sz w:val="24"/>
          <w:szCs w:val="24"/>
        </w:rPr>
        <w:t>11.1.11 praticar atos ilícitos com vistas a frustrar os objetivos do certame;</w:t>
      </w:r>
    </w:p>
    <w:p w14:paraId="033A6635">
      <w:pPr>
        <w:spacing w:line="288" w:lineRule="auto"/>
        <w:contextualSpacing/>
        <w:jc w:val="both"/>
        <w:rPr>
          <w:color w:val="000000"/>
          <w:sz w:val="24"/>
          <w:szCs w:val="24"/>
        </w:rPr>
      </w:pPr>
    </w:p>
    <w:p w14:paraId="726FA1DE">
      <w:pPr>
        <w:spacing w:line="288" w:lineRule="auto"/>
        <w:contextualSpacing/>
        <w:jc w:val="both"/>
        <w:rPr>
          <w:rStyle w:val="16"/>
          <w:rFonts w:eastAsiaTheme="minorHAnsi"/>
          <w:color w:val="000000"/>
          <w:sz w:val="24"/>
          <w:szCs w:val="24"/>
        </w:rPr>
      </w:pPr>
      <w:r>
        <w:rPr>
          <w:color w:val="000000"/>
          <w:sz w:val="24"/>
          <w:szCs w:val="24"/>
        </w:rPr>
        <w:t>11.1.12 praticar ato lesivo previsto no </w:t>
      </w:r>
      <w:r>
        <w:fldChar w:fldCharType="begin"/>
      </w:r>
      <w:r>
        <w:instrText xml:space="preserve"> HYPERLINK "http://www.planalto.gov.br/ccivil_03/_Ato2011-2014/2013/Lei/L12846.htm" \l "art5" </w:instrText>
      </w:r>
      <w:r>
        <w:fldChar w:fldCharType="separate"/>
      </w:r>
      <w:r>
        <w:rPr>
          <w:rStyle w:val="16"/>
          <w:rFonts w:eastAsiaTheme="minorHAnsi"/>
          <w:color w:val="000000"/>
          <w:sz w:val="24"/>
          <w:szCs w:val="24"/>
        </w:rPr>
        <w:t>art. 5º da Lei nº 12.846, de 1º de agosto de 2013.</w:t>
      </w:r>
      <w:r>
        <w:rPr>
          <w:rStyle w:val="16"/>
          <w:rFonts w:eastAsiaTheme="minorHAnsi"/>
          <w:color w:val="000000"/>
          <w:sz w:val="24"/>
          <w:szCs w:val="24"/>
        </w:rPr>
        <w:fldChar w:fldCharType="end"/>
      </w:r>
    </w:p>
    <w:p w14:paraId="3FA1BEB5">
      <w:pPr>
        <w:spacing w:line="288" w:lineRule="auto"/>
        <w:contextualSpacing/>
        <w:jc w:val="both"/>
        <w:rPr>
          <w:sz w:val="24"/>
          <w:szCs w:val="24"/>
        </w:rPr>
      </w:pPr>
    </w:p>
    <w:p w14:paraId="3B1DF64D">
      <w:pPr>
        <w:spacing w:line="288" w:lineRule="auto"/>
        <w:contextualSpacing/>
        <w:jc w:val="both"/>
        <w:rPr>
          <w:sz w:val="24"/>
          <w:szCs w:val="24"/>
        </w:rPr>
      </w:pPr>
      <w:r>
        <w:rPr>
          <w:sz w:val="24"/>
          <w:szCs w:val="24"/>
        </w:rPr>
        <w:t xml:space="preserve">11.2 O </w:t>
      </w:r>
      <w:r>
        <w:rPr>
          <w:b/>
          <w:bCs/>
          <w:color w:val="000000"/>
          <w:sz w:val="24"/>
          <w:szCs w:val="24"/>
        </w:rPr>
        <w:t>CONTRATADO</w:t>
      </w:r>
      <w:r>
        <w:rPr>
          <w:sz w:val="24"/>
          <w:szCs w:val="24"/>
        </w:rPr>
        <w:t xml:space="preserve"> que cometer qualquer das condutas discriminadas nos subitens anteriores ficará sujeito, sem prejuízo da responsabilidade civil e criminal, às seguintes sanções:</w:t>
      </w:r>
    </w:p>
    <w:p w14:paraId="077ECBEE">
      <w:pPr>
        <w:spacing w:line="288" w:lineRule="auto"/>
        <w:contextualSpacing/>
        <w:jc w:val="both"/>
        <w:rPr>
          <w:sz w:val="24"/>
          <w:szCs w:val="24"/>
        </w:rPr>
      </w:pPr>
    </w:p>
    <w:p w14:paraId="266228C7">
      <w:pPr>
        <w:spacing w:line="288" w:lineRule="auto"/>
        <w:contextualSpacing/>
        <w:jc w:val="both"/>
        <w:rPr>
          <w:sz w:val="24"/>
          <w:szCs w:val="24"/>
        </w:rPr>
      </w:pPr>
      <w:r>
        <w:rPr>
          <w:sz w:val="24"/>
          <w:szCs w:val="24"/>
        </w:rPr>
        <w:t>11.2.1 Advertência, prevista no art. 156, I, § 2º, da Lei nº 14.133/2021, pela infração descrita no item 11.1.1, de menor potencial ofensivo, quando não se justificar a imposição de penalidade mais grave.</w:t>
      </w:r>
    </w:p>
    <w:p w14:paraId="1EC3206E">
      <w:pPr>
        <w:spacing w:line="288" w:lineRule="auto"/>
        <w:contextualSpacing/>
        <w:jc w:val="both"/>
        <w:rPr>
          <w:sz w:val="24"/>
          <w:szCs w:val="24"/>
        </w:rPr>
      </w:pPr>
    </w:p>
    <w:p w14:paraId="3EBFD009">
      <w:pPr>
        <w:spacing w:line="288" w:lineRule="auto"/>
        <w:contextualSpacing/>
        <w:jc w:val="both"/>
        <w:rPr>
          <w:sz w:val="24"/>
          <w:szCs w:val="24"/>
        </w:rPr>
      </w:pPr>
      <w:r>
        <w:rPr>
          <w:sz w:val="24"/>
          <w:szCs w:val="24"/>
        </w:rPr>
        <w:t xml:space="preserve">11.2.2 Multa administrativa, prevista no art. 156, II, § 3º, da Lei nº 14.133/2021, pela infração dos subitens 11.1.1 a 11.1.12, que não </w:t>
      </w:r>
      <w:r>
        <w:rPr>
          <w:color w:val="000000"/>
          <w:sz w:val="24"/>
          <w:szCs w:val="24"/>
        </w:rPr>
        <w:t>poderá ser inferior a 0,5% (cinco décimos por cento) nem superior a 30% (trinta por cento) do valor do Contrato</w:t>
      </w:r>
      <w:r>
        <w:rPr>
          <w:sz w:val="24"/>
          <w:szCs w:val="24"/>
        </w:rPr>
        <w:t>, devendo ser observados os seguintes parâmetros:</w:t>
      </w:r>
    </w:p>
    <w:p w14:paraId="5F9CCC53">
      <w:pPr>
        <w:spacing w:line="288" w:lineRule="auto"/>
        <w:contextualSpacing/>
        <w:jc w:val="both"/>
        <w:rPr>
          <w:color w:val="000000" w:themeColor="text1"/>
          <w:sz w:val="24"/>
          <w:szCs w:val="24"/>
          <w14:textFill>
            <w14:solidFill>
              <w14:schemeClr w14:val="tx1"/>
            </w14:solidFill>
          </w14:textFill>
        </w:rPr>
      </w:pPr>
      <w:r>
        <w:rPr>
          <w:sz w:val="24"/>
          <w:szCs w:val="24"/>
        </w:rPr>
        <w:t xml:space="preserve">a) multa de 0,5% a 1,5%, nos casos da infração prevista </w:t>
      </w:r>
      <w:r>
        <w:rPr>
          <w:color w:val="000000" w:themeColor="text1"/>
          <w:sz w:val="24"/>
          <w:szCs w:val="24"/>
          <w14:textFill>
            <w14:solidFill>
              <w14:schemeClr w14:val="tx1"/>
            </w14:solidFill>
          </w14:textFill>
        </w:rPr>
        <w:t xml:space="preserve">no subitem 11.1.1, incidente sobre o valor anual do Contrato; </w:t>
      </w:r>
    </w:p>
    <w:p w14:paraId="1D576AF0">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b) multa de 0,5% a 15%, nos casos das infrações previstas nos subitens 11.1.2 a 11.1.7, incidente sobre o valor anual do Contrato;</w:t>
      </w:r>
    </w:p>
    <w:p w14:paraId="3DAE4A69">
      <w:pPr>
        <w:spacing w:line="288" w:lineRule="auto"/>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c) multa de 5% a 30%, nos casos das infrações previstas nos subitens 11.1.8 a 11.1.12, incidente sobre o valor anual do Contrato;</w:t>
      </w:r>
    </w:p>
    <w:p w14:paraId="62697416">
      <w:pPr>
        <w:spacing w:line="288" w:lineRule="auto"/>
        <w:contextualSpacing/>
        <w:jc w:val="both"/>
        <w:rPr>
          <w:color w:val="000000" w:themeColor="text1"/>
          <w:sz w:val="24"/>
          <w:szCs w:val="24"/>
          <w14:textFill>
            <w14:solidFill>
              <w14:schemeClr w14:val="tx1"/>
            </w14:solidFill>
          </w14:textFill>
        </w:rPr>
      </w:pPr>
    </w:p>
    <w:p w14:paraId="029756F3">
      <w:pPr>
        <w:spacing w:line="288" w:lineRule="auto"/>
        <w:contextualSpacing/>
        <w:jc w:val="both"/>
        <w:rPr>
          <w:sz w:val="24"/>
          <w:szCs w:val="24"/>
        </w:rPr>
      </w:pPr>
      <w:r>
        <w:rPr>
          <w:sz w:val="24"/>
          <w:szCs w:val="24"/>
        </w:rPr>
        <w:t>11.2.2.1 Na hipótese de a infração ser cometida antes da celebração do contrato, a base de cálculo da multa do item 11.2.2 será o valor anual estimado da contratação.</w:t>
      </w:r>
    </w:p>
    <w:p w14:paraId="02EF4B6C">
      <w:pPr>
        <w:spacing w:line="288" w:lineRule="auto"/>
        <w:contextualSpacing/>
        <w:jc w:val="both"/>
        <w:rPr>
          <w:b/>
          <w:bCs/>
          <w:color w:val="FF0000"/>
          <w:sz w:val="24"/>
          <w:szCs w:val="24"/>
        </w:rPr>
      </w:pPr>
    </w:p>
    <w:p w14:paraId="312D28FB">
      <w:pPr>
        <w:spacing w:line="288" w:lineRule="auto"/>
        <w:contextualSpacing/>
        <w:jc w:val="both"/>
        <w:rPr>
          <w:sz w:val="24"/>
          <w:szCs w:val="24"/>
        </w:rPr>
      </w:pPr>
      <w:r>
        <w:rPr>
          <w:sz w:val="24"/>
          <w:szCs w:val="24"/>
        </w:rPr>
        <w:t>11.2.2.2    Em caso de reincidência, o valor total das multas administrativas aplicadas não poderá exceder o limite de 30% (trinta por cento) sobre o valor total do Contrato.</w:t>
      </w:r>
    </w:p>
    <w:p w14:paraId="2C89FF3F">
      <w:pPr>
        <w:spacing w:line="288" w:lineRule="auto"/>
        <w:contextualSpacing/>
        <w:jc w:val="both"/>
        <w:rPr>
          <w:sz w:val="24"/>
          <w:szCs w:val="24"/>
        </w:rPr>
      </w:pPr>
    </w:p>
    <w:p w14:paraId="4511CC75">
      <w:pPr>
        <w:spacing w:line="288" w:lineRule="auto"/>
        <w:contextualSpacing/>
        <w:jc w:val="both"/>
        <w:rPr>
          <w:sz w:val="24"/>
          <w:szCs w:val="24"/>
        </w:rPr>
      </w:pPr>
      <w:r>
        <w:rPr>
          <w:sz w:val="24"/>
          <w:szCs w:val="24"/>
        </w:rPr>
        <w:t xml:space="preserve">11.2.2.3 Se a multa aplicada e as indenizações cabíveis forem superiores ao valor de pagamento eventualmente devido pela Administração ao </w:t>
      </w:r>
      <w:r>
        <w:rPr>
          <w:b/>
          <w:bCs/>
          <w:color w:val="000000"/>
          <w:sz w:val="24"/>
          <w:szCs w:val="24"/>
        </w:rPr>
        <w:t>CONTRATADO</w:t>
      </w:r>
      <w:r>
        <w:rPr>
          <w:sz w:val="24"/>
          <w:szCs w:val="24"/>
        </w:rPr>
        <w:t>, além da perda desse valor, a diferença será descontada da garantia prestada ou será cobrada judicialmente, na forma do art. 156, § 8º, da Lei nº 14.133/2021, e conforme o procedimento previsto no item 11.13.</w:t>
      </w:r>
    </w:p>
    <w:p w14:paraId="56DD83A9">
      <w:pPr>
        <w:spacing w:line="288" w:lineRule="auto"/>
        <w:contextualSpacing/>
        <w:jc w:val="both"/>
        <w:rPr>
          <w:sz w:val="24"/>
          <w:szCs w:val="24"/>
        </w:rPr>
      </w:pPr>
    </w:p>
    <w:p w14:paraId="0B10DE76">
      <w:pPr>
        <w:spacing w:line="288" w:lineRule="auto"/>
        <w:contextualSpacing/>
        <w:jc w:val="both"/>
        <w:rPr>
          <w:sz w:val="24"/>
          <w:szCs w:val="24"/>
        </w:rPr>
      </w:pPr>
      <w:r>
        <w:rPr>
          <w:sz w:val="24"/>
          <w:szCs w:val="24"/>
        </w:rPr>
        <w:t>11.2.2.4 A penalidade de multa pode ser aplicada cumulativamente com as demais sanções, na forma do art. 156, § 7º, da Lei nº 14.133/2021.</w:t>
      </w:r>
    </w:p>
    <w:p w14:paraId="21331635">
      <w:pPr>
        <w:spacing w:line="288" w:lineRule="auto"/>
        <w:contextualSpacing/>
        <w:jc w:val="both"/>
        <w:rPr>
          <w:color w:val="000000"/>
          <w:sz w:val="24"/>
          <w:szCs w:val="24"/>
        </w:rPr>
      </w:pPr>
    </w:p>
    <w:p w14:paraId="3FE7B1B7">
      <w:pPr>
        <w:spacing w:line="288" w:lineRule="auto"/>
        <w:contextualSpacing/>
        <w:jc w:val="both"/>
        <w:rPr>
          <w:rFonts w:eastAsia="Arial"/>
          <w:color w:val="000000"/>
          <w:sz w:val="24"/>
          <w:szCs w:val="24"/>
        </w:rPr>
      </w:pPr>
      <w:r>
        <w:rPr>
          <w:color w:val="000000"/>
          <w:sz w:val="24"/>
          <w:szCs w:val="24"/>
        </w:rPr>
        <w:t xml:space="preserve">11.2.3 Impedimento de licitar e contratar, prevista no </w:t>
      </w:r>
      <w:r>
        <w:rPr>
          <w:sz w:val="24"/>
          <w:szCs w:val="24"/>
        </w:rPr>
        <w:t xml:space="preserve">art. 156, III, § 4º, da Lei nº 14.133/2021, </w:t>
      </w:r>
      <w:r>
        <w:rPr>
          <w:color w:val="000000"/>
          <w:sz w:val="24"/>
          <w:szCs w:val="24"/>
        </w:rPr>
        <w:t>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369997BE">
      <w:pPr>
        <w:spacing w:line="288" w:lineRule="auto"/>
        <w:contextualSpacing/>
        <w:jc w:val="both"/>
        <w:rPr>
          <w:color w:val="000000"/>
          <w:sz w:val="24"/>
          <w:szCs w:val="24"/>
        </w:rPr>
      </w:pPr>
    </w:p>
    <w:p w14:paraId="3D5F1AD5">
      <w:pPr>
        <w:spacing w:line="288" w:lineRule="auto"/>
        <w:contextualSpacing/>
        <w:jc w:val="both"/>
        <w:rPr>
          <w:sz w:val="24"/>
          <w:szCs w:val="24"/>
        </w:rPr>
      </w:pPr>
      <w:r>
        <w:rPr>
          <w:color w:val="000000"/>
          <w:sz w:val="24"/>
          <w:szCs w:val="24"/>
        </w:rPr>
        <w:t>11.2.4 Declaração de inidoneidade para licitar ou contratar, prevista no a</w:t>
      </w:r>
      <w:r>
        <w:rPr>
          <w:rStyle w:val="118"/>
          <w:rFonts w:ascii="Times New Roman" w:hAnsi="Times New Roman" w:cs="Times New Roman"/>
          <w:sz w:val="24"/>
          <w:szCs w:val="24"/>
        </w:rPr>
        <w:t xml:space="preserve">rt. 156, IV, § 5º, da Lei nº 14.133/2021, </w:t>
      </w:r>
      <w:r>
        <w:rPr>
          <w:color w:val="000000"/>
          <w:sz w:val="24"/>
          <w:szCs w:val="24"/>
        </w:rPr>
        <w:t>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Pr>
          <w:sz w:val="24"/>
          <w:szCs w:val="24"/>
        </w:rPr>
        <w:t>.</w:t>
      </w:r>
    </w:p>
    <w:p w14:paraId="049529CF">
      <w:pPr>
        <w:spacing w:line="288" w:lineRule="auto"/>
        <w:contextualSpacing/>
        <w:jc w:val="both"/>
        <w:rPr>
          <w:sz w:val="24"/>
          <w:szCs w:val="24"/>
        </w:rPr>
      </w:pPr>
    </w:p>
    <w:p w14:paraId="6971A82A">
      <w:pPr>
        <w:spacing w:line="288" w:lineRule="auto"/>
        <w:contextualSpacing/>
        <w:jc w:val="both"/>
        <w:rPr>
          <w:sz w:val="24"/>
          <w:szCs w:val="24"/>
        </w:rPr>
      </w:pPr>
      <w:r>
        <w:rPr>
          <w:sz w:val="24"/>
          <w:szCs w:val="24"/>
        </w:rPr>
        <w:t xml:space="preserve">11.3 Sem prejuízo da multa administrativa prevista no art. 156, II, § 3º, da Lei nº 14.133/2021, o atraso injustificado no cumprimento das obrigações contratuais sujeitará o </w:t>
      </w:r>
      <w:r>
        <w:rPr>
          <w:b/>
          <w:bCs/>
          <w:color w:val="000000"/>
          <w:sz w:val="24"/>
          <w:szCs w:val="24"/>
        </w:rPr>
        <w:t>CONTRATADO</w:t>
      </w:r>
      <w:r>
        <w:rPr>
          <w:sz w:val="24"/>
          <w:szCs w:val="24"/>
        </w:rPr>
        <w:t>, independente de notificação, na forma do art. 408 do Código Civil, à multa de mora no percentual de 1% (um por cento) por dia útil que exceder o prazo estipulado, a incidir sobre o valor da nota de empenho ou do saldo não atendido, respeitado o limite de 30% (trinta por cento) do valor do Contrato.</w:t>
      </w:r>
    </w:p>
    <w:p w14:paraId="484D356A">
      <w:pPr>
        <w:spacing w:line="288" w:lineRule="auto"/>
        <w:contextualSpacing/>
        <w:jc w:val="both"/>
        <w:rPr>
          <w:sz w:val="24"/>
          <w:szCs w:val="24"/>
        </w:rPr>
      </w:pPr>
    </w:p>
    <w:p w14:paraId="5506FB66">
      <w:pPr>
        <w:spacing w:line="288" w:lineRule="auto"/>
        <w:contextualSpacing/>
        <w:jc w:val="both"/>
        <w:rPr>
          <w:sz w:val="24"/>
          <w:szCs w:val="24"/>
        </w:rPr>
      </w:pPr>
      <w:r>
        <w:rPr>
          <w:sz w:val="24"/>
          <w:szCs w:val="24"/>
        </w:rPr>
        <w:t>11.3.1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07E7545F">
      <w:pPr>
        <w:spacing w:line="288" w:lineRule="auto"/>
        <w:contextualSpacing/>
        <w:jc w:val="both"/>
        <w:rPr>
          <w:sz w:val="24"/>
          <w:szCs w:val="24"/>
        </w:rPr>
      </w:pPr>
    </w:p>
    <w:p w14:paraId="509C6B98">
      <w:pPr>
        <w:spacing w:line="288" w:lineRule="auto"/>
        <w:contextualSpacing/>
        <w:jc w:val="both"/>
        <w:rPr>
          <w:sz w:val="24"/>
          <w:szCs w:val="24"/>
        </w:rPr>
      </w:pPr>
      <w:r>
        <w:rPr>
          <w:sz w:val="24"/>
          <w:szCs w:val="24"/>
        </w:rPr>
        <w:t>11.3.2 O atraso superior a 25 (vinte e cinco) dias no cumprimento da obrigação prevista no item 11.3.1 autoriza a Administração a promover a rescisão contratual por descumprimento ou cumprimento irregular de suas cláusulas.</w:t>
      </w:r>
    </w:p>
    <w:p w14:paraId="1BD89112">
      <w:pPr>
        <w:spacing w:line="288" w:lineRule="auto"/>
        <w:contextualSpacing/>
        <w:jc w:val="both"/>
        <w:rPr>
          <w:sz w:val="24"/>
          <w:szCs w:val="24"/>
        </w:rPr>
      </w:pPr>
    </w:p>
    <w:p w14:paraId="5E4213C3">
      <w:pPr>
        <w:spacing w:line="288" w:lineRule="auto"/>
        <w:contextualSpacing/>
        <w:jc w:val="both"/>
        <w:rPr>
          <w:sz w:val="24"/>
          <w:szCs w:val="24"/>
        </w:rPr>
      </w:pPr>
    </w:p>
    <w:p w14:paraId="27FD10D5">
      <w:pPr>
        <w:spacing w:line="288" w:lineRule="auto"/>
        <w:contextualSpacing/>
        <w:jc w:val="both"/>
        <w:rPr>
          <w:sz w:val="24"/>
          <w:szCs w:val="24"/>
        </w:rPr>
      </w:pPr>
      <w:r>
        <w:rPr>
          <w:sz w:val="24"/>
          <w:szCs w:val="24"/>
        </w:rPr>
        <w:t>11.3.3 A aplicação de multa de mora não impedirá que a Administração a converta em compensatória e promova a extinção unilateral do Contrato com a aplicação cumulada de outras sanções previstas neste Contrato.</w:t>
      </w:r>
    </w:p>
    <w:p w14:paraId="327B91EC">
      <w:pPr>
        <w:spacing w:line="288" w:lineRule="auto"/>
        <w:contextualSpacing/>
        <w:jc w:val="both"/>
        <w:rPr>
          <w:sz w:val="24"/>
          <w:szCs w:val="24"/>
        </w:rPr>
      </w:pPr>
    </w:p>
    <w:p w14:paraId="4999DCB5">
      <w:pPr>
        <w:spacing w:line="288" w:lineRule="auto"/>
        <w:contextualSpacing/>
        <w:jc w:val="both"/>
        <w:rPr>
          <w:sz w:val="24"/>
          <w:szCs w:val="24"/>
        </w:rPr>
      </w:pPr>
      <w:r>
        <w:rPr>
          <w:sz w:val="24"/>
          <w:szCs w:val="24"/>
        </w:rPr>
        <w:t>11.4 No caso de inexecução total ou parcial do objeto, que acarrete a rescisão do Contrato, será automaticamente devida multa compensatória no valor de 5</w:t>
      </w:r>
      <w:r>
        <w:rPr>
          <w:color w:val="FF0000"/>
          <w:sz w:val="24"/>
          <w:szCs w:val="24"/>
        </w:rPr>
        <w:t xml:space="preserve"> </w:t>
      </w:r>
      <w:r>
        <w:rPr>
          <w:sz w:val="24"/>
          <w:szCs w:val="24"/>
        </w:rPr>
        <w:t>% (cinco por cento)  do valor do Contrato.</w:t>
      </w:r>
    </w:p>
    <w:p w14:paraId="2EB4DAA8">
      <w:pPr>
        <w:spacing w:line="288" w:lineRule="auto"/>
        <w:contextualSpacing/>
        <w:jc w:val="both"/>
        <w:rPr>
          <w:b/>
          <w:bCs/>
          <w:color w:val="FF0000"/>
          <w:sz w:val="24"/>
          <w:szCs w:val="24"/>
        </w:rPr>
      </w:pPr>
    </w:p>
    <w:p w14:paraId="6B351CC5">
      <w:pPr>
        <w:spacing w:line="288" w:lineRule="auto"/>
        <w:contextualSpacing/>
        <w:jc w:val="both"/>
        <w:rPr>
          <w:sz w:val="24"/>
          <w:szCs w:val="24"/>
        </w:rPr>
      </w:pPr>
      <w:r>
        <w:rPr>
          <w:sz w:val="24"/>
          <w:szCs w:val="24"/>
        </w:rPr>
        <w:t>11.4.1 A multa compensatória, isoladamente aplicada ou quando somada ao valor da multa moratória convertida, não poderá exceder o limite previsto no art. 412 do Código Civil, ou seja, o valor da obrigação principal.</w:t>
      </w:r>
    </w:p>
    <w:p w14:paraId="6F9DA52E">
      <w:pPr>
        <w:spacing w:line="288" w:lineRule="auto"/>
        <w:contextualSpacing/>
        <w:jc w:val="both"/>
        <w:rPr>
          <w:sz w:val="24"/>
          <w:szCs w:val="24"/>
        </w:rPr>
      </w:pPr>
    </w:p>
    <w:p w14:paraId="0DD6BA0B">
      <w:pPr>
        <w:spacing w:line="288" w:lineRule="auto"/>
        <w:contextualSpacing/>
        <w:jc w:val="both"/>
        <w:rPr>
          <w:sz w:val="24"/>
          <w:szCs w:val="24"/>
        </w:rPr>
      </w:pPr>
      <w:r>
        <w:rPr>
          <w:sz w:val="24"/>
          <w:szCs w:val="24"/>
        </w:rPr>
        <w:t xml:space="preserve">11.5 Na aplicação das sanções serão considerados os seguintes requisitos, previstos no art. </w:t>
      </w:r>
      <w:r>
        <w:rPr>
          <w:rStyle w:val="118"/>
          <w:rFonts w:ascii="Times New Roman" w:hAnsi="Times New Roman" w:cs="Times New Roman"/>
          <w:sz w:val="24"/>
          <w:szCs w:val="24"/>
        </w:rPr>
        <w:t>156, § 1º, incisos I a V, da Lei nº 14.133/2021</w:t>
      </w:r>
      <w:r>
        <w:rPr>
          <w:sz w:val="24"/>
          <w:szCs w:val="24"/>
        </w:rPr>
        <w:t>:</w:t>
      </w:r>
    </w:p>
    <w:p w14:paraId="01ABF3DE">
      <w:pPr>
        <w:spacing w:line="288" w:lineRule="auto"/>
        <w:contextualSpacing/>
        <w:jc w:val="both"/>
        <w:rPr>
          <w:sz w:val="24"/>
          <w:szCs w:val="24"/>
        </w:rPr>
      </w:pPr>
    </w:p>
    <w:p w14:paraId="3CB74425">
      <w:pPr>
        <w:spacing w:line="288" w:lineRule="auto"/>
        <w:contextualSpacing/>
        <w:jc w:val="both"/>
        <w:rPr>
          <w:sz w:val="24"/>
          <w:szCs w:val="24"/>
        </w:rPr>
      </w:pPr>
      <w:r>
        <w:rPr>
          <w:sz w:val="24"/>
          <w:szCs w:val="24"/>
        </w:rPr>
        <w:t>11.5.1 a natureza e a gravidade da infração cometida;</w:t>
      </w:r>
    </w:p>
    <w:p w14:paraId="5DBE17A2">
      <w:pPr>
        <w:spacing w:line="288" w:lineRule="auto"/>
        <w:contextualSpacing/>
        <w:jc w:val="both"/>
        <w:rPr>
          <w:sz w:val="24"/>
          <w:szCs w:val="24"/>
        </w:rPr>
      </w:pPr>
    </w:p>
    <w:p w14:paraId="609D8AAD">
      <w:pPr>
        <w:spacing w:line="288" w:lineRule="auto"/>
        <w:contextualSpacing/>
        <w:jc w:val="both"/>
        <w:rPr>
          <w:sz w:val="24"/>
          <w:szCs w:val="24"/>
        </w:rPr>
      </w:pPr>
      <w:r>
        <w:rPr>
          <w:sz w:val="24"/>
          <w:szCs w:val="24"/>
        </w:rPr>
        <w:t>11.5.2 as peculiaridades do caso concreto;</w:t>
      </w:r>
    </w:p>
    <w:p w14:paraId="16DDED1C">
      <w:pPr>
        <w:spacing w:line="288" w:lineRule="auto"/>
        <w:contextualSpacing/>
        <w:jc w:val="both"/>
        <w:rPr>
          <w:sz w:val="24"/>
          <w:szCs w:val="24"/>
        </w:rPr>
      </w:pPr>
    </w:p>
    <w:p w14:paraId="5ADE11FA">
      <w:pPr>
        <w:spacing w:line="288" w:lineRule="auto"/>
        <w:contextualSpacing/>
        <w:jc w:val="both"/>
        <w:rPr>
          <w:sz w:val="24"/>
          <w:szCs w:val="24"/>
        </w:rPr>
      </w:pPr>
      <w:r>
        <w:rPr>
          <w:sz w:val="24"/>
          <w:szCs w:val="24"/>
        </w:rPr>
        <w:t>11.5.3 as circunstâncias agravantes ou atenuantes;</w:t>
      </w:r>
    </w:p>
    <w:p w14:paraId="1464969D">
      <w:pPr>
        <w:spacing w:line="288" w:lineRule="auto"/>
        <w:contextualSpacing/>
        <w:jc w:val="both"/>
        <w:rPr>
          <w:sz w:val="24"/>
          <w:szCs w:val="24"/>
        </w:rPr>
      </w:pPr>
    </w:p>
    <w:p w14:paraId="71F2C300">
      <w:pPr>
        <w:spacing w:line="288" w:lineRule="auto"/>
        <w:contextualSpacing/>
        <w:jc w:val="both"/>
        <w:rPr>
          <w:sz w:val="24"/>
          <w:szCs w:val="24"/>
        </w:rPr>
      </w:pPr>
      <w:r>
        <w:rPr>
          <w:sz w:val="24"/>
          <w:szCs w:val="24"/>
        </w:rPr>
        <w:t>11.5.4 os danos que dela provierem para a Administração Pública;</w:t>
      </w:r>
    </w:p>
    <w:p w14:paraId="092FB929">
      <w:pPr>
        <w:spacing w:line="288" w:lineRule="auto"/>
        <w:contextualSpacing/>
        <w:jc w:val="both"/>
        <w:rPr>
          <w:sz w:val="24"/>
          <w:szCs w:val="24"/>
        </w:rPr>
      </w:pPr>
    </w:p>
    <w:p w14:paraId="06DF0B93">
      <w:pPr>
        <w:spacing w:line="288" w:lineRule="auto"/>
        <w:contextualSpacing/>
        <w:jc w:val="both"/>
        <w:rPr>
          <w:sz w:val="24"/>
          <w:szCs w:val="24"/>
        </w:rPr>
      </w:pPr>
      <w:r>
        <w:rPr>
          <w:sz w:val="24"/>
          <w:szCs w:val="24"/>
        </w:rPr>
        <w:t>11.5.5 a implantação ou o aperfeiçoamento de programa de integridade, conforme normas e orientações dos órgãos de controle.</w:t>
      </w:r>
    </w:p>
    <w:p w14:paraId="35CBCA4A">
      <w:pPr>
        <w:spacing w:line="288" w:lineRule="auto"/>
        <w:contextualSpacing/>
        <w:jc w:val="both"/>
        <w:rPr>
          <w:sz w:val="24"/>
          <w:szCs w:val="24"/>
        </w:rPr>
      </w:pPr>
    </w:p>
    <w:p w14:paraId="661C4216">
      <w:pPr>
        <w:spacing w:line="288" w:lineRule="auto"/>
        <w:contextualSpacing/>
        <w:jc w:val="both"/>
        <w:rPr>
          <w:sz w:val="24"/>
          <w:szCs w:val="24"/>
        </w:rPr>
      </w:pPr>
      <w:r>
        <w:rPr>
          <w:sz w:val="24"/>
          <w:szCs w:val="24"/>
        </w:rPr>
        <w:t xml:space="preserve">11.6 A imposição das penalidades é de competência exclusiva do órgão ou entidade contratante, sendo competentes para sua aplicação: </w:t>
      </w:r>
    </w:p>
    <w:p w14:paraId="65203196">
      <w:pPr>
        <w:spacing w:line="288" w:lineRule="auto"/>
        <w:contextualSpacing/>
        <w:jc w:val="both"/>
        <w:rPr>
          <w:sz w:val="24"/>
          <w:szCs w:val="24"/>
        </w:rPr>
      </w:pPr>
      <w:r>
        <w:rPr>
          <w:sz w:val="24"/>
          <w:szCs w:val="24"/>
        </w:rPr>
        <w:t>a) as sanções previstas nos itens 11.2.1, 11.2.2 e 11.2.3 serão impostas pelo Ordenador de Despesa;</w:t>
      </w:r>
    </w:p>
    <w:p w14:paraId="1F1B4167">
      <w:pPr>
        <w:spacing w:line="288" w:lineRule="auto"/>
        <w:contextualSpacing/>
        <w:jc w:val="both"/>
        <w:rPr>
          <w:sz w:val="24"/>
          <w:szCs w:val="24"/>
        </w:rPr>
      </w:pPr>
      <w:r>
        <w:rPr>
          <w:sz w:val="24"/>
          <w:szCs w:val="24"/>
        </w:rPr>
        <w:t xml:space="preserve">b) a aplicação da sanção prevista no item 11.2.4, na forma do art. </w:t>
      </w:r>
      <w:r>
        <w:rPr>
          <w:rStyle w:val="118"/>
          <w:rFonts w:ascii="Times New Roman" w:hAnsi="Times New Roman" w:cs="Times New Roman"/>
          <w:sz w:val="24"/>
          <w:szCs w:val="24"/>
        </w:rPr>
        <w:t>156, § 6º, I, da Lei nº 14.133/2021,</w:t>
      </w:r>
      <w:r>
        <w:rPr>
          <w:sz w:val="24"/>
          <w:szCs w:val="24"/>
        </w:rPr>
        <w:t xml:space="preserve"> é de competência exclusiva:</w:t>
      </w:r>
    </w:p>
    <w:p w14:paraId="73A8D432">
      <w:pPr>
        <w:spacing w:line="288" w:lineRule="auto"/>
        <w:contextualSpacing/>
        <w:jc w:val="both"/>
        <w:rPr>
          <w:rStyle w:val="118"/>
          <w:rFonts w:ascii="Times New Roman" w:hAnsi="Times New Roman" w:cs="Times New Roman"/>
          <w:sz w:val="24"/>
          <w:szCs w:val="24"/>
        </w:rPr>
      </w:pPr>
      <w:r>
        <w:rPr>
          <w:sz w:val="24"/>
          <w:szCs w:val="24"/>
        </w:rPr>
        <w:t>b.1) em se tratando de contratação realizada pela Administração Pública direta, do Secretário de Município</w:t>
      </w:r>
      <w:r>
        <w:rPr>
          <w:rStyle w:val="118"/>
          <w:rFonts w:ascii="Times New Roman" w:hAnsi="Times New Roman" w:cs="Times New Roman"/>
          <w:sz w:val="24"/>
          <w:szCs w:val="24"/>
        </w:rPr>
        <w:t>;</w:t>
      </w:r>
    </w:p>
    <w:p w14:paraId="2EE182D1">
      <w:pPr>
        <w:spacing w:line="288" w:lineRule="auto"/>
        <w:contextualSpacing/>
        <w:jc w:val="both"/>
        <w:rPr>
          <w:sz w:val="24"/>
          <w:szCs w:val="24"/>
        </w:rPr>
      </w:pPr>
      <w:r>
        <w:rPr>
          <w:rStyle w:val="118"/>
          <w:rFonts w:ascii="Times New Roman" w:hAnsi="Times New Roman" w:cs="Times New Roman"/>
          <w:sz w:val="24"/>
          <w:szCs w:val="24"/>
        </w:rPr>
        <w:t>b.2) e</w:t>
      </w:r>
      <w:r>
        <w:rPr>
          <w:sz w:val="24"/>
          <w:szCs w:val="24"/>
        </w:rPr>
        <w:t>m se tratando de contratação realizada pela Administração Pública Indireta (fundação e autarquia), da autoridade máxima da entidade.</w:t>
      </w:r>
    </w:p>
    <w:p w14:paraId="1C64611F">
      <w:pPr>
        <w:spacing w:line="288" w:lineRule="auto"/>
        <w:contextualSpacing/>
        <w:jc w:val="both"/>
        <w:rPr>
          <w:sz w:val="24"/>
          <w:szCs w:val="24"/>
        </w:rPr>
      </w:pPr>
    </w:p>
    <w:p w14:paraId="51EEA9E4">
      <w:pPr>
        <w:spacing w:line="288" w:lineRule="auto"/>
        <w:contextualSpacing/>
        <w:jc w:val="both"/>
        <w:rPr>
          <w:sz w:val="24"/>
          <w:szCs w:val="24"/>
        </w:rPr>
      </w:pPr>
      <w:r>
        <w:rPr>
          <w:sz w:val="24"/>
          <w:szCs w:val="24"/>
        </w:rPr>
        <w:t xml:space="preserve">11.7 A aplicação de quaisquer das penalidades realizar-se-á em processo administrativo que assegurará o contraditório e a ampla defesa ao </w:t>
      </w:r>
      <w:r>
        <w:rPr>
          <w:b/>
          <w:bCs/>
          <w:color w:val="000000"/>
          <w:sz w:val="24"/>
          <w:szCs w:val="24"/>
        </w:rPr>
        <w:t>CONTRATADO</w:t>
      </w:r>
      <w:r>
        <w:rPr>
          <w:sz w:val="24"/>
          <w:szCs w:val="24"/>
        </w:rPr>
        <w:t xml:space="preserve">, na forma do art. </w:t>
      </w:r>
      <w:r>
        <w:rPr>
          <w:rStyle w:val="118"/>
          <w:rFonts w:ascii="Times New Roman" w:hAnsi="Times New Roman" w:cs="Times New Roman"/>
          <w:sz w:val="24"/>
          <w:szCs w:val="24"/>
        </w:rPr>
        <w:t>156, § 6º, I, da Lei nº 14.133/2021</w:t>
      </w:r>
      <w:r>
        <w:rPr>
          <w:sz w:val="24"/>
          <w:szCs w:val="24"/>
        </w:rPr>
        <w:t>, devendo ser observado o procedimento previsto na Lei nº 14.133/2021.</w:t>
      </w:r>
    </w:p>
    <w:p w14:paraId="4BF8828B">
      <w:pPr>
        <w:spacing w:line="288" w:lineRule="auto"/>
        <w:contextualSpacing/>
        <w:jc w:val="both"/>
        <w:rPr>
          <w:sz w:val="24"/>
          <w:szCs w:val="24"/>
        </w:rPr>
      </w:pPr>
    </w:p>
    <w:p w14:paraId="17B4EBDC">
      <w:pPr>
        <w:spacing w:line="288" w:lineRule="auto"/>
        <w:contextualSpacing/>
        <w:jc w:val="both"/>
        <w:rPr>
          <w:sz w:val="24"/>
          <w:szCs w:val="24"/>
        </w:rPr>
      </w:pPr>
      <w:r>
        <w:rPr>
          <w:sz w:val="24"/>
          <w:szCs w:val="24"/>
        </w:rPr>
        <w:t xml:space="preserve">11.7.1 A aplicação de sanção será antecedida de intimação do </w:t>
      </w:r>
      <w:r>
        <w:rPr>
          <w:b/>
          <w:bCs/>
          <w:color w:val="000000"/>
          <w:sz w:val="24"/>
          <w:szCs w:val="24"/>
        </w:rPr>
        <w:t>CONTRATADO</w:t>
      </w:r>
      <w:r>
        <w:rPr>
          <w:sz w:val="24"/>
          <w:szCs w:val="24"/>
        </w:rPr>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12C916D7">
      <w:pPr>
        <w:spacing w:line="288" w:lineRule="auto"/>
        <w:contextualSpacing/>
        <w:jc w:val="both"/>
        <w:rPr>
          <w:sz w:val="24"/>
          <w:szCs w:val="24"/>
        </w:rPr>
      </w:pPr>
    </w:p>
    <w:p w14:paraId="477DE742">
      <w:pPr>
        <w:spacing w:line="288" w:lineRule="auto"/>
        <w:contextualSpacing/>
        <w:jc w:val="both"/>
        <w:rPr>
          <w:sz w:val="24"/>
          <w:szCs w:val="24"/>
        </w:rPr>
      </w:pPr>
      <w:r>
        <w:rPr>
          <w:sz w:val="24"/>
          <w:szCs w:val="24"/>
        </w:rPr>
        <w:t xml:space="preserve">11.7.2 A defesa prévia do </w:t>
      </w:r>
      <w:r>
        <w:rPr>
          <w:b/>
          <w:bCs/>
          <w:color w:val="000000"/>
          <w:sz w:val="24"/>
          <w:szCs w:val="24"/>
        </w:rPr>
        <w:t>CONTRATADO</w:t>
      </w:r>
      <w:r>
        <w:rPr>
          <w:sz w:val="24"/>
          <w:szCs w:val="24"/>
        </w:rPr>
        <w:t xml:space="preserve"> será exercida no prazo de:</w:t>
      </w:r>
    </w:p>
    <w:p w14:paraId="441DAECF">
      <w:pPr>
        <w:spacing w:line="288" w:lineRule="auto"/>
        <w:contextualSpacing/>
        <w:jc w:val="both"/>
        <w:rPr>
          <w:sz w:val="24"/>
          <w:szCs w:val="24"/>
        </w:rPr>
      </w:pPr>
      <w:r>
        <w:rPr>
          <w:sz w:val="24"/>
          <w:szCs w:val="24"/>
        </w:rPr>
        <w:t>a) 15 (quinze) dias úteis, no caso da aplicação das sanções previstas nos itens 11.2.1 e 11.2.2, contado da data da intimação;</w:t>
      </w:r>
    </w:p>
    <w:p w14:paraId="41C82140">
      <w:pPr>
        <w:spacing w:line="288" w:lineRule="auto"/>
        <w:contextualSpacing/>
        <w:jc w:val="both"/>
        <w:rPr>
          <w:color w:val="000000"/>
          <w:sz w:val="24"/>
          <w:szCs w:val="24"/>
        </w:rPr>
      </w:pPr>
      <w:r>
        <w:rPr>
          <w:sz w:val="24"/>
          <w:szCs w:val="24"/>
        </w:rPr>
        <w:t xml:space="preserve">b) 15 (quinze) dias úteis, no caso de aplicação das sanções previstas nos itens 11.2.3 e 11.2.4, </w:t>
      </w:r>
      <w:r>
        <w:rPr>
          <w:color w:val="000000"/>
          <w:sz w:val="24"/>
          <w:szCs w:val="24"/>
        </w:rPr>
        <w:t>contado da data da intimação, observado o procedimento estabelecido no art. 158 da Lei nº 14.133/2021.</w:t>
      </w:r>
    </w:p>
    <w:p w14:paraId="35B07D3A">
      <w:pPr>
        <w:pStyle w:val="24"/>
        <w:spacing w:line="288" w:lineRule="auto"/>
        <w:contextualSpacing/>
        <w:jc w:val="both"/>
      </w:pPr>
      <w:r>
        <w:t>11.7.3 Será emitida decisão conclusiva sobre a aplicação ou não da sanção, pela autoridade competente, devendo ser apresentada a devida motivação, com a demonstração dos fatos e dos respectivos fundamentos jurídicos.</w:t>
      </w:r>
    </w:p>
    <w:p w14:paraId="4EC0DFE7">
      <w:pPr>
        <w:spacing w:line="288" w:lineRule="auto"/>
        <w:contextualSpacing/>
        <w:jc w:val="both"/>
        <w:rPr>
          <w:sz w:val="24"/>
          <w:szCs w:val="24"/>
        </w:rPr>
      </w:pPr>
      <w:r>
        <w:rPr>
          <w:sz w:val="24"/>
          <w:szCs w:val="24"/>
        </w:rPr>
        <w:t>11.8 A aplicação das sanções previstas neste Contrato não exclui, em hipótese alguma:</w:t>
      </w:r>
    </w:p>
    <w:p w14:paraId="585A85D8">
      <w:pPr>
        <w:spacing w:line="288" w:lineRule="auto"/>
        <w:contextualSpacing/>
        <w:jc w:val="both"/>
        <w:rPr>
          <w:sz w:val="24"/>
          <w:szCs w:val="24"/>
        </w:rPr>
      </w:pPr>
      <w:r>
        <w:rPr>
          <w:sz w:val="24"/>
          <w:szCs w:val="24"/>
        </w:rPr>
        <w:t>a) a obrigação de reparação integral do dano causado à Administração Pública, na forma do art. 156, § 9º, da Lei nº 14.133/2021 e do art. 416, parágrafo único, do Código Civil; e</w:t>
      </w:r>
    </w:p>
    <w:p w14:paraId="23CDA303">
      <w:pPr>
        <w:spacing w:line="288" w:lineRule="auto"/>
        <w:contextualSpacing/>
        <w:jc w:val="both"/>
        <w:rPr>
          <w:rFonts w:eastAsia="Arial"/>
          <w:color w:val="000000"/>
          <w:sz w:val="24"/>
          <w:szCs w:val="24"/>
        </w:rPr>
      </w:pPr>
      <w:r>
        <w:rPr>
          <w:rFonts w:eastAsia="Arial"/>
          <w:color w:val="000000"/>
          <w:sz w:val="24"/>
          <w:szCs w:val="24"/>
        </w:rPr>
        <w:t>b) a possibilidade de rescisão administrativa do Contrato, na forma dos arts. 138 e 139 da Lei nº 14.133/2021, garantido o contraditório e a ampla defesa.</w:t>
      </w:r>
    </w:p>
    <w:p w14:paraId="22F36104">
      <w:pPr>
        <w:spacing w:line="288" w:lineRule="auto"/>
        <w:contextualSpacing/>
        <w:jc w:val="both"/>
        <w:rPr>
          <w:rFonts w:eastAsia="Arial"/>
          <w:color w:val="000000"/>
          <w:sz w:val="24"/>
          <w:szCs w:val="24"/>
        </w:rPr>
      </w:pPr>
    </w:p>
    <w:p w14:paraId="6DDD8F65">
      <w:pPr>
        <w:spacing w:line="288" w:lineRule="auto"/>
        <w:contextualSpacing/>
        <w:jc w:val="both"/>
        <w:rPr>
          <w:rFonts w:eastAsia="Arial"/>
          <w:color w:val="000000"/>
          <w:sz w:val="24"/>
          <w:szCs w:val="24"/>
        </w:rPr>
      </w:pPr>
      <w:r>
        <w:rPr>
          <w:rFonts w:eastAsia="Arial"/>
          <w:color w:val="000000"/>
          <w:sz w:val="24"/>
          <w:szCs w:val="24"/>
        </w:rPr>
        <w:t xml:space="preserve">11.8.1 Aplica-se o disposto na alínea a do item 11.8 à multa compensatória, nos termos do parágrafo único do art. 416 do Código Civil. </w:t>
      </w:r>
    </w:p>
    <w:p w14:paraId="67D317B1">
      <w:pPr>
        <w:spacing w:line="288" w:lineRule="auto"/>
        <w:contextualSpacing/>
        <w:jc w:val="both"/>
        <w:rPr>
          <w:rFonts w:eastAsia="Arial"/>
          <w:color w:val="000000"/>
          <w:sz w:val="24"/>
          <w:szCs w:val="24"/>
        </w:rPr>
      </w:pPr>
    </w:p>
    <w:p w14:paraId="2840C0D6">
      <w:pPr>
        <w:spacing w:line="288" w:lineRule="auto"/>
        <w:contextualSpacing/>
        <w:jc w:val="both"/>
        <w:rPr>
          <w:rFonts w:eastAsia="Arial"/>
          <w:color w:val="000000"/>
          <w:sz w:val="24"/>
          <w:szCs w:val="24"/>
        </w:rPr>
      </w:pPr>
      <w:r>
        <w:rPr>
          <w:rFonts w:eastAsia="Arial"/>
          <w:color w:val="000000"/>
          <w:sz w:val="24"/>
          <w:szCs w:val="24"/>
        </w:rPr>
        <w:t>11.9 As sanções de impedimento de licitar e contratar e de declaração de inidoneidade para licitar ou contratar são passíveis de reabilitação, observados os requisitos estabelecidos no art. 163 da Lei nº 14.133/2021.</w:t>
      </w:r>
    </w:p>
    <w:p w14:paraId="57329BEC">
      <w:pPr>
        <w:spacing w:line="288" w:lineRule="auto"/>
        <w:contextualSpacing/>
        <w:jc w:val="both"/>
        <w:rPr>
          <w:sz w:val="24"/>
          <w:szCs w:val="24"/>
        </w:rPr>
      </w:pPr>
    </w:p>
    <w:p w14:paraId="4B947FD4">
      <w:pPr>
        <w:spacing w:line="288" w:lineRule="auto"/>
        <w:contextualSpacing/>
        <w:jc w:val="both"/>
        <w:rPr>
          <w:sz w:val="24"/>
          <w:szCs w:val="24"/>
        </w:rPr>
      </w:pPr>
      <w:r>
        <w:rPr>
          <w:sz w:val="24"/>
          <w:szCs w:val="24"/>
        </w:rPr>
        <w:t xml:space="preserve">11.10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F8D2B7">
      <w:pPr>
        <w:spacing w:line="288" w:lineRule="auto"/>
        <w:contextualSpacing/>
        <w:jc w:val="both"/>
        <w:rPr>
          <w:sz w:val="24"/>
          <w:szCs w:val="24"/>
        </w:rPr>
      </w:pPr>
    </w:p>
    <w:p w14:paraId="56B88322">
      <w:pPr>
        <w:spacing w:line="288" w:lineRule="auto"/>
        <w:contextualSpacing/>
        <w:jc w:val="both"/>
        <w:rPr>
          <w:sz w:val="24"/>
          <w:szCs w:val="24"/>
        </w:rPr>
      </w:pPr>
      <w:r>
        <w:rPr>
          <w:sz w:val="24"/>
          <w:szCs w:val="24"/>
        </w:rPr>
        <w:t>11.10.1 A apuração e o julgamento das demais infrações administrativas não consideradas como ato lesivo à Administração Pública nacional nos termos da Lei nº 12.846/2013 seguirão seu rito normal na unidade administrativa.</w:t>
      </w:r>
    </w:p>
    <w:p w14:paraId="7F8B8238">
      <w:pPr>
        <w:spacing w:line="288" w:lineRule="auto"/>
        <w:contextualSpacing/>
        <w:jc w:val="both"/>
        <w:rPr>
          <w:sz w:val="24"/>
          <w:szCs w:val="24"/>
        </w:rPr>
      </w:pPr>
    </w:p>
    <w:p w14:paraId="260F9A80">
      <w:pPr>
        <w:spacing w:line="288" w:lineRule="auto"/>
        <w:contextualSpacing/>
        <w:jc w:val="both"/>
        <w:rPr>
          <w:sz w:val="24"/>
          <w:szCs w:val="24"/>
        </w:rPr>
      </w:pPr>
      <w:r>
        <w:rPr>
          <w:sz w:val="24"/>
          <w:szCs w:val="24"/>
        </w:rPr>
        <w:t>11.10.2 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3FA6F997">
      <w:pPr>
        <w:spacing w:line="288" w:lineRule="auto"/>
        <w:contextualSpacing/>
        <w:jc w:val="both"/>
        <w:rPr>
          <w:sz w:val="24"/>
          <w:szCs w:val="24"/>
        </w:rPr>
      </w:pPr>
    </w:p>
    <w:p w14:paraId="03C1EE93">
      <w:pPr>
        <w:spacing w:line="288" w:lineRule="auto"/>
        <w:contextualSpacing/>
        <w:jc w:val="both"/>
        <w:rPr>
          <w:sz w:val="24"/>
          <w:szCs w:val="24"/>
        </w:rPr>
      </w:pPr>
      <w:r>
        <w:rPr>
          <w:sz w:val="24"/>
          <w:szCs w:val="24"/>
        </w:rPr>
        <w:t>11.10.2.1 Caso seja possível, a apuração deverá ser promovida em conjunto no PAR.</w:t>
      </w:r>
    </w:p>
    <w:p w14:paraId="41EA3347">
      <w:pPr>
        <w:spacing w:line="288" w:lineRule="auto"/>
        <w:contextualSpacing/>
        <w:jc w:val="both"/>
        <w:rPr>
          <w:sz w:val="24"/>
          <w:szCs w:val="24"/>
        </w:rPr>
      </w:pPr>
    </w:p>
    <w:p w14:paraId="50BDF545">
      <w:pPr>
        <w:spacing w:line="288" w:lineRule="auto"/>
        <w:contextualSpacing/>
        <w:jc w:val="both"/>
        <w:rPr>
          <w:sz w:val="24"/>
          <w:szCs w:val="24"/>
        </w:rPr>
      </w:pPr>
      <w:r>
        <w:rPr>
          <w:sz w:val="24"/>
          <w:szCs w:val="24"/>
        </w:rPr>
        <w:t xml:space="preserve">11.11 Na hipótese de abertura de processo administrativo destinado a apuração de fatos e, se for o caso, aplicação de sanções ao </w:t>
      </w:r>
      <w:r>
        <w:rPr>
          <w:b/>
          <w:bCs/>
          <w:color w:val="000000"/>
          <w:sz w:val="24"/>
          <w:szCs w:val="24"/>
        </w:rPr>
        <w:t>CONTRATADO</w:t>
      </w:r>
      <w:r>
        <w:rPr>
          <w:sz w:val="24"/>
          <w:szCs w:val="24"/>
        </w:rPr>
        <w:t>, em decorrência de conduta vedada no contrato, as comunicações serão efetuadas por meio do endereço de correio eletrônico ("e-mail") cadastrado pela empresa junto ao Comprasnet.</w:t>
      </w:r>
    </w:p>
    <w:p w14:paraId="2277470A">
      <w:pPr>
        <w:autoSpaceDE w:val="0"/>
        <w:autoSpaceDN w:val="0"/>
        <w:adjustRightInd w:val="0"/>
        <w:spacing w:line="288" w:lineRule="auto"/>
        <w:contextualSpacing/>
        <w:jc w:val="both"/>
        <w:rPr>
          <w:sz w:val="24"/>
          <w:szCs w:val="24"/>
        </w:rPr>
      </w:pPr>
    </w:p>
    <w:p w14:paraId="54ECFE7B">
      <w:pPr>
        <w:autoSpaceDE w:val="0"/>
        <w:autoSpaceDN w:val="0"/>
        <w:adjustRightInd w:val="0"/>
        <w:spacing w:line="288" w:lineRule="auto"/>
        <w:contextualSpacing/>
        <w:jc w:val="both"/>
        <w:rPr>
          <w:sz w:val="24"/>
          <w:szCs w:val="24"/>
        </w:rPr>
      </w:pPr>
      <w:r>
        <w:rPr>
          <w:sz w:val="24"/>
          <w:szCs w:val="24"/>
        </w:rPr>
        <w:t xml:space="preserve">11.11.1 O </w:t>
      </w:r>
      <w:r>
        <w:rPr>
          <w:b/>
          <w:bCs/>
          <w:color w:val="000000"/>
          <w:sz w:val="24"/>
          <w:szCs w:val="24"/>
        </w:rPr>
        <w:t>CONTRATADO</w:t>
      </w:r>
      <w:r>
        <w:rPr>
          <w:sz w:val="24"/>
          <w:szCs w:val="24"/>
        </w:rPr>
        <w:t xml:space="preserve"> deverá manter atualizado o endereço de correio eletrônico ("e-mail")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22EBA933">
      <w:pPr>
        <w:autoSpaceDE w:val="0"/>
        <w:autoSpaceDN w:val="0"/>
        <w:adjustRightInd w:val="0"/>
        <w:spacing w:line="288" w:lineRule="auto"/>
        <w:contextualSpacing/>
        <w:jc w:val="both"/>
        <w:rPr>
          <w:sz w:val="24"/>
          <w:szCs w:val="24"/>
        </w:rPr>
      </w:pPr>
    </w:p>
    <w:p w14:paraId="45C6CE50">
      <w:pPr>
        <w:autoSpaceDE w:val="0"/>
        <w:autoSpaceDN w:val="0"/>
        <w:adjustRightInd w:val="0"/>
        <w:spacing w:line="288" w:lineRule="auto"/>
        <w:contextualSpacing/>
        <w:jc w:val="both"/>
        <w:rPr>
          <w:sz w:val="24"/>
          <w:szCs w:val="24"/>
        </w:rPr>
      </w:pPr>
      <w:r>
        <w:rPr>
          <w:sz w:val="24"/>
          <w:szCs w:val="24"/>
        </w:rPr>
        <w:t xml:space="preserve">11.12 O </w:t>
      </w:r>
      <w:r>
        <w:rPr>
          <w:b/>
          <w:bCs/>
          <w:sz w:val="24"/>
          <w:szCs w:val="24"/>
        </w:rPr>
        <w:t>CONTRATANTE</w:t>
      </w:r>
      <w:r>
        <w:rPr>
          <w:sz w:val="24"/>
          <w:szCs w:val="24"/>
        </w:rPr>
        <w:t xml:space="preserve"> 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76E5A328">
      <w:pPr>
        <w:pStyle w:val="74"/>
        <w:spacing w:line="288" w:lineRule="auto"/>
        <w:contextualSpacing/>
        <w:jc w:val="both"/>
        <w:rPr>
          <w:rFonts w:ascii="Times New Roman" w:hAnsi="Times New Roman" w:cs="Times New Roman"/>
        </w:rPr>
      </w:pPr>
    </w:p>
    <w:p w14:paraId="62B13C66">
      <w:pPr>
        <w:pStyle w:val="74"/>
        <w:spacing w:line="288" w:lineRule="auto"/>
        <w:contextualSpacing/>
        <w:jc w:val="both"/>
        <w:rPr>
          <w:rFonts w:ascii="Times New Roman" w:hAnsi="Times New Roman" w:cs="Times New Roman"/>
        </w:rPr>
      </w:pPr>
      <w:r>
        <w:rPr>
          <w:rFonts w:ascii="Times New Roman" w:hAnsi="Times New Roman" w:cs="Times New Roman"/>
        </w:rPr>
        <w:t>11.12.1 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44671375">
      <w:pPr>
        <w:spacing w:line="288" w:lineRule="auto"/>
        <w:contextualSpacing/>
        <w:jc w:val="both"/>
        <w:rPr>
          <w:sz w:val="24"/>
          <w:szCs w:val="24"/>
        </w:rPr>
      </w:pPr>
    </w:p>
    <w:p w14:paraId="416259C1">
      <w:pPr>
        <w:spacing w:line="288" w:lineRule="auto"/>
        <w:contextualSpacing/>
        <w:jc w:val="both"/>
        <w:rPr>
          <w:sz w:val="24"/>
          <w:szCs w:val="24"/>
        </w:rPr>
      </w:pPr>
      <w:r>
        <w:rPr>
          <w:sz w:val="24"/>
          <w:szCs w:val="24"/>
        </w:rPr>
        <w:t xml:space="preserve">11.13 Caso o valor da multa aplicada seja superior ao </w:t>
      </w:r>
      <w:r>
        <w:rPr>
          <w:color w:val="000000"/>
          <w:sz w:val="24"/>
          <w:szCs w:val="24"/>
        </w:rPr>
        <w:t xml:space="preserve">do pagamento eventualmente devido pela Administração ao </w:t>
      </w:r>
      <w:r>
        <w:rPr>
          <w:b/>
          <w:bCs/>
          <w:color w:val="000000"/>
          <w:sz w:val="24"/>
          <w:szCs w:val="24"/>
        </w:rPr>
        <w:t>CONTRATADO</w:t>
      </w:r>
      <w:r>
        <w:rPr>
          <w:color w:val="000000"/>
          <w:sz w:val="24"/>
          <w:szCs w:val="24"/>
        </w:rPr>
        <w:t xml:space="preserve"> e da garantia prestada</w:t>
      </w:r>
      <w:r>
        <w:rPr>
          <w:sz w:val="24"/>
          <w:szCs w:val="24"/>
        </w:rPr>
        <w:t>, deverá ser emitida nota de débito no valor do saldo, no prazo de 30 (trinta) dias após a decisão final quanto à penalidade.</w:t>
      </w:r>
    </w:p>
    <w:p w14:paraId="751A0A51">
      <w:pPr>
        <w:spacing w:line="288" w:lineRule="auto"/>
        <w:contextualSpacing/>
        <w:jc w:val="both"/>
        <w:rPr>
          <w:sz w:val="24"/>
          <w:szCs w:val="24"/>
        </w:rPr>
      </w:pPr>
    </w:p>
    <w:p w14:paraId="030AB107">
      <w:pPr>
        <w:spacing w:line="288" w:lineRule="auto"/>
        <w:ind w:right="64"/>
        <w:contextualSpacing/>
        <w:jc w:val="both"/>
        <w:rPr>
          <w:sz w:val="24"/>
          <w:szCs w:val="24"/>
        </w:rPr>
      </w:pPr>
      <w:r>
        <w:rPr>
          <w:sz w:val="24"/>
          <w:szCs w:val="24"/>
        </w:rPr>
        <w:t>11.13.1 A nota de débito deverá ser encaminhada Departamento de Cadastro Controle e Arrecadação para inscrição do débito em dívida ativa e propositura de execução fiscal, na forma do art. 39 da Lei nº 4.320, de 17 de março de 1964.</w:t>
      </w:r>
    </w:p>
    <w:p w14:paraId="4C3606B9">
      <w:pPr>
        <w:spacing w:line="288" w:lineRule="auto"/>
        <w:contextualSpacing/>
        <w:jc w:val="both"/>
        <w:rPr>
          <w:sz w:val="24"/>
          <w:szCs w:val="24"/>
        </w:rPr>
      </w:pPr>
    </w:p>
    <w:p w14:paraId="4FACD55A">
      <w:pPr>
        <w:spacing w:line="288" w:lineRule="auto"/>
        <w:contextualSpacing/>
        <w:jc w:val="both"/>
        <w:rPr>
          <w:sz w:val="24"/>
          <w:szCs w:val="24"/>
        </w:rPr>
      </w:pPr>
      <w:r>
        <w:rPr>
          <w:sz w:val="24"/>
          <w:szCs w:val="24"/>
        </w:rPr>
        <w:t>11.13.2 O procedimento para inscrição do débito em dívida ativa deverá observar o que dispõe a Lei Complementar nº: 279/2024.</w:t>
      </w:r>
    </w:p>
    <w:p w14:paraId="3481CEFD">
      <w:pPr>
        <w:spacing w:line="288" w:lineRule="auto"/>
        <w:contextualSpacing/>
        <w:jc w:val="both"/>
        <w:rPr>
          <w:sz w:val="24"/>
          <w:szCs w:val="24"/>
        </w:rPr>
      </w:pPr>
    </w:p>
    <w:p w14:paraId="72EE8BF6">
      <w:pPr>
        <w:pStyle w:val="107"/>
        <w:numPr>
          <w:ilvl w:val="0"/>
          <w:numId w:val="0"/>
        </w:numPr>
        <w:spacing w:before="0" w:after="0" w:line="288" w:lineRule="auto"/>
        <w:contextualSpacing/>
        <w:rPr>
          <w:rFonts w:ascii="Times New Roman" w:hAnsi="Times New Roman" w:cs="Times New Roman"/>
          <w:color w:val="FFFFFF"/>
          <w:sz w:val="24"/>
          <w:szCs w:val="24"/>
        </w:rPr>
      </w:pPr>
      <w:r>
        <w:rPr>
          <w:rFonts w:ascii="Times New Roman" w:hAnsi="Times New Roman" w:cs="Times New Roman"/>
          <w:sz w:val="24"/>
          <w:szCs w:val="24"/>
        </w:rPr>
        <w:t>CLÁUSULA DÉCIMA SEGUNDA – DA EXTINÇÃO CONTRATUAL</w:t>
      </w:r>
    </w:p>
    <w:p w14:paraId="447C4438">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6E51E8E4">
      <w:pPr>
        <w:pStyle w:val="108"/>
        <w:numPr>
          <w:ilvl w:val="0"/>
          <w:numId w:val="0"/>
        </w:numPr>
        <w:tabs>
          <w:tab w:val="left" w:pos="0"/>
        </w:tabs>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12.1 O Contrato se extingue quando vencido o prazo nele estipulado, independentemente de terem sido cumpridas ou não as obrigações de ambas as partes contraentes, sem prejuízo da aplicação das penalidades eventualmente cabíveis, observados os preceitos da Lei nº 14.133/2021 e neste Contrato.</w:t>
      </w:r>
    </w:p>
    <w:p w14:paraId="576056C8">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25EE1C7C">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 O Contrato pode ser extinto antes do prazo nele fixado, sem ônus para 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quando este não dispuser de créditos orçamentários para sua continuidade ou quando entender que o Contrato não mais lhe oferece vantagem.</w:t>
      </w:r>
    </w:p>
    <w:p w14:paraId="3AC7951E">
      <w:pPr>
        <w:pStyle w:val="108"/>
        <w:numPr>
          <w:ilvl w:val="0"/>
          <w:numId w:val="0"/>
        </w:numPr>
        <w:spacing w:before="0" w:after="0" w:line="288" w:lineRule="auto"/>
        <w:ind w:left="567" w:right="-78"/>
        <w:contextualSpacing/>
        <w:rPr>
          <w:rFonts w:ascii="Times New Roman" w:hAnsi="Times New Roman" w:cs="Times New Roman"/>
          <w:i w:val="0"/>
          <w:iCs w:val="0"/>
          <w:color w:val="000000" w:themeColor="text1"/>
          <w:sz w:val="24"/>
          <w:szCs w:val="24"/>
          <w14:textFill>
            <w14:solidFill>
              <w14:schemeClr w14:val="tx1"/>
            </w14:solidFill>
          </w14:textFill>
        </w:rPr>
      </w:pPr>
    </w:p>
    <w:p w14:paraId="15B07219">
      <w:pPr>
        <w:pStyle w:val="108"/>
        <w:numPr>
          <w:ilvl w:val="0"/>
          <w:numId w:val="0"/>
        </w:numPr>
        <w:spacing w:before="0" w:after="0" w:line="288" w:lineRule="auto"/>
        <w:ind w:right="-78"/>
        <w:contextualSpacing/>
        <w:rPr>
          <w:rFonts w:ascii="Times New Roman" w:hAnsi="Times New Roman" w:cs="Times New Roman"/>
          <w:i w:val="0"/>
          <w:iCs w:val="0"/>
          <w:color w:val="000000" w:themeColor="text1"/>
          <w:sz w:val="24"/>
          <w:szCs w:val="24"/>
          <w14:textFill>
            <w14:solidFill>
              <w14:schemeClr w14:val="tx1"/>
            </w14:solidFill>
          </w14:textFill>
        </w:rPr>
      </w:pPr>
      <w:r>
        <w:rPr>
          <w:rFonts w:ascii="Times New Roman" w:hAnsi="Times New Roman" w:cs="Times New Roman"/>
          <w:i w:val="0"/>
          <w:iCs w:val="0"/>
          <w:color w:val="000000" w:themeColor="text1"/>
          <w:sz w:val="24"/>
          <w:szCs w:val="24"/>
          <w14:textFill>
            <w14:solidFill>
              <w14:schemeClr w14:val="tx1"/>
            </w14:solidFill>
          </w14:textFill>
        </w:rPr>
        <w:t xml:space="preserve">12.2.1 A extinção nesta hipótese ocorrerá na próxima data de aniversário do Contrato, desde que haja a notificação do </w:t>
      </w:r>
      <w:r>
        <w:rPr>
          <w:rFonts w:ascii="Times New Roman" w:hAnsi="Times New Roman" w:cs="Times New Roman"/>
          <w:b/>
          <w:bCs/>
          <w:i w:val="0"/>
          <w:iCs w:val="0"/>
          <w:color w:val="000000" w:themeColor="text1"/>
          <w:sz w:val="24"/>
          <w:szCs w:val="24"/>
          <w14:textFill>
            <w14:solidFill>
              <w14:schemeClr w14:val="tx1"/>
            </w14:solidFill>
          </w14:textFill>
        </w:rPr>
        <w:t>CONTRATADO</w:t>
      </w:r>
      <w:r>
        <w:rPr>
          <w:rFonts w:ascii="Times New Roman" w:hAnsi="Times New Roman" w:cs="Times New Roman"/>
          <w:i w:val="0"/>
          <w:iCs w:val="0"/>
          <w:color w:val="000000" w:themeColor="text1"/>
          <w:sz w:val="24"/>
          <w:szCs w:val="24"/>
          <w14:textFill>
            <w14:solidFill>
              <w14:schemeClr w14:val="tx1"/>
            </w14:solidFill>
          </w14:textFill>
        </w:rPr>
        <w:t xml:space="preserve"> pelo </w:t>
      </w:r>
      <w:r>
        <w:rPr>
          <w:rFonts w:ascii="Times New Roman" w:hAnsi="Times New Roman" w:cs="Times New Roman"/>
          <w:b/>
          <w:bCs/>
          <w:i w:val="0"/>
          <w:iCs w:val="0"/>
          <w:color w:val="000000" w:themeColor="text1"/>
          <w:sz w:val="24"/>
          <w:szCs w:val="24"/>
          <w14:textFill>
            <w14:solidFill>
              <w14:schemeClr w14:val="tx1"/>
            </w14:solidFill>
          </w14:textFill>
        </w:rPr>
        <w:t>CONTRATANTE</w:t>
      </w:r>
      <w:r>
        <w:rPr>
          <w:rFonts w:ascii="Times New Roman" w:hAnsi="Times New Roman" w:cs="Times New Roman"/>
          <w:i w:val="0"/>
          <w:iCs w:val="0"/>
          <w:color w:val="000000" w:themeColor="text1"/>
          <w:sz w:val="24"/>
          <w:szCs w:val="24"/>
          <w14:textFill>
            <w14:solidFill>
              <w14:schemeClr w14:val="tx1"/>
            </w14:solidFill>
          </w14:textFill>
        </w:rPr>
        <w:t xml:space="preserve"> nesse sentido com pelo menos 2 (dois) meses de antecedência desse dia.</w:t>
      </w:r>
    </w:p>
    <w:p w14:paraId="2D15E686">
      <w:pPr>
        <w:spacing w:line="288" w:lineRule="auto"/>
        <w:ind w:left="567" w:right="-78"/>
        <w:contextualSpacing/>
        <w:jc w:val="both"/>
        <w:rPr>
          <w:color w:val="000000" w:themeColor="text1"/>
          <w:sz w:val="24"/>
          <w:szCs w:val="24"/>
          <w14:textFill>
            <w14:solidFill>
              <w14:schemeClr w14:val="tx1"/>
            </w14:solidFill>
          </w14:textFill>
        </w:rPr>
      </w:pPr>
    </w:p>
    <w:p w14:paraId="3C397A6C">
      <w:pPr>
        <w:spacing w:line="288" w:lineRule="auto"/>
        <w:ind w:right="-78"/>
        <w:contextualSpacing/>
        <w:jc w:val="both"/>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12.2.2 Caso a notificação da não-continuidade do Contrato de que trata este subitem ocorra com menos de 2 (dois) meses de antecedência da data de aniversário, a extinção contratual ocorrerá após 2 (dois) meses da data da comunicação.</w:t>
      </w:r>
    </w:p>
    <w:p w14:paraId="041A4F9D">
      <w:pPr>
        <w:spacing w:line="288" w:lineRule="auto"/>
        <w:ind w:left="567" w:right="565"/>
        <w:contextualSpacing/>
        <w:jc w:val="both"/>
        <w:rPr>
          <w:sz w:val="24"/>
          <w:szCs w:val="24"/>
        </w:rPr>
      </w:pPr>
    </w:p>
    <w:p w14:paraId="006CED5E">
      <w:pPr>
        <w:spacing w:line="288" w:lineRule="auto"/>
        <w:contextualSpacing/>
        <w:jc w:val="both"/>
        <w:rPr>
          <w:sz w:val="24"/>
          <w:szCs w:val="24"/>
        </w:rPr>
      </w:pPr>
      <w:r>
        <w:rPr>
          <w:sz w:val="24"/>
          <w:szCs w:val="24"/>
        </w:rPr>
        <w:t>12.3 O presente Contrato poderá ser extinto, antes de cumpridas as obrigações estipuladas, ou antes do prazo neste fixado:</w:t>
      </w:r>
    </w:p>
    <w:p w14:paraId="6DDACC85">
      <w:pPr>
        <w:spacing w:line="288" w:lineRule="auto"/>
        <w:contextualSpacing/>
        <w:jc w:val="both"/>
        <w:rPr>
          <w:sz w:val="24"/>
          <w:szCs w:val="24"/>
        </w:rPr>
      </w:pPr>
      <w:r>
        <w:rPr>
          <w:sz w:val="24"/>
          <w:szCs w:val="24"/>
        </w:rPr>
        <w:t xml:space="preserve">a) por ato unilateral do </w:t>
      </w:r>
      <w:r>
        <w:rPr>
          <w:b/>
          <w:bCs/>
          <w:sz w:val="24"/>
          <w:szCs w:val="24"/>
        </w:rPr>
        <w:t>CONTRATANTE</w:t>
      </w:r>
      <w:r>
        <w:rPr>
          <w:sz w:val="24"/>
          <w:szCs w:val="24"/>
        </w:rPr>
        <w:t xml:space="preserve">,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w:t>
      </w:r>
    </w:p>
    <w:p w14:paraId="7DE4EBF2">
      <w:pPr>
        <w:spacing w:line="288" w:lineRule="auto"/>
        <w:contextualSpacing/>
        <w:jc w:val="both"/>
        <w:rPr>
          <w:sz w:val="24"/>
          <w:szCs w:val="24"/>
        </w:rPr>
      </w:pPr>
      <w:r>
        <w:rPr>
          <w:sz w:val="24"/>
          <w:szCs w:val="24"/>
        </w:rPr>
        <w:t>b) consensualmente, na forma do art. 138, II, da Lei nº 14.133/2021; e</w:t>
      </w:r>
    </w:p>
    <w:p w14:paraId="523CA25E">
      <w:pPr>
        <w:spacing w:line="288" w:lineRule="auto"/>
        <w:contextualSpacing/>
        <w:jc w:val="both"/>
        <w:rPr>
          <w:iCs/>
          <w:sz w:val="24"/>
          <w:szCs w:val="24"/>
        </w:rPr>
      </w:pPr>
      <w:r>
        <w:rPr>
          <w:sz w:val="24"/>
          <w:szCs w:val="24"/>
        </w:rPr>
        <w:t xml:space="preserve">c) na hipótese de contratação direta fundamentada no art. 75, VIII, da Lei nº 14.133/2021, </w:t>
      </w:r>
      <w:r>
        <w:rPr>
          <w:iCs/>
          <w:sz w:val="24"/>
          <w:szCs w:val="24"/>
        </w:rPr>
        <w:t xml:space="preserve">a qualquer tempo, sem indenização, e independentemente de aviso ou prazo, pelo </w:t>
      </w:r>
      <w:r>
        <w:rPr>
          <w:b/>
          <w:bCs/>
          <w:iCs/>
          <w:sz w:val="24"/>
          <w:szCs w:val="24"/>
        </w:rPr>
        <w:t>CONTRATANTE</w:t>
      </w:r>
      <w:r>
        <w:rPr>
          <w:iCs/>
          <w:sz w:val="24"/>
          <w:szCs w:val="24"/>
        </w:rPr>
        <w:t>, tão logo esteja(m) concluído(s) o(s) procedimento(s) licitatório(s) implementado(s) para a contratação do objeto em questão.</w:t>
      </w:r>
    </w:p>
    <w:p w14:paraId="7B2DC8EF">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6828265">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12.3.1 A alteração social ou a modificação da finalidade ou da estrutura da empresa não ensejará a rescisão se não restringir sua capacidade de concluir o Contrato.</w:t>
      </w:r>
    </w:p>
    <w:p w14:paraId="77D1230C">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p>
    <w:p w14:paraId="2D3A72B4">
      <w:pPr>
        <w:pStyle w:val="108"/>
        <w:numPr>
          <w:ilvl w:val="0"/>
          <w:numId w:val="0"/>
        </w:numPr>
        <w:spacing w:before="0" w:after="0" w:line="288" w:lineRule="auto"/>
        <w:ind w:left="22"/>
        <w:contextualSpacing/>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12.3.2 Se a operação implicar mudança da pessoa jurídica contratada, deverá ser formalizado termo aditivo para alteração subjetiva.</w:t>
      </w:r>
    </w:p>
    <w:p w14:paraId="364F3A3C">
      <w:pPr>
        <w:spacing w:line="288" w:lineRule="auto"/>
        <w:contextualSpacing/>
        <w:jc w:val="both"/>
        <w:rPr>
          <w:color w:val="000000"/>
          <w:sz w:val="24"/>
          <w:szCs w:val="24"/>
        </w:rPr>
      </w:pPr>
    </w:p>
    <w:p w14:paraId="1879D748">
      <w:pPr>
        <w:spacing w:line="288" w:lineRule="auto"/>
        <w:contextualSpacing/>
        <w:jc w:val="both"/>
        <w:rPr>
          <w:sz w:val="24"/>
          <w:szCs w:val="24"/>
        </w:rPr>
      </w:pPr>
      <w:r>
        <w:rPr>
          <w:color w:val="000000"/>
          <w:sz w:val="24"/>
          <w:szCs w:val="24"/>
        </w:rPr>
        <w:t>12.4 A extinção prematura do Contrato deverá ser precedida de autorização escrita e fundamentada da autoridade competente e reduzida a termo no respectivo processo.</w:t>
      </w:r>
    </w:p>
    <w:p w14:paraId="1544A393">
      <w:pPr>
        <w:spacing w:line="288" w:lineRule="auto"/>
        <w:contextualSpacing/>
        <w:jc w:val="both"/>
        <w:rPr>
          <w:sz w:val="24"/>
          <w:szCs w:val="24"/>
        </w:rPr>
      </w:pPr>
    </w:p>
    <w:p w14:paraId="0543FDA5">
      <w:pPr>
        <w:spacing w:line="288" w:lineRule="auto"/>
        <w:contextualSpacing/>
        <w:jc w:val="both"/>
        <w:rPr>
          <w:sz w:val="24"/>
          <w:szCs w:val="24"/>
        </w:rPr>
      </w:pPr>
      <w:r>
        <w:rPr>
          <w:sz w:val="24"/>
          <w:szCs w:val="24"/>
        </w:rPr>
        <w:t xml:space="preserve">12.4.1 A justificativa da rescisão por ato unilateral do </w:t>
      </w:r>
      <w:r>
        <w:rPr>
          <w:b/>
          <w:bCs/>
          <w:sz w:val="24"/>
          <w:szCs w:val="24"/>
        </w:rPr>
        <w:t>CONTRATANTE</w:t>
      </w:r>
      <w:r>
        <w:rPr>
          <w:sz w:val="24"/>
          <w:szCs w:val="24"/>
        </w:rPr>
        <w:t>, sempre que possível, contemplará:</w:t>
      </w:r>
    </w:p>
    <w:p w14:paraId="1C66621C">
      <w:pPr>
        <w:spacing w:line="288" w:lineRule="auto"/>
        <w:contextualSpacing/>
        <w:jc w:val="both"/>
        <w:rPr>
          <w:sz w:val="24"/>
          <w:szCs w:val="24"/>
        </w:rPr>
      </w:pPr>
      <w:r>
        <w:rPr>
          <w:sz w:val="24"/>
          <w:szCs w:val="24"/>
        </w:rPr>
        <w:t>a) as obrigações contratuais já cumpridas ou parcialmente cumpridas;</w:t>
      </w:r>
    </w:p>
    <w:p w14:paraId="1ECE845F">
      <w:pPr>
        <w:spacing w:line="288" w:lineRule="auto"/>
        <w:contextualSpacing/>
        <w:jc w:val="both"/>
        <w:rPr>
          <w:sz w:val="24"/>
          <w:szCs w:val="24"/>
        </w:rPr>
      </w:pPr>
      <w:r>
        <w:rPr>
          <w:sz w:val="24"/>
          <w:szCs w:val="24"/>
        </w:rPr>
        <w:t>b) os pagamentos já efetuados e ainda devidos;</w:t>
      </w:r>
    </w:p>
    <w:p w14:paraId="73B8ECD3">
      <w:pPr>
        <w:spacing w:line="288" w:lineRule="auto"/>
        <w:contextualSpacing/>
        <w:jc w:val="both"/>
        <w:rPr>
          <w:sz w:val="24"/>
          <w:szCs w:val="24"/>
        </w:rPr>
      </w:pPr>
      <w:r>
        <w:rPr>
          <w:sz w:val="24"/>
          <w:szCs w:val="24"/>
        </w:rPr>
        <w:t>c) as indenizações e multas.</w:t>
      </w:r>
    </w:p>
    <w:p w14:paraId="18626353">
      <w:pPr>
        <w:pStyle w:val="103"/>
        <w:spacing w:before="0" w:after="0" w:line="288" w:lineRule="auto"/>
        <w:ind w:left="0" w:firstLine="0"/>
        <w:contextualSpacing/>
        <w:rPr>
          <w:rFonts w:ascii="Times New Roman" w:hAnsi="Times New Roman" w:cs="Times New Roman"/>
          <w:sz w:val="24"/>
          <w:szCs w:val="24"/>
        </w:rPr>
      </w:pPr>
    </w:p>
    <w:p w14:paraId="1189269F">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r>
        <w:rPr>
          <w:rFonts w:ascii="Times New Roman" w:hAnsi="Times New Roman" w:cs="Times New Roman"/>
          <w:sz w:val="24"/>
          <w:szCs w:val="24"/>
        </w:rPr>
        <w:t xml:space="preserve">12.5 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 \l "art131" </w:instrText>
      </w:r>
      <w:r>
        <w:fldChar w:fldCharType="separate"/>
      </w:r>
      <w:r>
        <w:rPr>
          <w:rStyle w:val="16"/>
          <w:rFonts w:ascii="Times New Roman" w:hAnsi="Times New Roman" w:cs="Times New Roman" w:eastAsiaTheme="minorHAnsi"/>
          <w:color w:val="auto"/>
          <w:sz w:val="24"/>
          <w:szCs w:val="24"/>
        </w:rPr>
        <w:t xml:space="preserve">art. 131, </w:t>
      </w:r>
      <w:r>
        <w:rPr>
          <w:rStyle w:val="16"/>
          <w:rFonts w:ascii="Times New Roman" w:hAnsi="Times New Roman" w:cs="Times New Roman" w:eastAsiaTheme="minorHAnsi"/>
          <w:i/>
          <w:iCs/>
          <w:color w:val="auto"/>
          <w:sz w:val="24"/>
          <w:szCs w:val="24"/>
        </w:rPr>
        <w:t xml:space="preserve">caput, </w:t>
      </w:r>
      <w:r>
        <w:rPr>
          <w:rStyle w:val="16"/>
          <w:rFonts w:ascii="Times New Roman" w:hAnsi="Times New Roman" w:cs="Times New Roman" w:eastAsiaTheme="minorHAnsi"/>
          <w:color w:val="auto"/>
          <w:sz w:val="24"/>
          <w:szCs w:val="24"/>
        </w:rPr>
        <w:t xml:space="preserve">da Lei nº 14.133/2021, desde que o pedido seja </w:t>
      </w:r>
      <w:r>
        <w:rPr>
          <w:rFonts w:ascii="Times New Roman" w:hAnsi="Times New Roman" w:cs="Times New Roman"/>
          <w:sz w:val="24"/>
          <w:szCs w:val="24"/>
        </w:rPr>
        <w:t>formulado durante a vigência do Contrato e antes de eventual prorrogação</w:t>
      </w:r>
      <w:r>
        <w:rPr>
          <w:rStyle w:val="16"/>
          <w:rFonts w:ascii="Times New Roman" w:hAnsi="Times New Roman" w:cs="Times New Roman" w:eastAsiaTheme="minorHAnsi"/>
          <w:color w:val="auto"/>
          <w:sz w:val="24"/>
          <w:szCs w:val="24"/>
        </w:rPr>
        <w:t>.</w:t>
      </w:r>
      <w:r>
        <w:rPr>
          <w:rStyle w:val="16"/>
          <w:rFonts w:ascii="Times New Roman" w:hAnsi="Times New Roman" w:cs="Times New Roman" w:eastAsiaTheme="minorHAnsi"/>
          <w:color w:val="auto"/>
          <w:sz w:val="24"/>
          <w:szCs w:val="24"/>
        </w:rPr>
        <w:fldChar w:fldCharType="end"/>
      </w:r>
    </w:p>
    <w:p w14:paraId="559B4F78">
      <w:pPr>
        <w:pStyle w:val="103"/>
        <w:spacing w:before="0" w:after="0" w:line="288" w:lineRule="auto"/>
        <w:ind w:left="0" w:firstLine="0"/>
        <w:contextualSpacing/>
        <w:rPr>
          <w:rStyle w:val="16"/>
          <w:rFonts w:ascii="Times New Roman" w:hAnsi="Times New Roman" w:cs="Times New Roman" w:eastAsiaTheme="minorHAnsi"/>
          <w:color w:val="auto"/>
          <w:sz w:val="24"/>
          <w:szCs w:val="24"/>
        </w:rPr>
      </w:pPr>
    </w:p>
    <w:p w14:paraId="424480CA">
      <w:pPr>
        <w:pStyle w:val="103"/>
        <w:spacing w:before="0" w:after="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12.6. Extinto o Contrato, o </w:t>
      </w:r>
      <w:r>
        <w:rPr>
          <w:rFonts w:ascii="Times New Roman" w:hAnsi="Times New Roman" w:cs="Times New Roman"/>
          <w:b/>
          <w:bCs/>
          <w:sz w:val="24"/>
          <w:szCs w:val="24"/>
        </w:rPr>
        <w:t>CONTRATANTE</w:t>
      </w:r>
      <w:r>
        <w:rPr>
          <w:rFonts w:ascii="Times New Roman" w:hAnsi="Times New Roman" w:cs="Times New Roman"/>
          <w:sz w:val="24"/>
          <w:szCs w:val="24"/>
        </w:rPr>
        <w:t xml:space="preserve"> poderá ainda:</w:t>
      </w:r>
    </w:p>
    <w:p w14:paraId="590DA930">
      <w:pPr>
        <w:spacing w:before="120" w:after="120" w:line="288" w:lineRule="auto"/>
        <w:contextualSpacing/>
        <w:jc w:val="both"/>
        <w:rPr>
          <w:color w:val="000000"/>
          <w:sz w:val="24"/>
          <w:szCs w:val="24"/>
        </w:rPr>
      </w:pPr>
    </w:p>
    <w:p w14:paraId="7C206E2D">
      <w:pPr>
        <w:spacing w:before="120" w:after="120" w:line="288" w:lineRule="auto"/>
        <w:contextualSpacing/>
        <w:jc w:val="both"/>
        <w:rPr>
          <w:color w:val="000000"/>
          <w:sz w:val="24"/>
          <w:szCs w:val="24"/>
        </w:rPr>
      </w:pPr>
      <w:r>
        <w:rPr>
          <w:color w:val="000000"/>
          <w:sz w:val="24"/>
          <w:szCs w:val="24"/>
        </w:rPr>
        <w:t xml:space="preserve">12.6.1 nos casos de obrigação de pagamento de multa pelo </w:t>
      </w:r>
      <w:r>
        <w:rPr>
          <w:b/>
          <w:bCs/>
          <w:color w:val="000000"/>
          <w:sz w:val="24"/>
          <w:szCs w:val="24"/>
        </w:rPr>
        <w:t>CONTRATADO</w:t>
      </w:r>
      <w:r>
        <w:rPr>
          <w:color w:val="000000"/>
          <w:sz w:val="24"/>
          <w:szCs w:val="24"/>
        </w:rPr>
        <w:t>, reter e executar a garantia prestada; e</w:t>
      </w:r>
    </w:p>
    <w:p w14:paraId="032FA917">
      <w:pPr>
        <w:spacing w:before="120" w:after="120" w:line="288" w:lineRule="auto"/>
        <w:contextualSpacing/>
        <w:jc w:val="both"/>
        <w:rPr>
          <w:color w:val="000000"/>
          <w:sz w:val="24"/>
          <w:szCs w:val="24"/>
        </w:rPr>
      </w:pPr>
    </w:p>
    <w:p w14:paraId="56768AD5">
      <w:pPr>
        <w:spacing w:before="120" w:after="120" w:line="288" w:lineRule="auto"/>
        <w:contextualSpacing/>
        <w:jc w:val="both"/>
        <w:rPr>
          <w:sz w:val="24"/>
          <w:szCs w:val="24"/>
        </w:rPr>
      </w:pPr>
      <w:r>
        <w:rPr>
          <w:color w:val="000000"/>
          <w:sz w:val="24"/>
          <w:szCs w:val="24"/>
        </w:rPr>
        <w:t>12.6.2 nos casos em que houver necessidade de ressarcimento de prejuízos causados à Administração, nos termos do inciso IV do art. 139 da Lei nº 14.133/2021, reter os eventuais créditos existentes</w:t>
      </w:r>
      <w:r>
        <w:rPr>
          <w:sz w:val="24"/>
          <w:szCs w:val="24"/>
        </w:rPr>
        <w:t xml:space="preserve"> em favor do </w:t>
      </w:r>
      <w:r>
        <w:rPr>
          <w:b/>
          <w:bCs/>
          <w:sz w:val="24"/>
          <w:szCs w:val="24"/>
        </w:rPr>
        <w:t>C</w:t>
      </w:r>
      <w:r>
        <w:rPr>
          <w:b/>
          <w:bCs/>
          <w:color w:val="000000"/>
          <w:sz w:val="24"/>
          <w:szCs w:val="24"/>
        </w:rPr>
        <w:t>ONTRATADO</w:t>
      </w:r>
      <w:r>
        <w:rPr>
          <w:sz w:val="24"/>
          <w:szCs w:val="24"/>
        </w:rPr>
        <w:t xml:space="preserve"> decorrentes do Contrato.</w:t>
      </w:r>
    </w:p>
    <w:p w14:paraId="1CB8DF0E">
      <w:pPr>
        <w:spacing w:before="120" w:after="120" w:line="288" w:lineRule="auto"/>
        <w:contextualSpacing/>
        <w:jc w:val="both"/>
        <w:rPr>
          <w:sz w:val="24"/>
          <w:szCs w:val="24"/>
        </w:rPr>
      </w:pPr>
    </w:p>
    <w:p w14:paraId="7B51E61D">
      <w:pPr>
        <w:pStyle w:val="101"/>
        <w:spacing w:before="0" w:line="288" w:lineRule="auto"/>
        <w:ind w:left="22"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TERCEIRA – ALTERAÇÕES</w:t>
      </w:r>
    </w:p>
    <w:p w14:paraId="0FF5D20F">
      <w:pPr>
        <w:pStyle w:val="99"/>
        <w:spacing w:before="0" w:after="0" w:line="288" w:lineRule="auto"/>
        <w:ind w:left="22" w:firstLine="0"/>
        <w:contextualSpacing/>
        <w:rPr>
          <w:rFonts w:ascii="Times New Roman" w:hAnsi="Times New Roman" w:cs="Times New Roman"/>
          <w:sz w:val="24"/>
          <w:szCs w:val="24"/>
        </w:rPr>
      </w:pPr>
    </w:p>
    <w:p w14:paraId="64885619">
      <w:pPr>
        <w:pStyle w:val="99"/>
        <w:spacing w:before="0" w:after="0" w:line="288" w:lineRule="auto"/>
        <w:ind w:left="22" w:firstLine="0"/>
        <w:contextualSpacing/>
        <w:rPr>
          <w:rFonts w:ascii="Times New Roman" w:hAnsi="Times New Roman" w:cs="Times New Roman"/>
          <w:color w:val="auto"/>
          <w:sz w:val="24"/>
          <w:szCs w:val="24"/>
        </w:rPr>
      </w:pPr>
      <w:r>
        <w:rPr>
          <w:rFonts w:ascii="Times New Roman" w:hAnsi="Times New Roman" w:cs="Times New Roman"/>
          <w:sz w:val="24"/>
          <w:szCs w:val="24"/>
        </w:rPr>
        <w:t xml:space="preserve">13.1 Eventuais alterações contratuais reger-se-ão pela disciplina dos </w:t>
      </w:r>
      <w:r>
        <w:fldChar w:fldCharType="begin"/>
      </w:r>
      <w:r>
        <w:instrText xml:space="preserve"> HYPERLINK "http://www.planalto.gov.br/ccivil_03/_ato2019-2022/2021/lei/L14133.htm" \l "art124" </w:instrText>
      </w:r>
      <w:r>
        <w:fldChar w:fldCharType="separate"/>
      </w:r>
      <w:r>
        <w:rPr>
          <w:rStyle w:val="16"/>
          <w:rFonts w:ascii="Times New Roman" w:hAnsi="Times New Roman" w:cs="Times New Roman" w:eastAsiaTheme="minorHAnsi"/>
          <w:color w:val="auto"/>
          <w:sz w:val="24"/>
          <w:szCs w:val="24"/>
        </w:rPr>
        <w:t>arts. 124 e seguintes da Lei 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w:t>
      </w:r>
    </w:p>
    <w:p w14:paraId="5D5BF651">
      <w:pPr>
        <w:spacing w:line="288" w:lineRule="auto"/>
        <w:contextualSpacing/>
        <w:jc w:val="both"/>
        <w:rPr>
          <w:sz w:val="24"/>
          <w:szCs w:val="24"/>
        </w:rPr>
      </w:pPr>
    </w:p>
    <w:p w14:paraId="2C055738">
      <w:pPr>
        <w:spacing w:line="288" w:lineRule="auto"/>
        <w:contextualSpacing/>
        <w:jc w:val="both"/>
        <w:rPr>
          <w:sz w:val="24"/>
          <w:szCs w:val="24"/>
        </w:rPr>
      </w:pPr>
      <w:r>
        <w:rPr>
          <w:sz w:val="24"/>
          <w:szCs w:val="24"/>
        </w:rPr>
        <w:t xml:space="preserve">13.2 O </w:t>
      </w:r>
      <w:r>
        <w:rPr>
          <w:b/>
          <w:bCs/>
          <w:sz w:val="24"/>
          <w:szCs w:val="24"/>
        </w:rPr>
        <w:t>CONTRATADO</w:t>
      </w:r>
      <w:r>
        <w:rPr>
          <w:sz w:val="24"/>
          <w:szCs w:val="24"/>
        </w:rPr>
        <w:t xml:space="preserve"> é obrigado a aceitar, nas mesmas condições contratuais, os acréscimos ou supressões que se fizerem necessários, até o limite de 25% (vinte e cinco por cento) do valor inicial atualizado do Contrato, na forma do art. 125 da Lei nº 14.133/2021.</w:t>
      </w:r>
    </w:p>
    <w:p w14:paraId="63EFD85B">
      <w:pPr>
        <w:spacing w:line="288" w:lineRule="auto"/>
        <w:contextualSpacing/>
        <w:jc w:val="both"/>
        <w:rPr>
          <w:sz w:val="24"/>
          <w:szCs w:val="24"/>
        </w:rPr>
      </w:pPr>
    </w:p>
    <w:p w14:paraId="034C132C">
      <w:pPr>
        <w:spacing w:line="288" w:lineRule="auto"/>
        <w:contextualSpacing/>
        <w:jc w:val="both"/>
        <w:rPr>
          <w:b/>
          <w:bCs/>
          <w:sz w:val="24"/>
          <w:szCs w:val="24"/>
        </w:rPr>
      </w:pPr>
      <w:r>
        <w:rPr>
          <w:sz w:val="24"/>
          <w:szCs w:val="24"/>
        </w:rPr>
        <w:t xml:space="preserve">13.3 As alterações contratuais deverão ser promovidas mediante celebração de termo aditivo, submetido à prévia aprovação da assessoria jurídica do </w:t>
      </w:r>
      <w:r>
        <w:rPr>
          <w:b/>
          <w:bCs/>
          <w:sz w:val="24"/>
          <w:szCs w:val="24"/>
        </w:rPr>
        <w:t>CONTRATANTE</w:t>
      </w:r>
      <w:r>
        <w:rPr>
          <w:sz w:val="24"/>
          <w:szCs w:val="24"/>
        </w:rPr>
        <w:t>.</w:t>
      </w:r>
    </w:p>
    <w:p w14:paraId="188838FB">
      <w:pPr>
        <w:pStyle w:val="101"/>
        <w:spacing w:before="0" w:line="288" w:lineRule="auto"/>
        <w:ind w:left="0" w:firstLine="0"/>
        <w:contextualSpacing/>
        <w:rPr>
          <w:rFonts w:ascii="Times New Roman" w:hAnsi="Times New Roman" w:cs="Times New Roman"/>
          <w:b w:val="0"/>
          <w:bCs w:val="0"/>
          <w:sz w:val="24"/>
          <w:szCs w:val="24"/>
        </w:rPr>
      </w:pPr>
    </w:p>
    <w:p w14:paraId="3CFEBF4A">
      <w:pPr>
        <w:pStyle w:val="101"/>
        <w:spacing w:before="0" w:line="288" w:lineRule="auto"/>
        <w:ind w:left="0" w:firstLine="0"/>
        <w:contextualSpacing/>
        <w:rPr>
          <w:rFonts w:ascii="Times New Roman" w:hAnsi="Times New Roman" w:cs="Times New Roman"/>
          <w:b w:val="0"/>
          <w:bCs w:val="0"/>
          <w:sz w:val="24"/>
          <w:szCs w:val="24"/>
        </w:rPr>
      </w:pPr>
      <w:r>
        <w:rPr>
          <w:rFonts w:ascii="Times New Roman" w:hAnsi="Times New Roman" w:cs="Times New Roman"/>
          <w:b w:val="0"/>
          <w:bCs w:val="0"/>
          <w:sz w:val="24"/>
          <w:szCs w:val="24"/>
        </w:rPr>
        <w:t>13.4</w:t>
      </w:r>
      <w:r>
        <w:rPr>
          <w:rFonts w:ascii="Times New Roman" w:hAnsi="Times New Roman" w:cs="Times New Roman"/>
          <w:sz w:val="24"/>
          <w:szCs w:val="24"/>
        </w:rPr>
        <w:t xml:space="preserve"> </w:t>
      </w:r>
      <w:r>
        <w:rPr>
          <w:rFonts w:ascii="Times New Roman" w:hAnsi="Times New Roman" w:cs="Times New Roman"/>
          <w:b w:val="0"/>
          <w:bCs w:val="0"/>
          <w:sz w:val="24"/>
          <w:szCs w:val="24"/>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16"/>
          <w:rFonts w:ascii="Times New Roman" w:hAnsi="Times New Roman" w:cs="Times New Roman" w:eastAsiaTheme="minorHAnsi"/>
          <w:b w:val="0"/>
          <w:bCs w:val="0"/>
          <w:sz w:val="24"/>
          <w:szCs w:val="24"/>
        </w:rPr>
        <w:t>art. 136 da Lei nº 14.133/2021</w:t>
      </w:r>
      <w:r>
        <w:rPr>
          <w:rStyle w:val="16"/>
          <w:rFonts w:ascii="Times New Roman" w:hAnsi="Times New Roman" w:cs="Times New Roman" w:eastAsiaTheme="minorHAnsi"/>
          <w:b w:val="0"/>
          <w:bCs w:val="0"/>
          <w:sz w:val="24"/>
          <w:szCs w:val="24"/>
        </w:rPr>
        <w:fldChar w:fldCharType="end"/>
      </w:r>
      <w:r>
        <w:rPr>
          <w:rFonts w:ascii="Times New Roman" w:hAnsi="Times New Roman" w:cs="Times New Roman"/>
          <w:b w:val="0"/>
          <w:bCs w:val="0"/>
          <w:sz w:val="24"/>
          <w:szCs w:val="24"/>
        </w:rPr>
        <w:t>.</w:t>
      </w:r>
    </w:p>
    <w:p w14:paraId="13FD5D04">
      <w:pPr>
        <w:spacing w:line="288" w:lineRule="auto"/>
        <w:contextualSpacing/>
        <w:rPr>
          <w:sz w:val="24"/>
          <w:szCs w:val="24"/>
        </w:rPr>
      </w:pPr>
    </w:p>
    <w:p w14:paraId="79E621D7">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QUARTA – DOTAÇÃO ORÇAMENTÁRIA </w:t>
      </w:r>
    </w:p>
    <w:p w14:paraId="0CAD2893">
      <w:pPr>
        <w:spacing w:line="288" w:lineRule="auto"/>
        <w:contextualSpacing/>
        <w:rPr>
          <w:sz w:val="24"/>
          <w:szCs w:val="24"/>
        </w:rPr>
      </w:pPr>
    </w:p>
    <w:p w14:paraId="69FA3F6E">
      <w:pPr>
        <w:pStyle w:val="99"/>
        <w:spacing w:before="0" w:after="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14.1 As despesas com a execução do presente Contrato contratação correrão à conta das seguintes dotações orçamentárias, para o corrente exercício de </w:t>
      </w:r>
      <w:r>
        <w:rPr>
          <w:rFonts w:ascii="Times New Roman" w:hAnsi="Times New Roman" w:cs="Times New Roman"/>
          <w:color w:val="FF0000"/>
          <w:sz w:val="24"/>
          <w:szCs w:val="24"/>
        </w:rPr>
        <w:t>.........</w:t>
      </w:r>
      <w:r>
        <w:rPr>
          <w:rFonts w:ascii="Times New Roman" w:hAnsi="Times New Roman" w:cs="Times New Roman"/>
          <w:sz w:val="24"/>
          <w:szCs w:val="24"/>
        </w:rPr>
        <w:t>, assim classificadas:</w:t>
      </w:r>
    </w:p>
    <w:p w14:paraId="4060495C">
      <w:pPr>
        <w:pStyle w:val="20"/>
        <w:spacing w:line="288" w:lineRule="auto"/>
        <w:contextualSpacing/>
        <w:jc w:val="both"/>
        <w:rPr>
          <w:rFonts w:ascii="Times New Roman" w:hAnsi="Times New Roman" w:cs="Times New Roman"/>
        </w:rPr>
      </w:pPr>
      <w:r>
        <w:rPr>
          <w:rFonts w:ascii="Times New Roman" w:hAnsi="Times New Roman" w:cs="Times New Roman"/>
        </w:rPr>
        <w:t>Natureza da Despesa:</w:t>
      </w:r>
    </w:p>
    <w:p w14:paraId="48EB2590">
      <w:pPr>
        <w:pStyle w:val="20"/>
        <w:spacing w:line="288" w:lineRule="auto"/>
        <w:contextualSpacing/>
        <w:jc w:val="both"/>
        <w:rPr>
          <w:rFonts w:ascii="Times New Roman" w:hAnsi="Times New Roman" w:cs="Times New Roman"/>
        </w:rPr>
      </w:pPr>
      <w:r>
        <w:rPr>
          <w:rFonts w:ascii="Times New Roman" w:hAnsi="Times New Roman" w:cs="Times New Roman"/>
        </w:rPr>
        <w:t>Fonte de Recurso:</w:t>
      </w:r>
    </w:p>
    <w:p w14:paraId="000CE8AC">
      <w:pPr>
        <w:pStyle w:val="20"/>
        <w:spacing w:line="288" w:lineRule="auto"/>
        <w:contextualSpacing/>
        <w:jc w:val="both"/>
        <w:rPr>
          <w:rFonts w:ascii="Times New Roman" w:hAnsi="Times New Roman" w:cs="Times New Roman"/>
        </w:rPr>
      </w:pPr>
      <w:r>
        <w:rPr>
          <w:rFonts w:ascii="Times New Roman" w:hAnsi="Times New Roman" w:cs="Times New Roman"/>
        </w:rPr>
        <w:t>Programa de Trabalho:</w:t>
      </w:r>
    </w:p>
    <w:p w14:paraId="0A46BC6B">
      <w:pPr>
        <w:pStyle w:val="20"/>
        <w:spacing w:line="288" w:lineRule="auto"/>
        <w:contextualSpacing/>
        <w:jc w:val="both"/>
        <w:rPr>
          <w:rFonts w:ascii="Times New Roman" w:hAnsi="Times New Roman" w:cs="Times New Roman"/>
        </w:rPr>
      </w:pPr>
      <w:r>
        <w:rPr>
          <w:rFonts w:ascii="Times New Roman" w:hAnsi="Times New Roman" w:cs="Times New Roman"/>
        </w:rPr>
        <w:t>Nota de Empenho:</w:t>
      </w:r>
    </w:p>
    <w:p w14:paraId="56B7159C">
      <w:pPr>
        <w:pStyle w:val="20"/>
        <w:spacing w:line="288" w:lineRule="auto"/>
        <w:contextualSpacing/>
        <w:jc w:val="both"/>
        <w:rPr>
          <w:rFonts w:ascii="Times New Roman" w:hAnsi="Times New Roman" w:cs="Times New Roman"/>
        </w:rPr>
      </w:pPr>
    </w:p>
    <w:p w14:paraId="48C4E6C5">
      <w:pPr>
        <w:pStyle w:val="20"/>
        <w:spacing w:line="288" w:lineRule="auto"/>
        <w:contextualSpacing/>
        <w:jc w:val="both"/>
        <w:rPr>
          <w:rFonts w:ascii="Times New Roman" w:hAnsi="Times New Roman" w:cs="Times New Roman"/>
        </w:rPr>
      </w:pPr>
      <w:r>
        <w:rPr>
          <w:rFonts w:ascii="Times New Roman" w:hAnsi="Times New Roman" w:cs="Times New Roman"/>
        </w:rPr>
        <w:t xml:space="preserve">14.2 As despesas relativas aos exercícios subsequentes correrão por conta das dotações orçamentárias respectivas, devendo ser empenhadas no início de cada exercício. </w:t>
      </w:r>
    </w:p>
    <w:p w14:paraId="44D5E6D0">
      <w:pPr>
        <w:pStyle w:val="20"/>
        <w:spacing w:line="288" w:lineRule="auto"/>
        <w:contextualSpacing/>
        <w:jc w:val="both"/>
        <w:rPr>
          <w:rFonts w:ascii="Times New Roman" w:hAnsi="Times New Roman" w:cs="Times New Roman"/>
        </w:rPr>
      </w:pPr>
    </w:p>
    <w:p w14:paraId="5D048BD5">
      <w:pPr>
        <w:pStyle w:val="20"/>
        <w:spacing w:line="288" w:lineRule="auto"/>
        <w:contextualSpacing/>
        <w:jc w:val="both"/>
        <w:rPr>
          <w:rFonts w:ascii="Times New Roman" w:hAnsi="Times New Roman" w:cs="Times New Roman"/>
        </w:rPr>
      </w:pPr>
      <w:r>
        <w:rPr>
          <w:rFonts w:ascii="Times New Roman" w:hAnsi="Times New Roman" w:cs="Times New Roman"/>
        </w:rPr>
        <w:t>14.3 No início da contratação e de cada exercício deverá ser atestada a existência de créditos orçamentários vinculados à contratação e, no caso de fornecimento contínuo, a vantagem em sua manutenção, na forma dos arts. 105 e 106 da Lei nº 14.133/2021.</w:t>
      </w:r>
    </w:p>
    <w:p w14:paraId="12755528">
      <w:pPr>
        <w:pStyle w:val="20"/>
        <w:spacing w:line="288" w:lineRule="auto"/>
        <w:contextualSpacing/>
        <w:jc w:val="both"/>
        <w:rPr>
          <w:rFonts w:ascii="Times New Roman" w:hAnsi="Times New Roman" w:cs="Times New Roman"/>
        </w:rPr>
      </w:pPr>
    </w:p>
    <w:p w14:paraId="3A508CCA">
      <w:pPr>
        <w:pStyle w:val="101"/>
        <w:spacing w:before="0" w:line="288" w:lineRule="auto"/>
        <w:ind w:left="0"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QUINTA – DOS CASOS OMISSOS </w:t>
      </w:r>
    </w:p>
    <w:p w14:paraId="3F35F022">
      <w:pPr>
        <w:spacing w:line="288" w:lineRule="auto"/>
        <w:contextualSpacing/>
        <w:rPr>
          <w:sz w:val="24"/>
          <w:szCs w:val="24"/>
        </w:rPr>
      </w:pPr>
    </w:p>
    <w:p w14:paraId="134A1E86">
      <w:pPr>
        <w:pStyle w:val="99"/>
        <w:spacing w:before="0" w:after="0" w:line="288" w:lineRule="auto"/>
        <w:ind w:left="0"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15.1 Os casos omissos serão decididos pelo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segundo as disposições contidas na Lei </w:t>
      </w:r>
      <w:r>
        <w:fldChar w:fldCharType="begin"/>
      </w:r>
      <w:r>
        <w:instrText xml:space="preserve"> HYPERLINK "http://www.planalto.gov.br/ccivil_03/_ato2019-2022/2021/lei/L14133.htm" </w:instrText>
      </w:r>
      <w:r>
        <w:fldChar w:fldCharType="separate"/>
      </w:r>
      <w:r>
        <w:rPr>
          <w:rStyle w:val="16"/>
          <w:rFonts w:ascii="Times New Roman" w:hAnsi="Times New Roman" w:cs="Times New Roman" w:eastAsiaTheme="minorHAnsi"/>
          <w:color w:val="auto"/>
          <w:sz w:val="24"/>
          <w:szCs w:val="24"/>
        </w:rPr>
        <w:t>nº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e demais normas federais e estaduais aplicáveis e, subsidiariamente, segundo as disposições contidas na </w:t>
      </w:r>
      <w:r>
        <w:fldChar w:fldCharType="begin"/>
      </w:r>
      <w:r>
        <w:instrText xml:space="preserve"> HYPERLINK "https://www.planalto.gov.br/ccivil_03/leis/l8078compilado.htm" </w:instrText>
      </w:r>
      <w:r>
        <w:fldChar w:fldCharType="separate"/>
      </w:r>
      <w:r>
        <w:rPr>
          <w:rStyle w:val="16"/>
          <w:rFonts w:ascii="Times New Roman" w:hAnsi="Times New Roman" w:cs="Times New Roman" w:eastAsiaTheme="minorHAnsi"/>
          <w:color w:val="auto"/>
          <w:sz w:val="24"/>
          <w:szCs w:val="24"/>
        </w:rPr>
        <w:t>Lei nº 8.078/1990 – Código de Defesa do Consumidor</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 e normas e princípios gerais dos contratos.</w:t>
      </w:r>
    </w:p>
    <w:p w14:paraId="1D81A9D0">
      <w:pPr>
        <w:pStyle w:val="20"/>
        <w:spacing w:line="288" w:lineRule="auto"/>
        <w:contextualSpacing/>
        <w:jc w:val="both"/>
        <w:rPr>
          <w:rFonts w:ascii="Times New Roman" w:hAnsi="Times New Roman" w:cs="Times New Roman"/>
        </w:rPr>
      </w:pPr>
    </w:p>
    <w:p w14:paraId="125C4DB5">
      <w:pPr>
        <w:pStyle w:val="101"/>
        <w:spacing w:before="0" w:line="288" w:lineRule="auto"/>
        <w:ind w:left="36" w:firstLine="0"/>
        <w:contextualSpacing/>
        <w:rPr>
          <w:rFonts w:ascii="Times New Roman" w:hAnsi="Times New Roman" w:cs="Times New Roman"/>
          <w:color w:val="FFFFFF"/>
          <w:sz w:val="24"/>
          <w:szCs w:val="24"/>
        </w:rPr>
      </w:pPr>
      <w:r>
        <w:rPr>
          <w:rFonts w:ascii="Times New Roman" w:hAnsi="Times New Roman" w:cs="Times New Roman"/>
          <w:sz w:val="24"/>
          <w:szCs w:val="24"/>
        </w:rPr>
        <w:t>CLÁUSULA DÉCIMA SEXTA – PUBLICAÇÃO E CONTROLE DO CONTRATO</w:t>
      </w:r>
    </w:p>
    <w:p w14:paraId="7A1DD49E">
      <w:pPr>
        <w:pStyle w:val="99"/>
        <w:spacing w:before="0" w:after="0" w:line="288" w:lineRule="auto"/>
        <w:ind w:left="36" w:firstLine="0"/>
        <w:contextualSpacing/>
        <w:rPr>
          <w:rFonts w:ascii="Times New Roman" w:hAnsi="Times New Roman" w:cs="Times New Roman"/>
          <w:color w:val="auto"/>
          <w:sz w:val="24"/>
          <w:szCs w:val="24"/>
        </w:rPr>
      </w:pPr>
    </w:p>
    <w:p w14:paraId="6572B69E">
      <w:pPr>
        <w:pStyle w:val="99"/>
        <w:spacing w:before="0" w:after="0" w:line="288" w:lineRule="auto"/>
        <w:ind w:left="36" w:firstLine="0"/>
        <w:contextualSpacing/>
        <w:rPr>
          <w:rFonts w:ascii="Times New Roman" w:hAnsi="Times New Roman" w:cs="Times New Roman"/>
          <w:color w:val="auto"/>
          <w:sz w:val="24"/>
          <w:szCs w:val="24"/>
        </w:rPr>
      </w:pPr>
      <w:r>
        <w:rPr>
          <w:rFonts w:ascii="Times New Roman" w:hAnsi="Times New Roman" w:cs="Times New Roman"/>
          <w:color w:val="auto"/>
          <w:sz w:val="24"/>
          <w:szCs w:val="24"/>
        </w:rPr>
        <w:t xml:space="preserve">16.1 Incumbirá ao </w:t>
      </w:r>
      <w:r>
        <w:rPr>
          <w:rFonts w:ascii="Times New Roman" w:hAnsi="Times New Roman" w:cs="Times New Roman"/>
          <w:b/>
          <w:bCs/>
          <w:color w:val="auto"/>
          <w:sz w:val="24"/>
          <w:szCs w:val="24"/>
        </w:rPr>
        <w:t>CONTRATANTE</w:t>
      </w:r>
      <w:r>
        <w:rPr>
          <w:rFonts w:ascii="Times New Roman" w:hAnsi="Times New Roman" w:cs="Times New Roman"/>
          <w:color w:val="auto"/>
          <w:sz w:val="24"/>
          <w:szCs w:val="24"/>
        </w:rPr>
        <w:t xml:space="preserv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6"/>
          <w:rFonts w:ascii="Times New Roman" w:hAnsi="Times New Roman" w:cs="Times New Roman" w:eastAsiaTheme="minorHAnsi"/>
          <w:color w:val="auto"/>
          <w:sz w:val="24"/>
          <w:szCs w:val="24"/>
        </w:rPr>
        <w:t>art. 94 da Lei 14.133/2021</w:t>
      </w:r>
      <w:r>
        <w:rPr>
          <w:rStyle w:val="16"/>
          <w:rFonts w:ascii="Times New Roman" w:hAnsi="Times New Roman" w:cs="Times New Roman" w:eastAsiaTheme="minorHAnsi"/>
          <w:color w:val="auto"/>
          <w:sz w:val="24"/>
          <w:szCs w:val="24"/>
        </w:rPr>
        <w:fldChar w:fldCharType="end"/>
      </w:r>
      <w:r>
        <w:rPr>
          <w:rFonts w:ascii="Times New Roman" w:hAnsi="Times New Roman" w:cs="Times New Roman"/>
          <w:color w:val="auto"/>
          <w:sz w:val="24"/>
          <w:szCs w:val="24"/>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6"/>
          <w:rFonts w:ascii="Times New Roman" w:hAnsi="Times New Roman" w:cs="Times New Roman" w:eastAsiaTheme="minorHAnsi"/>
          <w:color w:val="auto"/>
          <w:sz w:val="24"/>
          <w:szCs w:val="24"/>
        </w:rPr>
        <w:t>art. 8º, §2º, da Lei nº 12.527/2011</w:t>
      </w:r>
      <w:r>
        <w:rPr>
          <w:rStyle w:val="16"/>
          <w:rFonts w:ascii="Times New Roman" w:hAnsi="Times New Roman" w:cs="Times New Roman" w:eastAsiaTheme="minorHAnsi"/>
          <w:color w:val="auto"/>
          <w:sz w:val="24"/>
          <w:szCs w:val="24"/>
        </w:rPr>
        <w:fldChar w:fldCharType="end"/>
      </w:r>
      <w:r>
        <w:rPr>
          <w:rFonts w:ascii="Times New Roman" w:hAnsi="Times New Roman" w:cs="Times New Roman"/>
          <w:sz w:val="24"/>
          <w:szCs w:val="24"/>
        </w:rPr>
        <w:t>, e publicar extrato da contratação no Boletim Oficial do Município.</w:t>
      </w:r>
    </w:p>
    <w:p w14:paraId="7CD4CA19">
      <w:pPr>
        <w:spacing w:line="288" w:lineRule="auto"/>
        <w:contextualSpacing/>
        <w:jc w:val="both"/>
        <w:rPr>
          <w:sz w:val="24"/>
          <w:szCs w:val="24"/>
        </w:rPr>
      </w:pPr>
    </w:p>
    <w:p w14:paraId="0A5A2735">
      <w:pPr>
        <w:spacing w:line="288" w:lineRule="auto"/>
        <w:contextualSpacing/>
        <w:jc w:val="both"/>
        <w:rPr>
          <w:sz w:val="24"/>
          <w:szCs w:val="24"/>
        </w:rPr>
      </w:pPr>
      <w:r>
        <w:rPr>
          <w:sz w:val="24"/>
          <w:szCs w:val="24"/>
        </w:rPr>
        <w:t>16.1.1 A divulgação do Contrato e de seus aditamentos no Portal Nacional de Contratações Públicas – PNCP, condição indispensável para sua eficácia, deverá ocorrer nos prazos estipulados pelo art. 94 da Lei nº 14.133/2021.</w:t>
      </w:r>
    </w:p>
    <w:p w14:paraId="3F9ED520">
      <w:pPr>
        <w:spacing w:line="288" w:lineRule="auto"/>
        <w:contextualSpacing/>
        <w:jc w:val="both"/>
        <w:rPr>
          <w:sz w:val="24"/>
          <w:szCs w:val="24"/>
        </w:rPr>
      </w:pPr>
    </w:p>
    <w:p w14:paraId="4B63014B">
      <w:pPr>
        <w:spacing w:line="288" w:lineRule="auto"/>
        <w:contextualSpacing/>
        <w:jc w:val="both"/>
        <w:rPr>
          <w:sz w:val="24"/>
          <w:szCs w:val="24"/>
        </w:rPr>
      </w:pPr>
      <w:r>
        <w:rPr>
          <w:sz w:val="24"/>
          <w:szCs w:val="24"/>
        </w:rPr>
        <w:t xml:space="preserve">16.2 O </w:t>
      </w:r>
      <w:r>
        <w:rPr>
          <w:b/>
          <w:bCs/>
          <w:sz w:val="24"/>
          <w:szCs w:val="24"/>
        </w:rPr>
        <w:t>CONTRATANTE</w:t>
      </w:r>
      <w:r>
        <w:rPr>
          <w:sz w:val="24"/>
          <w:szCs w:val="24"/>
        </w:rPr>
        <w:t xml:space="preserve"> deverá adotar as providências necessárias para dar conhecimento da contratação, junto ao Tribunal de Contas do Estado.</w:t>
      </w:r>
    </w:p>
    <w:p w14:paraId="30357DD4">
      <w:pPr>
        <w:pStyle w:val="99"/>
        <w:spacing w:before="0" w:after="0" w:line="288" w:lineRule="auto"/>
        <w:ind w:left="36" w:firstLine="0"/>
        <w:contextualSpacing/>
        <w:rPr>
          <w:rFonts w:ascii="Times New Roman" w:hAnsi="Times New Roman" w:cs="Times New Roman"/>
          <w:color w:val="auto"/>
          <w:sz w:val="24"/>
          <w:szCs w:val="24"/>
        </w:rPr>
      </w:pPr>
    </w:p>
    <w:p w14:paraId="0F28F0DB">
      <w:pPr>
        <w:pStyle w:val="101"/>
        <w:spacing w:before="0" w:line="288" w:lineRule="auto"/>
        <w:ind w:left="22" w:firstLine="0"/>
        <w:contextualSpacing/>
        <w:rPr>
          <w:rFonts w:ascii="Times New Roman" w:hAnsi="Times New Roman" w:cs="Times New Roman"/>
          <w:sz w:val="24"/>
          <w:szCs w:val="24"/>
        </w:rPr>
      </w:pPr>
      <w:r>
        <w:rPr>
          <w:rFonts w:ascii="Times New Roman" w:hAnsi="Times New Roman" w:cs="Times New Roman"/>
          <w:sz w:val="24"/>
          <w:szCs w:val="24"/>
        </w:rPr>
        <w:t xml:space="preserve">CLÁUSULA DÉCIMA SÉTIMA – FORO </w:t>
      </w:r>
    </w:p>
    <w:p w14:paraId="30ACB5EF">
      <w:pPr>
        <w:spacing w:line="288" w:lineRule="auto"/>
        <w:contextualSpacing/>
        <w:rPr>
          <w:sz w:val="24"/>
          <w:szCs w:val="24"/>
        </w:rPr>
      </w:pPr>
    </w:p>
    <w:p w14:paraId="6CCC6A63">
      <w:pPr>
        <w:spacing w:line="288" w:lineRule="auto"/>
        <w:contextualSpacing/>
        <w:jc w:val="both"/>
        <w:rPr>
          <w:sz w:val="24"/>
          <w:szCs w:val="24"/>
        </w:rPr>
      </w:pPr>
      <w:r>
        <w:rPr>
          <w:sz w:val="24"/>
          <w:szCs w:val="24"/>
        </w:rPr>
        <w:t xml:space="preserve">17.1 Fica eleito o Foro da Cidade de Valença RJ, para dirimir qualquer litígio decorrente do presente Contrato que não possa ser resolvido por meio amigável, com expressa renúncia a qualquer outro, por mais privilegiado que seja. </w:t>
      </w:r>
    </w:p>
    <w:p w14:paraId="791A4CA0">
      <w:pPr>
        <w:spacing w:line="288" w:lineRule="auto"/>
        <w:contextualSpacing/>
        <w:jc w:val="both"/>
        <w:rPr>
          <w:sz w:val="24"/>
          <w:szCs w:val="24"/>
        </w:rPr>
      </w:pPr>
    </w:p>
    <w:p w14:paraId="00FA8F4A">
      <w:pPr>
        <w:spacing w:line="288" w:lineRule="auto"/>
        <w:contextualSpacing/>
        <w:jc w:val="both"/>
        <w:rPr>
          <w:sz w:val="24"/>
          <w:szCs w:val="24"/>
        </w:rPr>
      </w:pPr>
      <w:r>
        <w:rPr>
          <w:sz w:val="24"/>
          <w:szCs w:val="24"/>
        </w:rPr>
        <w:t>E, por estarem assim acordes em todas as condições e cláusulas estabelecidas neste Contrato, firmam as partes o presente instrumento, depois de achado conforme, em presença das testemunhas abaixo firmadas.</w:t>
      </w:r>
    </w:p>
    <w:p w14:paraId="2757B26C">
      <w:pPr>
        <w:pStyle w:val="99"/>
        <w:spacing w:before="0" w:after="0" w:line="288" w:lineRule="auto"/>
        <w:ind w:left="0" w:firstLine="567"/>
        <w:contextualSpacing/>
        <w:rPr>
          <w:rFonts w:ascii="Times New Roman" w:hAnsi="Times New Roman" w:cs="Times New Roman"/>
          <w:i/>
          <w:iCs/>
          <w:color w:val="FF0000"/>
          <w:sz w:val="24"/>
          <w:szCs w:val="24"/>
        </w:rPr>
      </w:pPr>
    </w:p>
    <w:p w14:paraId="6A6496F9">
      <w:pPr>
        <w:pStyle w:val="99"/>
        <w:spacing w:before="0" w:after="0" w:line="288" w:lineRule="auto"/>
        <w:ind w:left="0" w:firstLine="567"/>
        <w:contextualSpacing/>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Valença, xx de xxxxxxxxx de 2025.</w:t>
      </w:r>
    </w:p>
    <w:p w14:paraId="3000CD93">
      <w:pPr>
        <w:spacing w:line="288" w:lineRule="auto"/>
        <w:ind w:firstLine="567"/>
        <w:contextualSpacing/>
        <w:jc w:val="center"/>
        <w:rPr>
          <w:bCs/>
          <w:sz w:val="24"/>
          <w:szCs w:val="24"/>
        </w:rPr>
      </w:pPr>
    </w:p>
    <w:p w14:paraId="29DB4CFB">
      <w:pPr>
        <w:spacing w:line="288" w:lineRule="auto"/>
        <w:ind w:firstLine="567"/>
        <w:contextualSpacing/>
        <w:jc w:val="center"/>
        <w:rPr>
          <w:bCs/>
          <w:sz w:val="24"/>
          <w:szCs w:val="24"/>
        </w:rPr>
      </w:pPr>
      <w:r>
        <w:rPr>
          <w:bCs/>
          <w:sz w:val="24"/>
          <w:szCs w:val="24"/>
        </w:rPr>
        <w:t xml:space="preserve"> </w:t>
      </w:r>
    </w:p>
    <w:p w14:paraId="5D250516">
      <w:pPr>
        <w:spacing w:line="288" w:lineRule="auto"/>
        <w:ind w:firstLine="567"/>
        <w:contextualSpacing/>
        <w:jc w:val="center"/>
        <w:rPr>
          <w:bCs/>
          <w:sz w:val="24"/>
          <w:szCs w:val="24"/>
        </w:rPr>
      </w:pPr>
      <w:r>
        <w:rPr>
          <w:bCs/>
          <w:sz w:val="24"/>
          <w:szCs w:val="24"/>
        </w:rPr>
        <w:t>_________________________</w:t>
      </w:r>
    </w:p>
    <w:p w14:paraId="51FE2511">
      <w:pPr>
        <w:spacing w:line="288" w:lineRule="auto"/>
        <w:ind w:firstLine="567"/>
        <w:contextualSpacing/>
        <w:jc w:val="center"/>
        <w:rPr>
          <w:sz w:val="24"/>
          <w:szCs w:val="24"/>
        </w:rPr>
      </w:pPr>
      <w:r>
        <w:rPr>
          <w:sz w:val="24"/>
          <w:szCs w:val="24"/>
        </w:rPr>
        <w:t>XXXXXXX</w:t>
      </w:r>
    </w:p>
    <w:p w14:paraId="074CFAED">
      <w:pPr>
        <w:spacing w:line="288" w:lineRule="auto"/>
        <w:ind w:firstLine="567"/>
        <w:contextualSpacing/>
        <w:jc w:val="center"/>
        <w:rPr>
          <w:bCs/>
          <w:sz w:val="24"/>
          <w:szCs w:val="24"/>
        </w:rPr>
      </w:pPr>
      <w:r>
        <w:rPr>
          <w:sz w:val="24"/>
          <w:szCs w:val="24"/>
        </w:rPr>
        <w:t>Secretário Municipal de Saúde</w:t>
      </w:r>
    </w:p>
    <w:p w14:paraId="2F430514">
      <w:pPr>
        <w:spacing w:line="288" w:lineRule="auto"/>
        <w:ind w:firstLine="567"/>
        <w:contextualSpacing/>
        <w:jc w:val="center"/>
        <w:rPr>
          <w:bCs/>
          <w:sz w:val="24"/>
          <w:szCs w:val="24"/>
        </w:rPr>
      </w:pPr>
      <w:r>
        <w:rPr>
          <w:bCs/>
          <w:sz w:val="24"/>
          <w:szCs w:val="24"/>
        </w:rPr>
        <w:t>MUNICÍPIO DE VALENÇA</w:t>
      </w:r>
    </w:p>
    <w:p w14:paraId="3926A5D6">
      <w:pPr>
        <w:spacing w:line="288" w:lineRule="auto"/>
        <w:ind w:firstLine="567"/>
        <w:contextualSpacing/>
        <w:jc w:val="center"/>
        <w:rPr>
          <w:bCs/>
          <w:sz w:val="24"/>
          <w:szCs w:val="24"/>
        </w:rPr>
      </w:pPr>
    </w:p>
    <w:p w14:paraId="1AB4C6DB">
      <w:pPr>
        <w:spacing w:line="288" w:lineRule="auto"/>
        <w:ind w:firstLine="567"/>
        <w:contextualSpacing/>
        <w:jc w:val="center"/>
        <w:rPr>
          <w:bCs/>
          <w:sz w:val="24"/>
          <w:szCs w:val="24"/>
        </w:rPr>
      </w:pPr>
    </w:p>
    <w:p w14:paraId="243D774F">
      <w:pPr>
        <w:spacing w:line="288" w:lineRule="auto"/>
        <w:ind w:firstLine="567"/>
        <w:contextualSpacing/>
        <w:jc w:val="center"/>
        <w:rPr>
          <w:sz w:val="24"/>
          <w:szCs w:val="24"/>
        </w:rPr>
      </w:pPr>
      <w:r>
        <w:rPr>
          <w:sz w:val="24"/>
          <w:szCs w:val="24"/>
        </w:rPr>
        <w:t>_________________________</w:t>
      </w:r>
    </w:p>
    <w:p w14:paraId="6516CA91">
      <w:pPr>
        <w:spacing w:line="288" w:lineRule="auto"/>
        <w:ind w:firstLine="567"/>
        <w:contextualSpacing/>
        <w:jc w:val="center"/>
        <w:rPr>
          <w:sz w:val="24"/>
          <w:szCs w:val="24"/>
        </w:rPr>
      </w:pPr>
      <w:r>
        <w:rPr>
          <w:bCs/>
          <w:sz w:val="24"/>
          <w:szCs w:val="24"/>
        </w:rPr>
        <w:t>Representante</w:t>
      </w:r>
      <w:r>
        <w:rPr>
          <w:sz w:val="24"/>
          <w:szCs w:val="24"/>
        </w:rPr>
        <w:t xml:space="preserve"> legal do CONTRATADO</w:t>
      </w:r>
    </w:p>
    <w:p w14:paraId="366617B5">
      <w:pPr>
        <w:spacing w:line="288" w:lineRule="auto"/>
        <w:contextualSpacing/>
        <w:jc w:val="both"/>
        <w:rPr>
          <w:sz w:val="24"/>
          <w:szCs w:val="24"/>
        </w:rPr>
      </w:pPr>
      <w:r>
        <w:rPr>
          <w:sz w:val="24"/>
          <w:szCs w:val="24"/>
        </w:rPr>
        <w:t>TESTEMUNHAS:</w:t>
      </w:r>
    </w:p>
    <w:p w14:paraId="05A85E56">
      <w:pPr>
        <w:spacing w:line="288" w:lineRule="auto"/>
        <w:contextualSpacing/>
        <w:rPr>
          <w:sz w:val="24"/>
          <w:szCs w:val="24"/>
        </w:rPr>
      </w:pPr>
      <w:r>
        <w:rPr>
          <w:sz w:val="24"/>
          <w:szCs w:val="24"/>
        </w:rPr>
        <w:t>1-</w:t>
      </w:r>
    </w:p>
    <w:p w14:paraId="2737CC14">
      <w:pPr>
        <w:spacing w:line="288" w:lineRule="auto"/>
        <w:contextualSpacing/>
        <w:rPr>
          <w:sz w:val="24"/>
          <w:szCs w:val="24"/>
        </w:rPr>
      </w:pPr>
      <w:r>
        <w:rPr>
          <w:sz w:val="24"/>
          <w:szCs w:val="24"/>
        </w:rPr>
        <w:t xml:space="preserve">2- </w:t>
      </w:r>
    </w:p>
    <w:p w14:paraId="229CF602">
      <w:pPr>
        <w:spacing w:line="288" w:lineRule="auto"/>
        <w:contextualSpacing/>
        <w:rPr>
          <w:sz w:val="24"/>
          <w:szCs w:val="24"/>
        </w:rPr>
      </w:pPr>
    </w:p>
    <w:p w14:paraId="7A965CED">
      <w:pPr>
        <w:spacing w:line="288" w:lineRule="auto"/>
        <w:contextualSpacing/>
        <w:rPr>
          <w:sz w:val="24"/>
          <w:szCs w:val="24"/>
        </w:rPr>
      </w:pPr>
    </w:p>
    <w:p w14:paraId="73191FA3">
      <w:pPr>
        <w:spacing w:line="288" w:lineRule="auto"/>
        <w:contextualSpacing/>
        <w:rPr>
          <w:sz w:val="24"/>
          <w:szCs w:val="24"/>
        </w:rPr>
      </w:pPr>
    </w:p>
    <w:p w14:paraId="25DFA3D5">
      <w:pPr>
        <w:ind w:firstLine="142"/>
        <w:rPr>
          <w:sz w:val="24"/>
          <w:szCs w:val="24"/>
        </w:rPr>
      </w:pPr>
    </w:p>
    <w:p w14:paraId="0F9CE059">
      <w:pPr>
        <w:ind w:firstLine="142"/>
        <w:jc w:val="center"/>
        <w:rPr>
          <w:b/>
          <w:bCs/>
          <w:sz w:val="24"/>
          <w:szCs w:val="24"/>
          <w:u w:val="single"/>
        </w:rPr>
      </w:pPr>
      <w:r>
        <w:rPr>
          <w:b/>
          <w:bCs/>
          <w:sz w:val="24"/>
          <w:szCs w:val="24"/>
          <w:highlight w:val="yellow"/>
          <w:u w:val="single"/>
        </w:rPr>
        <w:t>ANEXO VIII</w:t>
      </w:r>
    </w:p>
    <w:p w14:paraId="7D5A5132">
      <w:pPr>
        <w:ind w:firstLine="142"/>
        <w:jc w:val="center"/>
        <w:rPr>
          <w:b/>
          <w:bCs/>
          <w:sz w:val="24"/>
          <w:szCs w:val="24"/>
        </w:rPr>
      </w:pPr>
    </w:p>
    <w:p w14:paraId="10577221">
      <w:pPr>
        <w:pStyle w:val="20"/>
        <w:spacing w:line="360" w:lineRule="auto"/>
        <w:ind w:right="-285" w:firstLine="142"/>
        <w:jc w:val="center"/>
        <w:rPr>
          <w:rFonts w:ascii="Times New Roman" w:hAnsi="Times New Roman" w:cs="Times New Roman"/>
          <w:b/>
        </w:rPr>
      </w:pPr>
      <w:r>
        <w:rPr>
          <w:rFonts w:ascii="Times New Roman" w:hAnsi="Times New Roman" w:cs="Times New Roman"/>
          <w:b/>
        </w:rPr>
        <w:t>DECLARAÇÃO DE RESPONSABILIZAÇÃO CIVIL E ADMINISTRATIVA</w:t>
      </w:r>
    </w:p>
    <w:p w14:paraId="05C20D85">
      <w:pPr>
        <w:pStyle w:val="20"/>
        <w:spacing w:line="360" w:lineRule="auto"/>
        <w:ind w:right="-285" w:firstLine="142"/>
        <w:jc w:val="center"/>
        <w:rPr>
          <w:rFonts w:ascii="Times New Roman" w:hAnsi="Times New Roman" w:cs="Times New Roman"/>
        </w:rPr>
      </w:pPr>
    </w:p>
    <w:p w14:paraId="008D5D45">
      <w:pPr>
        <w:pStyle w:val="20"/>
        <w:spacing w:line="360" w:lineRule="auto"/>
        <w:ind w:right="-285" w:firstLine="142"/>
        <w:jc w:val="both"/>
        <w:rPr>
          <w:rFonts w:ascii="Times New Roman" w:hAnsi="Times New Roman" w:cs="Times New Roman"/>
        </w:rPr>
      </w:pPr>
      <w:r>
        <w:rPr>
          <w:rFonts w:ascii="Times New Roman" w:hAnsi="Times New Roman"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4A3FCB26">
      <w:pPr>
        <w:pStyle w:val="20"/>
        <w:spacing w:line="360" w:lineRule="auto"/>
        <w:ind w:right="-285" w:firstLine="142"/>
        <w:jc w:val="center"/>
        <w:rPr>
          <w:rFonts w:ascii="Times New Roman" w:hAnsi="Times New Roman" w:cs="Times New Roman"/>
        </w:rPr>
      </w:pPr>
    </w:p>
    <w:p w14:paraId="0C615BA8">
      <w:pPr>
        <w:pStyle w:val="20"/>
        <w:spacing w:line="360" w:lineRule="auto"/>
        <w:ind w:right="-285" w:firstLine="142"/>
        <w:jc w:val="both"/>
        <w:rPr>
          <w:rFonts w:ascii="Times New Roman" w:hAnsi="Times New Roman" w:cs="Times New Roman"/>
        </w:rPr>
      </w:pPr>
      <w:r>
        <w:rPr>
          <w:rFonts w:ascii="Times New Roman" w:hAnsi="Times New Roman"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E05FBB9">
      <w:pPr>
        <w:pStyle w:val="20"/>
        <w:spacing w:line="360" w:lineRule="auto"/>
        <w:ind w:right="-285" w:firstLine="142"/>
        <w:jc w:val="center"/>
        <w:rPr>
          <w:rFonts w:ascii="Times New Roman" w:hAnsi="Times New Roman" w:cs="Times New Roman"/>
        </w:rPr>
      </w:pPr>
    </w:p>
    <w:p w14:paraId="1696AAD2">
      <w:pPr>
        <w:pStyle w:val="20"/>
        <w:spacing w:line="360" w:lineRule="auto"/>
        <w:ind w:right="-285" w:firstLine="142"/>
        <w:jc w:val="both"/>
        <w:rPr>
          <w:rFonts w:ascii="Times New Roman" w:hAnsi="Times New Roman" w:cs="Times New Roman"/>
        </w:rPr>
      </w:pPr>
      <w:r>
        <w:rPr>
          <w:rFonts w:ascii="Times New Roman" w:hAnsi="Times New Roman" w:cs="Times New Roman"/>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2D240020">
      <w:pPr>
        <w:pStyle w:val="20"/>
        <w:spacing w:line="360" w:lineRule="auto"/>
        <w:ind w:right="-285" w:firstLine="142"/>
        <w:jc w:val="center"/>
        <w:rPr>
          <w:rFonts w:ascii="Times New Roman" w:hAnsi="Times New Roman" w:cs="Times New Roman"/>
        </w:rPr>
      </w:pPr>
    </w:p>
    <w:p w14:paraId="59258A30">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103346FB">
      <w:pPr>
        <w:pStyle w:val="20"/>
        <w:spacing w:line="360" w:lineRule="auto"/>
        <w:ind w:right="-285" w:firstLine="142"/>
        <w:jc w:val="center"/>
        <w:rPr>
          <w:rFonts w:ascii="Times New Roman" w:hAnsi="Times New Roman" w:cs="Times New Roman"/>
        </w:rPr>
      </w:pPr>
    </w:p>
    <w:p w14:paraId="1A36C21C">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1C1651E">
      <w:pPr>
        <w:pStyle w:val="20"/>
        <w:ind w:right="-284" w:firstLine="142"/>
        <w:jc w:val="center"/>
        <w:rPr>
          <w:rFonts w:ascii="Times New Roman" w:hAnsi="Times New Roman" w:cs="Times New Roman"/>
        </w:rPr>
      </w:pPr>
      <w:r>
        <w:rPr>
          <w:rFonts w:ascii="Times New Roman" w:hAnsi="Times New Roman" w:cs="Times New Roman"/>
        </w:rPr>
        <w:t>AGENTE PÚBLICO</w:t>
      </w:r>
    </w:p>
    <w:p w14:paraId="33510B89">
      <w:pPr>
        <w:pStyle w:val="20"/>
        <w:ind w:right="-284" w:firstLine="142"/>
        <w:jc w:val="center"/>
        <w:rPr>
          <w:rFonts w:ascii="Times New Roman" w:hAnsi="Times New Roman" w:cs="Times New Roman"/>
        </w:rPr>
      </w:pPr>
      <w:r>
        <w:rPr>
          <w:rFonts w:ascii="Times New Roman" w:hAnsi="Times New Roman" w:cs="Times New Roman"/>
        </w:rPr>
        <w:t>(Nome, cargo, matrícula e lotação)</w:t>
      </w:r>
    </w:p>
    <w:p w14:paraId="4734663A">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4042A8A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84C9928">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3BC98F69">
      <w:pPr>
        <w:pStyle w:val="20"/>
        <w:spacing w:line="360" w:lineRule="auto"/>
        <w:ind w:firstLine="142"/>
        <w:jc w:val="center"/>
        <w:rPr>
          <w:rFonts w:ascii="Times New Roman" w:hAnsi="Times New Roman" w:cs="Times New Roman"/>
        </w:rPr>
      </w:pPr>
    </w:p>
    <w:p w14:paraId="3E8F8311">
      <w:pPr>
        <w:pStyle w:val="20"/>
        <w:spacing w:line="360" w:lineRule="auto"/>
        <w:ind w:right="-285" w:firstLine="142"/>
        <w:jc w:val="center"/>
        <w:rPr>
          <w:rFonts w:ascii="Times New Roman" w:hAnsi="Times New Roman" w:cs="Times New Roman"/>
          <w:b/>
          <w:color w:val="000000" w:themeColor="text1"/>
          <w14:textFill>
            <w14:solidFill>
              <w14:schemeClr w14:val="tx1"/>
            </w14:solidFill>
          </w14:textFill>
        </w:rPr>
      </w:pPr>
      <w:r>
        <w:rPr>
          <w:rFonts w:ascii="Times New Roman" w:hAnsi="Times New Roman" w:cs="Times New Roman"/>
          <w:b/>
          <w:color w:val="000000" w:themeColor="text1"/>
          <w14:textFill>
            <w14:solidFill>
              <w14:schemeClr w14:val="tx1"/>
            </w14:solidFill>
          </w14:textFill>
        </w:rPr>
        <w:t>DECLARAÇÃO DE INEXISTÊNCIA DE NEPOTISMO</w:t>
      </w:r>
    </w:p>
    <w:p w14:paraId="22A3E770">
      <w:pPr>
        <w:pStyle w:val="20"/>
        <w:spacing w:line="360" w:lineRule="auto"/>
        <w:ind w:right="-285" w:firstLine="142"/>
        <w:jc w:val="center"/>
        <w:rPr>
          <w:rFonts w:ascii="Times New Roman" w:hAnsi="Times New Roman" w:cs="Times New Roman"/>
          <w:color w:val="000000" w:themeColor="text1"/>
          <w14:textFill>
            <w14:solidFill>
              <w14:schemeClr w14:val="tx1"/>
            </w14:solidFill>
          </w14:textFill>
        </w:rPr>
      </w:pPr>
    </w:p>
    <w:p w14:paraId="04F2796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5270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257E1249">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09030B1">
      <w:pPr>
        <w:pStyle w:val="20"/>
        <w:spacing w:line="360" w:lineRule="auto"/>
        <w:ind w:right="-285" w:firstLine="142"/>
        <w:jc w:val="center"/>
        <w:rPr>
          <w:rFonts w:ascii="Times New Roman" w:hAnsi="Times New Roman" w:cs="Times New Roman"/>
        </w:rPr>
      </w:pPr>
      <w:r>
        <w:rPr>
          <w:rFonts w:ascii="Times New Roman" w:hAnsi="Times New Roman" w:cs="Times New Roman"/>
        </w:rPr>
        <w:t>Valença, _____ de _____________ de _____.</w:t>
      </w:r>
    </w:p>
    <w:p w14:paraId="66A8DCA7">
      <w:pPr>
        <w:pStyle w:val="20"/>
        <w:spacing w:line="360" w:lineRule="auto"/>
        <w:ind w:right="-285" w:firstLine="142"/>
        <w:jc w:val="center"/>
        <w:rPr>
          <w:rFonts w:ascii="Times New Roman" w:hAnsi="Times New Roman" w:cs="Times New Roman"/>
        </w:rPr>
      </w:pPr>
    </w:p>
    <w:p w14:paraId="7725D14D">
      <w:pPr>
        <w:pStyle w:val="20"/>
        <w:spacing w:line="360" w:lineRule="auto"/>
        <w:ind w:right="-285" w:firstLine="142"/>
        <w:jc w:val="center"/>
        <w:rPr>
          <w:rFonts w:ascii="Times New Roman" w:hAnsi="Times New Roman" w:cs="Times New Roman"/>
        </w:rPr>
      </w:pPr>
    </w:p>
    <w:p w14:paraId="00DB60A0">
      <w:pPr>
        <w:pStyle w:val="20"/>
        <w:spacing w:line="360" w:lineRule="auto"/>
        <w:ind w:right="-285" w:firstLine="142"/>
        <w:jc w:val="center"/>
        <w:rPr>
          <w:rFonts w:ascii="Times New Roman" w:hAnsi="Times New Roman" w:cs="Times New Roman"/>
        </w:rPr>
      </w:pPr>
    </w:p>
    <w:p w14:paraId="7B169218">
      <w:pPr>
        <w:pStyle w:val="20"/>
        <w:spacing w:line="360" w:lineRule="auto"/>
        <w:ind w:right="-285" w:firstLine="142"/>
        <w:jc w:val="center"/>
        <w:rPr>
          <w:rFonts w:ascii="Times New Roman" w:hAnsi="Times New Roman" w:cs="Times New Roman"/>
        </w:rPr>
      </w:pPr>
      <w:r>
        <w:rPr>
          <w:rFonts w:ascii="Times New Roman" w:hAnsi="Times New Roman" w:cs="Times New Roman"/>
        </w:rPr>
        <w:t>___________________________________________________</w:t>
      </w:r>
    </w:p>
    <w:p w14:paraId="2BEF96DC">
      <w:pPr>
        <w:pStyle w:val="20"/>
        <w:ind w:right="-284" w:firstLine="142"/>
        <w:jc w:val="center"/>
        <w:rPr>
          <w:rFonts w:ascii="Times New Roman" w:hAnsi="Times New Roman" w:cs="Times New Roman"/>
        </w:rPr>
      </w:pPr>
      <w:r>
        <w:rPr>
          <w:rFonts w:ascii="Times New Roman" w:hAnsi="Times New Roman" w:cs="Times New Roman"/>
        </w:rPr>
        <w:t>CONTRATADA</w:t>
      </w:r>
    </w:p>
    <w:p w14:paraId="217B49C5">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11C9C7DC">
      <w:pPr>
        <w:pStyle w:val="20"/>
        <w:ind w:right="-284" w:firstLine="142"/>
        <w:jc w:val="center"/>
        <w:rPr>
          <w:rFonts w:ascii="Times New Roman" w:hAnsi="Times New Roman" w:cs="Times New Roman"/>
        </w:rPr>
      </w:pPr>
      <w:r>
        <w:rPr>
          <w:rFonts w:ascii="Times New Roman" w:hAnsi="Times New Roman" w:cs="Times New Roman"/>
        </w:rPr>
        <w:t xml:space="preserve">(Nome, cargo e carimbo da empresa) </w:t>
      </w:r>
    </w:p>
    <w:p w14:paraId="05050CBB">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DC6123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2B49461">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04AD1805">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F7F35E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E44DB8E">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42A7A63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34A128DC">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25A94A54">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6A953A27">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79E4C880">
      <w:pPr>
        <w:pStyle w:val="20"/>
        <w:spacing w:line="360" w:lineRule="auto"/>
        <w:ind w:right="-285" w:firstLine="142"/>
        <w:jc w:val="both"/>
        <w:rPr>
          <w:rFonts w:ascii="Times New Roman" w:hAnsi="Times New Roman" w:cs="Times New Roman"/>
          <w:color w:val="000000" w:themeColor="text1"/>
          <w14:textFill>
            <w14:solidFill>
              <w14:schemeClr w14:val="tx1"/>
            </w14:solidFill>
          </w14:textFill>
        </w:rPr>
      </w:pPr>
    </w:p>
    <w:p w14:paraId="58ECCAA3">
      <w:pPr>
        <w:pStyle w:val="20"/>
        <w:spacing w:line="360" w:lineRule="auto"/>
        <w:ind w:firstLine="142"/>
        <w:jc w:val="both"/>
        <w:rPr>
          <w:rFonts w:ascii="Times New Roman" w:hAnsi="Times New Roman" w:cs="Times New Roman"/>
          <w:color w:val="000000" w:themeColor="text1"/>
          <w14:textFill>
            <w14:solidFill>
              <w14:schemeClr w14:val="tx1"/>
            </w14:solidFill>
          </w14:textFill>
        </w:rPr>
      </w:pPr>
    </w:p>
    <w:p w14:paraId="0F26BE09">
      <w:pPr>
        <w:pStyle w:val="20"/>
        <w:ind w:right="-284" w:firstLine="142"/>
        <w:jc w:val="center"/>
        <w:rPr>
          <w:rFonts w:ascii="Times New Roman" w:hAnsi="Times New Roman" w:cs="Times New Roman"/>
          <w:b/>
          <w:color w:val="000000"/>
        </w:rPr>
      </w:pPr>
    </w:p>
    <w:p w14:paraId="5C552B8C">
      <w:pPr>
        <w:pStyle w:val="20"/>
        <w:ind w:right="-284" w:firstLine="142"/>
        <w:jc w:val="center"/>
        <w:rPr>
          <w:rFonts w:ascii="Times New Roman" w:hAnsi="Times New Roman" w:eastAsia="Times New Roman" w:cs="Times New Roman"/>
          <w:b/>
        </w:rPr>
      </w:pPr>
      <w:r>
        <w:rPr>
          <w:rFonts w:ascii="Times New Roman" w:hAnsi="Times New Roman" w:cs="Times New Roman"/>
          <w:b/>
          <w:color w:val="000000"/>
        </w:rPr>
        <w:t xml:space="preserve">DECLARAÇÃO  REF. </w:t>
      </w:r>
      <w:r>
        <w:rPr>
          <w:rFonts w:ascii="Times New Roman" w:hAnsi="Times New Roman" w:eastAsia="Times New Roman" w:cs="Times New Roman"/>
          <w:b/>
        </w:rPr>
        <w:t>ARTIGO  9º, § 1º, DA LEI FEDERAL Nº 14.133/2021</w:t>
      </w:r>
    </w:p>
    <w:p w14:paraId="4A747040">
      <w:pPr>
        <w:spacing w:line="360" w:lineRule="auto"/>
        <w:ind w:right="-285" w:firstLine="142"/>
        <w:jc w:val="both"/>
        <w:rPr>
          <w:sz w:val="24"/>
          <w:szCs w:val="24"/>
        </w:rPr>
      </w:pPr>
    </w:p>
    <w:p w14:paraId="700331A5">
      <w:pPr>
        <w:spacing w:line="360" w:lineRule="auto"/>
        <w:ind w:right="-285" w:firstLine="142"/>
        <w:jc w:val="both"/>
        <w:rPr>
          <w:sz w:val="24"/>
          <w:szCs w:val="24"/>
        </w:rPr>
      </w:pPr>
      <w:r>
        <w:rPr>
          <w:sz w:val="24"/>
          <w:szCs w:val="24"/>
        </w:rPr>
        <w:t>(em papel timbrado da empresa)</w:t>
      </w:r>
    </w:p>
    <w:p w14:paraId="45948472">
      <w:pPr>
        <w:spacing w:line="360" w:lineRule="auto"/>
        <w:ind w:right="-285" w:firstLine="142"/>
        <w:jc w:val="both"/>
        <w:rPr>
          <w:sz w:val="24"/>
          <w:szCs w:val="24"/>
        </w:rPr>
      </w:pPr>
    </w:p>
    <w:p w14:paraId="6DA9ECD7">
      <w:pPr>
        <w:spacing w:line="360" w:lineRule="auto"/>
        <w:ind w:right="-285" w:firstLine="142"/>
        <w:jc w:val="both"/>
        <w:rPr>
          <w:sz w:val="24"/>
          <w:szCs w:val="24"/>
        </w:rPr>
      </w:pPr>
      <w:r>
        <w:rPr>
          <w:i/>
          <w:sz w:val="24"/>
          <w:szCs w:val="24"/>
        </w:rPr>
        <w:t>[denominação/razão social da sociedade empresarial]</w:t>
      </w:r>
    </w:p>
    <w:p w14:paraId="2AEFF5BC">
      <w:pPr>
        <w:tabs>
          <w:tab w:val="left" w:pos="5980"/>
        </w:tabs>
        <w:spacing w:line="360" w:lineRule="auto"/>
        <w:ind w:right="-285" w:firstLine="142"/>
        <w:jc w:val="both"/>
        <w:rPr>
          <w:sz w:val="24"/>
          <w:szCs w:val="24"/>
        </w:rPr>
      </w:pPr>
      <w:r>
        <w:rPr>
          <w:sz w:val="24"/>
          <w:szCs w:val="24"/>
        </w:rPr>
        <w:t>Cadastro Nacional de Pessoas Jurídicas – CNPJ n°____________.</w:t>
      </w:r>
    </w:p>
    <w:p w14:paraId="52B2EA10">
      <w:pPr>
        <w:spacing w:line="360" w:lineRule="auto"/>
        <w:ind w:right="-285" w:firstLine="142"/>
        <w:jc w:val="both"/>
        <w:rPr>
          <w:i/>
          <w:sz w:val="24"/>
          <w:szCs w:val="24"/>
        </w:rPr>
      </w:pPr>
      <w:r>
        <w:rPr>
          <w:i/>
          <w:sz w:val="24"/>
          <w:szCs w:val="24"/>
        </w:rPr>
        <w:t>[endereço da sociedade empresarial]</w:t>
      </w:r>
    </w:p>
    <w:p w14:paraId="34CA4D91">
      <w:pPr>
        <w:spacing w:line="360" w:lineRule="auto"/>
        <w:ind w:right="-285" w:firstLine="142"/>
        <w:jc w:val="both"/>
        <w:rPr>
          <w:sz w:val="24"/>
          <w:szCs w:val="24"/>
        </w:rPr>
      </w:pPr>
    </w:p>
    <w:p w14:paraId="500E80C7">
      <w:pPr>
        <w:spacing w:line="360" w:lineRule="auto"/>
        <w:ind w:right="-285" w:firstLine="142"/>
        <w:jc w:val="both"/>
        <w:rPr>
          <w:sz w:val="24"/>
          <w:szCs w:val="24"/>
        </w:rPr>
      </w:pPr>
      <w:r>
        <w:rPr>
          <w:sz w:val="24"/>
          <w:szCs w:val="24"/>
        </w:rPr>
        <w:t>DECLARAMOS, sob as penalidades cabíveis, que não participam dos nossos quadros funcionais, profissional que tenha ocupado cargo integrante dos 1º e 2º escalões da Administração Direta ou Indireta do Município, nos últimos 12 (doze) meses.</w:t>
      </w:r>
    </w:p>
    <w:p w14:paraId="576F289C">
      <w:pPr>
        <w:spacing w:line="360" w:lineRule="auto"/>
        <w:ind w:right="-285" w:firstLine="142"/>
        <w:jc w:val="both"/>
        <w:rPr>
          <w:sz w:val="24"/>
          <w:szCs w:val="24"/>
        </w:rPr>
      </w:pPr>
      <w:r>
        <w:rPr>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5E75CC1A">
      <w:pPr>
        <w:spacing w:line="360" w:lineRule="auto"/>
        <w:ind w:right="-285" w:firstLine="142"/>
        <w:jc w:val="both"/>
        <w:rPr>
          <w:sz w:val="24"/>
          <w:szCs w:val="24"/>
        </w:rPr>
      </w:pPr>
      <w:r>
        <w:rPr>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823DCB5">
      <w:pPr>
        <w:spacing w:line="360" w:lineRule="auto"/>
        <w:ind w:right="-285" w:firstLine="142"/>
        <w:jc w:val="center"/>
        <w:rPr>
          <w:sz w:val="24"/>
          <w:szCs w:val="24"/>
        </w:rPr>
      </w:pPr>
      <w:r>
        <w:rPr>
          <w:sz w:val="24"/>
          <w:szCs w:val="24"/>
        </w:rPr>
        <w:t>Valença, _____ de ___________________de _______.</w:t>
      </w:r>
    </w:p>
    <w:p w14:paraId="42D6EEBC">
      <w:pPr>
        <w:spacing w:line="360" w:lineRule="auto"/>
        <w:ind w:right="-285" w:firstLine="142"/>
        <w:jc w:val="center"/>
        <w:rPr>
          <w:sz w:val="24"/>
          <w:szCs w:val="24"/>
        </w:rPr>
      </w:pPr>
      <w:r>
        <w:rPr>
          <w:sz w:val="24"/>
          <w:szCs w:val="24"/>
        </w:rPr>
        <w:t>_____________________________________________________</w:t>
      </w:r>
    </w:p>
    <w:p w14:paraId="4A917A1D">
      <w:pPr>
        <w:pStyle w:val="20"/>
        <w:ind w:right="-284" w:firstLine="142"/>
        <w:jc w:val="center"/>
        <w:rPr>
          <w:rFonts w:ascii="Times New Roman" w:hAnsi="Times New Roman" w:cs="Times New Roman"/>
        </w:rPr>
      </w:pPr>
      <w:r>
        <w:rPr>
          <w:rFonts w:ascii="Times New Roman" w:hAnsi="Times New Roman" w:cs="Times New Roman"/>
        </w:rPr>
        <w:t>CONTRATADA</w:t>
      </w:r>
    </w:p>
    <w:p w14:paraId="4A067FE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7664B04E">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0FCC8AD0">
      <w:pPr>
        <w:pStyle w:val="20"/>
        <w:ind w:right="-284" w:firstLine="142"/>
        <w:jc w:val="center"/>
        <w:rPr>
          <w:rFonts w:ascii="Times New Roman" w:hAnsi="Times New Roman" w:cs="Times New Roman"/>
          <w:b/>
        </w:rPr>
      </w:pPr>
    </w:p>
    <w:p w14:paraId="34F60563">
      <w:pPr>
        <w:pStyle w:val="20"/>
        <w:ind w:right="-284" w:firstLine="142"/>
        <w:jc w:val="center"/>
        <w:rPr>
          <w:rFonts w:ascii="Times New Roman" w:hAnsi="Times New Roman" w:cs="Times New Roman"/>
          <w:b/>
        </w:rPr>
      </w:pPr>
    </w:p>
    <w:p w14:paraId="5D3966CD">
      <w:pPr>
        <w:pStyle w:val="20"/>
        <w:ind w:right="-284" w:firstLine="142"/>
        <w:jc w:val="center"/>
        <w:rPr>
          <w:rFonts w:ascii="Times New Roman" w:hAnsi="Times New Roman" w:cs="Times New Roman"/>
          <w:b/>
        </w:rPr>
      </w:pPr>
    </w:p>
    <w:p w14:paraId="7E29BD61">
      <w:pPr>
        <w:pStyle w:val="20"/>
        <w:ind w:right="-284" w:firstLine="142"/>
        <w:jc w:val="center"/>
        <w:rPr>
          <w:rFonts w:ascii="Times New Roman" w:hAnsi="Times New Roman" w:cs="Times New Roman"/>
          <w:b/>
        </w:rPr>
      </w:pPr>
    </w:p>
    <w:p w14:paraId="22533C8F">
      <w:pPr>
        <w:pStyle w:val="20"/>
        <w:ind w:right="-284" w:firstLine="142"/>
        <w:jc w:val="center"/>
        <w:rPr>
          <w:rFonts w:ascii="Times New Roman" w:hAnsi="Times New Roman" w:cs="Times New Roman"/>
          <w:b/>
        </w:rPr>
      </w:pPr>
    </w:p>
    <w:p w14:paraId="6E46F969">
      <w:pPr>
        <w:pStyle w:val="20"/>
        <w:ind w:right="-284" w:firstLine="142"/>
        <w:jc w:val="center"/>
        <w:rPr>
          <w:rFonts w:ascii="Times New Roman" w:hAnsi="Times New Roman" w:cs="Times New Roman"/>
          <w:b/>
        </w:rPr>
      </w:pPr>
    </w:p>
    <w:p w14:paraId="33DB2B94">
      <w:pPr>
        <w:pStyle w:val="20"/>
        <w:ind w:right="-284" w:firstLine="142"/>
        <w:jc w:val="center"/>
        <w:rPr>
          <w:rFonts w:ascii="Times New Roman" w:hAnsi="Times New Roman" w:cs="Times New Roman"/>
          <w:b/>
        </w:rPr>
      </w:pPr>
    </w:p>
    <w:p w14:paraId="7A239F1C">
      <w:pPr>
        <w:pStyle w:val="20"/>
        <w:ind w:right="-284" w:firstLine="142"/>
        <w:jc w:val="center"/>
        <w:rPr>
          <w:rFonts w:ascii="Times New Roman" w:hAnsi="Times New Roman" w:cs="Times New Roman"/>
          <w:b/>
        </w:rPr>
      </w:pPr>
    </w:p>
    <w:p w14:paraId="439BE6EA">
      <w:pPr>
        <w:pStyle w:val="20"/>
        <w:ind w:right="-284" w:firstLine="142"/>
        <w:jc w:val="center"/>
        <w:rPr>
          <w:rFonts w:ascii="Times New Roman" w:hAnsi="Times New Roman" w:cs="Times New Roman"/>
          <w:b/>
        </w:rPr>
      </w:pPr>
    </w:p>
    <w:p w14:paraId="4EF66EA8">
      <w:pPr>
        <w:pStyle w:val="20"/>
        <w:ind w:right="-284" w:firstLine="142"/>
        <w:jc w:val="center"/>
        <w:rPr>
          <w:rFonts w:ascii="Times New Roman" w:hAnsi="Times New Roman" w:cs="Times New Roman"/>
          <w:b/>
        </w:rPr>
      </w:pPr>
    </w:p>
    <w:p w14:paraId="5F000017">
      <w:pPr>
        <w:pStyle w:val="20"/>
        <w:ind w:right="-284" w:firstLine="142"/>
        <w:jc w:val="center"/>
        <w:rPr>
          <w:rFonts w:ascii="Times New Roman" w:hAnsi="Times New Roman" w:cs="Times New Roman"/>
          <w:b/>
        </w:rPr>
      </w:pPr>
    </w:p>
    <w:p w14:paraId="1E106320">
      <w:pPr>
        <w:pStyle w:val="20"/>
        <w:ind w:right="-284" w:firstLine="142"/>
        <w:jc w:val="center"/>
        <w:rPr>
          <w:rFonts w:ascii="Times New Roman" w:hAnsi="Times New Roman" w:cs="Times New Roman"/>
          <w:b/>
        </w:rPr>
      </w:pPr>
    </w:p>
    <w:p w14:paraId="75B78442">
      <w:pPr>
        <w:pStyle w:val="20"/>
        <w:ind w:right="-284" w:firstLine="142"/>
        <w:jc w:val="center"/>
        <w:rPr>
          <w:rFonts w:ascii="Times New Roman" w:hAnsi="Times New Roman" w:cs="Times New Roman"/>
          <w:b/>
        </w:rPr>
      </w:pPr>
    </w:p>
    <w:p w14:paraId="1C59DCAD">
      <w:pPr>
        <w:pStyle w:val="20"/>
        <w:ind w:right="-284" w:firstLine="142"/>
        <w:jc w:val="center"/>
        <w:rPr>
          <w:rFonts w:ascii="Times New Roman" w:hAnsi="Times New Roman" w:cs="Times New Roman"/>
          <w:b/>
        </w:rPr>
      </w:pPr>
    </w:p>
    <w:p w14:paraId="3E73A6B3">
      <w:pPr>
        <w:pStyle w:val="20"/>
        <w:ind w:right="-284" w:firstLine="142"/>
        <w:jc w:val="center"/>
        <w:rPr>
          <w:rFonts w:ascii="Times New Roman" w:hAnsi="Times New Roman" w:cs="Times New Roman"/>
          <w:b/>
        </w:rPr>
      </w:pPr>
      <w:r>
        <w:rPr>
          <w:rFonts w:ascii="Times New Roman" w:hAnsi="Times New Roman" w:cs="Times New Roman"/>
          <w:b/>
        </w:rPr>
        <w:t>DECLARAÇÃO REF. AO ARTIGO 68, DA LEI FEDERAL Nº 14.133/2021</w:t>
      </w:r>
    </w:p>
    <w:p w14:paraId="75CEF04C">
      <w:pPr>
        <w:pStyle w:val="70"/>
        <w:rPr>
          <w:rFonts w:ascii="Times New Roman" w:hAnsi="Times New Roman" w:cs="Times New Roman"/>
        </w:rPr>
      </w:pPr>
    </w:p>
    <w:p w14:paraId="1EE59A8F">
      <w:pPr>
        <w:pStyle w:val="70"/>
        <w:rPr>
          <w:rFonts w:ascii="Times New Roman" w:hAnsi="Times New Roman" w:cs="Times New Roman"/>
        </w:rPr>
      </w:pPr>
      <w:r>
        <w:rPr>
          <w:rFonts w:ascii="Times New Roman" w:hAnsi="Times New Roman" w:cs="Times New Roman"/>
        </w:rPr>
        <w:t>(em papel timbrado da empresa)</w:t>
      </w:r>
    </w:p>
    <w:p w14:paraId="696718AB">
      <w:pPr>
        <w:pStyle w:val="70"/>
        <w:rPr>
          <w:rFonts w:ascii="Times New Roman" w:hAnsi="Times New Roman" w:cs="Times New Roman"/>
        </w:rPr>
      </w:pPr>
    </w:p>
    <w:p w14:paraId="332A4538">
      <w:pPr>
        <w:pStyle w:val="70"/>
        <w:rPr>
          <w:rFonts w:ascii="Times New Roman" w:hAnsi="Times New Roman" w:cs="Times New Roman"/>
        </w:rPr>
      </w:pPr>
    </w:p>
    <w:p w14:paraId="77AE3ACD">
      <w:pPr>
        <w:pStyle w:val="70"/>
        <w:rPr>
          <w:rFonts w:ascii="Times New Roman" w:hAnsi="Times New Roman" w:cs="Times New Roman"/>
        </w:rPr>
      </w:pPr>
      <w:r>
        <w:rPr>
          <w:rFonts w:ascii="Times New Roman" w:hAnsi="Times New Roman" w:cs="Times New Roman"/>
        </w:rPr>
        <w:t>____________________________________ [</w:t>
      </w:r>
      <w:r>
        <w:rPr>
          <w:rFonts w:ascii="Times New Roman" w:hAnsi="Times New Roman" w:cs="Times New Roman"/>
          <w:i/>
        </w:rPr>
        <w:t>órgão ou entidade licitante</w:t>
      </w:r>
      <w:r>
        <w:rPr>
          <w:rFonts w:ascii="Times New Roman" w:hAnsi="Times New Roman" w:cs="Times New Roman"/>
        </w:rPr>
        <w:t>] Ref. Licitação n° ___/____ ________________________________________ [</w:t>
      </w:r>
      <w:r>
        <w:rPr>
          <w:rFonts w:ascii="Times New Roman" w:hAnsi="Times New Roman" w:cs="Times New Roman"/>
          <w:i/>
        </w:rPr>
        <w:t>denominação/razão social da sociedade empresarial</w:t>
      </w:r>
      <w:r>
        <w:rPr>
          <w:rFonts w:ascii="Times New Roman" w:hAnsi="Times New Roman" w:cs="Times New Roman"/>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7212B2EC">
      <w:pPr>
        <w:pStyle w:val="70"/>
        <w:rPr>
          <w:rFonts w:ascii="Times New Roman" w:hAnsi="Times New Roman" w:cs="Times New Roman"/>
        </w:rPr>
      </w:pPr>
    </w:p>
    <w:p w14:paraId="5266E9AA">
      <w:pPr>
        <w:pStyle w:val="70"/>
        <w:rPr>
          <w:rFonts w:ascii="Times New Roman" w:hAnsi="Times New Roman" w:cs="Times New Roman"/>
        </w:rPr>
      </w:pPr>
      <w:r>
        <w:rPr>
          <w:rFonts w:ascii="Times New Roman" w:hAnsi="Times New Roman" w:cs="Times New Roman"/>
        </w:rPr>
        <w:t>Ressalva: (  ) Emprega menor, a partir de quatorze anos, na condição de aprendiz.</w:t>
      </w:r>
    </w:p>
    <w:p w14:paraId="511F082E">
      <w:pPr>
        <w:pStyle w:val="70"/>
        <w:rPr>
          <w:rFonts w:ascii="Times New Roman" w:hAnsi="Times New Roman" w:cs="Times New Roman"/>
        </w:rPr>
      </w:pPr>
    </w:p>
    <w:p w14:paraId="2E89BC5B">
      <w:pPr>
        <w:pStyle w:val="70"/>
        <w:rPr>
          <w:rFonts w:ascii="Times New Roman" w:hAnsi="Times New Roman" w:cs="Times New Roman"/>
        </w:rPr>
      </w:pPr>
    </w:p>
    <w:p w14:paraId="750BBB42">
      <w:pPr>
        <w:pStyle w:val="70"/>
        <w:rPr>
          <w:rFonts w:ascii="Times New Roman" w:hAnsi="Times New Roman" w:cs="Times New Roman"/>
        </w:rPr>
      </w:pPr>
    </w:p>
    <w:p w14:paraId="5E1BC8C3">
      <w:pPr>
        <w:pStyle w:val="20"/>
        <w:ind w:right="-284" w:firstLine="142"/>
        <w:jc w:val="center"/>
        <w:rPr>
          <w:rFonts w:ascii="Times New Roman" w:hAnsi="Times New Roman" w:cs="Times New Roman"/>
        </w:rPr>
      </w:pPr>
      <w:r>
        <w:rPr>
          <w:rFonts w:ascii="Times New Roman" w:hAnsi="Times New Roman" w:cs="Times New Roman"/>
        </w:rPr>
        <w:t>Valença, ______de ____________de _____.</w:t>
      </w:r>
    </w:p>
    <w:p w14:paraId="6AF1CF5B">
      <w:pPr>
        <w:pStyle w:val="20"/>
        <w:ind w:right="-284" w:firstLine="142"/>
        <w:jc w:val="center"/>
        <w:rPr>
          <w:rFonts w:ascii="Times New Roman" w:hAnsi="Times New Roman" w:cs="Times New Roman"/>
        </w:rPr>
      </w:pPr>
    </w:p>
    <w:p w14:paraId="59ACD330">
      <w:pPr>
        <w:pStyle w:val="20"/>
        <w:ind w:right="-284" w:firstLine="142"/>
        <w:jc w:val="center"/>
        <w:rPr>
          <w:rFonts w:ascii="Times New Roman" w:hAnsi="Times New Roman" w:cs="Times New Roman"/>
        </w:rPr>
      </w:pPr>
    </w:p>
    <w:p w14:paraId="562EBF76">
      <w:pPr>
        <w:pStyle w:val="20"/>
        <w:spacing w:after="120"/>
        <w:ind w:right="-284" w:firstLine="142"/>
        <w:jc w:val="center"/>
        <w:rPr>
          <w:rFonts w:ascii="Times New Roman" w:hAnsi="Times New Roman" w:cs="Times New Roman"/>
        </w:rPr>
      </w:pPr>
      <w:r>
        <w:rPr>
          <w:rFonts w:ascii="Times New Roman" w:hAnsi="Times New Roman" w:cs="Times New Roman"/>
        </w:rPr>
        <w:t>_______________________________________________</w:t>
      </w:r>
    </w:p>
    <w:p w14:paraId="5A7408B4">
      <w:pPr>
        <w:pStyle w:val="20"/>
        <w:ind w:right="-284" w:firstLine="142"/>
        <w:jc w:val="center"/>
        <w:rPr>
          <w:rFonts w:ascii="Times New Roman" w:hAnsi="Times New Roman" w:cs="Times New Roman"/>
        </w:rPr>
      </w:pPr>
      <w:r>
        <w:rPr>
          <w:rFonts w:ascii="Times New Roman" w:hAnsi="Times New Roman" w:cs="Times New Roman"/>
        </w:rPr>
        <w:t>CONTRATADA</w:t>
      </w:r>
    </w:p>
    <w:p w14:paraId="307EBE61">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95A52AD">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9227C9B">
      <w:pPr>
        <w:pStyle w:val="20"/>
        <w:spacing w:line="360" w:lineRule="auto"/>
        <w:ind w:right="-285" w:firstLine="142"/>
        <w:jc w:val="center"/>
        <w:rPr>
          <w:rFonts w:ascii="Times New Roman" w:hAnsi="Times New Roman" w:cs="Times New Roman"/>
          <w:b/>
        </w:rPr>
      </w:pPr>
    </w:p>
    <w:p w14:paraId="6B132444">
      <w:pPr>
        <w:pStyle w:val="20"/>
        <w:spacing w:line="360" w:lineRule="auto"/>
        <w:ind w:right="-285" w:firstLine="142"/>
        <w:jc w:val="center"/>
        <w:rPr>
          <w:rFonts w:ascii="Times New Roman" w:hAnsi="Times New Roman" w:cs="Times New Roman"/>
          <w:b/>
        </w:rPr>
      </w:pPr>
    </w:p>
    <w:p w14:paraId="58633C5D">
      <w:pPr>
        <w:pStyle w:val="20"/>
        <w:spacing w:line="360" w:lineRule="auto"/>
        <w:ind w:right="-285" w:firstLine="142"/>
        <w:jc w:val="center"/>
        <w:rPr>
          <w:rFonts w:ascii="Times New Roman" w:hAnsi="Times New Roman" w:cs="Times New Roman"/>
          <w:b/>
        </w:rPr>
      </w:pPr>
    </w:p>
    <w:p w14:paraId="720F98C5">
      <w:pPr>
        <w:pStyle w:val="20"/>
        <w:spacing w:line="360" w:lineRule="auto"/>
        <w:ind w:right="-285" w:firstLine="142"/>
        <w:jc w:val="center"/>
        <w:rPr>
          <w:rFonts w:ascii="Times New Roman" w:hAnsi="Times New Roman" w:cs="Times New Roman"/>
          <w:b/>
        </w:rPr>
      </w:pPr>
    </w:p>
    <w:p w14:paraId="5B64A75D">
      <w:pPr>
        <w:pStyle w:val="20"/>
        <w:spacing w:line="360" w:lineRule="auto"/>
        <w:ind w:right="-285" w:firstLine="142"/>
        <w:jc w:val="center"/>
        <w:rPr>
          <w:rFonts w:ascii="Times New Roman" w:hAnsi="Times New Roman" w:cs="Times New Roman"/>
          <w:b/>
        </w:rPr>
      </w:pPr>
    </w:p>
    <w:p w14:paraId="3F7586E8">
      <w:pPr>
        <w:pStyle w:val="20"/>
        <w:spacing w:line="360" w:lineRule="auto"/>
        <w:ind w:right="-285" w:firstLine="142"/>
        <w:jc w:val="center"/>
        <w:rPr>
          <w:rFonts w:ascii="Times New Roman" w:hAnsi="Times New Roman" w:cs="Times New Roman"/>
          <w:b/>
        </w:rPr>
      </w:pPr>
    </w:p>
    <w:p w14:paraId="1AC5503E">
      <w:pPr>
        <w:spacing w:line="360" w:lineRule="auto"/>
        <w:ind w:right="-285" w:firstLine="142"/>
        <w:jc w:val="center"/>
        <w:rPr>
          <w:b/>
          <w:sz w:val="24"/>
          <w:szCs w:val="24"/>
        </w:rPr>
      </w:pPr>
      <w:r>
        <w:rPr>
          <w:b/>
          <w:sz w:val="24"/>
          <w:szCs w:val="24"/>
        </w:rPr>
        <w:t>DECLARAÇÃO PARA FINS DE HABILITAÇÃO ECONÔMICO–FINANCEIRA –ART. 63, § 1º, DA LEI FEDERAL Nº 14.133/2021</w:t>
      </w:r>
    </w:p>
    <w:p w14:paraId="1EA42BD3">
      <w:pPr>
        <w:pStyle w:val="70"/>
        <w:rPr>
          <w:rFonts w:ascii="Times New Roman" w:hAnsi="Times New Roman" w:cs="Times New Roman"/>
        </w:rPr>
      </w:pPr>
    </w:p>
    <w:p w14:paraId="1B31F434">
      <w:pPr>
        <w:spacing w:line="360" w:lineRule="auto"/>
        <w:ind w:right="-285" w:firstLine="142"/>
        <w:jc w:val="both"/>
        <w:rPr>
          <w:sz w:val="24"/>
          <w:szCs w:val="24"/>
        </w:rPr>
      </w:pPr>
      <w:r>
        <w:rPr>
          <w:sz w:val="24"/>
          <w:szCs w:val="24"/>
        </w:rPr>
        <w:t>(em papel timbrado da empresa)</w:t>
      </w:r>
    </w:p>
    <w:p w14:paraId="66722B5B">
      <w:pPr>
        <w:spacing w:line="360" w:lineRule="auto"/>
        <w:ind w:right="-285" w:firstLine="142"/>
        <w:jc w:val="both"/>
        <w:rPr>
          <w:sz w:val="24"/>
          <w:szCs w:val="24"/>
        </w:rPr>
      </w:pPr>
    </w:p>
    <w:p w14:paraId="44F6324D">
      <w:pPr>
        <w:spacing w:line="360" w:lineRule="auto"/>
        <w:ind w:right="-285" w:firstLine="142"/>
        <w:jc w:val="both"/>
        <w:rPr>
          <w:sz w:val="24"/>
          <w:szCs w:val="24"/>
        </w:rPr>
      </w:pPr>
      <w:r>
        <w:rPr>
          <w:i/>
          <w:sz w:val="24"/>
          <w:szCs w:val="24"/>
        </w:rPr>
        <w:t>[denominação/razão social da sociedade empresarial]</w:t>
      </w:r>
    </w:p>
    <w:p w14:paraId="33F4918F">
      <w:pPr>
        <w:tabs>
          <w:tab w:val="left" w:pos="5980"/>
        </w:tabs>
        <w:spacing w:line="360" w:lineRule="auto"/>
        <w:ind w:right="-285" w:firstLine="142"/>
        <w:jc w:val="both"/>
        <w:rPr>
          <w:sz w:val="24"/>
          <w:szCs w:val="24"/>
        </w:rPr>
      </w:pPr>
      <w:r>
        <w:rPr>
          <w:sz w:val="24"/>
          <w:szCs w:val="24"/>
        </w:rPr>
        <w:t>Cadastro Nacional de Pessoas Jurídicas – CNPJ n°____________.</w:t>
      </w:r>
    </w:p>
    <w:p w14:paraId="4880EFC5">
      <w:pPr>
        <w:spacing w:line="360" w:lineRule="auto"/>
        <w:ind w:right="-285" w:firstLine="142"/>
        <w:jc w:val="both"/>
        <w:rPr>
          <w:i/>
          <w:sz w:val="24"/>
          <w:szCs w:val="24"/>
        </w:rPr>
      </w:pPr>
      <w:r>
        <w:rPr>
          <w:i/>
          <w:sz w:val="24"/>
          <w:szCs w:val="24"/>
        </w:rPr>
        <w:t>[endereço da sociedade empresarial]</w:t>
      </w:r>
    </w:p>
    <w:p w14:paraId="157B23B9">
      <w:pPr>
        <w:spacing w:line="360" w:lineRule="auto"/>
        <w:ind w:right="-285" w:firstLine="142"/>
        <w:jc w:val="both"/>
        <w:rPr>
          <w:sz w:val="24"/>
          <w:szCs w:val="24"/>
        </w:rPr>
      </w:pPr>
    </w:p>
    <w:p w14:paraId="30162ACD">
      <w:pPr>
        <w:spacing w:line="360" w:lineRule="auto"/>
        <w:ind w:right="-285" w:firstLine="142"/>
        <w:jc w:val="both"/>
        <w:rPr>
          <w:sz w:val="24"/>
          <w:szCs w:val="24"/>
        </w:rPr>
      </w:pPr>
      <w:r>
        <w:rPr>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D74D5F5">
      <w:pPr>
        <w:spacing w:line="360" w:lineRule="auto"/>
        <w:ind w:right="-285" w:firstLine="142"/>
        <w:jc w:val="both"/>
        <w:rPr>
          <w:sz w:val="24"/>
          <w:szCs w:val="24"/>
        </w:rPr>
      </w:pPr>
    </w:p>
    <w:p w14:paraId="66410FE3">
      <w:pPr>
        <w:spacing w:line="360" w:lineRule="auto"/>
        <w:ind w:right="-285" w:firstLine="142"/>
        <w:jc w:val="center"/>
        <w:rPr>
          <w:sz w:val="24"/>
          <w:szCs w:val="24"/>
        </w:rPr>
      </w:pPr>
      <w:r>
        <w:rPr>
          <w:sz w:val="24"/>
          <w:szCs w:val="24"/>
        </w:rPr>
        <w:t>Valença, _____ de ___________________de _______.</w:t>
      </w:r>
    </w:p>
    <w:p w14:paraId="690B6947">
      <w:pPr>
        <w:spacing w:line="360" w:lineRule="auto"/>
        <w:ind w:right="-285" w:firstLine="142"/>
        <w:jc w:val="both"/>
        <w:rPr>
          <w:sz w:val="24"/>
          <w:szCs w:val="24"/>
        </w:rPr>
      </w:pPr>
    </w:p>
    <w:p w14:paraId="75D2C59F">
      <w:pPr>
        <w:ind w:right="-284" w:firstLine="142"/>
        <w:jc w:val="center"/>
        <w:rPr>
          <w:sz w:val="24"/>
          <w:szCs w:val="24"/>
        </w:rPr>
      </w:pPr>
      <w:r>
        <w:rPr>
          <w:sz w:val="24"/>
          <w:szCs w:val="24"/>
        </w:rPr>
        <w:t>______________________________________________________</w:t>
      </w:r>
    </w:p>
    <w:p w14:paraId="31F45621">
      <w:pPr>
        <w:pStyle w:val="20"/>
        <w:ind w:right="-284" w:firstLine="142"/>
        <w:jc w:val="center"/>
        <w:rPr>
          <w:rFonts w:ascii="Times New Roman" w:hAnsi="Times New Roman" w:cs="Times New Roman"/>
        </w:rPr>
      </w:pPr>
      <w:r>
        <w:rPr>
          <w:rFonts w:ascii="Times New Roman" w:hAnsi="Times New Roman" w:cs="Times New Roman"/>
        </w:rPr>
        <w:t>CONTRATADA</w:t>
      </w:r>
    </w:p>
    <w:p w14:paraId="05990316">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5A182753">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6BA98E2A">
      <w:pPr>
        <w:pStyle w:val="70"/>
        <w:rPr>
          <w:rFonts w:ascii="Times New Roman" w:hAnsi="Times New Roman" w:cs="Times New Roman"/>
        </w:rPr>
      </w:pPr>
    </w:p>
    <w:p w14:paraId="62BFDA7D">
      <w:pPr>
        <w:pStyle w:val="70"/>
        <w:rPr>
          <w:rFonts w:ascii="Times New Roman" w:hAnsi="Times New Roman" w:cs="Times New Roman"/>
        </w:rPr>
      </w:pPr>
    </w:p>
    <w:p w14:paraId="4AAFC1E4">
      <w:pPr>
        <w:pStyle w:val="70"/>
        <w:ind w:left="0"/>
        <w:rPr>
          <w:rFonts w:ascii="Times New Roman" w:hAnsi="Times New Roman" w:cs="Times New Roman"/>
        </w:rPr>
      </w:pPr>
    </w:p>
    <w:p w14:paraId="53AE23C4">
      <w:pPr>
        <w:spacing w:line="360" w:lineRule="auto"/>
        <w:ind w:right="-285" w:firstLine="142"/>
        <w:jc w:val="center"/>
        <w:rPr>
          <w:sz w:val="24"/>
          <w:szCs w:val="24"/>
        </w:rPr>
      </w:pPr>
      <w:r>
        <w:rPr>
          <w:b/>
          <w:bCs/>
          <w:sz w:val="24"/>
          <w:szCs w:val="24"/>
        </w:rPr>
        <w:t>DECLARAÇÃO DE CUMPRIMENTO DE RESERVA DE CARGOS DO ART. 63, IV, DA LEI FEDERAL Nº 14.133/2021</w:t>
      </w:r>
    </w:p>
    <w:p w14:paraId="5A9EEB2C">
      <w:pPr>
        <w:spacing w:line="360" w:lineRule="auto"/>
        <w:ind w:right="-285" w:firstLine="142"/>
        <w:jc w:val="both"/>
        <w:rPr>
          <w:sz w:val="24"/>
          <w:szCs w:val="24"/>
        </w:rPr>
      </w:pPr>
      <w:r>
        <w:rPr>
          <w:sz w:val="24"/>
          <w:szCs w:val="24"/>
        </w:rPr>
        <w:t>(em papel timbrado da empresa)</w:t>
      </w:r>
    </w:p>
    <w:p w14:paraId="1DB0D014">
      <w:pPr>
        <w:spacing w:line="360" w:lineRule="auto"/>
        <w:ind w:right="-285" w:firstLine="142"/>
        <w:jc w:val="both"/>
        <w:rPr>
          <w:sz w:val="24"/>
          <w:szCs w:val="24"/>
        </w:rPr>
      </w:pPr>
    </w:p>
    <w:p w14:paraId="232B419F">
      <w:pPr>
        <w:spacing w:line="360" w:lineRule="auto"/>
        <w:ind w:right="-285" w:firstLine="142"/>
        <w:jc w:val="both"/>
        <w:rPr>
          <w:sz w:val="24"/>
          <w:szCs w:val="24"/>
        </w:rPr>
      </w:pPr>
      <w:r>
        <w:rPr>
          <w:i/>
          <w:sz w:val="24"/>
          <w:szCs w:val="24"/>
        </w:rPr>
        <w:t>[denominação/razão social da sociedade empresarial]</w:t>
      </w:r>
    </w:p>
    <w:p w14:paraId="4D8126A2">
      <w:pPr>
        <w:tabs>
          <w:tab w:val="left" w:pos="5980"/>
        </w:tabs>
        <w:spacing w:line="360" w:lineRule="auto"/>
        <w:ind w:right="-285" w:firstLine="142"/>
        <w:jc w:val="both"/>
        <w:rPr>
          <w:sz w:val="24"/>
          <w:szCs w:val="24"/>
        </w:rPr>
      </w:pPr>
      <w:r>
        <w:rPr>
          <w:sz w:val="24"/>
          <w:szCs w:val="24"/>
        </w:rPr>
        <w:t>Cadastro Nacional de Pessoas Jurídicas – CNPJ n°____________.</w:t>
      </w:r>
    </w:p>
    <w:p w14:paraId="6EB405B1">
      <w:pPr>
        <w:spacing w:line="360" w:lineRule="auto"/>
        <w:ind w:right="-285" w:firstLine="142"/>
        <w:jc w:val="both"/>
        <w:rPr>
          <w:i/>
          <w:sz w:val="24"/>
          <w:szCs w:val="24"/>
        </w:rPr>
      </w:pPr>
      <w:r>
        <w:rPr>
          <w:i/>
          <w:sz w:val="24"/>
          <w:szCs w:val="24"/>
        </w:rPr>
        <w:t>[endereço da sociedade empresarial]</w:t>
      </w:r>
    </w:p>
    <w:p w14:paraId="0B4B4646">
      <w:pPr>
        <w:spacing w:line="360" w:lineRule="auto"/>
        <w:ind w:right="-285" w:firstLine="142"/>
        <w:jc w:val="both"/>
        <w:rPr>
          <w:sz w:val="24"/>
          <w:szCs w:val="24"/>
        </w:rPr>
      </w:pPr>
    </w:p>
    <w:p w14:paraId="61D39F5A">
      <w:pPr>
        <w:spacing w:line="360" w:lineRule="auto"/>
        <w:ind w:right="-285" w:firstLine="142"/>
        <w:jc w:val="both"/>
        <w:rPr>
          <w:sz w:val="24"/>
          <w:szCs w:val="24"/>
        </w:rPr>
      </w:pPr>
      <w:r>
        <w:rPr>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0E953B2E">
      <w:pPr>
        <w:spacing w:line="360" w:lineRule="auto"/>
        <w:ind w:right="-285" w:firstLine="142"/>
        <w:jc w:val="both"/>
        <w:rPr>
          <w:sz w:val="24"/>
          <w:szCs w:val="24"/>
        </w:rPr>
      </w:pPr>
    </w:p>
    <w:p w14:paraId="0E0C1461">
      <w:pPr>
        <w:spacing w:line="360" w:lineRule="auto"/>
        <w:ind w:right="-285" w:firstLine="142"/>
        <w:jc w:val="center"/>
        <w:rPr>
          <w:sz w:val="24"/>
          <w:szCs w:val="24"/>
        </w:rPr>
      </w:pPr>
      <w:r>
        <w:rPr>
          <w:sz w:val="24"/>
          <w:szCs w:val="24"/>
        </w:rPr>
        <w:t>Valença, _____ de ___________________de _______.</w:t>
      </w:r>
    </w:p>
    <w:p w14:paraId="0076775A">
      <w:pPr>
        <w:spacing w:line="360" w:lineRule="auto"/>
        <w:ind w:right="-285" w:firstLine="142"/>
        <w:jc w:val="both"/>
        <w:rPr>
          <w:sz w:val="24"/>
          <w:szCs w:val="24"/>
        </w:rPr>
      </w:pPr>
    </w:p>
    <w:p w14:paraId="5BCD6E51">
      <w:pPr>
        <w:ind w:right="-284" w:firstLine="142"/>
        <w:jc w:val="center"/>
        <w:rPr>
          <w:sz w:val="24"/>
          <w:szCs w:val="24"/>
        </w:rPr>
      </w:pPr>
      <w:r>
        <w:rPr>
          <w:sz w:val="24"/>
          <w:szCs w:val="24"/>
        </w:rPr>
        <w:t>______________________________________________________</w:t>
      </w:r>
    </w:p>
    <w:p w14:paraId="730E0339">
      <w:pPr>
        <w:pStyle w:val="20"/>
        <w:ind w:right="-284" w:firstLine="142"/>
        <w:jc w:val="center"/>
        <w:rPr>
          <w:rFonts w:ascii="Times New Roman" w:hAnsi="Times New Roman" w:cs="Times New Roman"/>
        </w:rPr>
      </w:pPr>
      <w:r>
        <w:rPr>
          <w:rFonts w:ascii="Times New Roman" w:hAnsi="Times New Roman" w:cs="Times New Roman"/>
        </w:rPr>
        <w:t>CONTRATADA</w:t>
      </w:r>
    </w:p>
    <w:p w14:paraId="7B9E994A">
      <w:pPr>
        <w:pStyle w:val="20"/>
        <w:ind w:right="-284" w:firstLine="142"/>
        <w:jc w:val="center"/>
        <w:rPr>
          <w:rFonts w:ascii="Times New Roman" w:hAnsi="Times New Roman" w:cs="Times New Roman"/>
        </w:rPr>
      </w:pPr>
      <w:r>
        <w:rPr>
          <w:rFonts w:ascii="Times New Roman" w:hAnsi="Times New Roman" w:cs="Times New Roman"/>
        </w:rPr>
        <w:t>REPRESENTANTE LEGAL DA EMPRESA</w:t>
      </w:r>
    </w:p>
    <w:p w14:paraId="0E6BA831">
      <w:pPr>
        <w:pStyle w:val="20"/>
        <w:ind w:right="-284" w:firstLine="142"/>
        <w:jc w:val="center"/>
        <w:rPr>
          <w:rFonts w:ascii="Times New Roman" w:hAnsi="Times New Roman" w:cs="Times New Roman"/>
        </w:rPr>
      </w:pPr>
      <w:r>
        <w:rPr>
          <w:rFonts w:ascii="Times New Roman" w:hAnsi="Times New Roman" w:cs="Times New Roman"/>
        </w:rPr>
        <w:t>(Nome, cargo e carimbo da empresa)</w:t>
      </w:r>
    </w:p>
    <w:p w14:paraId="53202077">
      <w:pPr>
        <w:spacing w:line="360" w:lineRule="auto"/>
        <w:jc w:val="center"/>
        <w:rPr>
          <w:b/>
          <w:bCs/>
          <w:color w:val="FF0000"/>
          <w:u w:val="single"/>
        </w:rPr>
      </w:pPr>
    </w:p>
    <w:p w14:paraId="128A45B5">
      <w:pPr>
        <w:spacing w:line="288" w:lineRule="auto"/>
        <w:contextualSpacing/>
        <w:jc w:val="center"/>
        <w:rPr>
          <w:rFonts w:eastAsia="Calibri"/>
          <w:b/>
          <w:bCs/>
          <w:lang w:eastAsia="en-US"/>
        </w:rPr>
      </w:pPr>
    </w:p>
    <w:p w14:paraId="5DA0E760">
      <w:pPr>
        <w:ind w:right="-285" w:firstLine="142"/>
        <w:rPr>
          <w:rFonts w:asciiTheme="minorHAnsi" w:hAnsiTheme="minorHAnsi" w:cstheme="minorHAnsi"/>
          <w:sz w:val="24"/>
          <w:szCs w:val="24"/>
        </w:rPr>
      </w:pPr>
    </w:p>
    <w:sectPr>
      <w:headerReference r:id="rId3" w:type="default"/>
      <w:footerReference r:id="rId4" w:type="default"/>
      <w:pgSz w:w="11900" w:h="16820"/>
      <w:pgMar w:top="314" w:right="1580" w:bottom="566" w:left="1552" w:header="0" w:footer="49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ngal">
    <w:altName w:val="Segoe Print"/>
    <w:panose1 w:val="00000400000000000000"/>
    <w:charset w:val="00"/>
    <w:family w:val="auto"/>
    <w:pitch w:val="default"/>
    <w:sig w:usb0="00000000" w:usb1="00000000" w:usb2="00000000" w:usb3="00000000" w:csb0="00000000" w:csb1="00000000"/>
  </w:font>
  <w:font w:name="Liberation 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Georgia">
    <w:panose1 w:val="02040502050405020303"/>
    <w:charset w:val="00"/>
    <w:family w:val="roman"/>
    <w:pitch w:val="default"/>
    <w:sig w:usb0="00000287" w:usb1="00000000" w:usb2="00000000" w:usb3="00000000" w:csb0="2000009F" w:csb1="00000000"/>
  </w:font>
  <w:font w:name="Century Gothic">
    <w:panose1 w:val="020B0502020202020204"/>
    <w:charset w:val="00"/>
    <w:family w:val="swiss"/>
    <w:pitch w:val="default"/>
    <w:sig w:usb0="00000287" w:usb1="00000000" w:usb2="00000000" w:usb3="00000000" w:csb0="2000009F" w:csb1="DFD70000"/>
  </w:font>
  <w:font w:name="Cambria Math">
    <w:panose1 w:val="02040503050406030204"/>
    <w:charset w:val="00"/>
    <w:family w:val="roman"/>
    <w:pitch w:val="default"/>
    <w:sig w:usb0="E00006FF" w:usb1="420024FF" w:usb2="02000000" w:usb3="00000000" w:csb0="2000019F" w:csb1="00000000"/>
  </w:font>
  <w:font w:name="Minion Pro">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ans">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swiss"/>
    <w:pitch w:val="default"/>
    <w:sig w:usb0="80000287" w:usb1="2ACF3C50" w:usb2="00000016" w:usb3="00000000" w:csb0="0004001F" w:csb1="00000000"/>
  </w:font>
  <w:font w:name="OpenSymbol">
    <w:altName w:val="Calibri"/>
    <w:panose1 w:val="00000000000000000000"/>
    <w:charset w:val="00"/>
    <w:family w:val="auto"/>
    <w:pitch w:val="default"/>
    <w:sig w:usb0="00000000" w:usb1="00000000" w:usb2="00000000" w:usb3="00000000" w:csb0="00000000" w:csb1="00000000"/>
  </w:font>
  <w:font w:name="Aptos">
    <w:altName w:val="Segoe UI"/>
    <w:panose1 w:val="00000000000000000000"/>
    <w:charset w:val="00"/>
    <w:family w:val="auto"/>
    <w:pitch w:val="default"/>
    <w:sig w:usb0="00000000" w:usb1="00000000" w:usb2="00000000" w:usb3="00000000" w:csb0="2000019F" w:csb1="00000000"/>
  </w:font>
  <w:font w:name="Helvetica">
    <w:altName w:val="Arial"/>
    <w:panose1 w:val="020B0604020202020204"/>
    <w:charset w:val="00"/>
    <w:family w:val="auto"/>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MontserratThin">
    <w:altName w:val="Segoe Print"/>
    <w:panose1 w:val="00000000000000000000"/>
    <w:charset w:val="00"/>
    <w:family w:val="auto"/>
    <w:pitch w:val="default"/>
    <w:sig w:usb0="00000000" w:usb1="00000000" w:usb2="00000000" w:usb3="00000000" w:csb0="00000000" w:csb1="00000000"/>
  </w:font>
  <w:font w:name="Book Antiqua">
    <w:panose1 w:val="0204060205030503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11ECF">
    <w:pP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21</w:t>
    </w:r>
    <w:r>
      <w:rPr>
        <w:color w:val="000000"/>
      </w:rPr>
      <w:fldChar w:fldCharType="end"/>
    </w:r>
  </w:p>
  <w:p w14:paraId="71E7CF60">
    <w:pPr>
      <w:tabs>
        <w:tab w:val="center" w:pos="4252"/>
        <w:tab w:val="right" w:pos="8504"/>
      </w:tabs>
      <w:rPr>
        <w:color w:val="00000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9831">
    <w:pPr>
      <w:pStyle w:val="27"/>
      <w:tabs>
        <w:tab w:val="center" w:pos="2127"/>
      </w:tabs>
      <w:rPr>
        <w:rFonts w:ascii="Book Antiqua" w:hAnsi="Book Antiqua"/>
        <w:b/>
        <w:sz w:val="28"/>
        <w:szCs w:val="28"/>
      </w:rPr>
    </w:pPr>
  </w:p>
  <w:p w14:paraId="6002D546">
    <w:pPr>
      <w:pStyle w:val="27"/>
      <w:tabs>
        <w:tab w:val="center" w:pos="2127"/>
      </w:tabs>
      <w:rPr>
        <w:rFonts w:ascii="Book Antiqua" w:hAnsi="Book Antiqua"/>
        <w:b/>
        <w:sz w:val="28"/>
        <w:szCs w:val="28"/>
      </w:rPr>
    </w:pPr>
  </w:p>
  <w:p w14:paraId="6BD75E03">
    <w:pPr>
      <w:pStyle w:val="27"/>
      <w:tabs>
        <w:tab w:val="center" w:pos="2127"/>
      </w:tabs>
      <w:rPr>
        <w:rFonts w:ascii="Book Antiqua" w:hAnsi="Book Antiqua"/>
        <w:b/>
        <w:sz w:val="28"/>
        <w:szCs w:val="28"/>
      </w:rPr>
    </w:pPr>
    <w:r>
      <w:drawing>
        <wp:anchor distT="0" distB="0" distL="114300" distR="114300" simplePos="0" relativeHeight="251659264" behindDoc="1" locked="0" layoutInCell="1" allowOverlap="1">
          <wp:simplePos x="0" y="0"/>
          <wp:positionH relativeFrom="rightMargin">
            <wp:posOffset>-5745480</wp:posOffset>
          </wp:positionH>
          <wp:positionV relativeFrom="paragraph">
            <wp:posOffset>10160</wp:posOffset>
          </wp:positionV>
          <wp:extent cx="705485" cy="812165"/>
          <wp:effectExtent l="0" t="0" r="0" b="698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5485" cy="812165"/>
                  </a:xfrm>
                  <a:prstGeom prst="rect">
                    <a:avLst/>
                  </a:prstGeom>
                  <a:noFill/>
                </pic:spPr>
              </pic:pic>
            </a:graphicData>
          </a:graphic>
        </wp:anchor>
      </w:drawing>
    </w:r>
  </w:p>
  <w:p w14:paraId="403E8789">
    <w:pPr>
      <w:pStyle w:val="27"/>
      <w:tabs>
        <w:tab w:val="center" w:pos="2127"/>
      </w:tabs>
      <w:jc w:val="center"/>
      <w:rPr>
        <w:rFonts w:ascii="Book Antiqua" w:hAnsi="Book Antiqua"/>
        <w:b/>
        <w:sz w:val="28"/>
        <w:szCs w:val="28"/>
      </w:rPr>
    </w:pPr>
    <w:r>
      <w:rPr>
        <w:rFonts w:ascii="Book Antiqua" w:hAnsi="Book Antiqua"/>
        <w:b/>
        <w:sz w:val="28"/>
        <w:szCs w:val="28"/>
      </w:rPr>
      <w:t>ESTADO DO RIO DE JANEIRO</w:t>
    </w:r>
  </w:p>
  <w:p w14:paraId="39E262B8">
    <w:pPr>
      <w:pStyle w:val="27"/>
      <w:tabs>
        <w:tab w:val="center" w:pos="2127"/>
      </w:tabs>
      <w:jc w:val="center"/>
      <w:rPr>
        <w:rFonts w:ascii="Book Antiqua" w:hAnsi="Book Antiqua"/>
        <w:b/>
        <w:sz w:val="28"/>
        <w:szCs w:val="28"/>
      </w:rPr>
    </w:pPr>
    <w:r>
      <w:rPr>
        <w:rFonts w:ascii="Book Antiqua" w:hAnsi="Book Antiqua"/>
        <w:b/>
        <w:sz w:val="28"/>
        <w:szCs w:val="28"/>
      </w:rPr>
      <w:t>PREFEITURA MUNICIPAL DE VALENÇA</w:t>
    </w:r>
  </w:p>
  <w:p w14:paraId="59B0A304">
    <w:pPr>
      <w:pStyle w:val="27"/>
      <w:tabs>
        <w:tab w:val="center" w:pos="2127"/>
      </w:tabs>
      <w:jc w:val="center"/>
      <w:rPr>
        <w:rFonts w:ascii="Book Antiqua" w:hAnsi="Book Antiqua"/>
        <w:b/>
        <w:sz w:val="28"/>
        <w:szCs w:val="28"/>
      </w:rPr>
    </w:pPr>
    <w:r>
      <w:rPr>
        <w:rFonts w:ascii="Book Antiqua" w:hAnsi="Book Antiqua"/>
        <w:b/>
        <w:sz w:val="28"/>
        <w:szCs w:val="28"/>
      </w:rPr>
      <w:t xml:space="preserve">  DEPARTAMENTO DE COMPRAS E LICITAÇÕES</w:t>
    </w:r>
  </w:p>
  <w:tbl>
    <w:tblPr>
      <w:tblStyle w:val="10"/>
      <w:tblW w:w="10538" w:type="dxa"/>
      <w:tblInd w:w="-28" w:type="dxa"/>
      <w:tblLayout w:type="fixed"/>
      <w:tblCellMar>
        <w:top w:w="0" w:type="dxa"/>
        <w:left w:w="108" w:type="dxa"/>
        <w:bottom w:w="0" w:type="dxa"/>
        <w:right w:w="108" w:type="dxa"/>
      </w:tblCellMar>
    </w:tblPr>
    <w:tblGrid>
      <w:gridCol w:w="940"/>
      <w:gridCol w:w="9362"/>
      <w:gridCol w:w="236"/>
    </w:tblGrid>
    <w:tr w14:paraId="377848AA">
      <w:tblPrEx>
        <w:tblCellMar>
          <w:top w:w="0" w:type="dxa"/>
          <w:left w:w="108" w:type="dxa"/>
          <w:bottom w:w="0" w:type="dxa"/>
          <w:right w:w="108" w:type="dxa"/>
        </w:tblCellMar>
      </w:tblPrEx>
      <w:trPr>
        <w:cantSplit/>
        <w:trHeight w:val="192" w:hRule="atLeast"/>
      </w:trPr>
      <w:tc>
        <w:tcPr>
          <w:tcW w:w="945" w:type="dxa"/>
        </w:tcPr>
        <w:p w14:paraId="686ABAB3">
          <w:pPr>
            <w:pStyle w:val="27"/>
            <w:tabs>
              <w:tab w:val="center" w:pos="2127"/>
            </w:tabs>
            <w:jc w:val="center"/>
            <w:rPr>
              <w:rFonts w:ascii="Book Antiqua" w:hAnsi="Book Antiqua"/>
              <w:b/>
              <w:sz w:val="28"/>
              <w:szCs w:val="28"/>
            </w:rPr>
          </w:pPr>
        </w:p>
        <w:p w14:paraId="61895498">
          <w:pPr>
            <w:tabs>
              <w:tab w:val="center" w:pos="4419"/>
              <w:tab w:val="right" w:pos="8838"/>
            </w:tabs>
            <w:rPr>
              <w:rFonts w:eastAsia="Arial" w:cs="Arial"/>
              <w:color w:val="000000"/>
            </w:rPr>
          </w:pPr>
        </w:p>
      </w:tc>
      <w:tc>
        <w:tcPr>
          <w:tcW w:w="9422" w:type="dxa"/>
          <w:vAlign w:val="center"/>
        </w:tcPr>
        <w:p w14:paraId="16A2CCD3">
          <w:pPr>
            <w:tabs>
              <w:tab w:val="center" w:pos="4419"/>
              <w:tab w:val="right" w:pos="8838"/>
            </w:tabs>
            <w:rPr>
              <w:rFonts w:eastAsia="Arial" w:cs="Arial"/>
              <w:color w:val="000000"/>
              <w:szCs w:val="24"/>
            </w:rPr>
          </w:pPr>
        </w:p>
      </w:tc>
      <w:tc>
        <w:tcPr>
          <w:tcW w:w="171" w:type="dxa"/>
        </w:tcPr>
        <w:p w14:paraId="7E98656F">
          <w:pPr>
            <w:tabs>
              <w:tab w:val="center" w:pos="4419"/>
              <w:tab w:val="right" w:pos="8838"/>
            </w:tabs>
            <w:rPr>
              <w:rFonts w:eastAsia="Arial" w:cs="Arial"/>
              <w:b/>
              <w:color w:val="000000"/>
              <w:sz w:val="18"/>
              <w:szCs w:val="18"/>
            </w:rPr>
          </w:pPr>
        </w:p>
      </w:tc>
    </w:tr>
    <w:tr w14:paraId="750A74D0">
      <w:tblPrEx>
        <w:tblCellMar>
          <w:top w:w="0" w:type="dxa"/>
          <w:left w:w="108" w:type="dxa"/>
          <w:bottom w:w="0" w:type="dxa"/>
          <w:right w:w="108" w:type="dxa"/>
        </w:tblCellMar>
      </w:tblPrEx>
      <w:trPr>
        <w:cantSplit/>
        <w:trHeight w:val="192" w:hRule="atLeast"/>
      </w:trPr>
      <w:tc>
        <w:tcPr>
          <w:tcW w:w="945" w:type="dxa"/>
          <w:tcBorders>
            <w:bottom w:val="single" w:color="000000" w:sz="4" w:space="0"/>
          </w:tcBorders>
        </w:tcPr>
        <w:p w14:paraId="1C88669F">
          <w:pPr>
            <w:tabs>
              <w:tab w:val="center" w:pos="4419"/>
              <w:tab w:val="right" w:pos="8838"/>
            </w:tabs>
            <w:rPr>
              <w:color w:val="000000"/>
              <w:szCs w:val="24"/>
            </w:rPr>
          </w:pPr>
        </w:p>
      </w:tc>
      <w:tc>
        <w:tcPr>
          <w:tcW w:w="9422" w:type="dxa"/>
          <w:tcBorders>
            <w:bottom w:val="single" w:color="000000" w:sz="4" w:space="0"/>
          </w:tcBorders>
          <w:vAlign w:val="center"/>
        </w:tcPr>
        <w:p w14:paraId="37D59277">
          <w:pPr>
            <w:tabs>
              <w:tab w:val="center" w:pos="4419"/>
              <w:tab w:val="right" w:pos="8838"/>
            </w:tabs>
            <w:rPr>
              <w:rFonts w:eastAsia="Arial" w:cs="Arial"/>
              <w:color w:val="000000"/>
              <w:szCs w:val="24"/>
            </w:rPr>
          </w:pPr>
        </w:p>
      </w:tc>
      <w:tc>
        <w:tcPr>
          <w:tcW w:w="171" w:type="dxa"/>
          <w:tcBorders>
            <w:bottom w:val="single" w:color="000000" w:sz="4" w:space="0"/>
          </w:tcBorders>
        </w:tcPr>
        <w:p w14:paraId="1760BB9F">
          <w:pPr>
            <w:tabs>
              <w:tab w:val="center" w:pos="4419"/>
              <w:tab w:val="right" w:pos="8838"/>
            </w:tabs>
            <w:rPr>
              <w:rFonts w:eastAsia="Arial" w:cs="Arial"/>
              <w:b/>
              <w:color w:val="000000"/>
              <w:sz w:val="18"/>
              <w:szCs w:val="18"/>
            </w:rPr>
          </w:pPr>
        </w:p>
      </w:tc>
    </w:tr>
  </w:tbl>
  <w:p w14:paraId="2D30364A">
    <w:pPr>
      <w:tabs>
        <w:tab w:val="left" w:pos="2880"/>
        <w:tab w:val="center" w:pos="4419"/>
        <w:tab w:val="right" w:pos="8838"/>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75B016"/>
    <w:multiLevelType w:val="singleLevel"/>
    <w:tmpl w:val="D975B016"/>
    <w:lvl w:ilvl="0" w:tentative="0">
      <w:start w:val="1"/>
      <w:numFmt w:val="decimal"/>
      <w:suff w:val="space"/>
      <w:lvlText w:val="%1-"/>
      <w:lvlJc w:val="left"/>
    </w:lvl>
  </w:abstractNum>
  <w:abstractNum w:abstractNumId="1">
    <w:nsid w:val="F2203EBA"/>
    <w:multiLevelType w:val="singleLevel"/>
    <w:tmpl w:val="F2203EBA"/>
    <w:lvl w:ilvl="0" w:tentative="0">
      <w:start w:val="13"/>
      <w:numFmt w:val="decimal"/>
      <w:suff w:val="space"/>
      <w:lvlText w:val="%1-"/>
      <w:lvlJc w:val="left"/>
    </w:lvl>
  </w:abstractNum>
  <w:abstractNum w:abstractNumId="2">
    <w:nsid w:val="FFFFFF89"/>
    <w:multiLevelType w:val="singleLevel"/>
    <w:tmpl w:val="FFFFFF89"/>
    <w:lvl w:ilvl="0" w:tentative="0">
      <w:start w:val="1"/>
      <w:numFmt w:val="bullet"/>
      <w:pStyle w:val="35"/>
      <w:lvlText w:val=""/>
      <w:lvlJc w:val="left"/>
      <w:pPr>
        <w:tabs>
          <w:tab w:val="left" w:pos="360"/>
        </w:tabs>
        <w:ind w:left="360" w:hanging="360"/>
      </w:pPr>
      <w:rPr>
        <w:rFonts w:hint="default" w:ascii="Symbol" w:hAnsi="Symbol"/>
      </w:rPr>
    </w:lvl>
  </w:abstractNum>
  <w:abstractNum w:abstractNumId="3">
    <w:nsid w:val="1D5C100D"/>
    <w:multiLevelType w:val="multilevel"/>
    <w:tmpl w:val="1D5C100D"/>
    <w:lvl w:ilvl="0" w:tentative="0">
      <w:start w:val="3"/>
      <w:numFmt w:val="decimal"/>
      <w:pStyle w:val="107"/>
      <w:lvlText w:val="%1."/>
      <w:lvlJc w:val="left"/>
      <w:pPr>
        <w:ind w:left="360" w:hanging="360"/>
      </w:pPr>
      <w:rPr>
        <w:rFonts w:hint="default"/>
        <w:b/>
        <w:color w:val="auto"/>
      </w:rPr>
    </w:lvl>
    <w:lvl w:ilvl="1" w:tentative="0">
      <w:start w:val="1"/>
      <w:numFmt w:val="decimal"/>
      <w:lvlText w:val="%1.%2."/>
      <w:lvlJc w:val="left"/>
      <w:pPr>
        <w:ind w:left="432"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164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2EFD5C8B"/>
    <w:multiLevelType w:val="multilevel"/>
    <w:tmpl w:val="2EFD5C8B"/>
    <w:lvl w:ilvl="0" w:tentative="0">
      <w:start w:val="1"/>
      <w:numFmt w:val="decimal"/>
      <w:lvlText w:val="%1."/>
      <w:lvlJc w:val="left"/>
      <w:pPr>
        <w:ind w:left="720" w:hanging="360"/>
      </w:pPr>
      <w:rPr>
        <w:rFonts w:hint="default"/>
      </w:rPr>
    </w:lvl>
    <w:lvl w:ilvl="1" w:tentative="0">
      <w:start w:val="1"/>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5">
    <w:nsid w:val="43265457"/>
    <w:multiLevelType w:val="multilevel"/>
    <w:tmpl w:val="43265457"/>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
    <w:nsid w:val="46085681"/>
    <w:multiLevelType w:val="multilevel"/>
    <w:tmpl w:val="46085681"/>
    <w:lvl w:ilvl="0" w:tentative="0">
      <w:start w:val="1"/>
      <w:numFmt w:val="decimal"/>
      <w:pStyle w:val="140"/>
      <w:lvlText w:val="%1."/>
      <w:lvlJc w:val="left"/>
      <w:pPr>
        <w:ind w:left="720" w:hanging="360"/>
      </w:pPr>
      <w:rPr>
        <w:rFonts w:cs="Times New Roman"/>
        <w:b/>
        <w:bCs/>
        <w:color w:val="000000"/>
      </w:rPr>
    </w:lvl>
    <w:lvl w:ilvl="1" w:tentative="0">
      <w:start w:val="1"/>
      <w:numFmt w:val="decimal"/>
      <w:suff w:val="space"/>
      <w:lvlText w:val="%1.%2."/>
      <w:lvlJc w:val="left"/>
      <w:pPr>
        <w:ind w:left="1072" w:hanging="363"/>
      </w:pPr>
      <w:rPr>
        <w:rFonts w:cs="Times New Roman"/>
        <w:b/>
        <w:bCs/>
        <w:strike w:val="0"/>
        <w:dstrike w:val="0"/>
        <w:color w:val="auto"/>
      </w:rPr>
    </w:lvl>
    <w:lvl w:ilvl="2" w:tentative="0">
      <w:start w:val="1"/>
      <w:numFmt w:val="decimal"/>
      <w:suff w:val="space"/>
      <w:lvlText w:val=" %1.%2.%3."/>
      <w:lvlJc w:val="left"/>
      <w:pPr>
        <w:ind w:left="1440" w:hanging="360"/>
      </w:pPr>
      <w:rPr>
        <w:rFonts w:cs="Times New Roman"/>
        <w:b/>
        <w:bCs/>
      </w:rPr>
    </w:lvl>
    <w:lvl w:ilvl="3" w:tentative="0">
      <w:start w:val="1"/>
      <w:numFmt w:val="decimal"/>
      <w:suff w:val="space"/>
      <w:lvlText w:val=" %1.%2.%3.%4."/>
      <w:lvlJc w:val="left"/>
      <w:pPr>
        <w:ind w:left="1920" w:hanging="360"/>
      </w:pPr>
      <w:rPr>
        <w:rFonts w:cs="Times New Roman"/>
        <w:sz w:val="24"/>
        <w:szCs w:val="24"/>
      </w:rPr>
    </w:lvl>
    <w:lvl w:ilvl="4" w:tentative="0">
      <w:start w:val="1"/>
      <w:numFmt w:val="decimal"/>
      <w:suff w:val="space"/>
      <w:lvlText w:val=" %1.%2.%3.%4.%5."/>
      <w:lvlJc w:val="left"/>
      <w:pPr>
        <w:ind w:left="2160" w:hanging="360"/>
      </w:pPr>
      <w:rPr>
        <w:rFonts w:cs="Times New Roman"/>
      </w:rPr>
    </w:lvl>
    <w:lvl w:ilvl="5" w:tentative="0">
      <w:start w:val="1"/>
      <w:numFmt w:val="decimal"/>
      <w:lvlText w:val=" %1.%2.%3.%4.%5.%6."/>
      <w:lvlJc w:val="left"/>
      <w:pPr>
        <w:ind w:left="2520" w:hanging="360"/>
      </w:pPr>
      <w:rPr>
        <w:rFonts w:cs="Times New Roman"/>
      </w:rPr>
    </w:lvl>
    <w:lvl w:ilvl="6" w:tentative="0">
      <w:start w:val="1"/>
      <w:numFmt w:val="decimal"/>
      <w:lvlText w:val=" %1.%2.%3.%4.%5.%6.%7."/>
      <w:lvlJc w:val="left"/>
      <w:pPr>
        <w:ind w:left="2880" w:hanging="360"/>
      </w:pPr>
      <w:rPr>
        <w:rFonts w:cs="Times New Roman"/>
      </w:rPr>
    </w:lvl>
    <w:lvl w:ilvl="7" w:tentative="0">
      <w:start w:val="1"/>
      <w:numFmt w:val="decimal"/>
      <w:lvlText w:val=" %1.%2.%3.%4.%5.%6.%7.%8."/>
      <w:lvlJc w:val="left"/>
      <w:pPr>
        <w:ind w:left="3240" w:hanging="360"/>
      </w:pPr>
      <w:rPr>
        <w:rFonts w:cs="Times New Roman"/>
      </w:rPr>
    </w:lvl>
    <w:lvl w:ilvl="8" w:tentative="0">
      <w:start w:val="1"/>
      <w:numFmt w:val="decimal"/>
      <w:lvlText w:val=" %1.%2.%3.%4.%5.%6.%7.%8.%9."/>
      <w:lvlJc w:val="left"/>
      <w:pPr>
        <w:ind w:left="3600" w:hanging="360"/>
      </w:pPr>
      <w:rPr>
        <w:rFonts w:cs="Times New Roman"/>
      </w:rPr>
    </w:lvl>
  </w:abstractNum>
  <w:abstractNum w:abstractNumId="7">
    <w:nsid w:val="61DD361E"/>
    <w:multiLevelType w:val="multilevel"/>
    <w:tmpl w:val="61DD361E"/>
    <w:lvl w:ilvl="0" w:tentative="0">
      <w:start w:val="1"/>
      <w:numFmt w:val="decimal"/>
      <w:pStyle w:val="105"/>
      <w:lvlText w:val="%1."/>
      <w:lvlJc w:val="left"/>
      <w:pPr>
        <w:ind w:left="502" w:hanging="360"/>
      </w:pPr>
      <w:rPr>
        <w:rFonts w:hint="default"/>
        <w:b/>
        <w:i w:val="0"/>
      </w:rPr>
    </w:lvl>
    <w:lvl w:ilvl="1" w:tentative="0">
      <w:start w:val="1"/>
      <w:numFmt w:val="decimal"/>
      <w:pStyle w:val="108"/>
      <w:suff w:val="space"/>
      <w:lvlText w:val="%1.%2."/>
      <w:lvlJc w:val="left"/>
      <w:pPr>
        <w:ind w:left="851" w:firstLine="0"/>
      </w:pPr>
      <w:rPr>
        <w:rFonts w:hint="default"/>
        <w:b w:val="0"/>
        <w:i w:val="0"/>
        <w:color w:val="auto"/>
      </w:rPr>
    </w:lvl>
    <w:lvl w:ilvl="2" w:tentative="0">
      <w:start w:val="1"/>
      <w:numFmt w:val="decimal"/>
      <w:pStyle w:val="110"/>
      <w:suff w:val="space"/>
      <w:lvlText w:val="%1.%2.%3."/>
      <w:lvlJc w:val="left"/>
      <w:pPr>
        <w:ind w:left="1135" w:firstLine="0"/>
      </w:pPr>
      <w:rPr>
        <w:rFonts w:hint="default"/>
        <w:b w:val="0"/>
        <w:i w:val="0"/>
        <w:color w:val="auto"/>
        <w:sz w:val="20"/>
        <w:szCs w:val="20"/>
      </w:rPr>
    </w:lvl>
    <w:lvl w:ilvl="3" w:tentative="0">
      <w:start w:val="1"/>
      <w:numFmt w:val="decimal"/>
      <w:pStyle w:val="112"/>
      <w:suff w:val="space"/>
      <w:lvlText w:val="%1.%2.%3.%4."/>
      <w:lvlJc w:val="left"/>
      <w:pPr>
        <w:ind w:left="1702" w:firstLine="0"/>
      </w:pPr>
      <w:rPr>
        <w:rFonts w:hint="default" w:ascii="Times New Roman" w:hAnsi="Times New Roman" w:cs="Times New Roman"/>
        <w:b w:val="0"/>
        <w:bCs/>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2"/>
  </w:num>
  <w:num w:numId="2">
    <w:abstractNumId w:val="7"/>
  </w:num>
  <w:num w:numId="3">
    <w:abstractNumId w:val="3"/>
  </w:num>
  <w:num w:numId="4">
    <w:abstractNumId w:val="6"/>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06E"/>
    <w:rsid w:val="00001727"/>
    <w:rsid w:val="00002B55"/>
    <w:rsid w:val="000047FF"/>
    <w:rsid w:val="0001108A"/>
    <w:rsid w:val="0002476F"/>
    <w:rsid w:val="00031280"/>
    <w:rsid w:val="000337DD"/>
    <w:rsid w:val="0003551A"/>
    <w:rsid w:val="0004193E"/>
    <w:rsid w:val="00042D77"/>
    <w:rsid w:val="00044F59"/>
    <w:rsid w:val="00046F0A"/>
    <w:rsid w:val="000546F3"/>
    <w:rsid w:val="0005496D"/>
    <w:rsid w:val="0005640F"/>
    <w:rsid w:val="00064B05"/>
    <w:rsid w:val="000666B9"/>
    <w:rsid w:val="00074132"/>
    <w:rsid w:val="00084938"/>
    <w:rsid w:val="00085292"/>
    <w:rsid w:val="00091296"/>
    <w:rsid w:val="00093103"/>
    <w:rsid w:val="000943D7"/>
    <w:rsid w:val="000978D1"/>
    <w:rsid w:val="000C3FF4"/>
    <w:rsid w:val="000D7E65"/>
    <w:rsid w:val="000E355F"/>
    <w:rsid w:val="00115032"/>
    <w:rsid w:val="00117C41"/>
    <w:rsid w:val="00117CB9"/>
    <w:rsid w:val="00126C9A"/>
    <w:rsid w:val="00132AF6"/>
    <w:rsid w:val="00134E13"/>
    <w:rsid w:val="00136938"/>
    <w:rsid w:val="00136F6E"/>
    <w:rsid w:val="00153F3B"/>
    <w:rsid w:val="001573B3"/>
    <w:rsid w:val="00166543"/>
    <w:rsid w:val="001672D9"/>
    <w:rsid w:val="00167314"/>
    <w:rsid w:val="00172E1B"/>
    <w:rsid w:val="00175E95"/>
    <w:rsid w:val="00180B8B"/>
    <w:rsid w:val="001917CC"/>
    <w:rsid w:val="00197CAC"/>
    <w:rsid w:val="001B3FB8"/>
    <w:rsid w:val="001C13C8"/>
    <w:rsid w:val="001C22A8"/>
    <w:rsid w:val="001C53A2"/>
    <w:rsid w:val="001D6836"/>
    <w:rsid w:val="001D7B8A"/>
    <w:rsid w:val="001E2743"/>
    <w:rsid w:val="001E6C6E"/>
    <w:rsid w:val="001F1109"/>
    <w:rsid w:val="001F49CF"/>
    <w:rsid w:val="001F6345"/>
    <w:rsid w:val="00200057"/>
    <w:rsid w:val="002300D2"/>
    <w:rsid w:val="00240649"/>
    <w:rsid w:val="00242F03"/>
    <w:rsid w:val="00243228"/>
    <w:rsid w:val="0024684C"/>
    <w:rsid w:val="00256763"/>
    <w:rsid w:val="00260EAE"/>
    <w:rsid w:val="00261F0F"/>
    <w:rsid w:val="00263F8F"/>
    <w:rsid w:val="00264ADE"/>
    <w:rsid w:val="00276D74"/>
    <w:rsid w:val="00281726"/>
    <w:rsid w:val="00297107"/>
    <w:rsid w:val="002B5B5D"/>
    <w:rsid w:val="002C3652"/>
    <w:rsid w:val="002C58AE"/>
    <w:rsid w:val="002C60CF"/>
    <w:rsid w:val="002D4334"/>
    <w:rsid w:val="002D66FC"/>
    <w:rsid w:val="002D6BF8"/>
    <w:rsid w:val="002E1E69"/>
    <w:rsid w:val="002E797A"/>
    <w:rsid w:val="002F462C"/>
    <w:rsid w:val="00302FD0"/>
    <w:rsid w:val="003106DF"/>
    <w:rsid w:val="00321757"/>
    <w:rsid w:val="00322708"/>
    <w:rsid w:val="00354BAC"/>
    <w:rsid w:val="0036420F"/>
    <w:rsid w:val="003A122E"/>
    <w:rsid w:val="003C606F"/>
    <w:rsid w:val="003D05A9"/>
    <w:rsid w:val="003D1588"/>
    <w:rsid w:val="003D177A"/>
    <w:rsid w:val="003D2EA0"/>
    <w:rsid w:val="003E114B"/>
    <w:rsid w:val="003E6590"/>
    <w:rsid w:val="003F306E"/>
    <w:rsid w:val="004068F8"/>
    <w:rsid w:val="0041299D"/>
    <w:rsid w:val="0041560B"/>
    <w:rsid w:val="00415D44"/>
    <w:rsid w:val="00416E2B"/>
    <w:rsid w:val="00420256"/>
    <w:rsid w:val="004253EA"/>
    <w:rsid w:val="0043458B"/>
    <w:rsid w:val="00436E02"/>
    <w:rsid w:val="00454E42"/>
    <w:rsid w:val="00461DE5"/>
    <w:rsid w:val="0047114A"/>
    <w:rsid w:val="00476260"/>
    <w:rsid w:val="00477786"/>
    <w:rsid w:val="00492280"/>
    <w:rsid w:val="00493819"/>
    <w:rsid w:val="0049763F"/>
    <w:rsid w:val="00497AF6"/>
    <w:rsid w:val="004A1E85"/>
    <w:rsid w:val="004C63EB"/>
    <w:rsid w:val="004D591E"/>
    <w:rsid w:val="004E2B2D"/>
    <w:rsid w:val="004E56E8"/>
    <w:rsid w:val="004E7E4B"/>
    <w:rsid w:val="004F38C4"/>
    <w:rsid w:val="004F662C"/>
    <w:rsid w:val="004F7B84"/>
    <w:rsid w:val="00501A90"/>
    <w:rsid w:val="005251A9"/>
    <w:rsid w:val="0055320B"/>
    <w:rsid w:val="005633E2"/>
    <w:rsid w:val="00565277"/>
    <w:rsid w:val="00565B68"/>
    <w:rsid w:val="00567642"/>
    <w:rsid w:val="00570DF7"/>
    <w:rsid w:val="00575228"/>
    <w:rsid w:val="00581995"/>
    <w:rsid w:val="00585FDB"/>
    <w:rsid w:val="0058624E"/>
    <w:rsid w:val="005A018E"/>
    <w:rsid w:val="005B0D09"/>
    <w:rsid w:val="005B250C"/>
    <w:rsid w:val="005C25FD"/>
    <w:rsid w:val="005C7DCE"/>
    <w:rsid w:val="005D24F4"/>
    <w:rsid w:val="005D7DBE"/>
    <w:rsid w:val="005E09CD"/>
    <w:rsid w:val="00601AB8"/>
    <w:rsid w:val="00601FD3"/>
    <w:rsid w:val="00616503"/>
    <w:rsid w:val="00616BA8"/>
    <w:rsid w:val="00624931"/>
    <w:rsid w:val="00637301"/>
    <w:rsid w:val="006404C6"/>
    <w:rsid w:val="006454C5"/>
    <w:rsid w:val="00645BB7"/>
    <w:rsid w:val="00660E7E"/>
    <w:rsid w:val="00680E06"/>
    <w:rsid w:val="00681CE1"/>
    <w:rsid w:val="0068208C"/>
    <w:rsid w:val="0069381D"/>
    <w:rsid w:val="006A3A82"/>
    <w:rsid w:val="006A3AB0"/>
    <w:rsid w:val="006B19CD"/>
    <w:rsid w:val="006C60D8"/>
    <w:rsid w:val="006D755A"/>
    <w:rsid w:val="006F6348"/>
    <w:rsid w:val="00705122"/>
    <w:rsid w:val="00717DF6"/>
    <w:rsid w:val="00721F1E"/>
    <w:rsid w:val="00724210"/>
    <w:rsid w:val="007432A6"/>
    <w:rsid w:val="00750F6E"/>
    <w:rsid w:val="00761EB1"/>
    <w:rsid w:val="0077566C"/>
    <w:rsid w:val="00776682"/>
    <w:rsid w:val="00777538"/>
    <w:rsid w:val="00781891"/>
    <w:rsid w:val="0079284B"/>
    <w:rsid w:val="00793A6C"/>
    <w:rsid w:val="0079449F"/>
    <w:rsid w:val="007B2B18"/>
    <w:rsid w:val="007B78AE"/>
    <w:rsid w:val="007C1CCF"/>
    <w:rsid w:val="007D54B2"/>
    <w:rsid w:val="007E2818"/>
    <w:rsid w:val="007F70CB"/>
    <w:rsid w:val="0080251D"/>
    <w:rsid w:val="00802B0D"/>
    <w:rsid w:val="00807740"/>
    <w:rsid w:val="008112DD"/>
    <w:rsid w:val="00812B56"/>
    <w:rsid w:val="0081404E"/>
    <w:rsid w:val="00814E10"/>
    <w:rsid w:val="008161FE"/>
    <w:rsid w:val="00825C70"/>
    <w:rsid w:val="00830279"/>
    <w:rsid w:val="00831C20"/>
    <w:rsid w:val="00833722"/>
    <w:rsid w:val="00840B3C"/>
    <w:rsid w:val="00840E0B"/>
    <w:rsid w:val="008427C3"/>
    <w:rsid w:val="008515C8"/>
    <w:rsid w:val="00853326"/>
    <w:rsid w:val="0086051B"/>
    <w:rsid w:val="008977DB"/>
    <w:rsid w:val="008A076D"/>
    <w:rsid w:val="008A1E6F"/>
    <w:rsid w:val="008C07B2"/>
    <w:rsid w:val="008D1BCA"/>
    <w:rsid w:val="008F1FAC"/>
    <w:rsid w:val="008F3B2D"/>
    <w:rsid w:val="008F5F68"/>
    <w:rsid w:val="008F6AEA"/>
    <w:rsid w:val="008F6FE9"/>
    <w:rsid w:val="00901F2D"/>
    <w:rsid w:val="00905190"/>
    <w:rsid w:val="00910F17"/>
    <w:rsid w:val="00913CAF"/>
    <w:rsid w:val="00916A33"/>
    <w:rsid w:val="00932B6F"/>
    <w:rsid w:val="0093434F"/>
    <w:rsid w:val="00935D0A"/>
    <w:rsid w:val="009372B0"/>
    <w:rsid w:val="00940051"/>
    <w:rsid w:val="00947D72"/>
    <w:rsid w:val="00953AA6"/>
    <w:rsid w:val="009549D6"/>
    <w:rsid w:val="009652F2"/>
    <w:rsid w:val="00967CFD"/>
    <w:rsid w:val="009720F9"/>
    <w:rsid w:val="00974582"/>
    <w:rsid w:val="0097493B"/>
    <w:rsid w:val="009861B0"/>
    <w:rsid w:val="009932F0"/>
    <w:rsid w:val="009A1021"/>
    <w:rsid w:val="009A7FA7"/>
    <w:rsid w:val="009B0134"/>
    <w:rsid w:val="009B11D6"/>
    <w:rsid w:val="009D436A"/>
    <w:rsid w:val="009D49ED"/>
    <w:rsid w:val="009E4AB8"/>
    <w:rsid w:val="009F178C"/>
    <w:rsid w:val="009F67F4"/>
    <w:rsid w:val="00A05736"/>
    <w:rsid w:val="00A06FC3"/>
    <w:rsid w:val="00A07671"/>
    <w:rsid w:val="00A15306"/>
    <w:rsid w:val="00A17830"/>
    <w:rsid w:val="00A17C82"/>
    <w:rsid w:val="00A21328"/>
    <w:rsid w:val="00A32E29"/>
    <w:rsid w:val="00A33395"/>
    <w:rsid w:val="00A362C3"/>
    <w:rsid w:val="00A41EAE"/>
    <w:rsid w:val="00A4369C"/>
    <w:rsid w:val="00A5112D"/>
    <w:rsid w:val="00A55C27"/>
    <w:rsid w:val="00A605C5"/>
    <w:rsid w:val="00A64472"/>
    <w:rsid w:val="00A72AA9"/>
    <w:rsid w:val="00A80F0E"/>
    <w:rsid w:val="00A83DF7"/>
    <w:rsid w:val="00AB1451"/>
    <w:rsid w:val="00AB58C1"/>
    <w:rsid w:val="00AB702D"/>
    <w:rsid w:val="00AB7357"/>
    <w:rsid w:val="00AC6054"/>
    <w:rsid w:val="00AD3ECC"/>
    <w:rsid w:val="00AD54D4"/>
    <w:rsid w:val="00AE5A43"/>
    <w:rsid w:val="00B10CC3"/>
    <w:rsid w:val="00B20178"/>
    <w:rsid w:val="00B2062A"/>
    <w:rsid w:val="00B25548"/>
    <w:rsid w:val="00B30D0B"/>
    <w:rsid w:val="00B339D5"/>
    <w:rsid w:val="00B34BDB"/>
    <w:rsid w:val="00B355A6"/>
    <w:rsid w:val="00B36646"/>
    <w:rsid w:val="00B41BDA"/>
    <w:rsid w:val="00B50433"/>
    <w:rsid w:val="00B60101"/>
    <w:rsid w:val="00B63089"/>
    <w:rsid w:val="00B63832"/>
    <w:rsid w:val="00B6755D"/>
    <w:rsid w:val="00B701E2"/>
    <w:rsid w:val="00B70F01"/>
    <w:rsid w:val="00B71173"/>
    <w:rsid w:val="00B731F6"/>
    <w:rsid w:val="00B75E45"/>
    <w:rsid w:val="00B813E0"/>
    <w:rsid w:val="00B83763"/>
    <w:rsid w:val="00B84E83"/>
    <w:rsid w:val="00B85FCD"/>
    <w:rsid w:val="00B94EEA"/>
    <w:rsid w:val="00BA47FF"/>
    <w:rsid w:val="00BA5F7F"/>
    <w:rsid w:val="00BB19B6"/>
    <w:rsid w:val="00BB5645"/>
    <w:rsid w:val="00BB7EAC"/>
    <w:rsid w:val="00BC1EC1"/>
    <w:rsid w:val="00BC2580"/>
    <w:rsid w:val="00BC44C4"/>
    <w:rsid w:val="00BC579A"/>
    <w:rsid w:val="00BC6EF3"/>
    <w:rsid w:val="00BD329F"/>
    <w:rsid w:val="00BE3D2C"/>
    <w:rsid w:val="00BE426C"/>
    <w:rsid w:val="00BE4911"/>
    <w:rsid w:val="00BE543F"/>
    <w:rsid w:val="00BF5711"/>
    <w:rsid w:val="00BF62FF"/>
    <w:rsid w:val="00C07A79"/>
    <w:rsid w:val="00C343F9"/>
    <w:rsid w:val="00C360B7"/>
    <w:rsid w:val="00C42445"/>
    <w:rsid w:val="00C47608"/>
    <w:rsid w:val="00C557EA"/>
    <w:rsid w:val="00C5674C"/>
    <w:rsid w:val="00C62517"/>
    <w:rsid w:val="00C62A71"/>
    <w:rsid w:val="00C81B7E"/>
    <w:rsid w:val="00C87D25"/>
    <w:rsid w:val="00C97ED5"/>
    <w:rsid w:val="00CC1B49"/>
    <w:rsid w:val="00CD281E"/>
    <w:rsid w:val="00CD4DB6"/>
    <w:rsid w:val="00CD7C56"/>
    <w:rsid w:val="00CE4BEB"/>
    <w:rsid w:val="00CF767F"/>
    <w:rsid w:val="00D03E66"/>
    <w:rsid w:val="00D24215"/>
    <w:rsid w:val="00D27F7C"/>
    <w:rsid w:val="00D44898"/>
    <w:rsid w:val="00D65123"/>
    <w:rsid w:val="00D673CE"/>
    <w:rsid w:val="00D90170"/>
    <w:rsid w:val="00D9343D"/>
    <w:rsid w:val="00D9568C"/>
    <w:rsid w:val="00D9648C"/>
    <w:rsid w:val="00DA4283"/>
    <w:rsid w:val="00DA79AE"/>
    <w:rsid w:val="00DB11D9"/>
    <w:rsid w:val="00DD5A11"/>
    <w:rsid w:val="00DE240B"/>
    <w:rsid w:val="00DF6E52"/>
    <w:rsid w:val="00E008CF"/>
    <w:rsid w:val="00E1354B"/>
    <w:rsid w:val="00E1356C"/>
    <w:rsid w:val="00E15C82"/>
    <w:rsid w:val="00E302A1"/>
    <w:rsid w:val="00E33BE2"/>
    <w:rsid w:val="00E37C10"/>
    <w:rsid w:val="00E61C53"/>
    <w:rsid w:val="00E6632E"/>
    <w:rsid w:val="00E668F1"/>
    <w:rsid w:val="00E67FFB"/>
    <w:rsid w:val="00E7583B"/>
    <w:rsid w:val="00E8554F"/>
    <w:rsid w:val="00E85576"/>
    <w:rsid w:val="00E9542E"/>
    <w:rsid w:val="00E95795"/>
    <w:rsid w:val="00E975C8"/>
    <w:rsid w:val="00EA221C"/>
    <w:rsid w:val="00EB0614"/>
    <w:rsid w:val="00EB2425"/>
    <w:rsid w:val="00EB5C39"/>
    <w:rsid w:val="00EC15C9"/>
    <w:rsid w:val="00EC5BC1"/>
    <w:rsid w:val="00ED316C"/>
    <w:rsid w:val="00EF0DE4"/>
    <w:rsid w:val="00EF51C9"/>
    <w:rsid w:val="00F10746"/>
    <w:rsid w:val="00F13D82"/>
    <w:rsid w:val="00F34C41"/>
    <w:rsid w:val="00F371F1"/>
    <w:rsid w:val="00F470C6"/>
    <w:rsid w:val="00F519C4"/>
    <w:rsid w:val="00F66C2E"/>
    <w:rsid w:val="00F72635"/>
    <w:rsid w:val="00F83A9D"/>
    <w:rsid w:val="00F90DC5"/>
    <w:rsid w:val="00F92885"/>
    <w:rsid w:val="00FA11B3"/>
    <w:rsid w:val="00FA30F0"/>
    <w:rsid w:val="00FC11D4"/>
    <w:rsid w:val="00FD7C78"/>
    <w:rsid w:val="00FE52A9"/>
    <w:rsid w:val="00FF38CF"/>
    <w:rsid w:val="00FF7E03"/>
    <w:rsid w:val="01EB1B4B"/>
    <w:rsid w:val="0C7C2DE8"/>
    <w:rsid w:val="609F524C"/>
    <w:rsid w:val="6EC9601E"/>
    <w:rsid w:val="700A684B"/>
    <w:rsid w:val="7266063B"/>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semiHidden="0" w:name="Body Text 3"/>
    <w:lsdException w:unhideWhenUsed="0" w:uiPriority="0" w:semiHidden="0" w:name="Body Text Indent 2"/>
    <w:lsdException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0" w:semiHidden="0" w:name="List Paragraph"/>
  </w:latentStyles>
  <w:style w:type="paragraph" w:default="1" w:styleId="1">
    <w:name w:val="Normal"/>
    <w:qFormat/>
    <w:uiPriority w:val="0"/>
    <w:rPr>
      <w:rFonts w:ascii="Times New Roman" w:hAnsi="Times New Roman" w:eastAsia="Times New Roman" w:cs="Times New Roman"/>
      <w:lang w:val="pt-BR" w:eastAsia="pt-BR" w:bidi="ar-SA"/>
    </w:rPr>
  </w:style>
  <w:style w:type="paragraph" w:styleId="2">
    <w:name w:val="heading 1"/>
    <w:basedOn w:val="1"/>
    <w:next w:val="1"/>
    <w:link w:val="38"/>
    <w:qFormat/>
    <w:uiPriority w:val="0"/>
    <w:pPr>
      <w:keepNext/>
      <w:keepLines/>
      <w:spacing w:before="480" w:after="120"/>
      <w:outlineLvl w:val="0"/>
    </w:pPr>
    <w:rPr>
      <w:b/>
      <w:sz w:val="48"/>
      <w:szCs w:val="48"/>
    </w:rPr>
  </w:style>
  <w:style w:type="paragraph" w:styleId="3">
    <w:name w:val="heading 2"/>
    <w:basedOn w:val="1"/>
    <w:next w:val="1"/>
    <w:link w:val="39"/>
    <w:unhideWhenUsed/>
    <w:qFormat/>
    <w:uiPriority w:val="0"/>
    <w:pPr>
      <w:keepNext/>
      <w:keepLines/>
      <w:spacing w:before="360" w:after="80"/>
      <w:outlineLvl w:val="1"/>
    </w:pPr>
    <w:rPr>
      <w:b/>
      <w:sz w:val="36"/>
      <w:szCs w:val="36"/>
    </w:rPr>
  </w:style>
  <w:style w:type="paragraph" w:styleId="4">
    <w:name w:val="heading 3"/>
    <w:basedOn w:val="1"/>
    <w:next w:val="1"/>
    <w:link w:val="40"/>
    <w:unhideWhenUsed/>
    <w:qFormat/>
    <w:uiPriority w:val="0"/>
    <w:pPr>
      <w:keepNext/>
      <w:keepLines/>
      <w:spacing w:before="280" w:after="80"/>
      <w:outlineLvl w:val="2"/>
    </w:pPr>
    <w:rPr>
      <w:b/>
      <w:sz w:val="28"/>
      <w:szCs w:val="28"/>
    </w:rPr>
  </w:style>
  <w:style w:type="paragraph" w:styleId="5">
    <w:name w:val="heading 4"/>
    <w:basedOn w:val="1"/>
    <w:next w:val="1"/>
    <w:link w:val="41"/>
    <w:unhideWhenUsed/>
    <w:qFormat/>
    <w:uiPriority w:val="0"/>
    <w:pPr>
      <w:keepNext/>
      <w:keepLines/>
      <w:spacing w:before="240" w:after="40"/>
      <w:outlineLvl w:val="3"/>
    </w:pPr>
    <w:rPr>
      <w:b/>
      <w:sz w:val="24"/>
      <w:szCs w:val="24"/>
    </w:rPr>
  </w:style>
  <w:style w:type="paragraph" w:styleId="6">
    <w:name w:val="heading 5"/>
    <w:basedOn w:val="1"/>
    <w:next w:val="1"/>
    <w:link w:val="42"/>
    <w:unhideWhenUsed/>
    <w:qFormat/>
    <w:uiPriority w:val="0"/>
    <w:pPr>
      <w:keepNext/>
      <w:keepLines/>
      <w:spacing w:before="220" w:after="40"/>
      <w:outlineLvl w:val="4"/>
    </w:pPr>
    <w:rPr>
      <w:b/>
      <w:sz w:val="22"/>
      <w:szCs w:val="22"/>
    </w:rPr>
  </w:style>
  <w:style w:type="paragraph" w:styleId="7">
    <w:name w:val="heading 6"/>
    <w:basedOn w:val="1"/>
    <w:next w:val="1"/>
    <w:link w:val="43"/>
    <w:unhideWhenUsed/>
    <w:qFormat/>
    <w:uiPriority w:val="0"/>
    <w:pPr>
      <w:keepNext/>
      <w:keepLines/>
      <w:spacing w:before="200" w:after="40"/>
      <w:outlineLvl w:val="5"/>
    </w:pPr>
    <w:rPr>
      <w:b/>
    </w:rPr>
  </w:style>
  <w:style w:type="paragraph" w:styleId="8">
    <w:name w:val="heading 7"/>
    <w:basedOn w:val="1"/>
    <w:next w:val="1"/>
    <w:link w:val="44"/>
    <w:qFormat/>
    <w:uiPriority w:val="0"/>
    <w:pPr>
      <w:keepNext/>
      <w:keepLines/>
      <w:widowControl w:val="0"/>
      <w:suppressAutoHyphens/>
      <w:autoSpaceDN w:val="0"/>
      <w:spacing w:before="40"/>
      <w:textAlignment w:val="baseline"/>
      <w:outlineLvl w:val="6"/>
    </w:pPr>
    <w:rPr>
      <w:rFonts w:ascii="Calibri Light" w:hAnsi="Calibri Light"/>
      <w:i/>
      <w:iCs/>
      <w:color w:val="1F3763"/>
      <w:sz w:val="22"/>
      <w:szCs w:val="22"/>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qFormat/>
    <w:uiPriority w:val="0"/>
    <w:rPr>
      <w:b/>
      <w:bCs/>
    </w:rPr>
  </w:style>
  <w:style w:type="character" w:styleId="12">
    <w:name w:val="annotation reference"/>
    <w:basedOn w:val="9"/>
    <w:unhideWhenUsed/>
    <w:qFormat/>
    <w:uiPriority w:val="0"/>
    <w:rPr>
      <w:sz w:val="16"/>
      <w:szCs w:val="16"/>
    </w:rPr>
  </w:style>
  <w:style w:type="character" w:styleId="13">
    <w:name w:val="FollowedHyperlink"/>
    <w:basedOn w:val="9"/>
    <w:semiHidden/>
    <w:unhideWhenUsed/>
    <w:qFormat/>
    <w:uiPriority w:val="99"/>
    <w:rPr>
      <w:color w:val="954F72"/>
      <w:u w:val="single"/>
    </w:rPr>
  </w:style>
  <w:style w:type="character" w:styleId="14">
    <w:name w:val="Emphasis"/>
    <w:qFormat/>
    <w:uiPriority w:val="20"/>
    <w:rPr>
      <w:i/>
      <w:iCs/>
    </w:rPr>
  </w:style>
  <w:style w:type="character" w:styleId="15">
    <w:name w:val="footnote reference"/>
    <w:basedOn w:val="9"/>
    <w:unhideWhenUsed/>
    <w:qFormat/>
    <w:uiPriority w:val="99"/>
    <w:rPr>
      <w:vertAlign w:val="superscript"/>
    </w:rPr>
  </w:style>
  <w:style w:type="character" w:styleId="16">
    <w:name w:val="Hyperlink"/>
    <w:basedOn w:val="9"/>
    <w:unhideWhenUsed/>
    <w:qFormat/>
    <w:uiPriority w:val="99"/>
    <w:rPr>
      <w:color w:val="0000FF"/>
      <w:u w:val="single"/>
    </w:rPr>
  </w:style>
  <w:style w:type="paragraph" w:styleId="17">
    <w:name w:val="List"/>
    <w:basedOn w:val="18"/>
    <w:qFormat/>
    <w:uiPriority w:val="0"/>
    <w:rPr>
      <w:rFonts w:cs="Mangal"/>
    </w:rPr>
  </w:style>
  <w:style w:type="paragraph" w:customStyle="1" w:styleId="18">
    <w:name w:val="Text body"/>
    <w:basedOn w:val="19"/>
    <w:qFormat/>
    <w:uiPriority w:val="0"/>
    <w:pPr>
      <w:spacing w:after="140" w:line="276" w:lineRule="auto"/>
    </w:pPr>
  </w:style>
  <w:style w:type="paragraph" w:customStyle="1" w:styleId="19">
    <w:name w:val="Standard"/>
    <w:qFormat/>
    <w:uiPriority w:val="0"/>
    <w:pPr>
      <w:suppressAutoHyphens/>
      <w:autoSpaceDN w:val="0"/>
      <w:spacing w:after="62" w:line="348" w:lineRule="auto"/>
      <w:ind w:left="10" w:right="16" w:hanging="10"/>
      <w:jc w:val="both"/>
      <w:textAlignment w:val="baseline"/>
    </w:pPr>
    <w:rPr>
      <w:rFonts w:ascii="Liberation Serif" w:hAnsi="Liberation Serif" w:eastAsia="Liberation Serif" w:cs="Liberation Serif"/>
      <w:color w:val="000000"/>
      <w:sz w:val="24"/>
      <w:szCs w:val="22"/>
      <w:lang w:val="pt-BR" w:eastAsia="pt-BR" w:bidi="ar-SA"/>
    </w:rPr>
  </w:style>
  <w:style w:type="paragraph" w:styleId="20">
    <w:name w:val="Body Text"/>
    <w:basedOn w:val="1"/>
    <w:link w:val="45"/>
    <w:qFormat/>
    <w:uiPriority w:val="1"/>
    <w:pPr>
      <w:widowControl w:val="0"/>
      <w:suppressAutoHyphens/>
    </w:pPr>
    <w:rPr>
      <w:rFonts w:ascii="Arial" w:hAnsi="Arial" w:eastAsia="Arial" w:cs="Arial"/>
      <w:sz w:val="24"/>
      <w:szCs w:val="24"/>
      <w:lang w:val="pt-PT" w:eastAsia="en-US"/>
    </w:rPr>
  </w:style>
  <w:style w:type="paragraph" w:styleId="21">
    <w:name w:val="annotation text"/>
    <w:basedOn w:val="1"/>
    <w:link w:val="46"/>
    <w:unhideWhenUsed/>
    <w:qFormat/>
    <w:uiPriority w:val="0"/>
    <w:pPr>
      <w:suppressAutoHyphens/>
    </w:pPr>
    <w:rPr>
      <w:rFonts w:ascii="Calibri" w:hAnsi="Calibri" w:eastAsia="Calibri"/>
      <w:lang w:val="en-US" w:eastAsia="zh-CN"/>
    </w:rPr>
  </w:style>
  <w:style w:type="paragraph" w:styleId="22">
    <w:name w:val="Body Text Indent 2"/>
    <w:basedOn w:val="1"/>
    <w:link w:val="47"/>
    <w:uiPriority w:val="0"/>
    <w:pPr>
      <w:spacing w:after="120" w:line="480" w:lineRule="auto"/>
      <w:ind w:left="283"/>
    </w:pPr>
    <w:rPr>
      <w:sz w:val="24"/>
      <w:szCs w:val="24"/>
    </w:rPr>
  </w:style>
  <w:style w:type="paragraph" w:styleId="23">
    <w:name w:val="Title"/>
    <w:basedOn w:val="1"/>
    <w:next w:val="1"/>
    <w:link w:val="48"/>
    <w:qFormat/>
    <w:uiPriority w:val="0"/>
    <w:pPr>
      <w:keepNext/>
      <w:keepLines/>
      <w:spacing w:before="480" w:after="120"/>
    </w:pPr>
    <w:rPr>
      <w:b/>
      <w:sz w:val="72"/>
      <w:szCs w:val="72"/>
    </w:rPr>
  </w:style>
  <w:style w:type="paragraph" w:styleId="24">
    <w:name w:val="Normal (Web)"/>
    <w:basedOn w:val="1"/>
    <w:unhideWhenUsed/>
    <w:qFormat/>
    <w:uiPriority w:val="0"/>
    <w:pPr>
      <w:spacing w:before="100" w:beforeAutospacing="1" w:after="100" w:afterAutospacing="1"/>
    </w:pPr>
    <w:rPr>
      <w:sz w:val="24"/>
      <w:szCs w:val="24"/>
    </w:rPr>
  </w:style>
  <w:style w:type="paragraph" w:styleId="25">
    <w:name w:val="Body Text 3"/>
    <w:basedOn w:val="1"/>
    <w:link w:val="49"/>
    <w:unhideWhenUsed/>
    <w:uiPriority w:val="99"/>
    <w:pPr>
      <w:spacing w:after="120" w:line="259" w:lineRule="auto"/>
    </w:pPr>
    <w:rPr>
      <w:rFonts w:asciiTheme="minorHAnsi" w:hAnsiTheme="minorHAnsi" w:eastAsiaTheme="minorHAnsi" w:cstheme="minorBidi"/>
      <w:sz w:val="16"/>
      <w:szCs w:val="16"/>
      <w:lang w:eastAsia="en-US"/>
    </w:rPr>
  </w:style>
  <w:style w:type="paragraph" w:styleId="26">
    <w:name w:val="HTML Preformatted"/>
    <w:basedOn w:val="1"/>
    <w:link w:val="50"/>
    <w:semiHidden/>
    <w:unhideWhenUsed/>
    <w:qFormat/>
    <w:uiPriority w:val="99"/>
    <w:rPr>
      <w:rFonts w:ascii="Consolas" w:hAnsi="Consolas" w:eastAsiaTheme="minorHAnsi" w:cstheme="minorBidi"/>
      <w:kern w:val="2"/>
      <w:lang w:eastAsia="en-US"/>
      <w14:ligatures w14:val="standardContextual"/>
    </w:rPr>
  </w:style>
  <w:style w:type="paragraph" w:styleId="27">
    <w:name w:val="header"/>
    <w:basedOn w:val="1"/>
    <w:link w:val="51"/>
    <w:qFormat/>
    <w:uiPriority w:val="99"/>
    <w:pPr>
      <w:tabs>
        <w:tab w:val="center" w:pos="4419"/>
        <w:tab w:val="right" w:pos="8838"/>
      </w:tabs>
    </w:pPr>
  </w:style>
  <w:style w:type="paragraph" w:styleId="28">
    <w:name w:val="annotation subject"/>
    <w:basedOn w:val="21"/>
    <w:next w:val="21"/>
    <w:link w:val="52"/>
    <w:unhideWhenUsed/>
    <w:uiPriority w:val="0"/>
    <w:pPr>
      <w:suppressAutoHyphens w:val="0"/>
      <w:spacing w:after="160"/>
    </w:pPr>
    <w:rPr>
      <w:rFonts w:asciiTheme="minorHAnsi" w:hAnsiTheme="minorHAnsi" w:eastAsiaTheme="minorHAnsi" w:cstheme="minorBidi"/>
      <w:b/>
      <w:bCs/>
      <w:lang w:val="pt-BR" w:eastAsia="en-US"/>
    </w:rPr>
  </w:style>
  <w:style w:type="paragraph" w:styleId="29">
    <w:name w:val="footer"/>
    <w:basedOn w:val="1"/>
    <w:link w:val="54"/>
    <w:unhideWhenUsed/>
    <w:qFormat/>
    <w:uiPriority w:val="99"/>
    <w:pPr>
      <w:tabs>
        <w:tab w:val="center" w:pos="4252"/>
        <w:tab w:val="right" w:pos="8504"/>
      </w:tabs>
    </w:pPr>
  </w:style>
  <w:style w:type="paragraph" w:styleId="30">
    <w:name w:val="caption"/>
    <w:basedOn w:val="1"/>
    <w:next w:val="1"/>
    <w:unhideWhenUsed/>
    <w:qFormat/>
    <w:uiPriority w:val="0"/>
    <w:pPr>
      <w:spacing w:after="200"/>
    </w:pPr>
    <w:rPr>
      <w:rFonts w:ascii="Calibri" w:hAnsi="Calibri" w:eastAsia="Calibri" w:cs="Calibri"/>
      <w:i/>
      <w:iCs/>
      <w:color w:val="1F497D" w:themeColor="text2"/>
      <w:sz w:val="18"/>
      <w:szCs w:val="18"/>
      <w14:textFill>
        <w14:solidFill>
          <w14:schemeClr w14:val="tx2"/>
        </w14:solidFill>
      </w14:textFill>
    </w:rPr>
  </w:style>
  <w:style w:type="paragraph" w:styleId="31">
    <w:name w:val="Body Text Indent 3"/>
    <w:basedOn w:val="1"/>
    <w:link w:val="55"/>
    <w:uiPriority w:val="0"/>
    <w:pPr>
      <w:spacing w:line="360" w:lineRule="auto"/>
      <w:ind w:firstLine="2552"/>
      <w:jc w:val="both"/>
    </w:pPr>
    <w:rPr>
      <w:rFonts w:ascii="Arial" w:hAnsi="Arial"/>
      <w:sz w:val="24"/>
    </w:rPr>
  </w:style>
  <w:style w:type="paragraph" w:styleId="32">
    <w:name w:val="Balloon Text"/>
    <w:basedOn w:val="1"/>
    <w:link w:val="56"/>
    <w:unhideWhenUsed/>
    <w:qFormat/>
    <w:uiPriority w:val="99"/>
    <w:rPr>
      <w:rFonts w:ascii="Segoe UI" w:hAnsi="Segoe UI" w:cs="Segoe UI" w:eastAsiaTheme="minorHAnsi"/>
      <w:sz w:val="18"/>
      <w:szCs w:val="18"/>
      <w:lang w:eastAsia="en-US"/>
    </w:rPr>
  </w:style>
  <w:style w:type="paragraph" w:styleId="33">
    <w:name w:val="Subtitle"/>
    <w:basedOn w:val="1"/>
    <w:next w:val="1"/>
    <w:link w:val="57"/>
    <w:qFormat/>
    <w:uiPriority w:val="11"/>
    <w:pPr>
      <w:keepNext/>
      <w:keepLines/>
      <w:spacing w:before="360" w:after="80"/>
    </w:pPr>
    <w:rPr>
      <w:rFonts w:ascii="Georgia" w:hAnsi="Georgia" w:eastAsia="Georgia" w:cs="Georgia"/>
      <w:i/>
      <w:color w:val="666666"/>
      <w:sz w:val="48"/>
      <w:szCs w:val="48"/>
    </w:rPr>
  </w:style>
  <w:style w:type="paragraph" w:styleId="34">
    <w:name w:val="footnote text"/>
    <w:basedOn w:val="1"/>
    <w:link w:val="58"/>
    <w:unhideWhenUsed/>
    <w:uiPriority w:val="99"/>
    <w:rPr>
      <w:rFonts w:asciiTheme="minorHAnsi" w:hAnsiTheme="minorHAnsi" w:eastAsiaTheme="minorHAnsi" w:cstheme="minorBidi"/>
      <w:lang w:eastAsia="en-US"/>
    </w:rPr>
  </w:style>
  <w:style w:type="paragraph" w:styleId="35">
    <w:name w:val="List Bullet"/>
    <w:basedOn w:val="1"/>
    <w:unhideWhenUsed/>
    <w:qFormat/>
    <w:uiPriority w:val="99"/>
    <w:pPr>
      <w:numPr>
        <w:ilvl w:val="0"/>
        <w:numId w:val="1"/>
      </w:numPr>
      <w:spacing w:after="160" w:line="259" w:lineRule="auto"/>
      <w:contextualSpacing/>
    </w:pPr>
    <w:rPr>
      <w:rFonts w:asciiTheme="minorHAnsi" w:hAnsiTheme="minorHAnsi" w:eastAsiaTheme="minorHAnsi" w:cstheme="minorBidi"/>
      <w:sz w:val="22"/>
      <w:szCs w:val="22"/>
      <w:lang w:eastAsia="en-US"/>
    </w:rPr>
  </w:style>
  <w:style w:type="paragraph" w:styleId="36">
    <w:name w:val="Body Text Indent"/>
    <w:basedOn w:val="1"/>
    <w:link w:val="59"/>
    <w:unhideWhenUsed/>
    <w:uiPriority w:val="0"/>
    <w:pPr>
      <w:widowControl w:val="0"/>
      <w:autoSpaceDE w:val="0"/>
      <w:autoSpaceDN w:val="0"/>
      <w:spacing w:after="120"/>
      <w:ind w:left="283"/>
    </w:pPr>
    <w:rPr>
      <w:rFonts w:ascii="Century Gothic" w:hAnsi="Century Gothic" w:eastAsia="Century Gothic" w:cs="Century Gothic"/>
      <w:sz w:val="22"/>
      <w:szCs w:val="22"/>
      <w:lang w:val="pt-PT" w:eastAsia="en-US"/>
    </w:rPr>
  </w:style>
  <w:style w:type="table" w:styleId="37">
    <w:name w:val="Table Grid"/>
    <w:basedOn w:val="10"/>
    <w:qFormat/>
    <w:uiPriority w:val="5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
    <w:name w:val="Título 1 Char"/>
    <w:basedOn w:val="9"/>
    <w:link w:val="2"/>
    <w:qFormat/>
    <w:uiPriority w:val="0"/>
    <w:rPr>
      <w:b/>
      <w:sz w:val="48"/>
      <w:szCs w:val="48"/>
    </w:rPr>
  </w:style>
  <w:style w:type="character" w:customStyle="1" w:styleId="39">
    <w:name w:val="Título 2 Char"/>
    <w:basedOn w:val="9"/>
    <w:link w:val="3"/>
    <w:qFormat/>
    <w:uiPriority w:val="0"/>
    <w:rPr>
      <w:b/>
      <w:sz w:val="36"/>
      <w:szCs w:val="36"/>
    </w:rPr>
  </w:style>
  <w:style w:type="character" w:customStyle="1" w:styleId="40">
    <w:name w:val="Título 3 Char"/>
    <w:basedOn w:val="9"/>
    <w:link w:val="4"/>
    <w:qFormat/>
    <w:uiPriority w:val="0"/>
    <w:rPr>
      <w:b/>
      <w:sz w:val="28"/>
      <w:szCs w:val="28"/>
    </w:rPr>
  </w:style>
  <w:style w:type="character" w:customStyle="1" w:styleId="41">
    <w:name w:val="Título 4 Char"/>
    <w:basedOn w:val="9"/>
    <w:link w:val="5"/>
    <w:qFormat/>
    <w:uiPriority w:val="0"/>
    <w:rPr>
      <w:b/>
      <w:sz w:val="24"/>
      <w:szCs w:val="24"/>
    </w:rPr>
  </w:style>
  <w:style w:type="character" w:customStyle="1" w:styleId="42">
    <w:name w:val="Título 5 Char"/>
    <w:basedOn w:val="9"/>
    <w:link w:val="6"/>
    <w:qFormat/>
    <w:uiPriority w:val="0"/>
    <w:rPr>
      <w:b/>
      <w:sz w:val="22"/>
      <w:szCs w:val="22"/>
    </w:rPr>
  </w:style>
  <w:style w:type="character" w:customStyle="1" w:styleId="43">
    <w:name w:val="Título 6 Char"/>
    <w:basedOn w:val="9"/>
    <w:link w:val="7"/>
    <w:qFormat/>
    <w:uiPriority w:val="0"/>
    <w:rPr>
      <w:b/>
    </w:rPr>
  </w:style>
  <w:style w:type="character" w:customStyle="1" w:styleId="44">
    <w:name w:val="Título 7 Char"/>
    <w:basedOn w:val="9"/>
    <w:link w:val="8"/>
    <w:qFormat/>
    <w:uiPriority w:val="0"/>
    <w:rPr>
      <w:rFonts w:ascii="Calibri Light" w:hAnsi="Calibri Light"/>
      <w:i/>
      <w:iCs/>
      <w:color w:val="1F3763"/>
      <w:sz w:val="22"/>
      <w:szCs w:val="22"/>
    </w:rPr>
  </w:style>
  <w:style w:type="character" w:customStyle="1" w:styleId="45">
    <w:name w:val="Corpo de texto Char"/>
    <w:basedOn w:val="9"/>
    <w:link w:val="20"/>
    <w:uiPriority w:val="1"/>
    <w:rPr>
      <w:rFonts w:ascii="Arial" w:hAnsi="Arial" w:eastAsia="Arial" w:cs="Arial"/>
      <w:sz w:val="24"/>
      <w:szCs w:val="24"/>
      <w:lang w:val="pt-PT" w:eastAsia="en-US"/>
    </w:rPr>
  </w:style>
  <w:style w:type="character" w:customStyle="1" w:styleId="46">
    <w:name w:val="Texto de comentário Char"/>
    <w:basedOn w:val="9"/>
    <w:link w:val="21"/>
    <w:qFormat/>
    <w:uiPriority w:val="0"/>
    <w:rPr>
      <w:rFonts w:ascii="Calibri" w:hAnsi="Calibri" w:eastAsia="Calibri"/>
      <w:lang w:val="en-US" w:eastAsia="zh-CN"/>
    </w:rPr>
  </w:style>
  <w:style w:type="character" w:customStyle="1" w:styleId="47">
    <w:name w:val="Recuo de corpo de texto 2 Char"/>
    <w:basedOn w:val="9"/>
    <w:link w:val="22"/>
    <w:qFormat/>
    <w:uiPriority w:val="0"/>
    <w:rPr>
      <w:sz w:val="24"/>
      <w:szCs w:val="24"/>
    </w:rPr>
  </w:style>
  <w:style w:type="character" w:customStyle="1" w:styleId="48">
    <w:name w:val="Título Char"/>
    <w:basedOn w:val="9"/>
    <w:link w:val="23"/>
    <w:qFormat/>
    <w:uiPriority w:val="0"/>
    <w:rPr>
      <w:b/>
      <w:sz w:val="72"/>
      <w:szCs w:val="72"/>
    </w:rPr>
  </w:style>
  <w:style w:type="character" w:customStyle="1" w:styleId="49">
    <w:name w:val="Corpo de texto 3 Char"/>
    <w:basedOn w:val="9"/>
    <w:link w:val="25"/>
    <w:uiPriority w:val="99"/>
    <w:rPr>
      <w:rFonts w:asciiTheme="minorHAnsi" w:hAnsiTheme="minorHAnsi" w:eastAsiaTheme="minorHAnsi" w:cstheme="minorBidi"/>
      <w:sz w:val="16"/>
      <w:szCs w:val="16"/>
      <w:lang w:eastAsia="en-US"/>
    </w:rPr>
  </w:style>
  <w:style w:type="character" w:customStyle="1" w:styleId="50">
    <w:name w:val="Pré-formatação HTML Char"/>
    <w:basedOn w:val="9"/>
    <w:link w:val="26"/>
    <w:semiHidden/>
    <w:qFormat/>
    <w:uiPriority w:val="99"/>
    <w:rPr>
      <w:rFonts w:ascii="Consolas" w:hAnsi="Consolas" w:eastAsiaTheme="minorHAnsi" w:cstheme="minorBidi"/>
      <w:kern w:val="2"/>
      <w:lang w:eastAsia="en-US"/>
      <w14:ligatures w14:val="standardContextual"/>
    </w:rPr>
  </w:style>
  <w:style w:type="character" w:customStyle="1" w:styleId="51">
    <w:name w:val="Cabeçalho Char"/>
    <w:basedOn w:val="9"/>
    <w:link w:val="27"/>
    <w:qFormat/>
    <w:uiPriority w:val="99"/>
    <w:rPr>
      <w:rFonts w:ascii="Times New Roman" w:hAnsi="Times New Roman" w:eastAsia="Times New Roman" w:cs="Times New Roman"/>
      <w:sz w:val="20"/>
      <w:szCs w:val="20"/>
      <w:lang w:eastAsia="pt-BR"/>
    </w:rPr>
  </w:style>
  <w:style w:type="character" w:customStyle="1" w:styleId="52">
    <w:name w:val="Assunto do comentário Char"/>
    <w:basedOn w:val="53"/>
    <w:link w:val="28"/>
    <w:uiPriority w:val="0"/>
    <w:rPr>
      <w:rFonts w:asciiTheme="minorHAnsi" w:hAnsiTheme="minorHAnsi" w:eastAsiaTheme="minorHAnsi" w:cstheme="minorBidi"/>
      <w:b/>
      <w:bCs/>
      <w:lang w:eastAsia="en-US"/>
    </w:rPr>
  </w:style>
  <w:style w:type="character" w:customStyle="1" w:styleId="53">
    <w:name w:val="Texto de comentário Char1"/>
    <w:basedOn w:val="9"/>
    <w:semiHidden/>
    <w:uiPriority w:val="99"/>
  </w:style>
  <w:style w:type="character" w:customStyle="1" w:styleId="54">
    <w:name w:val="Rodapé Char"/>
    <w:basedOn w:val="9"/>
    <w:link w:val="29"/>
    <w:qFormat/>
    <w:uiPriority w:val="99"/>
    <w:rPr>
      <w:rFonts w:ascii="Times New Roman" w:hAnsi="Times New Roman" w:eastAsia="Times New Roman" w:cs="Times New Roman"/>
      <w:sz w:val="20"/>
      <w:szCs w:val="20"/>
      <w:lang w:eastAsia="pt-BR"/>
    </w:rPr>
  </w:style>
  <w:style w:type="character" w:customStyle="1" w:styleId="55">
    <w:name w:val="Recuo de corpo de texto 3 Char"/>
    <w:basedOn w:val="9"/>
    <w:link w:val="31"/>
    <w:uiPriority w:val="0"/>
    <w:rPr>
      <w:rFonts w:ascii="Arial" w:hAnsi="Arial"/>
      <w:sz w:val="24"/>
    </w:rPr>
  </w:style>
  <w:style w:type="character" w:customStyle="1" w:styleId="56">
    <w:name w:val="Texto de balão Char"/>
    <w:basedOn w:val="9"/>
    <w:link w:val="32"/>
    <w:qFormat/>
    <w:uiPriority w:val="99"/>
    <w:rPr>
      <w:rFonts w:ascii="Segoe UI" w:hAnsi="Segoe UI" w:cs="Segoe UI" w:eastAsiaTheme="minorHAnsi"/>
      <w:sz w:val="18"/>
      <w:szCs w:val="18"/>
      <w:lang w:eastAsia="en-US"/>
    </w:rPr>
  </w:style>
  <w:style w:type="character" w:customStyle="1" w:styleId="57">
    <w:name w:val="Subtítulo Char"/>
    <w:basedOn w:val="9"/>
    <w:link w:val="33"/>
    <w:qFormat/>
    <w:uiPriority w:val="11"/>
    <w:rPr>
      <w:rFonts w:ascii="Georgia" w:hAnsi="Georgia" w:eastAsia="Georgia" w:cs="Georgia"/>
      <w:i/>
      <w:color w:val="666666"/>
      <w:sz w:val="48"/>
      <w:szCs w:val="48"/>
    </w:rPr>
  </w:style>
  <w:style w:type="character" w:customStyle="1" w:styleId="58">
    <w:name w:val="Texto de nota de rodapé Char"/>
    <w:basedOn w:val="9"/>
    <w:link w:val="34"/>
    <w:uiPriority w:val="99"/>
    <w:rPr>
      <w:rFonts w:asciiTheme="minorHAnsi" w:hAnsiTheme="minorHAnsi" w:eastAsiaTheme="minorHAnsi" w:cstheme="minorBidi"/>
      <w:lang w:eastAsia="en-US"/>
    </w:rPr>
  </w:style>
  <w:style w:type="character" w:customStyle="1" w:styleId="59">
    <w:name w:val="Recuo de corpo de texto Char"/>
    <w:basedOn w:val="9"/>
    <w:link w:val="36"/>
    <w:uiPriority w:val="0"/>
    <w:rPr>
      <w:rFonts w:ascii="Century Gothic" w:hAnsi="Century Gothic" w:eastAsia="Century Gothic" w:cs="Century Gothic"/>
      <w:sz w:val="22"/>
      <w:szCs w:val="22"/>
      <w:lang w:val="pt-PT" w:eastAsia="en-US"/>
    </w:rPr>
  </w:style>
  <w:style w:type="table" w:customStyle="1" w:styleId="60">
    <w:name w:val="Table Normal"/>
    <w:qFormat/>
    <w:uiPriority w:val="0"/>
    <w:tblPr>
      <w:tblCellMar>
        <w:top w:w="0" w:type="dxa"/>
        <w:left w:w="0" w:type="dxa"/>
        <w:bottom w:w="0" w:type="dxa"/>
        <w:right w:w="0" w:type="dxa"/>
      </w:tblCellMar>
    </w:tblPr>
  </w:style>
  <w:style w:type="paragraph" w:styleId="61">
    <w:name w:val="List Paragraph"/>
    <w:basedOn w:val="1"/>
    <w:link w:val="62"/>
    <w:qFormat/>
    <w:uiPriority w:val="0"/>
    <w:pPr>
      <w:ind w:left="720"/>
      <w:contextualSpacing/>
    </w:pPr>
  </w:style>
  <w:style w:type="character" w:customStyle="1" w:styleId="62">
    <w:name w:val="Parágrafo da Lista Char"/>
    <w:link w:val="61"/>
    <w:qFormat/>
    <w:uiPriority w:val="1"/>
  </w:style>
  <w:style w:type="table" w:customStyle="1" w:styleId="63">
    <w:name w:val="_Style 17"/>
    <w:basedOn w:val="60"/>
    <w:uiPriority w:val="0"/>
    <w:tblPr>
      <w:tblCellMar>
        <w:left w:w="115" w:type="dxa"/>
        <w:right w:w="115" w:type="dxa"/>
      </w:tblCellMar>
    </w:tblPr>
  </w:style>
  <w:style w:type="table" w:customStyle="1" w:styleId="64">
    <w:name w:val="_Style 18"/>
    <w:basedOn w:val="60"/>
    <w:uiPriority w:val="0"/>
    <w:tblPr>
      <w:tblCellMar>
        <w:left w:w="115" w:type="dxa"/>
        <w:right w:w="115" w:type="dxa"/>
      </w:tblCellMar>
    </w:tblPr>
  </w:style>
  <w:style w:type="table" w:customStyle="1" w:styleId="65">
    <w:name w:val="_Style 19"/>
    <w:basedOn w:val="60"/>
    <w:uiPriority w:val="0"/>
    <w:tblPr>
      <w:tblCellMar>
        <w:left w:w="115" w:type="dxa"/>
        <w:right w:w="115" w:type="dxa"/>
      </w:tblCellMar>
    </w:tblPr>
  </w:style>
  <w:style w:type="table" w:customStyle="1" w:styleId="66">
    <w:name w:val="_Style 20"/>
    <w:basedOn w:val="60"/>
    <w:uiPriority w:val="0"/>
    <w:tblPr>
      <w:tblCellMar>
        <w:left w:w="115" w:type="dxa"/>
        <w:right w:w="115" w:type="dxa"/>
      </w:tblCellMar>
    </w:tblPr>
  </w:style>
  <w:style w:type="table" w:customStyle="1" w:styleId="67">
    <w:name w:val="_Style 21"/>
    <w:basedOn w:val="60"/>
    <w:uiPriority w:val="0"/>
    <w:tblPr>
      <w:tblCellMar>
        <w:left w:w="115" w:type="dxa"/>
        <w:right w:w="115" w:type="dxa"/>
      </w:tblCellMar>
    </w:tblPr>
  </w:style>
  <w:style w:type="table" w:customStyle="1" w:styleId="68">
    <w:name w:val="_Style 22"/>
    <w:basedOn w:val="60"/>
    <w:uiPriority w:val="0"/>
    <w:tblPr>
      <w:tblCellMar>
        <w:left w:w="115" w:type="dxa"/>
        <w:right w:w="115" w:type="dxa"/>
      </w:tblCellMar>
    </w:tblPr>
  </w:style>
  <w:style w:type="table" w:customStyle="1" w:styleId="69">
    <w:name w:val="_Style 23"/>
    <w:basedOn w:val="60"/>
    <w:uiPriority w:val="0"/>
    <w:tblPr>
      <w:tblCellMar>
        <w:left w:w="70" w:type="dxa"/>
        <w:right w:w="70" w:type="dxa"/>
      </w:tblCellMar>
    </w:tblPr>
  </w:style>
  <w:style w:type="paragraph" w:customStyle="1" w:styleId="70">
    <w:name w:val="TEXTO"/>
    <w:basedOn w:val="1"/>
    <w:autoRedefine/>
    <w:qFormat/>
    <w:uiPriority w:val="0"/>
    <w:pPr>
      <w:suppressAutoHyphens/>
      <w:spacing w:line="360" w:lineRule="auto"/>
      <w:ind w:left="142" w:right="537"/>
      <w:jc w:val="both"/>
    </w:pPr>
    <w:rPr>
      <w:rFonts w:eastAsia="Cambria Math" w:asciiTheme="minorHAnsi" w:hAnsiTheme="minorHAnsi" w:cstheme="minorHAnsi"/>
      <w:color w:val="000000" w:themeColor="text1"/>
      <w:sz w:val="24"/>
      <w:szCs w:val="24"/>
      <w14:textFill>
        <w14:solidFill>
          <w14:schemeClr w14:val="tx1"/>
        </w14:solidFill>
      </w14:textFill>
    </w:rPr>
  </w:style>
  <w:style w:type="paragraph" w:customStyle="1" w:styleId="71">
    <w:name w:val="WW-Texto sem formatação"/>
    <w:basedOn w:val="1"/>
    <w:qFormat/>
    <w:uiPriority w:val="0"/>
    <w:pPr>
      <w:suppressAutoHyphens/>
    </w:pPr>
    <w:rPr>
      <w:rFonts w:ascii="Courier New" w:hAnsi="Courier New" w:cs="Courier New"/>
      <w:lang w:eastAsia="ar-SA"/>
    </w:rPr>
  </w:style>
  <w:style w:type="character" w:customStyle="1" w:styleId="72">
    <w:name w:val="Footnote Characters"/>
    <w:basedOn w:val="9"/>
    <w:semiHidden/>
    <w:unhideWhenUsed/>
    <w:qFormat/>
    <w:uiPriority w:val="99"/>
    <w:rPr>
      <w:vertAlign w:val="superscript"/>
    </w:rPr>
  </w:style>
  <w:style w:type="paragraph" w:customStyle="1" w:styleId="73">
    <w:name w:val="Table Paragraph"/>
    <w:basedOn w:val="1"/>
    <w:qFormat/>
    <w:uiPriority w:val="1"/>
    <w:pPr>
      <w:widowControl w:val="0"/>
      <w:suppressAutoHyphens/>
      <w:spacing w:before="115"/>
      <w:ind w:left="107"/>
    </w:pPr>
    <w:rPr>
      <w:rFonts w:ascii="Arial" w:hAnsi="Arial" w:eastAsia="Arial" w:cs="Arial"/>
      <w:sz w:val="22"/>
      <w:szCs w:val="22"/>
      <w:lang w:val="pt-PT" w:eastAsia="en-US"/>
    </w:rPr>
  </w:style>
  <w:style w:type="paragraph" w:customStyle="1" w:styleId="74">
    <w:name w:val="Default"/>
    <w:link w:val="75"/>
    <w:qFormat/>
    <w:uiPriority w:val="0"/>
    <w:pPr>
      <w:autoSpaceDE w:val="0"/>
      <w:autoSpaceDN w:val="0"/>
      <w:adjustRightInd w:val="0"/>
    </w:pPr>
    <w:rPr>
      <w:rFonts w:ascii="Minion Pro" w:hAnsi="Minion Pro" w:cs="Minion Pro" w:eastAsiaTheme="minorHAnsi"/>
      <w:color w:val="000000"/>
      <w:sz w:val="24"/>
      <w:szCs w:val="24"/>
      <w:lang w:val="pt-BR" w:eastAsia="en-US" w:bidi="ar-SA"/>
    </w:rPr>
  </w:style>
  <w:style w:type="character" w:customStyle="1" w:styleId="75">
    <w:name w:val="Default Char"/>
    <w:link w:val="74"/>
    <w:qFormat/>
    <w:uiPriority w:val="0"/>
    <w:rPr>
      <w:rFonts w:ascii="Minion Pro" w:hAnsi="Minion Pro" w:cs="Minion Pro" w:eastAsiaTheme="minorHAnsi"/>
      <w:color w:val="000000"/>
      <w:sz w:val="24"/>
      <w:szCs w:val="24"/>
      <w:lang w:eastAsia="en-US"/>
    </w:rPr>
  </w:style>
  <w:style w:type="character" w:customStyle="1" w:styleId="76">
    <w:name w:val="Menção Pendente1"/>
    <w:basedOn w:val="9"/>
    <w:semiHidden/>
    <w:unhideWhenUsed/>
    <w:uiPriority w:val="99"/>
    <w:rPr>
      <w:color w:val="605E5C"/>
      <w:shd w:val="clear" w:color="auto" w:fill="E1DFDD"/>
    </w:rPr>
  </w:style>
  <w:style w:type="paragraph" w:customStyle="1" w:styleId="77">
    <w:name w:val="Normal1"/>
    <w:qFormat/>
    <w:uiPriority w:val="0"/>
    <w:pPr>
      <w:spacing w:line="276" w:lineRule="auto"/>
    </w:pPr>
    <w:rPr>
      <w:rFonts w:ascii="Arial" w:hAnsi="Arial" w:eastAsia="Arial" w:cs="Arial"/>
      <w:sz w:val="22"/>
      <w:szCs w:val="22"/>
      <w:lang w:val="pt-BR" w:eastAsia="pt-BR" w:bidi="ar-SA"/>
    </w:rPr>
  </w:style>
  <w:style w:type="table" w:customStyle="1" w:styleId="78">
    <w:name w:val="Tabela com grade1"/>
    <w:basedOn w:val="10"/>
    <w:qFormat/>
    <w:uiPriority w:val="3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79">
    <w:name w:val="Tabela com grade2"/>
    <w:basedOn w:val="10"/>
    <w:uiPriority w:val="59"/>
    <w:rPr>
      <w:rFonts w:asciiTheme="minorHAnsi" w:hAnsiTheme="minorHAnsi" w:eastAsiaTheme="minorHAnsi" w:cstheme="minorBidi"/>
      <w:sz w:val="22"/>
      <w:szCs w:val="22"/>
      <w:lang w:eastAsia="en-US"/>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80">
    <w:name w:val="t1"/>
    <w:basedOn w:val="1"/>
    <w:uiPriority w:val="0"/>
    <w:pPr>
      <w:widowControl w:val="0"/>
      <w:autoSpaceDE w:val="0"/>
      <w:autoSpaceDN w:val="0"/>
      <w:adjustRightInd w:val="0"/>
      <w:spacing w:line="240" w:lineRule="atLeast"/>
    </w:pPr>
    <w:rPr>
      <w:sz w:val="24"/>
      <w:szCs w:val="24"/>
      <w:lang w:val="en-US"/>
    </w:rPr>
  </w:style>
  <w:style w:type="character" w:customStyle="1" w:styleId="81">
    <w:name w:val="apple-converted-space"/>
    <w:qFormat/>
    <w:uiPriority w:val="0"/>
  </w:style>
  <w:style w:type="paragraph" w:customStyle="1" w:styleId="82">
    <w:name w:val="TCU - Epígrafe"/>
    <w:basedOn w:val="1"/>
    <w:qFormat/>
    <w:uiPriority w:val="0"/>
    <w:pPr>
      <w:ind w:left="2835"/>
      <w:jc w:val="both"/>
    </w:pPr>
    <w:rPr>
      <w:sz w:val="24"/>
    </w:rPr>
  </w:style>
  <w:style w:type="paragraph" w:customStyle="1" w:styleId="83">
    <w:name w:val="TCU - Sem Recuo"/>
    <w:basedOn w:val="1"/>
    <w:qFormat/>
    <w:uiPriority w:val="0"/>
    <w:pPr>
      <w:tabs>
        <w:tab w:val="left" w:pos="1134"/>
      </w:tabs>
      <w:spacing w:after="160"/>
      <w:jc w:val="both"/>
    </w:pPr>
    <w:rPr>
      <w:sz w:val="24"/>
    </w:rPr>
  </w:style>
  <w:style w:type="paragraph" w:customStyle="1" w:styleId="84">
    <w:name w:val="TCU - Rel/Voto - demais §§"/>
    <w:basedOn w:val="1"/>
    <w:qFormat/>
    <w:uiPriority w:val="0"/>
    <w:pPr>
      <w:tabs>
        <w:tab w:val="left" w:pos="1134"/>
      </w:tabs>
      <w:spacing w:after="160"/>
      <w:jc w:val="both"/>
    </w:pPr>
    <w:rPr>
      <w:sz w:val="24"/>
      <w:szCs w:val="22"/>
      <w:lang w:eastAsia="en-US"/>
    </w:rPr>
  </w:style>
  <w:style w:type="paragraph" w:customStyle="1" w:styleId="85">
    <w:name w:val="corpo de texto"/>
    <w:basedOn w:val="31"/>
    <w:qFormat/>
    <w:uiPriority w:val="0"/>
    <w:pPr>
      <w:spacing w:line="240" w:lineRule="auto"/>
      <w:ind w:firstLine="1134"/>
    </w:pPr>
    <w:rPr>
      <w:rFonts w:ascii="Times New Roman" w:hAnsi="Times New Roman"/>
    </w:rPr>
  </w:style>
  <w:style w:type="character" w:customStyle="1" w:styleId="86">
    <w:name w:val="titulo"/>
    <w:qFormat/>
    <w:uiPriority w:val="0"/>
  </w:style>
  <w:style w:type="character" w:customStyle="1" w:styleId="87">
    <w:name w:val="corpojustificado"/>
    <w:qFormat/>
    <w:uiPriority w:val="0"/>
  </w:style>
  <w:style w:type="paragraph" w:customStyle="1" w:styleId="88">
    <w:name w:val="04partenormativa"/>
    <w:basedOn w:val="1"/>
    <w:qFormat/>
    <w:uiPriority w:val="0"/>
    <w:pPr>
      <w:spacing w:before="100" w:beforeAutospacing="1" w:after="100" w:afterAutospacing="1"/>
    </w:pPr>
    <w:rPr>
      <w:sz w:val="24"/>
      <w:szCs w:val="24"/>
    </w:rPr>
  </w:style>
  <w:style w:type="paragraph" w:customStyle="1" w:styleId="89">
    <w:name w:val="Style 2"/>
    <w:basedOn w:val="1"/>
    <w:qFormat/>
    <w:uiPriority w:val="99"/>
    <w:pPr>
      <w:widowControl w:val="0"/>
      <w:autoSpaceDE w:val="0"/>
      <w:autoSpaceDN w:val="0"/>
      <w:ind w:firstLine="288"/>
      <w:jc w:val="both"/>
    </w:pPr>
    <w:rPr>
      <w:sz w:val="19"/>
      <w:szCs w:val="19"/>
    </w:rPr>
  </w:style>
  <w:style w:type="character" w:customStyle="1" w:styleId="90">
    <w:name w:val="Character Style 1"/>
    <w:qFormat/>
    <w:uiPriority w:val="99"/>
    <w:rPr>
      <w:sz w:val="19"/>
      <w:szCs w:val="19"/>
    </w:rPr>
  </w:style>
  <w:style w:type="paragraph" w:customStyle="1" w:styleId="91">
    <w:name w:val="Style 3"/>
    <w:basedOn w:val="1"/>
    <w:qFormat/>
    <w:uiPriority w:val="99"/>
    <w:pPr>
      <w:widowControl w:val="0"/>
      <w:autoSpaceDE w:val="0"/>
      <w:autoSpaceDN w:val="0"/>
      <w:spacing w:before="324" w:line="360" w:lineRule="auto"/>
      <w:ind w:right="144"/>
      <w:jc w:val="both"/>
    </w:pPr>
    <w:rPr>
      <w:rFonts w:ascii="Arial" w:hAnsi="Arial" w:cs="Arial"/>
      <w:sz w:val="23"/>
      <w:szCs w:val="23"/>
    </w:rPr>
  </w:style>
  <w:style w:type="character" w:customStyle="1" w:styleId="92">
    <w:name w:val="Character Style 2"/>
    <w:qFormat/>
    <w:uiPriority w:val="99"/>
    <w:rPr>
      <w:sz w:val="20"/>
      <w:szCs w:val="20"/>
    </w:rPr>
  </w:style>
  <w:style w:type="paragraph" w:customStyle="1" w:styleId="93">
    <w:name w:val="textbody"/>
    <w:basedOn w:val="1"/>
    <w:qFormat/>
    <w:uiPriority w:val="0"/>
    <w:pPr>
      <w:spacing w:before="100" w:beforeAutospacing="1" w:after="100" w:afterAutospacing="1"/>
    </w:pPr>
    <w:rPr>
      <w:sz w:val="24"/>
      <w:szCs w:val="24"/>
    </w:rPr>
  </w:style>
  <w:style w:type="paragraph" w:customStyle="1" w:styleId="94">
    <w:name w:val="tcu_-_transcrição"/>
    <w:basedOn w:val="1"/>
    <w:qFormat/>
    <w:uiPriority w:val="0"/>
    <w:pPr>
      <w:spacing w:before="100" w:beforeAutospacing="1" w:after="100" w:afterAutospacing="1"/>
    </w:pPr>
    <w:rPr>
      <w:sz w:val="24"/>
      <w:szCs w:val="24"/>
    </w:rPr>
  </w:style>
  <w:style w:type="paragraph" w:customStyle="1" w:styleId="95">
    <w:name w:val="tcu_-_rel/voto_-_demais_§§"/>
    <w:basedOn w:val="1"/>
    <w:qFormat/>
    <w:uiPriority w:val="0"/>
    <w:pPr>
      <w:spacing w:before="100" w:beforeAutospacing="1" w:after="100" w:afterAutospacing="1"/>
    </w:pPr>
    <w:rPr>
      <w:sz w:val="24"/>
      <w:szCs w:val="24"/>
    </w:rPr>
  </w:style>
  <w:style w:type="paragraph" w:customStyle="1" w:styleId="96">
    <w:name w:val="tcu_-_centralizado"/>
    <w:basedOn w:val="1"/>
    <w:qFormat/>
    <w:uiPriority w:val="0"/>
    <w:pPr>
      <w:spacing w:before="100" w:beforeAutospacing="1" w:after="100" w:afterAutospacing="1"/>
    </w:pPr>
    <w:rPr>
      <w:sz w:val="24"/>
      <w:szCs w:val="24"/>
    </w:rPr>
  </w:style>
  <w:style w:type="paragraph" w:customStyle="1" w:styleId="97">
    <w:name w:val="texto_justificado_recuo_primeira_linha"/>
    <w:basedOn w:val="1"/>
    <w:qFormat/>
    <w:uiPriority w:val="0"/>
    <w:pPr>
      <w:spacing w:before="100" w:beforeAutospacing="1" w:after="100" w:afterAutospacing="1"/>
    </w:pPr>
    <w:rPr>
      <w:sz w:val="24"/>
      <w:szCs w:val="24"/>
    </w:rPr>
  </w:style>
  <w:style w:type="paragraph" w:customStyle="1" w:styleId="98">
    <w:name w:val="citacao"/>
    <w:basedOn w:val="1"/>
    <w:qFormat/>
    <w:uiPriority w:val="0"/>
    <w:pPr>
      <w:spacing w:before="100" w:beforeAutospacing="1" w:after="100" w:afterAutospacing="1"/>
    </w:pPr>
    <w:rPr>
      <w:sz w:val="24"/>
      <w:szCs w:val="24"/>
    </w:rPr>
  </w:style>
  <w:style w:type="paragraph" w:customStyle="1" w:styleId="99">
    <w:name w:val="Nivel 2"/>
    <w:basedOn w:val="1"/>
    <w:link w:val="100"/>
    <w:qFormat/>
    <w:uiPriority w:val="0"/>
    <w:pPr>
      <w:spacing w:before="120" w:after="120" w:line="276" w:lineRule="auto"/>
      <w:ind w:left="4969" w:hanging="432"/>
      <w:jc w:val="both"/>
    </w:pPr>
    <w:rPr>
      <w:rFonts w:ascii="Arial" w:hAnsi="Arial" w:cs="Arial"/>
      <w:color w:val="000000"/>
    </w:rPr>
  </w:style>
  <w:style w:type="character" w:customStyle="1" w:styleId="100">
    <w:name w:val="Nivel 2 Char"/>
    <w:link w:val="99"/>
    <w:qFormat/>
    <w:locked/>
    <w:uiPriority w:val="0"/>
    <w:rPr>
      <w:rFonts w:ascii="Arial" w:hAnsi="Arial" w:cs="Arial"/>
      <w:color w:val="000000"/>
    </w:rPr>
  </w:style>
  <w:style w:type="paragraph" w:customStyle="1" w:styleId="101">
    <w:name w:val="Nivel 01"/>
    <w:basedOn w:val="2"/>
    <w:next w:val="1"/>
    <w:link w:val="102"/>
    <w:qFormat/>
    <w:uiPriority w:val="0"/>
    <w:pPr>
      <w:tabs>
        <w:tab w:val="left" w:pos="567"/>
      </w:tabs>
      <w:spacing w:before="240" w:after="0"/>
      <w:ind w:left="360" w:hanging="360"/>
      <w:jc w:val="both"/>
    </w:pPr>
    <w:rPr>
      <w:rFonts w:ascii="Arial" w:hAnsi="Arial" w:cs="Arial"/>
      <w:bCs/>
      <w:sz w:val="20"/>
      <w:szCs w:val="20"/>
    </w:rPr>
  </w:style>
  <w:style w:type="character" w:customStyle="1" w:styleId="102">
    <w:name w:val="Nivel 01 Char"/>
    <w:link w:val="101"/>
    <w:qFormat/>
    <w:uiPriority w:val="0"/>
    <w:rPr>
      <w:rFonts w:ascii="Arial" w:hAnsi="Arial" w:cs="Arial"/>
      <w:b/>
      <w:bCs/>
    </w:rPr>
  </w:style>
  <w:style w:type="paragraph" w:customStyle="1" w:styleId="103">
    <w:name w:val="Nivel 3"/>
    <w:basedOn w:val="1"/>
    <w:link w:val="104"/>
    <w:qFormat/>
    <w:uiPriority w:val="0"/>
    <w:pPr>
      <w:spacing w:before="120" w:after="120" w:line="276" w:lineRule="auto"/>
      <w:ind w:left="3198" w:hanging="504"/>
      <w:jc w:val="both"/>
    </w:pPr>
    <w:rPr>
      <w:rFonts w:ascii="Arial" w:hAnsi="Arial" w:cs="Arial"/>
      <w:color w:val="000000"/>
    </w:rPr>
  </w:style>
  <w:style w:type="character" w:customStyle="1" w:styleId="104">
    <w:name w:val="Nivel 3 Char"/>
    <w:link w:val="103"/>
    <w:qFormat/>
    <w:uiPriority w:val="0"/>
    <w:rPr>
      <w:rFonts w:ascii="Arial" w:hAnsi="Arial" w:cs="Arial"/>
      <w:color w:val="000000"/>
    </w:rPr>
  </w:style>
  <w:style w:type="paragraph" w:customStyle="1" w:styleId="105">
    <w:name w:val="Nivel_01_Titulo"/>
    <w:basedOn w:val="2"/>
    <w:next w:val="1"/>
    <w:link w:val="106"/>
    <w:qFormat/>
    <w:uiPriority w:val="0"/>
    <w:pPr>
      <w:numPr>
        <w:ilvl w:val="0"/>
        <w:numId w:val="2"/>
      </w:numPr>
      <w:tabs>
        <w:tab w:val="left" w:pos="567"/>
      </w:tabs>
      <w:spacing w:before="240" w:after="0"/>
      <w:ind w:left="360" w:hanging="990"/>
      <w:jc w:val="both"/>
    </w:pPr>
    <w:rPr>
      <w:rFonts w:ascii="Arial" w:hAnsi="Arial"/>
      <w:bCs/>
      <w:color w:val="2F5496"/>
      <w:sz w:val="20"/>
      <w:szCs w:val="20"/>
    </w:rPr>
  </w:style>
  <w:style w:type="character" w:customStyle="1" w:styleId="106">
    <w:name w:val="Nivel_01_Titulo Char"/>
    <w:link w:val="105"/>
    <w:qFormat/>
    <w:uiPriority w:val="0"/>
    <w:rPr>
      <w:rFonts w:ascii="Arial" w:hAnsi="Arial"/>
      <w:b/>
      <w:bCs/>
      <w:color w:val="2F5496"/>
    </w:rPr>
  </w:style>
  <w:style w:type="paragraph" w:customStyle="1" w:styleId="107">
    <w:name w:val="Nivel1"/>
    <w:basedOn w:val="2"/>
    <w:next w:val="1"/>
    <w:qFormat/>
    <w:uiPriority w:val="0"/>
    <w:pPr>
      <w:numPr>
        <w:ilvl w:val="0"/>
        <w:numId w:val="3"/>
      </w:numPr>
      <w:spacing w:line="276" w:lineRule="auto"/>
      <w:ind w:left="1859"/>
      <w:jc w:val="both"/>
    </w:pPr>
    <w:rPr>
      <w:rFonts w:ascii="Arial" w:hAnsi="Arial" w:cs="Arial"/>
      <w:color w:val="000000"/>
      <w:sz w:val="32"/>
      <w:szCs w:val="32"/>
      <w:lang w:eastAsia="en-US"/>
    </w:rPr>
  </w:style>
  <w:style w:type="paragraph" w:customStyle="1" w:styleId="108">
    <w:name w:val="Nível 2 -Red"/>
    <w:basedOn w:val="99"/>
    <w:link w:val="109"/>
    <w:qFormat/>
    <w:uiPriority w:val="0"/>
    <w:pPr>
      <w:numPr>
        <w:ilvl w:val="1"/>
        <w:numId w:val="2"/>
      </w:numPr>
      <w:ind w:left="4969" w:hanging="360"/>
    </w:pPr>
    <w:rPr>
      <w:i/>
      <w:iCs/>
      <w:color w:val="FF0000"/>
    </w:rPr>
  </w:style>
  <w:style w:type="character" w:customStyle="1" w:styleId="109">
    <w:name w:val="Nível 2 -Red Char"/>
    <w:link w:val="108"/>
    <w:qFormat/>
    <w:uiPriority w:val="0"/>
    <w:rPr>
      <w:rFonts w:ascii="Arial" w:hAnsi="Arial" w:cs="Arial"/>
      <w:i/>
      <w:iCs/>
      <w:color w:val="FF0000"/>
    </w:rPr>
  </w:style>
  <w:style w:type="paragraph" w:customStyle="1" w:styleId="110">
    <w:name w:val="Nível 3-R"/>
    <w:basedOn w:val="103"/>
    <w:link w:val="111"/>
    <w:qFormat/>
    <w:uiPriority w:val="0"/>
    <w:pPr>
      <w:numPr>
        <w:ilvl w:val="2"/>
        <w:numId w:val="2"/>
      </w:numPr>
    </w:pPr>
    <w:rPr>
      <w:i/>
      <w:iCs/>
      <w:color w:val="FF0000"/>
    </w:rPr>
  </w:style>
  <w:style w:type="character" w:customStyle="1" w:styleId="111">
    <w:name w:val="Nível 3-R Char"/>
    <w:link w:val="110"/>
    <w:qFormat/>
    <w:uiPriority w:val="0"/>
    <w:rPr>
      <w:rFonts w:ascii="Arial" w:hAnsi="Arial" w:cs="Arial"/>
      <w:i/>
      <w:iCs/>
      <w:color w:val="FF0000"/>
    </w:rPr>
  </w:style>
  <w:style w:type="paragraph" w:customStyle="1" w:styleId="112">
    <w:name w:val="Nível 4-R"/>
    <w:basedOn w:val="1"/>
    <w:qFormat/>
    <w:uiPriority w:val="0"/>
    <w:pPr>
      <w:numPr>
        <w:ilvl w:val="3"/>
        <w:numId w:val="2"/>
      </w:numPr>
      <w:spacing w:before="120" w:after="120" w:line="276" w:lineRule="auto"/>
      <w:ind w:left="2491" w:hanging="648"/>
      <w:jc w:val="both"/>
    </w:pPr>
    <w:rPr>
      <w:rFonts w:ascii="Arial" w:hAnsi="Arial" w:cs="Arial"/>
      <w:i/>
      <w:iCs/>
      <w:color w:val="FF0000"/>
    </w:rPr>
  </w:style>
  <w:style w:type="paragraph" w:customStyle="1" w:styleId="113">
    <w:name w:val="ou"/>
    <w:basedOn w:val="61"/>
    <w:link w:val="114"/>
    <w:qFormat/>
    <w:uiPriority w:val="0"/>
    <w:pPr>
      <w:spacing w:before="60" w:after="60" w:line="259" w:lineRule="auto"/>
      <w:ind w:left="0"/>
      <w:contextualSpacing w:val="0"/>
      <w:jc w:val="center"/>
    </w:pPr>
    <w:rPr>
      <w:rFonts w:ascii="Arial" w:hAnsi="Arial" w:eastAsia="Calibri" w:cs="Arial"/>
      <w:b/>
      <w:bCs/>
      <w:i/>
      <w:iCs/>
      <w:color w:val="FF0000"/>
      <w:sz w:val="24"/>
      <w:szCs w:val="24"/>
      <w:u w:val="single"/>
    </w:rPr>
  </w:style>
  <w:style w:type="character" w:customStyle="1" w:styleId="114">
    <w:name w:val="ou Char"/>
    <w:link w:val="113"/>
    <w:qFormat/>
    <w:uiPriority w:val="0"/>
    <w:rPr>
      <w:rFonts w:ascii="Arial" w:hAnsi="Arial" w:eastAsia="Calibri" w:cs="Arial"/>
      <w:b/>
      <w:bCs/>
      <w:i/>
      <w:iCs/>
      <w:color w:val="FF0000"/>
      <w:sz w:val="24"/>
      <w:szCs w:val="24"/>
      <w:u w:val="single"/>
    </w:rPr>
  </w:style>
  <w:style w:type="paragraph" w:customStyle="1" w:styleId="115">
    <w:name w:val="Nivel 3-erro"/>
    <w:basedOn w:val="103"/>
    <w:link w:val="116"/>
    <w:qFormat/>
    <w:uiPriority w:val="0"/>
    <w:pPr>
      <w:spacing w:line="240" w:lineRule="auto"/>
      <w:ind w:left="425"/>
    </w:pPr>
    <w:rPr>
      <w:rFonts w:cs="Tahoma"/>
      <w:color w:val="auto"/>
      <w:szCs w:val="24"/>
    </w:rPr>
  </w:style>
  <w:style w:type="character" w:customStyle="1" w:styleId="116">
    <w:name w:val="Nivel 3-erro Char"/>
    <w:link w:val="115"/>
    <w:qFormat/>
    <w:uiPriority w:val="0"/>
    <w:rPr>
      <w:rFonts w:ascii="Arial" w:hAnsi="Arial" w:cs="Tahoma"/>
      <w:szCs w:val="24"/>
    </w:rPr>
  </w:style>
  <w:style w:type="character" w:customStyle="1" w:styleId="117">
    <w:name w:val="normaltextrun"/>
    <w:basedOn w:val="9"/>
    <w:qFormat/>
    <w:uiPriority w:val="0"/>
  </w:style>
  <w:style w:type="character" w:customStyle="1" w:styleId="118">
    <w:name w:val="cf01"/>
    <w:qFormat/>
    <w:uiPriority w:val="0"/>
    <w:rPr>
      <w:rFonts w:hint="default" w:ascii="Segoe UI" w:hAnsi="Segoe UI" w:cs="Segoe UI"/>
      <w:sz w:val="18"/>
      <w:szCs w:val="18"/>
    </w:rPr>
  </w:style>
  <w:style w:type="paragraph" w:customStyle="1" w:styleId="119">
    <w:name w:val="pf0"/>
    <w:basedOn w:val="1"/>
    <w:qFormat/>
    <w:uiPriority w:val="0"/>
    <w:pPr>
      <w:spacing w:before="100" w:beforeAutospacing="1" w:after="100" w:afterAutospacing="1"/>
    </w:pPr>
    <w:rPr>
      <w:sz w:val="24"/>
      <w:szCs w:val="24"/>
    </w:rPr>
  </w:style>
  <w:style w:type="paragraph" w:customStyle="1" w:styleId="120">
    <w:name w:val="Nivel 4"/>
    <w:basedOn w:val="103"/>
    <w:link w:val="121"/>
    <w:qFormat/>
    <w:uiPriority w:val="0"/>
    <w:pPr>
      <w:ind w:left="851" w:firstLine="0"/>
    </w:pPr>
    <w:rPr>
      <w:rFonts w:eastAsia="MS Mincho"/>
      <w:color w:val="auto"/>
    </w:rPr>
  </w:style>
  <w:style w:type="character" w:customStyle="1" w:styleId="121">
    <w:name w:val="Nivel 4 Char"/>
    <w:link w:val="120"/>
    <w:qFormat/>
    <w:uiPriority w:val="0"/>
    <w:rPr>
      <w:rFonts w:ascii="Arial" w:hAnsi="Arial" w:eastAsia="MS Mincho" w:cs="Arial"/>
    </w:rPr>
  </w:style>
  <w:style w:type="paragraph" w:customStyle="1" w:styleId="122">
    <w:name w:val="Nivel 5"/>
    <w:basedOn w:val="120"/>
    <w:qFormat/>
    <w:uiPriority w:val="0"/>
    <w:pPr>
      <w:ind w:left="1276"/>
    </w:pPr>
  </w:style>
  <w:style w:type="paragraph" w:customStyle="1" w:styleId="123">
    <w:name w:val="Nivel 1"/>
    <w:basedOn w:val="99"/>
    <w:next w:val="99"/>
    <w:qFormat/>
    <w:uiPriority w:val="0"/>
    <w:pPr>
      <w:tabs>
        <w:tab w:val="left" w:pos="360"/>
      </w:tabs>
      <w:ind w:left="858"/>
    </w:pPr>
    <w:rPr>
      <w:rFonts w:ascii="Ecofont_Spranq_eco_Sans" w:hAnsi="Ecofont_Spranq_eco_Sans" w:eastAsia="Arial Unicode MS"/>
      <w:b/>
      <w:color w:val="auto"/>
    </w:rPr>
  </w:style>
  <w:style w:type="character" w:customStyle="1" w:styleId="124">
    <w:name w:val="cf11"/>
    <w:qFormat/>
    <w:uiPriority w:val="0"/>
    <w:rPr>
      <w:rFonts w:hint="default" w:ascii="Segoe UI" w:hAnsi="Segoe UI" w:cs="Segoe UI"/>
      <w:i/>
      <w:iCs/>
      <w:sz w:val="18"/>
      <w:szCs w:val="18"/>
    </w:rPr>
  </w:style>
  <w:style w:type="paragraph" w:customStyle="1" w:styleId="12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126">
    <w:name w:val="Revisão1"/>
    <w:hidden/>
    <w:semiHidden/>
    <w:qFormat/>
    <w:uiPriority w:val="99"/>
    <w:rPr>
      <w:rFonts w:ascii="Times New Roman" w:hAnsi="Times New Roman" w:eastAsia="Times New Roman" w:cs="Times New Roman"/>
      <w:sz w:val="24"/>
      <w:szCs w:val="24"/>
      <w:lang w:val="pt-BR" w:eastAsia="pt-BR" w:bidi="ar-SA"/>
    </w:rPr>
  </w:style>
  <w:style w:type="paragraph" w:customStyle="1" w:styleId="127">
    <w:name w:val="Nível 4"/>
    <w:basedOn w:val="1"/>
    <w:qFormat/>
    <w:uiPriority w:val="0"/>
    <w:pPr>
      <w:spacing w:before="120" w:after="120" w:line="276" w:lineRule="auto"/>
      <w:ind w:left="567"/>
      <w:jc w:val="both"/>
    </w:pPr>
    <w:rPr>
      <w:rFonts w:ascii="Arial" w:hAnsi="Arial" w:cs="Arial"/>
    </w:rPr>
  </w:style>
  <w:style w:type="paragraph" w:customStyle="1" w:styleId="128">
    <w:name w:val="Recuo de corpo de texto 21"/>
    <w:basedOn w:val="1"/>
    <w:qFormat/>
    <w:uiPriority w:val="0"/>
    <w:pPr>
      <w:suppressAutoHyphens/>
      <w:spacing w:after="120" w:line="480" w:lineRule="auto"/>
      <w:ind w:left="283"/>
    </w:pPr>
    <w:rPr>
      <w:sz w:val="24"/>
      <w:szCs w:val="24"/>
      <w:lang w:eastAsia="ar-SA"/>
    </w:rPr>
  </w:style>
  <w:style w:type="paragraph" w:customStyle="1" w:styleId="129">
    <w:name w:val="Nível 3"/>
    <w:basedOn w:val="110"/>
    <w:link w:val="130"/>
    <w:qFormat/>
    <w:uiPriority w:val="0"/>
    <w:pPr>
      <w:numPr>
        <w:numId w:val="0"/>
      </w:numPr>
      <w:ind w:left="284"/>
    </w:pPr>
    <w:rPr>
      <w:i w:val="0"/>
      <w:iCs w:val="0"/>
      <w:color w:val="auto"/>
    </w:rPr>
  </w:style>
  <w:style w:type="character" w:customStyle="1" w:styleId="130">
    <w:name w:val="Nível 3 Char"/>
    <w:link w:val="129"/>
    <w:qFormat/>
    <w:uiPriority w:val="0"/>
    <w:rPr>
      <w:rFonts w:ascii="Arial" w:hAnsi="Arial" w:cs="Arial"/>
    </w:rPr>
  </w:style>
  <w:style w:type="paragraph" w:customStyle="1" w:styleId="131">
    <w:name w:val="Título 11"/>
    <w:basedOn w:val="1"/>
    <w:qFormat/>
    <w:uiPriority w:val="1"/>
    <w:pPr>
      <w:widowControl w:val="0"/>
      <w:autoSpaceDE w:val="0"/>
      <w:autoSpaceDN w:val="0"/>
      <w:ind w:left="2330" w:right="29"/>
      <w:jc w:val="center"/>
      <w:outlineLvl w:val="1"/>
    </w:pPr>
    <w:rPr>
      <w:b/>
      <w:bCs/>
      <w:sz w:val="22"/>
      <w:szCs w:val="22"/>
      <w:lang w:val="pt-PT" w:eastAsia="pt-PT" w:bidi="pt-PT"/>
    </w:rPr>
  </w:style>
  <w:style w:type="character" w:customStyle="1" w:styleId="132">
    <w:name w:val="apple-tab-span"/>
    <w:basedOn w:val="9"/>
    <w:qFormat/>
    <w:uiPriority w:val="0"/>
  </w:style>
  <w:style w:type="paragraph" w:customStyle="1" w:styleId="133">
    <w:name w:val="Heading"/>
    <w:basedOn w:val="19"/>
    <w:next w:val="18"/>
    <w:uiPriority w:val="0"/>
    <w:pPr>
      <w:keepNext/>
      <w:spacing w:before="240" w:after="120"/>
    </w:pPr>
    <w:rPr>
      <w:rFonts w:ascii="Liberation Sans" w:hAnsi="Liberation Sans" w:eastAsia="Microsoft YaHei" w:cs="Mangal"/>
      <w:sz w:val="28"/>
      <w:szCs w:val="28"/>
    </w:rPr>
  </w:style>
  <w:style w:type="paragraph" w:customStyle="1" w:styleId="134">
    <w:name w:val="Index"/>
    <w:basedOn w:val="19"/>
    <w:uiPriority w:val="0"/>
    <w:pPr>
      <w:suppressLineNumbers/>
    </w:pPr>
    <w:rPr>
      <w:rFonts w:cs="Mangal"/>
    </w:rPr>
  </w:style>
  <w:style w:type="paragraph" w:customStyle="1" w:styleId="135">
    <w:name w:val="footnote description"/>
    <w:next w:val="19"/>
    <w:uiPriority w:val="0"/>
    <w:pPr>
      <w:suppressAutoHyphens/>
      <w:autoSpaceDN w:val="0"/>
      <w:ind w:left="170" w:right="9" w:hanging="170"/>
      <w:jc w:val="both"/>
      <w:textAlignment w:val="baseline"/>
    </w:pPr>
    <w:rPr>
      <w:rFonts w:ascii="Liberation Serif" w:hAnsi="Liberation Serif" w:eastAsia="Liberation Serif" w:cs="Liberation Serif"/>
      <w:color w:val="000000"/>
      <w:sz w:val="16"/>
      <w:szCs w:val="22"/>
      <w:lang w:val="pt-BR" w:eastAsia="pt-BR" w:bidi="ar-SA"/>
    </w:rPr>
  </w:style>
  <w:style w:type="paragraph" w:customStyle="1" w:styleId="136">
    <w:name w:val="Footnote"/>
    <w:basedOn w:val="19"/>
    <w:uiPriority w:val="0"/>
  </w:style>
  <w:style w:type="paragraph" w:customStyle="1" w:styleId="137">
    <w:name w:val="Table Contents"/>
    <w:basedOn w:val="19"/>
    <w:uiPriority w:val="0"/>
    <w:pPr>
      <w:suppressLineNumbers/>
    </w:pPr>
  </w:style>
  <w:style w:type="paragraph" w:customStyle="1" w:styleId="138">
    <w:name w:val="Table Heading"/>
    <w:basedOn w:val="137"/>
    <w:uiPriority w:val="0"/>
    <w:pPr>
      <w:jc w:val="center"/>
    </w:pPr>
    <w:rPr>
      <w:b/>
      <w:bCs/>
    </w:rPr>
  </w:style>
  <w:style w:type="paragraph" w:customStyle="1" w:styleId="139">
    <w:name w:val="Header and Footer"/>
    <w:basedOn w:val="19"/>
    <w:uiPriority w:val="0"/>
    <w:pPr>
      <w:suppressLineNumbers/>
      <w:tabs>
        <w:tab w:val="center" w:pos="4829"/>
        <w:tab w:val="right" w:pos="9648"/>
      </w:tabs>
    </w:pPr>
  </w:style>
  <w:style w:type="paragraph" w:customStyle="1" w:styleId="140">
    <w:name w:val="Estilo1"/>
    <w:basedOn w:val="27"/>
    <w:uiPriority w:val="0"/>
    <w:pPr>
      <w:widowControl w:val="0"/>
      <w:numPr>
        <w:ilvl w:val="0"/>
        <w:numId w:val="4"/>
      </w:numPr>
      <w:tabs>
        <w:tab w:val="left" w:pos="-2880"/>
        <w:tab w:val="clear" w:pos="4419"/>
        <w:tab w:val="clear" w:pos="8838"/>
      </w:tabs>
      <w:suppressAutoHyphens/>
      <w:autoSpaceDN w:val="0"/>
      <w:spacing w:before="360" w:after="120" w:line="100" w:lineRule="atLeast"/>
      <w:jc w:val="both"/>
    </w:pPr>
    <w:rPr>
      <w:rFonts w:eastAsia="SimSun"/>
      <w:b/>
      <w:bCs/>
      <w:kern w:val="3"/>
      <w:sz w:val="24"/>
      <w:szCs w:val="24"/>
      <w:lang w:eastAsia="zh-CN"/>
    </w:rPr>
  </w:style>
  <w:style w:type="character" w:customStyle="1" w:styleId="141">
    <w:name w:val="footnote description Char"/>
    <w:uiPriority w:val="0"/>
    <w:rPr>
      <w:rFonts w:ascii="Liberation Serif" w:hAnsi="Liberation Serif" w:eastAsia="Liberation Serif" w:cs="Liberation Serif"/>
      <w:color w:val="000000"/>
      <w:sz w:val="16"/>
    </w:rPr>
  </w:style>
  <w:style w:type="character" w:customStyle="1" w:styleId="142">
    <w:name w:val="footnote mark"/>
    <w:uiPriority w:val="0"/>
    <w:rPr>
      <w:rFonts w:ascii="Liberation Serif" w:hAnsi="Liberation Serif" w:eastAsia="Liberation Serif" w:cs="Liberation Serif"/>
      <w:color w:val="000000"/>
      <w:position w:val="0"/>
      <w:sz w:val="16"/>
      <w:vertAlign w:val="superscript"/>
    </w:rPr>
  </w:style>
  <w:style w:type="character" w:customStyle="1" w:styleId="143">
    <w:name w:val="ListLabel 1"/>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4">
    <w:name w:val="ListLabel 2"/>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5">
    <w:name w:val="ListLabel 3"/>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6">
    <w:name w:val="ListLabel 4"/>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7">
    <w:name w:val="ListLabel 5"/>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8">
    <w:name w:val="ListLabel 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49">
    <w:name w:val="ListLabel 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0">
    <w:name w:val="ListLabel 8"/>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1">
    <w:name w:val="ListLabel 9"/>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2">
    <w:name w:val="ListLabel 10"/>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3">
    <w:name w:val="ListLabel 11"/>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4">
    <w:name w:val="ListLabel 12"/>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5">
    <w:name w:val="ListLabel 13"/>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6">
    <w:name w:val="ListLabel 14"/>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7">
    <w:name w:val="ListLabel 15"/>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8">
    <w:name w:val="ListLabel 16"/>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59">
    <w:name w:val="ListLabel 17"/>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0">
    <w:name w:val="ListLabel 18"/>
    <w:uiPriority w:val="0"/>
    <w:rPr>
      <w:rFonts w:ascii="Times New Roman" w:hAnsi="Times New Roman" w:eastAsia="Times New Roman" w:cs="Times New Roman"/>
      <w:color w:val="000000"/>
      <w:position w:val="0"/>
      <w:sz w:val="20"/>
      <w:szCs w:val="20"/>
      <w:u w:val="none"/>
      <w:shd w:val="clear" w:color="auto" w:fill="auto"/>
      <w:vertAlign w:val="baseline"/>
    </w:rPr>
  </w:style>
  <w:style w:type="character" w:customStyle="1" w:styleId="161">
    <w:name w:val="ListLabel 1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2">
    <w:name w:val="ListLabel 20"/>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3">
    <w:name w:val="ListLabel 21"/>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4">
    <w:name w:val="ListLabel 22"/>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5">
    <w:name w:val="ListLabel 23"/>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6">
    <w:name w:val="ListLabel 24"/>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7">
    <w:name w:val="ListLabel 2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8">
    <w:name w:val="ListLabel 26"/>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69">
    <w:name w:val="ListLabel 27"/>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0">
    <w:name w:val="ListLabel 28"/>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1">
    <w:name w:val="ListLabel 29"/>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2">
    <w:name w:val="ListLabel 30"/>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3">
    <w:name w:val="ListLabel 31"/>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4">
    <w:name w:val="ListLabel 32"/>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5">
    <w:name w:val="ListLabel 33"/>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6">
    <w:name w:val="ListLabel 34"/>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7">
    <w:name w:val="ListLabel 35"/>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8">
    <w:name w:val="ListLabel 36"/>
    <w:uiPriority w:val="0"/>
    <w:rPr>
      <w:rFonts w:ascii="Liberation Serif" w:hAnsi="Liberation Serif" w:eastAsia="Liberation Serif" w:cs="Liberation Serif"/>
      <w:color w:val="000000"/>
      <w:position w:val="0"/>
      <w:sz w:val="24"/>
      <w:szCs w:val="24"/>
      <w:u w:val="none"/>
      <w:shd w:val="clear" w:color="auto" w:fill="auto"/>
      <w:vertAlign w:val="baseline"/>
    </w:rPr>
  </w:style>
  <w:style w:type="character" w:customStyle="1" w:styleId="179">
    <w:name w:val="ListLabel 37"/>
    <w:uiPriority w:val="0"/>
    <w:rPr>
      <w:rFonts w:eastAsia="Liberation Serif" w:cs="Liberation Serif"/>
      <w:color w:val="000000"/>
      <w:position w:val="0"/>
      <w:sz w:val="22"/>
      <w:szCs w:val="22"/>
      <w:u w:val="none"/>
      <w:shd w:val="clear" w:color="auto" w:fill="auto"/>
      <w:vertAlign w:val="baseline"/>
    </w:rPr>
  </w:style>
  <w:style w:type="character" w:customStyle="1" w:styleId="180">
    <w:name w:val="ListLabel 38"/>
    <w:uiPriority w:val="0"/>
    <w:rPr>
      <w:rFonts w:eastAsia="Liberation Serif" w:cs="Liberation Serif"/>
      <w:color w:val="000000"/>
      <w:position w:val="0"/>
      <w:sz w:val="22"/>
      <w:szCs w:val="22"/>
      <w:u w:val="none"/>
      <w:shd w:val="clear" w:color="auto" w:fill="auto"/>
      <w:vertAlign w:val="baseline"/>
    </w:rPr>
  </w:style>
  <w:style w:type="character" w:customStyle="1" w:styleId="181">
    <w:name w:val="ListLabel 39"/>
    <w:uiPriority w:val="0"/>
    <w:rPr>
      <w:rFonts w:eastAsia="Liberation Serif" w:cs="Liberation Serif"/>
      <w:color w:val="000000"/>
      <w:position w:val="0"/>
      <w:sz w:val="22"/>
      <w:szCs w:val="22"/>
      <w:u w:val="none"/>
      <w:shd w:val="clear" w:color="auto" w:fill="auto"/>
      <w:vertAlign w:val="baseline"/>
    </w:rPr>
  </w:style>
  <w:style w:type="character" w:customStyle="1" w:styleId="182">
    <w:name w:val="ListLabel 40"/>
    <w:uiPriority w:val="0"/>
    <w:rPr>
      <w:rFonts w:eastAsia="Liberation Serif" w:cs="Liberation Serif"/>
      <w:color w:val="000000"/>
      <w:position w:val="0"/>
      <w:sz w:val="22"/>
      <w:szCs w:val="22"/>
      <w:u w:val="none"/>
      <w:shd w:val="clear" w:color="auto" w:fill="auto"/>
      <w:vertAlign w:val="baseline"/>
    </w:rPr>
  </w:style>
  <w:style w:type="character" w:customStyle="1" w:styleId="183">
    <w:name w:val="ListLabel 41"/>
    <w:uiPriority w:val="0"/>
    <w:rPr>
      <w:rFonts w:eastAsia="Liberation Serif" w:cs="Liberation Serif"/>
      <w:color w:val="000000"/>
      <w:position w:val="0"/>
      <w:sz w:val="22"/>
      <w:szCs w:val="22"/>
      <w:u w:val="none"/>
      <w:shd w:val="clear" w:color="auto" w:fill="auto"/>
      <w:vertAlign w:val="baseline"/>
    </w:rPr>
  </w:style>
  <w:style w:type="character" w:customStyle="1" w:styleId="184">
    <w:name w:val="ListLabel 42"/>
    <w:uiPriority w:val="0"/>
    <w:rPr>
      <w:rFonts w:eastAsia="Liberation Serif" w:cs="Liberation Serif"/>
      <w:color w:val="000000"/>
      <w:position w:val="0"/>
      <w:sz w:val="22"/>
      <w:szCs w:val="22"/>
      <w:u w:val="none"/>
      <w:shd w:val="clear" w:color="auto" w:fill="auto"/>
      <w:vertAlign w:val="baseline"/>
    </w:rPr>
  </w:style>
  <w:style w:type="character" w:customStyle="1" w:styleId="185">
    <w:name w:val="ListLabel 43"/>
    <w:uiPriority w:val="0"/>
    <w:rPr>
      <w:rFonts w:eastAsia="Liberation Serif" w:cs="Liberation Serif"/>
      <w:color w:val="000000"/>
      <w:position w:val="0"/>
      <w:sz w:val="22"/>
      <w:szCs w:val="22"/>
      <w:u w:val="none"/>
      <w:shd w:val="clear" w:color="auto" w:fill="auto"/>
      <w:vertAlign w:val="baseline"/>
    </w:rPr>
  </w:style>
  <w:style w:type="character" w:customStyle="1" w:styleId="186">
    <w:name w:val="ListLabel 44"/>
    <w:uiPriority w:val="0"/>
    <w:rPr>
      <w:rFonts w:eastAsia="Liberation Serif" w:cs="Liberation Serif"/>
      <w:color w:val="000000"/>
      <w:position w:val="0"/>
      <w:sz w:val="22"/>
      <w:szCs w:val="22"/>
      <w:u w:val="none"/>
      <w:shd w:val="clear" w:color="auto" w:fill="auto"/>
      <w:vertAlign w:val="baseline"/>
    </w:rPr>
  </w:style>
  <w:style w:type="character" w:customStyle="1" w:styleId="187">
    <w:name w:val="ListLabel 45"/>
    <w:uiPriority w:val="0"/>
    <w:rPr>
      <w:rFonts w:eastAsia="Liberation Serif" w:cs="Liberation Serif"/>
      <w:color w:val="000000"/>
      <w:position w:val="0"/>
      <w:sz w:val="22"/>
      <w:szCs w:val="22"/>
      <w:u w:val="none"/>
      <w:shd w:val="clear" w:color="auto" w:fill="auto"/>
      <w:vertAlign w:val="baseline"/>
    </w:rPr>
  </w:style>
  <w:style w:type="character" w:customStyle="1" w:styleId="188">
    <w:name w:val="ListLabel 46"/>
    <w:uiPriority w:val="0"/>
    <w:rPr>
      <w:rFonts w:eastAsia="Liberation Serif" w:cs="Liberation Serif"/>
      <w:color w:val="000000"/>
      <w:position w:val="0"/>
      <w:sz w:val="22"/>
      <w:szCs w:val="22"/>
      <w:u w:val="none"/>
      <w:shd w:val="clear" w:color="auto" w:fill="auto"/>
      <w:vertAlign w:val="baseline"/>
    </w:rPr>
  </w:style>
  <w:style w:type="character" w:customStyle="1" w:styleId="189">
    <w:name w:val="ListLabel 47"/>
    <w:uiPriority w:val="0"/>
    <w:rPr>
      <w:rFonts w:eastAsia="Liberation Serif" w:cs="Liberation Serif"/>
      <w:color w:val="000000"/>
      <w:position w:val="0"/>
      <w:sz w:val="22"/>
      <w:szCs w:val="22"/>
      <w:u w:val="none"/>
      <w:shd w:val="clear" w:color="auto" w:fill="auto"/>
      <w:vertAlign w:val="baseline"/>
    </w:rPr>
  </w:style>
  <w:style w:type="character" w:customStyle="1" w:styleId="190">
    <w:name w:val="ListLabel 48"/>
    <w:uiPriority w:val="0"/>
    <w:rPr>
      <w:rFonts w:eastAsia="Liberation Serif" w:cs="Liberation Serif"/>
      <w:color w:val="000000"/>
      <w:position w:val="0"/>
      <w:sz w:val="22"/>
      <w:szCs w:val="22"/>
      <w:u w:val="none"/>
      <w:shd w:val="clear" w:color="auto" w:fill="auto"/>
      <w:vertAlign w:val="baseline"/>
    </w:rPr>
  </w:style>
  <w:style w:type="character" w:customStyle="1" w:styleId="191">
    <w:name w:val="ListLabel 49"/>
    <w:uiPriority w:val="0"/>
    <w:rPr>
      <w:rFonts w:eastAsia="Liberation Serif" w:cs="Liberation Serif"/>
      <w:color w:val="000000"/>
      <w:position w:val="0"/>
      <w:sz w:val="22"/>
      <w:szCs w:val="22"/>
      <w:u w:val="none"/>
      <w:shd w:val="clear" w:color="auto" w:fill="auto"/>
      <w:vertAlign w:val="baseline"/>
    </w:rPr>
  </w:style>
  <w:style w:type="character" w:customStyle="1" w:styleId="192">
    <w:name w:val="ListLabel 50"/>
    <w:uiPriority w:val="0"/>
    <w:rPr>
      <w:rFonts w:eastAsia="Liberation Serif" w:cs="Liberation Serif"/>
      <w:color w:val="000000"/>
      <w:position w:val="0"/>
      <w:sz w:val="22"/>
      <w:szCs w:val="22"/>
      <w:u w:val="none"/>
      <w:shd w:val="clear" w:color="auto" w:fill="auto"/>
      <w:vertAlign w:val="baseline"/>
    </w:rPr>
  </w:style>
  <w:style w:type="character" w:customStyle="1" w:styleId="193">
    <w:name w:val="ListLabel 51"/>
    <w:uiPriority w:val="0"/>
    <w:rPr>
      <w:rFonts w:eastAsia="Liberation Serif" w:cs="Liberation Serif"/>
      <w:color w:val="000000"/>
      <w:position w:val="0"/>
      <w:sz w:val="22"/>
      <w:szCs w:val="22"/>
      <w:u w:val="none"/>
      <w:shd w:val="clear" w:color="auto" w:fill="auto"/>
      <w:vertAlign w:val="baseline"/>
    </w:rPr>
  </w:style>
  <w:style w:type="character" w:customStyle="1" w:styleId="194">
    <w:name w:val="ListLabel 52"/>
    <w:uiPriority w:val="0"/>
    <w:rPr>
      <w:rFonts w:eastAsia="Liberation Serif" w:cs="Liberation Serif"/>
      <w:color w:val="000000"/>
      <w:position w:val="0"/>
      <w:sz w:val="22"/>
      <w:szCs w:val="22"/>
      <w:u w:val="none"/>
      <w:shd w:val="clear" w:color="auto" w:fill="auto"/>
      <w:vertAlign w:val="baseline"/>
    </w:rPr>
  </w:style>
  <w:style w:type="character" w:customStyle="1" w:styleId="195">
    <w:name w:val="ListLabel 53"/>
    <w:uiPriority w:val="0"/>
    <w:rPr>
      <w:rFonts w:eastAsia="Liberation Serif" w:cs="Liberation Serif"/>
      <w:color w:val="000000"/>
      <w:position w:val="0"/>
      <w:sz w:val="22"/>
      <w:szCs w:val="22"/>
      <w:u w:val="none"/>
      <w:shd w:val="clear" w:color="auto" w:fill="auto"/>
      <w:vertAlign w:val="baseline"/>
    </w:rPr>
  </w:style>
  <w:style w:type="character" w:customStyle="1" w:styleId="196">
    <w:name w:val="ListLabel 54"/>
    <w:uiPriority w:val="0"/>
    <w:rPr>
      <w:rFonts w:eastAsia="Liberation Serif" w:cs="Liberation Serif"/>
      <w:color w:val="000000"/>
      <w:position w:val="0"/>
      <w:sz w:val="22"/>
      <w:szCs w:val="22"/>
      <w:u w:val="none"/>
      <w:shd w:val="clear" w:color="auto" w:fill="auto"/>
      <w:vertAlign w:val="baseline"/>
    </w:rPr>
  </w:style>
  <w:style w:type="character" w:customStyle="1" w:styleId="197">
    <w:name w:val="ListLabel 55"/>
    <w:uiPriority w:val="0"/>
    <w:rPr>
      <w:rFonts w:eastAsia="Liberation Serif" w:cs="Liberation Serif"/>
      <w:color w:val="000000"/>
      <w:position w:val="0"/>
      <w:sz w:val="22"/>
      <w:szCs w:val="22"/>
      <w:u w:val="none"/>
      <w:shd w:val="clear" w:color="auto" w:fill="auto"/>
      <w:vertAlign w:val="baseline"/>
    </w:rPr>
  </w:style>
  <w:style w:type="character" w:customStyle="1" w:styleId="198">
    <w:name w:val="ListLabel 56"/>
    <w:uiPriority w:val="0"/>
    <w:rPr>
      <w:rFonts w:eastAsia="Liberation Serif" w:cs="Liberation Serif"/>
      <w:color w:val="000000"/>
      <w:position w:val="0"/>
      <w:sz w:val="22"/>
      <w:szCs w:val="22"/>
      <w:u w:val="none"/>
      <w:shd w:val="clear" w:color="auto" w:fill="auto"/>
      <w:vertAlign w:val="baseline"/>
    </w:rPr>
  </w:style>
  <w:style w:type="character" w:customStyle="1" w:styleId="199">
    <w:name w:val="ListLabel 57"/>
    <w:uiPriority w:val="0"/>
    <w:rPr>
      <w:rFonts w:eastAsia="Liberation Serif" w:cs="Liberation Serif"/>
      <w:color w:val="000000"/>
      <w:position w:val="0"/>
      <w:sz w:val="22"/>
      <w:szCs w:val="22"/>
      <w:u w:val="none"/>
      <w:shd w:val="clear" w:color="auto" w:fill="auto"/>
      <w:vertAlign w:val="baseline"/>
    </w:rPr>
  </w:style>
  <w:style w:type="character" w:customStyle="1" w:styleId="200">
    <w:name w:val="ListLabel 58"/>
    <w:uiPriority w:val="0"/>
    <w:rPr>
      <w:rFonts w:eastAsia="Liberation Serif" w:cs="Liberation Serif"/>
      <w:color w:val="000000"/>
      <w:position w:val="0"/>
      <w:sz w:val="22"/>
      <w:szCs w:val="22"/>
      <w:u w:val="none"/>
      <w:shd w:val="clear" w:color="auto" w:fill="auto"/>
      <w:vertAlign w:val="baseline"/>
    </w:rPr>
  </w:style>
  <w:style w:type="character" w:customStyle="1" w:styleId="201">
    <w:name w:val="ListLabel 59"/>
    <w:uiPriority w:val="0"/>
    <w:rPr>
      <w:rFonts w:eastAsia="Liberation Serif" w:cs="Liberation Serif"/>
      <w:color w:val="000000"/>
      <w:position w:val="0"/>
      <w:sz w:val="22"/>
      <w:szCs w:val="22"/>
      <w:u w:val="none"/>
      <w:shd w:val="clear" w:color="auto" w:fill="auto"/>
      <w:vertAlign w:val="baseline"/>
    </w:rPr>
  </w:style>
  <w:style w:type="character" w:customStyle="1" w:styleId="202">
    <w:name w:val="ListLabel 60"/>
    <w:uiPriority w:val="0"/>
    <w:rPr>
      <w:rFonts w:eastAsia="Liberation Serif" w:cs="Liberation Serif"/>
      <w:color w:val="000000"/>
      <w:position w:val="0"/>
      <w:sz w:val="22"/>
      <w:szCs w:val="22"/>
      <w:u w:val="none"/>
      <w:shd w:val="clear" w:color="auto" w:fill="auto"/>
      <w:vertAlign w:val="baseline"/>
    </w:rPr>
  </w:style>
  <w:style w:type="character" w:customStyle="1" w:styleId="203">
    <w:name w:val="ListLabel 61"/>
    <w:uiPriority w:val="0"/>
    <w:rPr>
      <w:rFonts w:eastAsia="Liberation Serif" w:cs="Liberation Serif"/>
      <w:color w:val="000000"/>
      <w:position w:val="0"/>
      <w:sz w:val="22"/>
      <w:szCs w:val="22"/>
      <w:u w:val="none"/>
      <w:shd w:val="clear" w:color="auto" w:fill="auto"/>
      <w:vertAlign w:val="baseline"/>
    </w:rPr>
  </w:style>
  <w:style w:type="character" w:customStyle="1" w:styleId="204">
    <w:name w:val="ListLabel 62"/>
    <w:uiPriority w:val="0"/>
    <w:rPr>
      <w:rFonts w:eastAsia="Liberation Serif" w:cs="Liberation Serif"/>
      <w:color w:val="000000"/>
      <w:position w:val="0"/>
      <w:sz w:val="22"/>
      <w:szCs w:val="22"/>
      <w:u w:val="none"/>
      <w:shd w:val="clear" w:color="auto" w:fill="auto"/>
      <w:vertAlign w:val="baseline"/>
    </w:rPr>
  </w:style>
  <w:style w:type="character" w:customStyle="1" w:styleId="205">
    <w:name w:val="ListLabel 63"/>
    <w:uiPriority w:val="0"/>
    <w:rPr>
      <w:rFonts w:eastAsia="Liberation Serif" w:cs="Liberation Serif"/>
      <w:color w:val="000000"/>
      <w:position w:val="0"/>
      <w:sz w:val="22"/>
      <w:szCs w:val="22"/>
      <w:u w:val="none"/>
      <w:shd w:val="clear" w:color="auto" w:fill="auto"/>
      <w:vertAlign w:val="baseline"/>
    </w:rPr>
  </w:style>
  <w:style w:type="character" w:customStyle="1" w:styleId="206">
    <w:name w:val="ListLabel 64"/>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7">
    <w:name w:val="ListLabel 65"/>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8">
    <w:name w:val="ListLabel 66"/>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09">
    <w:name w:val="ListLabel 67"/>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0">
    <w:name w:val="ListLabel 68"/>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1">
    <w:name w:val="ListLabel 69"/>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2">
    <w:name w:val="ListLabel 70"/>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3">
    <w:name w:val="ListLabel 71"/>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4">
    <w:name w:val="ListLabel 72"/>
    <w:qFormat/>
    <w:uiPriority w:val="0"/>
    <w:rPr>
      <w:rFonts w:ascii="Liberation Serif" w:hAnsi="Liberation Serif" w:eastAsia="Liberation Serif" w:cs="Liberation Serif"/>
      <w:b/>
      <w:bCs/>
      <w:color w:val="000000"/>
      <w:position w:val="0"/>
      <w:sz w:val="21"/>
      <w:szCs w:val="21"/>
      <w:u w:val="none"/>
      <w:shd w:val="clear" w:color="auto" w:fill="auto"/>
      <w:vertAlign w:val="baseline"/>
    </w:rPr>
  </w:style>
  <w:style w:type="character" w:customStyle="1" w:styleId="215">
    <w:name w:val="ListLabel 73"/>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6">
    <w:name w:val="ListLabel 74"/>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7">
    <w:name w:val="ListLabel 75"/>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8">
    <w:name w:val="ListLabel 76"/>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19">
    <w:name w:val="ListLabel 77"/>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0">
    <w:name w:val="ListLabel 78"/>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1">
    <w:name w:val="ListLabel 79"/>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2">
    <w:name w:val="ListLabel 80"/>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3">
    <w:name w:val="ListLabel 81"/>
    <w:qFormat/>
    <w:uiPriority w:val="0"/>
    <w:rPr>
      <w:rFonts w:ascii="Liberation Serif" w:hAnsi="Liberation Serif" w:eastAsia="Liberation Serif" w:cs="Liberation Serif"/>
      <w:color w:val="000000"/>
      <w:position w:val="0"/>
      <w:sz w:val="21"/>
      <w:szCs w:val="21"/>
      <w:u w:val="none"/>
      <w:shd w:val="clear" w:color="auto" w:fill="auto"/>
      <w:vertAlign w:val="baseline"/>
    </w:rPr>
  </w:style>
  <w:style w:type="character" w:customStyle="1" w:styleId="224">
    <w:name w:val="Footnote Symbol"/>
    <w:qFormat/>
    <w:uiPriority w:val="0"/>
  </w:style>
  <w:style w:type="character" w:customStyle="1" w:styleId="225">
    <w:name w:val="Footnote anchor"/>
    <w:qFormat/>
    <w:uiPriority w:val="0"/>
    <w:rPr>
      <w:position w:val="0"/>
      <w:vertAlign w:val="superscript"/>
    </w:rPr>
  </w:style>
  <w:style w:type="character" w:customStyle="1" w:styleId="226">
    <w:name w:val="Bullet Symbols"/>
    <w:qFormat/>
    <w:uiPriority w:val="0"/>
    <w:rPr>
      <w:rFonts w:ascii="OpenSymbol" w:hAnsi="OpenSymbol" w:eastAsia="OpenSymbol" w:cs="OpenSymbol"/>
    </w:rPr>
  </w:style>
  <w:style w:type="character" w:customStyle="1" w:styleId="227">
    <w:name w:val="go"/>
    <w:basedOn w:val="9"/>
    <w:qFormat/>
    <w:uiPriority w:val="0"/>
  </w:style>
  <w:style w:type="character" w:customStyle="1" w:styleId="228">
    <w:name w:val="Internet link"/>
    <w:qFormat/>
    <w:uiPriority w:val="0"/>
    <w:rPr>
      <w:color w:val="000080"/>
      <w:u w:val="single"/>
    </w:rPr>
  </w:style>
  <w:style w:type="character" w:customStyle="1" w:styleId="229">
    <w:name w:val="Menção Pendente2"/>
    <w:basedOn w:val="9"/>
    <w:unhideWhenUsed/>
    <w:qFormat/>
    <w:uiPriority w:val="0"/>
    <w:rPr>
      <w:color w:val="605E5C"/>
      <w:shd w:val="clear" w:color="auto" w:fill="E1DFDD"/>
    </w:rPr>
  </w:style>
  <w:style w:type="paragraph" w:customStyle="1" w:styleId="230">
    <w:name w:val="texto"/>
    <w:qFormat/>
    <w:uiPriority w:val="0"/>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textAlignment w:val="baseline"/>
    </w:pPr>
    <w:rPr>
      <w:rFonts w:ascii="Times New Roman" w:hAnsi="Times New Roman" w:eastAsia="Times New Roman" w:cs="Times New Roman"/>
      <w:kern w:val="3"/>
      <w:lang w:val="pt-BR" w:eastAsia="zh-CN" w:bidi="ar-SA"/>
    </w:rPr>
  </w:style>
  <w:style w:type="paragraph" w:customStyle="1" w:styleId="231">
    <w:name w:val="Quotations"/>
    <w:basedOn w:val="19"/>
    <w:qFormat/>
    <w:uiPriority w:val="0"/>
    <w:pPr>
      <w:widowControl w:val="0"/>
      <w:spacing w:after="283" w:line="240" w:lineRule="auto"/>
      <w:ind w:left="567" w:right="567" w:firstLine="0"/>
      <w:jc w:val="left"/>
    </w:pPr>
    <w:rPr>
      <w:rFonts w:ascii="Times New Roman" w:hAnsi="Times New Roman" w:eastAsia="SimSun" w:cs="Tahoma"/>
      <w:color w:val="auto"/>
      <w:kern w:val="3"/>
      <w:szCs w:val="24"/>
      <w:lang w:eastAsia="zh-CN" w:bidi="hi-IN"/>
    </w:rPr>
  </w:style>
  <w:style w:type="paragraph" w:customStyle="1" w:styleId="232">
    <w:name w:val="EP Tabela"/>
    <w:basedOn w:val="1"/>
    <w:qFormat/>
    <w:uiPriority w:val="0"/>
    <w:pPr>
      <w:widowControl w:val="0"/>
      <w:suppressAutoHyphens/>
      <w:autoSpaceDN w:val="0"/>
      <w:jc w:val="center"/>
      <w:textAlignment w:val="baseline"/>
    </w:pPr>
    <w:rPr>
      <w:rFonts w:eastAsia="SimSun" w:cs="Arial"/>
      <w:b/>
      <w:kern w:val="3"/>
      <w:sz w:val="22"/>
      <w:szCs w:val="24"/>
      <w:lang w:eastAsia="ar-SA" w:bidi="hi-IN"/>
    </w:rPr>
  </w:style>
  <w:style w:type="paragraph" w:customStyle="1" w:styleId="233">
    <w:name w:val="EP Conteudotabela"/>
    <w:basedOn w:val="1"/>
    <w:qFormat/>
    <w:uiPriority w:val="0"/>
    <w:pPr>
      <w:widowControl w:val="0"/>
      <w:tabs>
        <w:tab w:val="left" w:pos="-302"/>
      </w:tabs>
      <w:suppressAutoHyphens/>
      <w:autoSpaceDN w:val="0"/>
      <w:spacing w:line="100" w:lineRule="atLeast"/>
      <w:ind w:left="23" w:firstLine="45"/>
      <w:textAlignment w:val="baseline"/>
    </w:pPr>
    <w:rPr>
      <w:rFonts w:eastAsia="SimSun" w:cs="Arial"/>
      <w:kern w:val="3"/>
      <w:sz w:val="24"/>
      <w:szCs w:val="24"/>
      <w:lang w:eastAsia="ar-SA" w:bidi="hi-IN"/>
    </w:rPr>
  </w:style>
  <w:style w:type="paragraph" w:customStyle="1" w:styleId="234">
    <w:name w:val="western"/>
    <w:basedOn w:val="1"/>
    <w:qFormat/>
    <w:uiPriority w:val="0"/>
    <w:pPr>
      <w:suppressAutoHyphens/>
      <w:autoSpaceDN w:val="0"/>
      <w:spacing w:before="100" w:after="119"/>
      <w:textAlignment w:val="baseline"/>
    </w:pPr>
    <w:rPr>
      <w:sz w:val="24"/>
      <w:szCs w:val="24"/>
    </w:rPr>
  </w:style>
  <w:style w:type="paragraph" w:customStyle="1" w:styleId="235">
    <w:name w:val="msonormal"/>
    <w:basedOn w:val="1"/>
    <w:qFormat/>
    <w:uiPriority w:val="0"/>
    <w:pPr>
      <w:spacing w:before="100" w:beforeAutospacing="1" w:after="100" w:afterAutospacing="1"/>
    </w:pPr>
    <w:rPr>
      <w:sz w:val="24"/>
      <w:szCs w:val="24"/>
    </w:rPr>
  </w:style>
  <w:style w:type="paragraph" w:customStyle="1" w:styleId="236">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7">
    <w:name w:val="xl65"/>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38">
    <w:name w:val="xl66"/>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39">
    <w:name w:val="xl6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40">
    <w:name w:val="xl68"/>
    <w:basedOn w:val="1"/>
    <w:qFormat/>
    <w:uiPriority w:val="0"/>
    <w:pPr>
      <w:pBdr>
        <w:bottom w:val="single" w:color="auto" w:sz="8" w:space="0"/>
      </w:pBdr>
      <w:spacing w:before="100" w:beforeAutospacing="1" w:after="100" w:afterAutospacing="1"/>
      <w:jc w:val="center"/>
      <w:textAlignment w:val="center"/>
    </w:pPr>
    <w:rPr>
      <w:color w:val="000000"/>
      <w:sz w:val="24"/>
      <w:szCs w:val="24"/>
    </w:rPr>
  </w:style>
  <w:style w:type="paragraph" w:customStyle="1" w:styleId="241">
    <w:name w:val="xl69"/>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2">
    <w:name w:val="xl7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3">
    <w:name w:val="xl7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4">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45">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6">
    <w:name w:val="xl74"/>
    <w:basedOn w:val="1"/>
    <w:qFormat/>
    <w:uiPriority w:val="0"/>
    <w:pPr>
      <w:pBdr>
        <w:right w:val="single" w:color="auto" w:sz="8" w:space="0"/>
      </w:pBdr>
      <w:spacing w:before="100" w:beforeAutospacing="1" w:after="100" w:afterAutospacing="1"/>
      <w:jc w:val="center"/>
      <w:textAlignment w:val="center"/>
    </w:pPr>
    <w:rPr>
      <w:color w:val="000000"/>
      <w:sz w:val="24"/>
      <w:szCs w:val="24"/>
    </w:rPr>
  </w:style>
  <w:style w:type="paragraph" w:customStyle="1" w:styleId="247">
    <w:name w:val="xl75"/>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48">
    <w:name w:val="xl76"/>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color w:val="000000"/>
    </w:rPr>
  </w:style>
  <w:style w:type="paragraph" w:customStyle="1" w:styleId="249">
    <w:name w:val="xl77"/>
    <w:basedOn w:val="1"/>
    <w:qFormat/>
    <w:uiPriority w:val="0"/>
    <w:pPr>
      <w:pBdr>
        <w:left w:val="single" w:color="auto" w:sz="8" w:space="0"/>
        <w:bottom w:val="single" w:color="auto" w:sz="8" w:space="0"/>
      </w:pBdr>
      <w:spacing w:before="100" w:beforeAutospacing="1" w:after="100" w:afterAutospacing="1"/>
      <w:jc w:val="center"/>
      <w:textAlignment w:val="center"/>
    </w:pPr>
    <w:rPr>
      <w:color w:val="000000"/>
      <w:sz w:val="24"/>
      <w:szCs w:val="24"/>
    </w:rPr>
  </w:style>
  <w:style w:type="paragraph" w:customStyle="1" w:styleId="250">
    <w:name w:val="xl78"/>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1">
    <w:name w:val="xl79"/>
    <w:basedOn w:val="1"/>
    <w:qFormat/>
    <w:uiPriority w:val="0"/>
    <w:pPr>
      <w:spacing w:before="100" w:beforeAutospacing="1" w:after="100" w:afterAutospacing="1"/>
      <w:jc w:val="center"/>
      <w:textAlignment w:val="center"/>
    </w:pPr>
    <w:rPr>
      <w:rFonts w:ascii="Arial" w:hAnsi="Arial" w:cs="Arial"/>
      <w:color w:val="000000"/>
    </w:rPr>
  </w:style>
  <w:style w:type="paragraph" w:customStyle="1" w:styleId="252">
    <w:name w:val="xl80"/>
    <w:basedOn w:val="1"/>
    <w:qFormat/>
    <w:uiPriority w:val="0"/>
    <w:pPr>
      <w:spacing w:before="100" w:beforeAutospacing="1" w:after="100" w:afterAutospacing="1"/>
      <w:jc w:val="center"/>
      <w:textAlignment w:val="center"/>
    </w:pPr>
    <w:rPr>
      <w:color w:val="000000"/>
      <w:sz w:val="24"/>
      <w:szCs w:val="24"/>
    </w:rPr>
  </w:style>
  <w:style w:type="paragraph" w:customStyle="1" w:styleId="253">
    <w:name w:val="xl81"/>
    <w:basedOn w:val="1"/>
    <w:qFormat/>
    <w:uiPriority w:val="0"/>
    <w:pPr>
      <w:spacing w:before="100" w:beforeAutospacing="1" w:after="100" w:afterAutospacing="1"/>
      <w:jc w:val="center"/>
      <w:textAlignment w:val="center"/>
    </w:pPr>
    <w:rPr>
      <w:color w:val="000000"/>
      <w:sz w:val="24"/>
      <w:szCs w:val="24"/>
    </w:rPr>
  </w:style>
  <w:style w:type="paragraph" w:customStyle="1" w:styleId="254">
    <w:name w:val="xl82"/>
    <w:basedOn w:val="1"/>
    <w:qFormat/>
    <w:uiPriority w:val="0"/>
    <w:pPr>
      <w:pBdr>
        <w:left w:val="single" w:color="auto" w:sz="8" w:space="0"/>
        <w:bottom w:val="single" w:color="auto" w:sz="4"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5">
    <w:name w:val="xl83"/>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6">
    <w:name w:val="xl84"/>
    <w:basedOn w:val="1"/>
    <w:qFormat/>
    <w:uiPriority w:val="0"/>
    <w:pPr>
      <w:pBdr>
        <w:bottom w:val="single" w:color="auto" w:sz="4" w:space="0"/>
        <w:right w:val="single" w:color="auto" w:sz="8" w:space="0"/>
      </w:pBdr>
      <w:spacing w:before="100" w:beforeAutospacing="1" w:after="100" w:afterAutospacing="1"/>
      <w:jc w:val="center"/>
      <w:textAlignment w:val="center"/>
    </w:pPr>
    <w:rPr>
      <w:color w:val="000000"/>
      <w:sz w:val="24"/>
      <w:szCs w:val="24"/>
    </w:rPr>
  </w:style>
  <w:style w:type="paragraph" w:customStyle="1" w:styleId="257">
    <w:name w:val="xl85"/>
    <w:basedOn w:val="1"/>
    <w:qFormat/>
    <w:uiPriority w:val="0"/>
    <w:pPr>
      <w:pBdr>
        <w:top w:val="single" w:color="auto" w:sz="4"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color w:val="000000"/>
    </w:rPr>
  </w:style>
  <w:style w:type="paragraph" w:customStyle="1" w:styleId="258">
    <w:name w:val="xl86"/>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59">
    <w:name w:val="xl87"/>
    <w:basedOn w:val="1"/>
    <w:qFormat/>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color w:val="000000"/>
      <w:sz w:val="24"/>
      <w:szCs w:val="24"/>
    </w:rPr>
  </w:style>
  <w:style w:type="paragraph" w:customStyle="1" w:styleId="260">
    <w:name w:val="xl88"/>
    <w:basedOn w:val="1"/>
    <w:qFormat/>
    <w:uiPriority w:val="0"/>
    <w:pPr>
      <w:pBdr>
        <w:top w:val="single" w:color="auto" w:sz="4" w:space="0"/>
        <w:bottom w:val="single" w:color="auto" w:sz="8" w:space="0"/>
      </w:pBdr>
      <w:spacing w:before="100" w:beforeAutospacing="1" w:after="100" w:afterAutospacing="1"/>
      <w:jc w:val="center"/>
      <w:textAlignment w:val="center"/>
    </w:pPr>
    <w:rPr>
      <w:color w:val="000000"/>
      <w:sz w:val="24"/>
      <w:szCs w:val="24"/>
    </w:rPr>
  </w:style>
  <w:style w:type="paragraph" w:customStyle="1" w:styleId="261">
    <w:name w:val="xl89"/>
    <w:basedOn w:val="1"/>
    <w:qFormat/>
    <w:uiPriority w:val="0"/>
    <w:pPr>
      <w:spacing w:before="100" w:beforeAutospacing="1" w:after="100" w:afterAutospacing="1"/>
      <w:jc w:val="center"/>
    </w:pPr>
    <w:rPr>
      <w:sz w:val="24"/>
      <w:szCs w:val="24"/>
    </w:rPr>
  </w:style>
  <w:style w:type="paragraph" w:customStyle="1" w:styleId="262">
    <w:name w:val="xl90"/>
    <w:basedOn w:val="1"/>
    <w:qFormat/>
    <w:uiPriority w:val="0"/>
    <w:pPr>
      <w:pBdr>
        <w:top w:val="single" w:color="auto" w:sz="4" w:space="0"/>
      </w:pBdr>
      <w:spacing w:before="100" w:beforeAutospacing="1" w:after="100" w:afterAutospacing="1"/>
      <w:jc w:val="center"/>
      <w:textAlignment w:val="center"/>
    </w:pPr>
    <w:rPr>
      <w:rFonts w:ascii="Arial" w:hAnsi="Arial" w:cs="Arial"/>
      <w:color w:val="000000"/>
    </w:rPr>
  </w:style>
  <w:style w:type="paragraph" w:customStyle="1" w:styleId="263">
    <w:name w:val="xl91"/>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4">
    <w:name w:val="xl92"/>
    <w:basedOn w:val="1"/>
    <w:qFormat/>
    <w:uiPriority w:val="0"/>
    <w:pPr>
      <w:pBdr>
        <w:top w:val="single" w:color="auto" w:sz="4" w:space="0"/>
      </w:pBdr>
      <w:spacing w:before="100" w:beforeAutospacing="1" w:after="100" w:afterAutospacing="1"/>
      <w:jc w:val="center"/>
      <w:textAlignment w:val="center"/>
    </w:pPr>
    <w:rPr>
      <w:color w:val="000000"/>
      <w:sz w:val="24"/>
      <w:szCs w:val="24"/>
    </w:rPr>
  </w:style>
  <w:style w:type="paragraph" w:customStyle="1" w:styleId="265">
    <w:name w:val="xl93"/>
    <w:basedOn w:val="1"/>
    <w:qFormat/>
    <w:uiPriority w:val="0"/>
    <w:pPr>
      <w:pBdr>
        <w:bottom w:val="single" w:color="auto" w:sz="4" w:space="0"/>
      </w:pBdr>
      <w:spacing w:before="100" w:beforeAutospacing="1" w:after="100" w:afterAutospacing="1"/>
      <w:jc w:val="center"/>
      <w:textAlignment w:val="center"/>
    </w:pPr>
    <w:rPr>
      <w:rFonts w:ascii="Arial" w:hAnsi="Arial" w:cs="Arial"/>
      <w:color w:val="000000"/>
    </w:rPr>
  </w:style>
  <w:style w:type="paragraph" w:customStyle="1" w:styleId="266">
    <w:name w:val="xl94"/>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7">
    <w:name w:val="xl95"/>
    <w:basedOn w:val="1"/>
    <w:qFormat/>
    <w:uiPriority w:val="0"/>
    <w:pPr>
      <w:pBdr>
        <w:bottom w:val="single" w:color="auto" w:sz="4" w:space="0"/>
      </w:pBdr>
      <w:spacing w:before="100" w:beforeAutospacing="1" w:after="100" w:afterAutospacing="1"/>
      <w:jc w:val="center"/>
      <w:textAlignment w:val="center"/>
    </w:pPr>
    <w:rPr>
      <w:color w:val="000000"/>
      <w:sz w:val="24"/>
      <w:szCs w:val="24"/>
    </w:rPr>
  </w:style>
  <w:style w:type="paragraph" w:customStyle="1" w:styleId="268">
    <w:name w:val="xl96"/>
    <w:basedOn w:val="1"/>
    <w:qFormat/>
    <w:uiPriority w:val="0"/>
    <w:pPr>
      <w:spacing w:before="100" w:beforeAutospacing="1" w:after="100" w:afterAutospacing="1"/>
      <w:jc w:val="center"/>
      <w:textAlignment w:val="center"/>
    </w:pPr>
    <w:rPr>
      <w:b/>
      <w:bCs/>
      <w:color w:val="000000"/>
      <w:sz w:val="24"/>
      <w:szCs w:val="24"/>
    </w:rPr>
  </w:style>
  <w:style w:type="paragraph" w:customStyle="1" w:styleId="269">
    <w:name w:val="xl9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0">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271">
    <w:name w:val="Normal11"/>
    <w:qFormat/>
    <w:uiPriority w:val="0"/>
    <w:pPr>
      <w:widowControl w:val="0"/>
    </w:pPr>
    <w:rPr>
      <w:rFonts w:ascii="Calibri" w:hAnsi="Calibri" w:eastAsia="Calibri" w:cs="Calibri"/>
      <w:sz w:val="22"/>
      <w:szCs w:val="22"/>
      <w:lang w:val="pt-BR" w:eastAsia="pt-BR" w:bidi="ar-SA"/>
    </w:rPr>
  </w:style>
  <w:style w:type="paragraph" w:customStyle="1" w:styleId="272">
    <w:name w:val="Normal2"/>
    <w:qFormat/>
    <w:uiPriority w:val="0"/>
    <w:pPr>
      <w:widowControl w:val="0"/>
    </w:pPr>
    <w:rPr>
      <w:rFonts w:ascii="Calibri" w:hAnsi="Calibri" w:eastAsia="Calibri" w:cs="Calibri"/>
      <w:sz w:val="22"/>
      <w:szCs w:val="22"/>
      <w:lang w:val="pt-BR" w:eastAsia="pt-BR" w:bidi="ar-SA"/>
    </w:rPr>
  </w:style>
  <w:style w:type="table" w:customStyle="1" w:styleId="273">
    <w:name w:val="_Style 136"/>
    <w:basedOn w:val="60"/>
    <w:qFormat/>
    <w:uiPriority w:val="0"/>
    <w:rPr>
      <w:rFonts w:ascii="Aptos" w:hAnsi="Aptos" w:eastAsia="Aptos" w:cs="Aptos"/>
    </w:rPr>
    <w:tblPr>
      <w:tblCellMar>
        <w:left w:w="108" w:type="dxa"/>
        <w:right w:w="108" w:type="dxa"/>
      </w:tblCellMar>
    </w:tblPr>
  </w:style>
  <w:style w:type="paragraph" w:customStyle="1" w:styleId="274">
    <w:name w:val="Normal3"/>
    <w:qFormat/>
    <w:uiPriority w:val="0"/>
    <w:pPr>
      <w:widowControl w:val="0"/>
    </w:pPr>
    <w:rPr>
      <w:rFonts w:ascii="Calibri" w:hAnsi="Calibri" w:eastAsia="Calibri" w:cs="Calibri"/>
      <w:sz w:val="22"/>
      <w:szCs w:val="22"/>
      <w:lang w:val="pt-BR" w:eastAsia="pt-B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dGJSLzgcsFhq5+ry/kjen7xknA==">CgMxLjA4AHIhMWlCTzhycGRGTHFYMmhZc3ZCelJyNVBUMkFoRU5vQ0xu</go:docsCustomData>
</go:gDocsCustomXmlDataStorage>
</file>

<file path=customXml/itemProps1.xml><?xml version="1.0" encoding="utf-8"?>
<ds:datastoreItem xmlns:ds="http://schemas.openxmlformats.org/officeDocument/2006/customXml" ds:itemID="{B89635AC-C4E8-4721-ADFB-CCEF37FA76D9}">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Normal.dotm</Template>
  <Pages>114</Pages>
  <Words>5801</Words>
  <Characters>32449</Characters>
  <Lines>1533</Lines>
  <Paragraphs>435</Paragraphs>
  <TotalTime>69</TotalTime>
  <ScaleCrop>false</ScaleCrop>
  <LinksUpToDate>false</LinksUpToDate>
  <CharactersWithSpaces>38144</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2026-04-08T17:01:00Z</dcterms:created>
  <dc:creator>Sabrina Guimarães</dc:creator>
  <cp:lastModifiedBy>licitacao04</cp:lastModifiedBy>
  <cp:lastPrinted>2025-09-18T12:50:00Z</cp:lastPrinted>
  <dcterms:modified xsi:type="dcterms:W3CDTF">2026-05-19T13:29:48Z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1046-12.1.0.26372</vt:lpwstr>
  </property>
  <property fmtid="{D5CDD505-2E9C-101B-9397-08002B2CF9AE}" pid="3" name="ICV">
    <vt:lpwstr>8BE066C7ADAC45A7ACDDD1ADC58DA885_13</vt:lpwstr>
  </property>
  <property fmtid="{D5CDD505-2E9C-101B-9397-08002B2CF9AE}" pid="4" name="KSOTemplateDocerSaveRecord">
    <vt:lpwstr>eyJoZGlkIjoiODk5ZDUzODY0MzRjZDU1MTZjNjdmZjFjZGJkZmQ3NTUifQ==</vt:lpwstr>
  </property>
</Properties>
</file>