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BFC4D9">
      <w:pPr>
        <w:pStyle w:val="43"/>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 xml:space="preserve">EDITAL DE PREGÃO ELETRÔNICO (AQUISIÇÃO DE BENS) </w:t>
      </w:r>
    </w:p>
    <w:p w14:paraId="6A6259CF">
      <w:pPr>
        <w:pStyle w:val="43"/>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PREGÃO ELETRÔNICO PE – Nº 900</w:t>
      </w:r>
      <w:r>
        <w:rPr>
          <w:rFonts w:hint="default" w:ascii="Times New Roman" w:hAnsi="Times New Roman" w:cs="Times New Roman"/>
          <w:b/>
          <w:sz w:val="24"/>
          <w:szCs w:val="24"/>
          <w:lang w:val="pt-BR"/>
        </w:rPr>
        <w:t>47</w:t>
      </w:r>
      <w:r>
        <w:rPr>
          <w:rFonts w:ascii="Times New Roman" w:hAnsi="Times New Roman" w:cs="Times New Roman"/>
          <w:b/>
          <w:sz w:val="24"/>
          <w:szCs w:val="24"/>
        </w:rPr>
        <w:t xml:space="preserve">/2026 - </w:t>
      </w:r>
      <w:r>
        <w:rPr>
          <w:rFonts w:ascii="Times New Roman" w:hAnsi="Times New Roman" w:cs="Times New Roman"/>
          <w:b/>
          <w:sz w:val="24"/>
          <w:szCs w:val="24"/>
          <w:highlight w:val="yellow"/>
        </w:rPr>
        <w:t>Registro de Preços</w:t>
      </w:r>
    </w:p>
    <w:p w14:paraId="475F701D">
      <w:pPr>
        <w:spacing w:line="288" w:lineRule="auto"/>
        <w:contextualSpacing/>
        <w:jc w:val="both"/>
        <w:rPr>
          <w:color w:val="405CA1"/>
          <w:sz w:val="24"/>
          <w:szCs w:val="24"/>
        </w:rPr>
      </w:pPr>
      <w:r>
        <w:rPr>
          <w:sz w:val="24"/>
          <w:szCs w:val="24"/>
        </w:rPr>
        <w:t xml:space="preserve">                                              </w:t>
      </w:r>
    </w:p>
    <w:p w14:paraId="335CDEA1">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ÓRGÃO/ENTIDADE GERENCIADORA - Unidade Gestora – UG: 985921</w:t>
      </w:r>
    </w:p>
    <w:p w14:paraId="0CD59504">
      <w:pPr>
        <w:spacing w:line="288" w:lineRule="auto"/>
        <w:contextualSpacing/>
        <w:jc w:val="both"/>
        <w:rPr>
          <w:sz w:val="24"/>
          <w:szCs w:val="24"/>
        </w:rPr>
      </w:pPr>
      <w:r>
        <w:rPr>
          <w:sz w:val="24"/>
          <w:szCs w:val="24"/>
        </w:rPr>
        <w:t>MUNICÍPIO DE VALENÇA RJ, PELA SECRETARIA MUNICIPAL DE EDUCAÇÃO</w:t>
      </w:r>
    </w:p>
    <w:p w14:paraId="0E519076">
      <w:pPr>
        <w:spacing w:line="288" w:lineRule="auto"/>
        <w:contextualSpacing/>
        <w:jc w:val="both"/>
        <w:rPr>
          <w:color w:val="FF0000"/>
          <w:sz w:val="24"/>
          <w:szCs w:val="24"/>
        </w:rPr>
      </w:pPr>
    </w:p>
    <w:p w14:paraId="27F33988">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OBJETO</w:t>
      </w:r>
    </w:p>
    <w:p w14:paraId="3EEE355A">
      <w:pPr>
        <w:spacing w:line="288" w:lineRule="auto"/>
        <w:contextualSpacing/>
        <w:jc w:val="both"/>
        <w:rPr>
          <w:color w:val="000000"/>
          <w:sz w:val="24"/>
          <w:szCs w:val="24"/>
        </w:rPr>
      </w:pPr>
      <w:r>
        <w:rPr>
          <w:color w:val="000000"/>
          <w:sz w:val="24"/>
          <w:szCs w:val="24"/>
        </w:rPr>
        <w:t>Aq</w:t>
      </w:r>
      <w:r>
        <w:rPr>
          <w:b/>
          <w:bCs/>
          <w:color w:val="000000"/>
          <w:sz w:val="24"/>
          <w:szCs w:val="24"/>
        </w:rPr>
        <w:t>uisição de KITS DE LANCHES,  </w:t>
      </w:r>
      <w:r>
        <w:rPr>
          <w:color w:val="000000"/>
          <w:sz w:val="24"/>
          <w:szCs w:val="24"/>
        </w:rPr>
        <w:t> destinados aos participantes do</w:t>
      </w:r>
      <w:r>
        <w:rPr>
          <w:b/>
          <w:bCs/>
          <w:color w:val="000000"/>
          <w:sz w:val="24"/>
          <w:szCs w:val="24"/>
        </w:rPr>
        <w:t> DESFILE CÍVICO DO DIA 07 DE SETEMBRO DE 2026,  </w:t>
      </w:r>
      <w:r>
        <w:rPr>
          <w:color w:val="000000"/>
          <w:sz w:val="24"/>
          <w:szCs w:val="24"/>
        </w:rPr>
        <w:t>na modalidade</w:t>
      </w:r>
      <w:r>
        <w:rPr>
          <w:b/>
          <w:bCs/>
          <w:color w:val="000000"/>
          <w:sz w:val="24"/>
          <w:szCs w:val="24"/>
        </w:rPr>
        <w:t> PREGÃO ELETRÔNICO </w:t>
      </w:r>
      <w:r>
        <w:rPr>
          <w:color w:val="000000"/>
          <w:sz w:val="24"/>
          <w:szCs w:val="24"/>
        </w:rPr>
        <w:t>no sistema de</w:t>
      </w:r>
      <w:r>
        <w:rPr>
          <w:b/>
          <w:bCs/>
          <w:color w:val="000000"/>
          <w:sz w:val="24"/>
          <w:szCs w:val="24"/>
        </w:rPr>
        <w:t> </w:t>
      </w:r>
      <w:r>
        <w:rPr>
          <w:color w:val="000000"/>
          <w:sz w:val="24"/>
          <w:szCs w:val="24"/>
        </w:rPr>
        <w:t>REGISTRO DE PREÇOS,   cujas especificações mínimas do objeto e demais condições gerais para o fornecimento estão descritas no Termo de Referência, em atendimento a Secretaria Municipal de Educação.</w:t>
      </w:r>
    </w:p>
    <w:p w14:paraId="6DC203F2">
      <w:pPr>
        <w:spacing w:line="288" w:lineRule="auto"/>
        <w:contextualSpacing/>
        <w:jc w:val="both"/>
        <w:rPr>
          <w:rFonts w:asciiTheme="minorHAnsi" w:hAnsiTheme="minorHAnsi" w:cstheme="minorHAnsi"/>
          <w:b/>
          <w:bCs/>
          <w:color w:val="405CA1"/>
          <w:sz w:val="24"/>
          <w:szCs w:val="24"/>
        </w:rPr>
      </w:pPr>
    </w:p>
    <w:p w14:paraId="6FBF6236">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VALOR TOTAL ESTIMADO DA CONTRATAÇÃO</w:t>
      </w:r>
    </w:p>
    <w:p w14:paraId="1C27A336">
      <w:pPr>
        <w:rPr>
          <w:sz w:val="24"/>
          <w:szCs w:val="24"/>
        </w:rPr>
      </w:pPr>
    </w:p>
    <w:p w14:paraId="37AD102E">
      <w:pPr>
        <w:spacing w:line="288" w:lineRule="auto"/>
        <w:contextualSpacing/>
        <w:jc w:val="both"/>
        <w:rPr>
          <w:color w:val="FF0000"/>
          <w:sz w:val="24"/>
          <w:szCs w:val="24"/>
        </w:rPr>
      </w:pPr>
      <w:r>
        <w:rPr>
          <w:b/>
          <w:bCs/>
          <w:sz w:val="24"/>
          <w:szCs w:val="24"/>
          <w:u w:val="single"/>
        </w:rPr>
        <w:t>R$</w:t>
      </w:r>
      <w:r>
        <w:rPr>
          <w:b/>
          <w:bCs/>
          <w:color w:val="000000" w:themeColor="text1"/>
          <w:sz w:val="24"/>
          <w:szCs w:val="24"/>
          <w:u w:val="single"/>
          <w14:textFill>
            <w14:solidFill>
              <w14:schemeClr w14:val="tx1"/>
            </w14:solidFill>
          </w14:textFill>
        </w:rPr>
        <w:t xml:space="preserve"> 72.000,00</w:t>
      </w:r>
      <w:r>
        <w:rPr>
          <w:rFonts w:eastAsia="Cambria"/>
          <w:b/>
          <w:color w:val="000000" w:themeColor="text1"/>
          <w:sz w:val="24"/>
          <w:szCs w:val="24"/>
          <w14:textFill>
            <w14:solidFill>
              <w14:schemeClr w14:val="tx1"/>
            </w14:solidFill>
          </w14:textFill>
        </w:rPr>
        <w:t xml:space="preserve"> </w:t>
      </w:r>
      <w:r>
        <w:rPr>
          <w:rFonts w:eastAsia="Cambria"/>
          <w:b/>
          <w:sz w:val="24"/>
          <w:szCs w:val="24"/>
        </w:rPr>
        <w:t>(setenta e dois mil reais)</w:t>
      </w:r>
    </w:p>
    <w:p w14:paraId="5C03EC30">
      <w:pPr>
        <w:spacing w:line="288" w:lineRule="auto"/>
        <w:contextualSpacing/>
        <w:jc w:val="both"/>
        <w:rPr>
          <w:color w:val="FF0000"/>
          <w:sz w:val="24"/>
          <w:szCs w:val="24"/>
        </w:rPr>
      </w:pPr>
    </w:p>
    <w:p w14:paraId="5249BEEB">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DATA DA SESSÃO PÚBLICA</w:t>
      </w:r>
    </w:p>
    <w:p w14:paraId="54E70EEA">
      <w:pPr>
        <w:spacing w:line="288" w:lineRule="auto"/>
        <w:contextualSpacing/>
        <w:jc w:val="both"/>
        <w:rPr>
          <w:b w:val="0"/>
          <w:bCs w:val="0"/>
          <w:color w:val="405CA1"/>
          <w:sz w:val="24"/>
          <w:szCs w:val="24"/>
        </w:rPr>
      </w:pPr>
    </w:p>
    <w:p w14:paraId="722E1782">
      <w:pPr>
        <w:spacing w:line="288" w:lineRule="auto"/>
        <w:contextualSpacing/>
        <w:jc w:val="both"/>
        <w:rPr>
          <w:b/>
          <w:bCs/>
          <w:i/>
          <w:iCs/>
          <w:color w:val="5B5B5F"/>
          <w:sz w:val="24"/>
          <w:szCs w:val="24"/>
        </w:rPr>
      </w:pPr>
      <w:r>
        <w:rPr>
          <w:b/>
          <w:bCs/>
          <w:i/>
          <w:iCs/>
          <w:color w:val="5B5B5F"/>
          <w:sz w:val="24"/>
          <w:szCs w:val="24"/>
        </w:rPr>
        <w:t xml:space="preserve">Dia </w:t>
      </w:r>
      <w:r>
        <w:rPr>
          <w:rFonts w:hint="default"/>
          <w:b/>
          <w:bCs/>
          <w:i/>
          <w:iCs/>
          <w:color w:val="5B5B5F"/>
          <w:sz w:val="24"/>
          <w:szCs w:val="24"/>
          <w:lang w:val="pt-BR"/>
        </w:rPr>
        <w:t>14</w:t>
      </w:r>
      <w:r>
        <w:rPr>
          <w:b/>
          <w:bCs/>
          <w:i/>
          <w:iCs/>
          <w:color w:val="5B5B5F"/>
          <w:sz w:val="24"/>
          <w:szCs w:val="24"/>
        </w:rPr>
        <w:t>/</w:t>
      </w:r>
      <w:r>
        <w:rPr>
          <w:rFonts w:hint="default"/>
          <w:b/>
          <w:bCs/>
          <w:i/>
          <w:iCs/>
          <w:color w:val="5B5B5F"/>
          <w:sz w:val="24"/>
          <w:szCs w:val="24"/>
          <w:lang w:val="pt-BR"/>
        </w:rPr>
        <w:t>07</w:t>
      </w:r>
      <w:r>
        <w:rPr>
          <w:b/>
          <w:bCs/>
          <w:i/>
          <w:iCs/>
          <w:color w:val="5B5B5F"/>
          <w:sz w:val="24"/>
          <w:szCs w:val="24"/>
        </w:rPr>
        <w:t xml:space="preserve">/2026 às </w:t>
      </w:r>
      <w:r>
        <w:rPr>
          <w:rFonts w:hint="default"/>
          <w:b/>
          <w:bCs/>
          <w:i/>
          <w:iCs/>
          <w:color w:val="5B5B5F"/>
          <w:sz w:val="24"/>
          <w:szCs w:val="24"/>
          <w:lang w:val="pt-BR"/>
        </w:rPr>
        <w:t>13</w:t>
      </w:r>
      <w:r>
        <w:rPr>
          <w:b/>
          <w:bCs/>
          <w:i/>
          <w:iCs/>
          <w:sz w:val="24"/>
          <w:szCs w:val="24"/>
        </w:rPr>
        <w:t>h</w:t>
      </w:r>
      <w:r>
        <w:rPr>
          <w:b/>
          <w:bCs/>
          <w:i/>
          <w:iCs/>
          <w:color w:val="5B5B5F"/>
          <w:sz w:val="24"/>
          <w:szCs w:val="24"/>
        </w:rPr>
        <w:t xml:space="preserve"> (horário de Brasília)</w:t>
      </w:r>
    </w:p>
    <w:p w14:paraId="6D48C3C5">
      <w:pPr>
        <w:spacing w:line="288" w:lineRule="auto"/>
        <w:contextualSpacing/>
        <w:jc w:val="both"/>
        <w:rPr>
          <w:color w:val="558ED5" w:themeColor="text2" w:themeTint="99"/>
          <w:sz w:val="24"/>
          <w:szCs w:val="24"/>
          <w14:textFill>
            <w14:solidFill>
              <w14:schemeClr w14:val="tx2">
                <w14:lumMod w14:val="60000"/>
                <w14:lumOff w14:val="40000"/>
              </w14:schemeClr>
            </w14:solidFill>
          </w14:textFill>
        </w:rPr>
      </w:pPr>
    </w:p>
    <w:p w14:paraId="7E3F2FEA">
      <w:pPr>
        <w:spacing w:line="288" w:lineRule="auto"/>
        <w:contextualSpacing/>
        <w:jc w:val="both"/>
        <w:rPr>
          <w:caps/>
          <w:color w:val="558ED5" w:themeColor="text2" w:themeTint="99"/>
          <w:sz w:val="24"/>
          <w:szCs w:val="24"/>
          <w14:textFill>
            <w14:solidFill>
              <w14:schemeClr w14:val="tx2">
                <w14:lumMod w14:val="60000"/>
                <w14:lumOff w14:val="40000"/>
              </w14:schemeClr>
            </w14:solidFill>
          </w14:textFill>
        </w:rPr>
      </w:pPr>
      <w:r>
        <w:rPr>
          <w:b/>
          <w:bCs/>
          <w:caps/>
          <w:color w:val="558ED5" w:themeColor="text2" w:themeTint="99"/>
          <w:sz w:val="24"/>
          <w:szCs w:val="24"/>
          <w14:textFill>
            <w14:solidFill>
              <w14:schemeClr w14:val="tx2">
                <w14:lumMod w14:val="60000"/>
                <w14:lumOff w14:val="40000"/>
              </w14:schemeClr>
            </w14:solidFill>
          </w14:textFill>
        </w:rPr>
        <w:t>Critério de Julgamento:</w:t>
      </w:r>
    </w:p>
    <w:p w14:paraId="4C6FC00A">
      <w:pPr>
        <w:spacing w:line="288" w:lineRule="auto"/>
        <w:contextualSpacing/>
        <w:jc w:val="both"/>
        <w:rPr>
          <w:sz w:val="24"/>
          <w:szCs w:val="24"/>
        </w:rPr>
      </w:pPr>
      <w:r>
        <w:rPr>
          <w:sz w:val="24"/>
          <w:szCs w:val="24"/>
        </w:rPr>
        <w:t>MENOR PREÇO POR LOTE</w:t>
      </w:r>
    </w:p>
    <w:p w14:paraId="1F4F49E3">
      <w:pPr>
        <w:spacing w:line="288" w:lineRule="auto"/>
        <w:contextualSpacing/>
        <w:jc w:val="both"/>
        <w:rPr>
          <w:rFonts w:asciiTheme="minorHAnsi" w:hAnsiTheme="minorHAnsi" w:cstheme="minorHAnsi"/>
          <w:sz w:val="24"/>
          <w:szCs w:val="24"/>
        </w:rPr>
      </w:pPr>
    </w:p>
    <w:p w14:paraId="76271619">
      <w:pPr>
        <w:spacing w:line="288" w:lineRule="auto"/>
        <w:contextualSpacing/>
        <w:jc w:val="both"/>
        <w:rPr>
          <w:caps/>
          <w:color w:val="558ED5" w:themeColor="text2" w:themeTint="99"/>
          <w:sz w:val="24"/>
          <w:szCs w:val="24"/>
          <w14:textFill>
            <w14:solidFill>
              <w14:schemeClr w14:val="tx2">
                <w14:lumMod w14:val="60000"/>
                <w14:lumOff w14:val="40000"/>
              </w14:schemeClr>
            </w14:solidFill>
          </w14:textFill>
        </w:rPr>
      </w:pPr>
      <w:r>
        <w:rPr>
          <w:b/>
          <w:bCs/>
          <w:caps/>
          <w:color w:val="558ED5" w:themeColor="text2" w:themeTint="99"/>
          <w:sz w:val="24"/>
          <w:szCs w:val="24"/>
          <w14:textFill>
            <w14:solidFill>
              <w14:schemeClr w14:val="tx2">
                <w14:lumMod w14:val="60000"/>
                <w14:lumOff w14:val="40000"/>
              </w14:schemeClr>
            </w14:solidFill>
          </w14:textFill>
        </w:rPr>
        <w:t>Modo de disputa:</w:t>
      </w:r>
    </w:p>
    <w:p w14:paraId="5487AE73">
      <w:pPr>
        <w:spacing w:line="288" w:lineRule="auto"/>
        <w:contextualSpacing/>
        <w:jc w:val="both"/>
        <w:rPr>
          <w:sz w:val="24"/>
          <w:szCs w:val="24"/>
        </w:rPr>
      </w:pPr>
      <w:r>
        <w:rPr>
          <w:sz w:val="24"/>
          <w:szCs w:val="24"/>
        </w:rPr>
        <w:t>ABERTO E FECHADO</w:t>
      </w:r>
    </w:p>
    <w:p w14:paraId="743C44DF">
      <w:pPr>
        <w:pStyle w:val="81"/>
        <w:spacing w:before="0" w:beforeAutospacing="0" w:after="0" w:afterAutospacing="0" w:line="288" w:lineRule="auto"/>
        <w:ind w:right="-1"/>
        <w:contextualSpacing/>
        <w:jc w:val="both"/>
        <w:rPr>
          <w:rFonts w:eastAsia="Calibri"/>
          <w:b/>
          <w:bCs/>
          <w:lang w:eastAsia="en-US"/>
        </w:rPr>
      </w:pPr>
    </w:p>
    <w:p w14:paraId="472B09B6">
      <w:pPr>
        <w:spacing w:line="288" w:lineRule="auto"/>
        <w:ind w:firstLine="567"/>
        <w:contextualSpacing/>
        <w:jc w:val="center"/>
        <w:rPr>
          <w:b/>
          <w:i/>
          <w:color w:val="FF0000"/>
          <w:sz w:val="24"/>
          <w:szCs w:val="24"/>
        </w:rPr>
      </w:pPr>
    </w:p>
    <w:p w14:paraId="3ABEC8D2">
      <w:pPr>
        <w:spacing w:line="288" w:lineRule="auto"/>
        <w:contextualSpacing/>
        <w:jc w:val="both"/>
        <w:rPr>
          <w:sz w:val="24"/>
          <w:szCs w:val="24"/>
        </w:rPr>
      </w:pPr>
      <w:r>
        <w:rPr>
          <w:sz w:val="24"/>
          <w:szCs w:val="24"/>
        </w:rPr>
        <w:t>MUNICÍPIO DE VALENÇA RJ, PELA SECRETARIA MUNICIPAL DE EDUCAÇÃO</w:t>
      </w:r>
    </w:p>
    <w:p w14:paraId="37B5584A">
      <w:pPr>
        <w:spacing w:before="288" w:beforeLines="120" w:after="288" w:afterLines="120" w:line="288" w:lineRule="auto"/>
        <w:ind w:firstLine="567"/>
        <w:contextualSpacing/>
        <w:jc w:val="center"/>
        <w:rPr>
          <w:b/>
          <w:color w:val="000000"/>
          <w:sz w:val="24"/>
          <w:szCs w:val="24"/>
        </w:rPr>
      </w:pPr>
    </w:p>
    <w:p w14:paraId="4308D923">
      <w:pPr>
        <w:spacing w:before="288" w:beforeLines="120" w:after="288" w:afterLines="120" w:line="288" w:lineRule="auto"/>
        <w:contextualSpacing/>
        <w:rPr>
          <w:b/>
          <w:color w:val="auto"/>
          <w:sz w:val="24"/>
          <w:szCs w:val="24"/>
        </w:rPr>
      </w:pPr>
      <w:r>
        <w:rPr>
          <w:b/>
          <w:color w:val="000000"/>
          <w:sz w:val="24"/>
          <w:szCs w:val="24"/>
        </w:rPr>
        <w:t>PREGÃO ELETRÔNICO Nº</w:t>
      </w:r>
      <w:r>
        <w:rPr>
          <w:b/>
          <w:color w:val="auto"/>
          <w:sz w:val="24"/>
          <w:szCs w:val="24"/>
        </w:rPr>
        <w:t xml:space="preserve"> </w:t>
      </w:r>
      <w:r>
        <w:rPr>
          <w:rFonts w:hint="default"/>
          <w:b/>
          <w:color w:val="auto"/>
          <w:sz w:val="24"/>
          <w:szCs w:val="24"/>
          <w:lang w:val="pt-BR"/>
        </w:rPr>
        <w:t>90047</w:t>
      </w:r>
      <w:r>
        <w:rPr>
          <w:b/>
          <w:color w:val="auto"/>
          <w:sz w:val="24"/>
          <w:szCs w:val="24"/>
        </w:rPr>
        <w:t>/2026</w:t>
      </w:r>
      <w:bookmarkStart w:id="49" w:name="_GoBack"/>
      <w:bookmarkEnd w:id="49"/>
    </w:p>
    <w:p w14:paraId="457EEDC7">
      <w:pPr>
        <w:spacing w:before="288" w:beforeLines="120" w:after="288" w:afterLines="120" w:line="288" w:lineRule="auto"/>
        <w:ind w:firstLine="567"/>
        <w:contextualSpacing/>
        <w:jc w:val="center"/>
        <w:rPr>
          <w:bCs/>
          <w:color w:val="000000"/>
          <w:sz w:val="24"/>
          <w:szCs w:val="24"/>
        </w:rPr>
      </w:pPr>
      <w:r>
        <w:rPr>
          <w:color w:val="000000"/>
          <w:sz w:val="24"/>
          <w:szCs w:val="24"/>
        </w:rPr>
        <w:t xml:space="preserve">   </w:t>
      </w:r>
    </w:p>
    <w:p w14:paraId="3174D1DF">
      <w:pPr>
        <w:spacing w:line="288" w:lineRule="auto"/>
        <w:contextualSpacing/>
        <w:jc w:val="both"/>
        <w:rPr>
          <w:sz w:val="24"/>
          <w:szCs w:val="24"/>
        </w:rPr>
      </w:pPr>
      <w:r>
        <w:rPr>
          <w:color w:val="000000"/>
          <w:sz w:val="24"/>
          <w:szCs w:val="24"/>
        </w:rPr>
        <w:t xml:space="preserve">Torna-se público que o </w:t>
      </w:r>
      <w:r>
        <w:rPr>
          <w:iCs/>
          <w:sz w:val="24"/>
          <w:szCs w:val="24"/>
        </w:rPr>
        <w:t>MUNICÍPIO DE VALENÇA</w:t>
      </w:r>
      <w:r>
        <w:rPr>
          <w:sz w:val="24"/>
          <w:szCs w:val="24"/>
        </w:rPr>
        <w:t>, PELA SECRETARIA MUNICIPAL DE EDUCAÇÃO</w:t>
      </w:r>
      <w:r>
        <w:rPr>
          <w:iCs/>
          <w:color w:val="000000"/>
          <w:sz w:val="24"/>
          <w:szCs w:val="24"/>
        </w:rPr>
        <w:t xml:space="preserve">, sediada Av. Nilo Peçanha, n° 506, Centro, Valença, RJ, </w:t>
      </w:r>
      <w:r>
        <w:rPr>
          <w:color w:val="000000"/>
          <w:sz w:val="24"/>
          <w:szCs w:val="24"/>
        </w:rPr>
        <w:t xml:space="preserve"> realizará licitação, na modalidade PREGÃO, na forma ELETRÔNICA, para REGISTRO DE PREÇOS, nos termos do processo SEI nº VLC-020506/000683/2026</w:t>
      </w:r>
      <w:r>
        <w:rPr>
          <w:color w:val="000000" w:themeColor="text1"/>
          <w:sz w:val="24"/>
          <w:szCs w:val="24"/>
          <w14:textFill>
            <w14:solidFill>
              <w14:schemeClr w14:val="tx1"/>
            </w14:solidFill>
          </w14:textFill>
        </w:rPr>
        <w:t xml:space="preserve">, </w:t>
      </w:r>
      <w:r>
        <w:rPr>
          <w:color w:val="000000"/>
          <w:sz w:val="24"/>
          <w:szCs w:val="24"/>
        </w:rPr>
        <w:t xml:space="preserve">da </w:t>
      </w:r>
      <w:r>
        <w:fldChar w:fldCharType="begin"/>
      </w:r>
      <w:r>
        <w:instrText xml:space="preserve"> HYPERLINK "http://www.planalto.gov.br/ccivil_03/_ato2019-2022/2021/lei/L14133.htm" </w:instrText>
      </w:r>
      <w:r>
        <w:fldChar w:fldCharType="separate"/>
      </w:r>
      <w:r>
        <w:rPr>
          <w:rStyle w:val="14"/>
          <w:rFonts w:eastAsiaTheme="minorHAnsi"/>
          <w:sz w:val="24"/>
          <w:szCs w:val="24"/>
        </w:rPr>
        <w:t>Lei nº 14.133, de 1º de abril de 2021</w:t>
      </w:r>
      <w:r>
        <w:rPr>
          <w:rStyle w:val="14"/>
          <w:rFonts w:eastAsiaTheme="minorHAnsi"/>
          <w:sz w:val="24"/>
          <w:szCs w:val="24"/>
        </w:rPr>
        <w:fldChar w:fldCharType="end"/>
      </w:r>
      <w:r>
        <w:rPr>
          <w:sz w:val="24"/>
          <w:szCs w:val="24"/>
        </w:rPr>
        <w:t xml:space="preserve">, do Decreto nº 46 de 25 de fevereiro de 2025, </w:t>
      </w:r>
      <w:r>
        <w:rPr>
          <w:rFonts w:eastAsia="Arial"/>
          <w:sz w:val="24"/>
          <w:szCs w:val="24"/>
        </w:rPr>
        <w:t xml:space="preserve">e dos demais normativos municipais aplicáveis, todos disponíveis </w:t>
      </w:r>
      <w:r>
        <w:rPr>
          <w:sz w:val="24"/>
          <w:szCs w:val="24"/>
        </w:rPr>
        <w:t>no endereço eletrônico www.valenca.rj.gov.br, e, ainda, de acordo com as condições estabelecidas neste Edital.</w:t>
      </w:r>
    </w:p>
    <w:p w14:paraId="69A42509">
      <w:pPr>
        <w:pStyle w:val="81"/>
        <w:spacing w:before="0" w:beforeAutospacing="0" w:after="0" w:afterAutospacing="0" w:line="288" w:lineRule="auto"/>
        <w:ind w:right="-1"/>
        <w:contextualSpacing/>
        <w:jc w:val="both"/>
        <w:rPr>
          <w:rFonts w:eastAsia="Calibri" w:asciiTheme="minorHAnsi" w:hAnsiTheme="minorHAnsi" w:cstheme="minorHAnsi"/>
          <w:b/>
          <w:bCs/>
          <w:lang w:eastAsia="en-US"/>
        </w:rPr>
      </w:pPr>
    </w:p>
    <w:p w14:paraId="56AB3A77">
      <w:pPr>
        <w:pStyle w:val="81"/>
        <w:spacing w:before="0" w:beforeAutospacing="0" w:after="0" w:afterAutospacing="0" w:line="288" w:lineRule="auto"/>
        <w:ind w:right="-1"/>
        <w:contextualSpacing/>
        <w:jc w:val="both"/>
        <w:rPr>
          <w:rFonts w:eastAsia="Calibri" w:asciiTheme="minorHAnsi" w:hAnsiTheme="minorHAnsi" w:cstheme="minorHAnsi"/>
          <w:b/>
          <w:bCs/>
          <w:lang w:eastAsia="en-US"/>
        </w:rPr>
      </w:pPr>
    </w:p>
    <w:p w14:paraId="0CD63FC5">
      <w:pPr>
        <w:pStyle w:val="81"/>
        <w:spacing w:before="0" w:beforeAutospacing="0" w:after="0" w:afterAutospacing="0" w:line="288" w:lineRule="auto"/>
        <w:ind w:right="-1"/>
        <w:contextualSpacing/>
        <w:jc w:val="both"/>
        <w:rPr>
          <w:rFonts w:eastAsia="Calibri" w:asciiTheme="minorHAnsi" w:hAnsiTheme="minorHAnsi" w:cstheme="minorHAnsi"/>
          <w:b/>
          <w:bCs/>
          <w:lang w:eastAsia="en-US"/>
        </w:rPr>
      </w:pPr>
    </w:p>
    <w:p w14:paraId="074194DF">
      <w:pPr>
        <w:pStyle w:val="81"/>
        <w:spacing w:before="0" w:beforeAutospacing="0" w:after="0" w:afterAutospacing="0" w:line="288" w:lineRule="auto"/>
        <w:ind w:right="-1"/>
        <w:contextualSpacing/>
        <w:jc w:val="both"/>
        <w:rPr>
          <w:rFonts w:eastAsia="Calibri" w:asciiTheme="minorHAnsi" w:hAnsiTheme="minorHAnsi" w:cstheme="minorHAnsi"/>
          <w:b/>
          <w:bCs/>
          <w:lang w:eastAsia="en-US"/>
        </w:rPr>
      </w:pPr>
    </w:p>
    <w:p w14:paraId="71F6FD83">
      <w:pPr>
        <w:pStyle w:val="81"/>
        <w:spacing w:before="0" w:beforeAutospacing="0" w:after="0" w:afterAutospacing="0" w:line="288" w:lineRule="auto"/>
        <w:ind w:right="-1"/>
        <w:contextualSpacing/>
        <w:jc w:val="both"/>
        <w:rPr>
          <w:rFonts w:eastAsia="Calibri" w:asciiTheme="minorHAnsi" w:hAnsiTheme="minorHAnsi" w:cstheme="minorHAnsi"/>
          <w:b/>
          <w:bCs/>
          <w:lang w:eastAsia="en-US"/>
        </w:rPr>
      </w:pPr>
    </w:p>
    <w:p w14:paraId="592DBFFB">
      <w:pPr>
        <w:pStyle w:val="81"/>
        <w:numPr>
          <w:ilvl w:val="0"/>
          <w:numId w:val="4"/>
        </w:numPr>
        <w:spacing w:before="0" w:beforeAutospacing="0" w:after="0" w:afterAutospacing="0" w:line="288" w:lineRule="auto"/>
        <w:ind w:right="-1"/>
        <w:contextualSpacing/>
        <w:jc w:val="both"/>
        <w:rPr>
          <w:rFonts w:eastAsia="Calibri"/>
          <w:b/>
          <w:bCs/>
          <w:lang w:eastAsia="en-US"/>
        </w:rPr>
      </w:pPr>
      <w:r>
        <w:rPr>
          <w:rFonts w:eastAsia="Calibri"/>
          <w:b/>
          <w:bCs/>
          <w:lang w:eastAsia="en-US"/>
        </w:rPr>
        <w:t>OBJETO</w:t>
      </w:r>
    </w:p>
    <w:p w14:paraId="4E7E1FEE">
      <w:pPr>
        <w:pStyle w:val="81"/>
        <w:spacing w:before="0" w:beforeAutospacing="0" w:after="0" w:afterAutospacing="0" w:line="288" w:lineRule="auto"/>
        <w:ind w:right="-1"/>
        <w:contextualSpacing/>
        <w:jc w:val="both"/>
        <w:rPr>
          <w:rFonts w:eastAsia="Calibri"/>
          <w:b/>
          <w:bCs/>
          <w:lang w:eastAsia="en-US"/>
        </w:rPr>
      </w:pPr>
    </w:p>
    <w:p w14:paraId="4808F22F">
      <w:pPr>
        <w:spacing w:line="288" w:lineRule="auto"/>
        <w:contextualSpacing/>
        <w:jc w:val="both"/>
        <w:rPr>
          <w:color w:val="000000"/>
          <w:sz w:val="24"/>
          <w:szCs w:val="24"/>
        </w:rPr>
      </w:pPr>
      <w:r>
        <w:rPr>
          <w:rFonts w:eastAsia="Cambria"/>
          <w:sz w:val="24"/>
          <w:szCs w:val="24"/>
        </w:rPr>
        <w:t xml:space="preserve">1.1 </w:t>
      </w:r>
      <w:r>
        <w:rPr>
          <w:color w:val="000000"/>
          <w:sz w:val="24"/>
          <w:szCs w:val="24"/>
        </w:rPr>
        <w:t>Aq</w:t>
      </w:r>
      <w:r>
        <w:rPr>
          <w:b/>
          <w:bCs/>
          <w:color w:val="000000"/>
          <w:sz w:val="24"/>
          <w:szCs w:val="24"/>
        </w:rPr>
        <w:t>uisição de KITS DE LANCHES,  </w:t>
      </w:r>
      <w:r>
        <w:rPr>
          <w:color w:val="000000"/>
          <w:sz w:val="24"/>
          <w:szCs w:val="24"/>
        </w:rPr>
        <w:t> destinados aos participantes do</w:t>
      </w:r>
      <w:r>
        <w:rPr>
          <w:b/>
          <w:bCs/>
          <w:color w:val="000000"/>
          <w:sz w:val="24"/>
          <w:szCs w:val="24"/>
        </w:rPr>
        <w:t> DESFILE CÍVICO DO DIA 07 DE SETEMBRO DE 2026,  </w:t>
      </w:r>
      <w:r>
        <w:rPr>
          <w:color w:val="000000"/>
          <w:sz w:val="24"/>
          <w:szCs w:val="24"/>
        </w:rPr>
        <w:t>na modalidade</w:t>
      </w:r>
      <w:r>
        <w:rPr>
          <w:b/>
          <w:bCs/>
          <w:color w:val="000000"/>
          <w:sz w:val="24"/>
          <w:szCs w:val="24"/>
        </w:rPr>
        <w:t> PREGÃO ELETRÔNICO </w:t>
      </w:r>
      <w:r>
        <w:rPr>
          <w:color w:val="000000"/>
          <w:sz w:val="24"/>
          <w:szCs w:val="24"/>
        </w:rPr>
        <w:t>no sistema de</w:t>
      </w:r>
      <w:r>
        <w:rPr>
          <w:b/>
          <w:bCs/>
          <w:color w:val="000000"/>
          <w:sz w:val="24"/>
          <w:szCs w:val="24"/>
        </w:rPr>
        <w:t> </w:t>
      </w:r>
      <w:r>
        <w:rPr>
          <w:color w:val="000000"/>
          <w:sz w:val="24"/>
          <w:szCs w:val="24"/>
        </w:rPr>
        <w:t>REGISTRO DE PREÇOS,   cujas especificações mínimas do objeto e demais condições gerais para o fornecimento estão descritas no Termo de Referência, em atendimento a Secretaria Municipal de Educação.</w:t>
      </w:r>
    </w:p>
    <w:p w14:paraId="4000788C">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sz w:val="24"/>
          <w:szCs w:val="24"/>
          <w:lang w:eastAsia="en-US"/>
        </w:rPr>
        <w:t xml:space="preserve">1.2 </w:t>
      </w:r>
      <w:r>
        <w:rPr>
          <w:rFonts w:ascii="Times New Roman" w:hAnsi="Times New Roman" w:cs="Times New Roman"/>
          <w:color w:val="auto"/>
          <w:sz w:val="24"/>
          <w:szCs w:val="24"/>
        </w:rPr>
        <w:t>A licitação será dividida em um único lote, conforme tabela abaixo, facultando-se ao licitante a participação se for de seu interesse.</w:t>
      </w:r>
    </w:p>
    <w:p w14:paraId="241378A4">
      <w:pPr>
        <w:rPr>
          <w:sz w:val="24"/>
          <w:szCs w:val="24"/>
        </w:rPr>
      </w:pPr>
    </w:p>
    <w:tbl>
      <w:tblPr>
        <w:tblStyle w:val="9"/>
        <w:tblW w:w="8999" w:type="dxa"/>
        <w:tblInd w:w="120" w:type="dxa"/>
        <w:tblLayout w:type="autofit"/>
        <w:tblCellMar>
          <w:top w:w="15" w:type="dxa"/>
          <w:left w:w="15" w:type="dxa"/>
          <w:bottom w:w="15" w:type="dxa"/>
          <w:right w:w="15" w:type="dxa"/>
        </w:tblCellMar>
      </w:tblPr>
      <w:tblGrid>
        <w:gridCol w:w="921"/>
        <w:gridCol w:w="5877"/>
        <w:gridCol w:w="958"/>
        <w:gridCol w:w="1243"/>
      </w:tblGrid>
      <w:tr w14:paraId="2F9FE33D">
        <w:tblPrEx>
          <w:tblCellMar>
            <w:top w:w="15" w:type="dxa"/>
            <w:left w:w="15" w:type="dxa"/>
            <w:bottom w:w="15" w:type="dxa"/>
            <w:right w:w="15" w:type="dxa"/>
          </w:tblCellMar>
        </w:tblPrEx>
        <w:tc>
          <w:tcPr>
            <w:tcW w:w="0" w:type="auto"/>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14:paraId="1A07ED4B">
            <w:pPr>
              <w:jc w:val="center"/>
              <w:rPr>
                <w:color w:val="000000"/>
                <w:sz w:val="27"/>
                <w:szCs w:val="27"/>
              </w:rPr>
            </w:pPr>
            <w:r>
              <w:rPr>
                <w:b/>
                <w:bCs/>
                <w:color w:val="000000"/>
                <w:sz w:val="27"/>
                <w:szCs w:val="27"/>
              </w:rPr>
              <w:t>ITEM</w:t>
            </w:r>
          </w:p>
        </w:tc>
        <w:tc>
          <w:tcPr>
            <w:tcW w:w="0" w:type="auto"/>
            <w:tcBorders>
              <w:top w:val="single" w:color="000000" w:sz="8" w:space="0"/>
              <w:left w:val="single" w:color="000000" w:sz="8" w:space="0"/>
              <w:bottom w:val="single" w:color="000000" w:sz="6" w:space="0"/>
              <w:right w:val="single" w:color="000000" w:sz="8" w:space="0"/>
            </w:tcBorders>
            <w:tcMar>
              <w:top w:w="100" w:type="dxa"/>
              <w:left w:w="100" w:type="dxa"/>
              <w:bottom w:w="100" w:type="dxa"/>
              <w:right w:w="100" w:type="dxa"/>
            </w:tcMar>
          </w:tcPr>
          <w:p w14:paraId="3D271530">
            <w:pPr>
              <w:jc w:val="center"/>
              <w:rPr>
                <w:color w:val="000000"/>
                <w:sz w:val="27"/>
                <w:szCs w:val="27"/>
              </w:rPr>
            </w:pPr>
            <w:r>
              <w:rPr>
                <w:b/>
                <w:bCs/>
                <w:color w:val="000000"/>
                <w:sz w:val="27"/>
                <w:szCs w:val="27"/>
              </w:rPr>
              <w:t>ESPECIFICAÇÃO</w:t>
            </w:r>
          </w:p>
        </w:tc>
        <w:tc>
          <w:tcPr>
            <w:tcW w:w="0" w:type="auto"/>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14:paraId="1F649C18">
            <w:pPr>
              <w:jc w:val="center"/>
              <w:rPr>
                <w:color w:val="000000"/>
                <w:sz w:val="27"/>
                <w:szCs w:val="27"/>
              </w:rPr>
            </w:pPr>
            <w:r>
              <w:rPr>
                <w:b/>
                <w:bCs/>
                <w:color w:val="000000"/>
                <w:sz w:val="27"/>
                <w:szCs w:val="27"/>
              </w:rPr>
              <w:t>UNID.</w:t>
            </w:r>
          </w:p>
        </w:tc>
        <w:tc>
          <w:tcPr>
            <w:tcW w:w="0" w:type="auto"/>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14:paraId="71C50D65">
            <w:pPr>
              <w:jc w:val="center"/>
              <w:rPr>
                <w:color w:val="000000"/>
                <w:sz w:val="27"/>
                <w:szCs w:val="27"/>
              </w:rPr>
            </w:pPr>
            <w:r>
              <w:rPr>
                <w:b/>
                <w:bCs/>
                <w:color w:val="000000"/>
                <w:sz w:val="27"/>
                <w:szCs w:val="27"/>
              </w:rPr>
              <w:t>QUANT.</w:t>
            </w:r>
          </w:p>
        </w:tc>
      </w:tr>
      <w:tr w14:paraId="0EC3BDBA">
        <w:tblPrEx>
          <w:tblCellMar>
            <w:top w:w="15" w:type="dxa"/>
            <w:left w:w="15" w:type="dxa"/>
            <w:bottom w:w="15" w:type="dxa"/>
            <w:right w:w="15" w:type="dxa"/>
          </w:tblCellMar>
        </w:tblPrEx>
        <w:tc>
          <w:tcPr>
            <w:tcW w:w="0" w:type="auto"/>
            <w:tcBorders>
              <w:top w:val="single" w:color="000000" w:sz="8" w:space="0"/>
              <w:left w:val="single" w:color="000000" w:sz="8" w:space="0"/>
              <w:bottom w:val="single" w:color="000000" w:sz="8" w:space="0"/>
              <w:right w:val="single" w:color="000000" w:sz="6" w:space="0"/>
            </w:tcBorders>
            <w:tcMar>
              <w:top w:w="100" w:type="dxa"/>
              <w:left w:w="100" w:type="dxa"/>
              <w:bottom w:w="100" w:type="dxa"/>
              <w:right w:w="100" w:type="dxa"/>
            </w:tcMar>
          </w:tcPr>
          <w:p w14:paraId="23DD6544">
            <w:pPr>
              <w:jc w:val="center"/>
              <w:rPr>
                <w:color w:val="000000"/>
                <w:sz w:val="27"/>
                <w:szCs w:val="27"/>
              </w:rPr>
            </w:pPr>
            <w:r>
              <w:rPr>
                <w:b/>
                <w:bCs/>
                <w:color w:val="000000"/>
                <w:sz w:val="27"/>
                <w:szCs w:val="27"/>
              </w:rPr>
              <w:t>01</w:t>
            </w:r>
          </w:p>
        </w:tc>
        <w:tc>
          <w:tcPr>
            <w:tcW w:w="0" w:type="auto"/>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7F82ADD4">
            <w:pPr>
              <w:spacing w:before="240"/>
              <w:jc w:val="both"/>
              <w:rPr>
                <w:color w:val="000000"/>
                <w:sz w:val="27"/>
                <w:szCs w:val="27"/>
              </w:rPr>
            </w:pPr>
            <w:r>
              <w:rPr>
                <w:b/>
                <w:bCs/>
                <w:color w:val="000000"/>
                <w:sz w:val="27"/>
                <w:szCs w:val="27"/>
              </w:rPr>
              <w:t>KIT LANCHE</w:t>
            </w:r>
          </w:p>
          <w:p w14:paraId="53538CD5">
            <w:pPr>
              <w:spacing w:before="240"/>
              <w:jc w:val="both"/>
              <w:rPr>
                <w:color w:val="000000"/>
                <w:sz w:val="27"/>
                <w:szCs w:val="27"/>
              </w:rPr>
            </w:pPr>
            <w:r>
              <w:rPr>
                <w:b/>
                <w:bCs/>
                <w:color w:val="000000"/>
                <w:sz w:val="27"/>
                <w:szCs w:val="27"/>
              </w:rPr>
              <w:t>Contendo :</w:t>
            </w:r>
          </w:p>
          <w:p w14:paraId="474EBA18">
            <w:pPr>
              <w:spacing w:before="240"/>
              <w:jc w:val="both"/>
              <w:rPr>
                <w:color w:val="000000"/>
                <w:sz w:val="27"/>
                <w:szCs w:val="27"/>
              </w:rPr>
            </w:pPr>
            <w:r>
              <w:rPr>
                <w:b/>
                <w:bCs/>
                <w:color w:val="000000"/>
                <w:sz w:val="27"/>
                <w:szCs w:val="27"/>
              </w:rPr>
              <w:t>1 (um) mini bolinho sem recheio de 40g a 45g (tipo “Bolinho Bauducco, muffin”) </w:t>
            </w:r>
            <w:r>
              <w:rPr>
                <w:color w:val="000000"/>
                <w:sz w:val="27"/>
                <w:szCs w:val="27"/>
              </w:rPr>
              <w:t>sabor baunilha, embalagem individual lacrada, com identificação do fabricante, data de fabricação e validade mínima de 60 dias a partir da entrega. </w:t>
            </w:r>
          </w:p>
          <w:p w14:paraId="32460815">
            <w:pPr>
              <w:spacing w:before="240"/>
              <w:jc w:val="both"/>
              <w:rPr>
                <w:color w:val="000000"/>
                <w:sz w:val="27"/>
                <w:szCs w:val="27"/>
              </w:rPr>
            </w:pPr>
            <w:r>
              <w:rPr>
                <w:b/>
                <w:bCs/>
                <w:color w:val="000000"/>
                <w:sz w:val="27"/>
                <w:szCs w:val="27"/>
              </w:rPr>
              <w:t>1 (um) biscoito salgado de 24g, </w:t>
            </w:r>
            <w:r>
              <w:rPr>
                <w:color w:val="000000"/>
                <w:sz w:val="27"/>
                <w:szCs w:val="27"/>
              </w:rPr>
              <w:t>sabores diversos, embalado individualmente em embalagem inviolada com identificação do fabricante, data de fabricação e validade mínima de 60 dias (tipo “Club social”). </w:t>
            </w:r>
          </w:p>
          <w:p w14:paraId="43B0CD8B">
            <w:pPr>
              <w:spacing w:before="240"/>
              <w:jc w:val="both"/>
              <w:rPr>
                <w:color w:val="000000"/>
                <w:sz w:val="27"/>
                <w:szCs w:val="27"/>
              </w:rPr>
            </w:pPr>
            <w:r>
              <w:rPr>
                <w:b/>
                <w:bCs/>
                <w:color w:val="000000"/>
                <w:sz w:val="27"/>
                <w:szCs w:val="27"/>
              </w:rPr>
              <w:t>1 (um) suco integral (100% fruta), de 200ml, </w:t>
            </w:r>
            <w:r>
              <w:rPr>
                <w:color w:val="000000"/>
                <w:sz w:val="27"/>
                <w:szCs w:val="27"/>
              </w:rPr>
              <w:t>de caixinha em embalagem Tetra Pak com canudo acoplado, sabor uva, com validade mínima de 60 dias a partir da entrega, com 100% de fruta.</w:t>
            </w:r>
          </w:p>
          <w:p w14:paraId="70CA2502">
            <w:pPr>
              <w:spacing w:before="240"/>
              <w:jc w:val="both"/>
              <w:rPr>
                <w:color w:val="000000"/>
                <w:sz w:val="27"/>
                <w:szCs w:val="27"/>
              </w:rPr>
            </w:pPr>
            <w:r>
              <w:rPr>
                <w:b/>
                <w:bCs/>
                <w:color w:val="000000"/>
                <w:sz w:val="27"/>
                <w:szCs w:val="27"/>
              </w:rPr>
              <w:t>1 (um) doce à base de amendoim, </w:t>
            </w:r>
            <w:r>
              <w:rPr>
                <w:color w:val="000000"/>
                <w:sz w:val="27"/>
                <w:szCs w:val="27"/>
              </w:rPr>
              <w:t>do tipo paçoca em formato cilíndrico ou retangular, peso unitário mínimo: 15g, embalado individualmente, com invólucro que garanta a integridade do produto, identificação do fabricante e validade mínima de 60 dias (tipo “Paçoquita”).</w:t>
            </w:r>
          </w:p>
          <w:p w14:paraId="15FAC3ED">
            <w:pPr>
              <w:spacing w:before="240"/>
              <w:jc w:val="both"/>
              <w:rPr>
                <w:color w:val="000000"/>
                <w:sz w:val="27"/>
                <w:szCs w:val="27"/>
              </w:rPr>
            </w:pPr>
            <w:r>
              <w:rPr>
                <w:b/>
                <w:bCs/>
                <w:color w:val="000000"/>
                <w:sz w:val="27"/>
                <w:szCs w:val="27"/>
              </w:rPr>
              <w:t>1 (um) bebida pronta à base de leite com chocolate,</w:t>
            </w:r>
            <w:r>
              <w:rPr>
                <w:color w:val="000000"/>
                <w:sz w:val="27"/>
                <w:szCs w:val="27"/>
              </w:rPr>
              <w:t> do tipo achocolatado, de 200 ml embalagem tipo Tetra Pak, com canudo acoplado, lacrada e inviolada, validade mínima de 60 dias a partir da entrega, produto industrializado, com identificação clara do fabricante e tabela nutricional (tipo “Toddynho”). </w:t>
            </w:r>
          </w:p>
          <w:p w14:paraId="503B1ADC">
            <w:pPr>
              <w:spacing w:before="240"/>
              <w:jc w:val="both"/>
              <w:rPr>
                <w:color w:val="000000"/>
                <w:sz w:val="27"/>
                <w:szCs w:val="27"/>
              </w:rPr>
            </w:pPr>
            <w:r>
              <w:rPr>
                <w:b/>
                <w:bCs/>
                <w:color w:val="000000"/>
                <w:sz w:val="27"/>
                <w:szCs w:val="27"/>
              </w:rPr>
              <w:t>TODOS OS ITENS DEVERÃO SER ACONDICIONADOS EM SACOS DE PAPEL KRAFT DEVIDAMENTE LACRADO..</w:t>
            </w:r>
          </w:p>
        </w:tc>
        <w:tc>
          <w:tcPr>
            <w:tcW w:w="0" w:type="auto"/>
            <w:tcBorders>
              <w:top w:val="single" w:color="000000" w:sz="8" w:space="0"/>
              <w:left w:val="single" w:color="000000" w:sz="6" w:space="0"/>
              <w:bottom w:val="single" w:color="000000" w:sz="8" w:space="0"/>
              <w:right w:val="single" w:color="000000" w:sz="8" w:space="0"/>
            </w:tcBorders>
            <w:tcMar>
              <w:top w:w="100" w:type="dxa"/>
              <w:left w:w="100" w:type="dxa"/>
              <w:bottom w:w="100" w:type="dxa"/>
              <w:right w:w="100" w:type="dxa"/>
            </w:tcMar>
          </w:tcPr>
          <w:p w14:paraId="068259DE">
            <w:pPr>
              <w:jc w:val="center"/>
              <w:rPr>
                <w:color w:val="000000"/>
                <w:sz w:val="27"/>
                <w:szCs w:val="27"/>
              </w:rPr>
            </w:pPr>
            <w:r>
              <w:rPr>
                <w:b/>
                <w:bCs/>
                <w:color w:val="000000"/>
                <w:sz w:val="27"/>
                <w:szCs w:val="27"/>
              </w:rPr>
              <w:t>unid.</w:t>
            </w:r>
          </w:p>
        </w:tc>
        <w:tc>
          <w:tcPr>
            <w:tcW w:w="0" w:type="auto"/>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14:paraId="51BE5B5C">
            <w:pPr>
              <w:jc w:val="center"/>
              <w:rPr>
                <w:color w:val="000000"/>
                <w:sz w:val="27"/>
                <w:szCs w:val="27"/>
              </w:rPr>
            </w:pPr>
            <w:r>
              <w:rPr>
                <w:b/>
                <w:bCs/>
                <w:color w:val="000000"/>
                <w:sz w:val="27"/>
                <w:szCs w:val="27"/>
              </w:rPr>
              <w:t>4.000</w:t>
            </w:r>
          </w:p>
        </w:tc>
      </w:tr>
    </w:tbl>
    <w:p w14:paraId="1F3472E0">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7E40B402">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42545DE4">
      <w:pPr>
        <w:pStyle w:val="83"/>
        <w:spacing w:before="288" w:beforeLines="120" w:after="288" w:afterLines="12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2. DO REGISTRO DE PREÇOS</w:t>
      </w:r>
    </w:p>
    <w:p w14:paraId="39A2BB17">
      <w:pPr>
        <w:pStyle w:val="19"/>
        <w:spacing w:before="0" w:beforeAutospacing="0" w:after="0" w:afterAutospacing="0" w:line="288" w:lineRule="auto"/>
        <w:contextualSpacing/>
        <w:jc w:val="both"/>
        <w:rPr>
          <w:color w:val="000000"/>
        </w:rPr>
      </w:pPr>
      <w:r>
        <w:rPr>
          <w:color w:val="000000"/>
        </w:rPr>
        <w:t>2.1 O órgão/entidade gerenciador(a) e o(s) órgão(s)/entidade(s) participante(s), ora em diante, serão denominados gerenciador e participantes, respectivamente.</w:t>
      </w:r>
    </w:p>
    <w:p w14:paraId="614E9D3E">
      <w:pPr>
        <w:pStyle w:val="19"/>
        <w:spacing w:before="0" w:beforeAutospacing="0" w:after="0" w:afterAutospacing="0" w:line="288" w:lineRule="auto"/>
        <w:contextualSpacing/>
        <w:jc w:val="both"/>
        <w:rPr>
          <w:color w:val="000000"/>
        </w:rPr>
      </w:pPr>
      <w:r>
        <w:rPr>
          <w:color w:val="000000"/>
        </w:rPr>
        <w:t> </w:t>
      </w:r>
    </w:p>
    <w:p w14:paraId="2A372680">
      <w:pPr>
        <w:pStyle w:val="19"/>
        <w:spacing w:before="0" w:beforeAutospacing="0" w:after="0" w:afterAutospacing="0" w:line="288" w:lineRule="auto"/>
        <w:contextualSpacing/>
        <w:jc w:val="both"/>
        <w:rPr>
          <w:color w:val="000000"/>
        </w:rPr>
      </w:pPr>
      <w:r>
        <w:rPr>
          <w:color w:val="000000"/>
        </w:rPr>
        <w:t>2.1.2 Aplicam-se ao gerenciador e aos participantes, quando houver, as regras estabelecidas no Termo de Referência, na Ata de Registro de Preços e nos demais anexos a este Edital, que devem ser observadas, também, no que se refere às quantidades, prazos e locais de entrega e demais obrigações. ​</w:t>
      </w:r>
    </w:p>
    <w:p w14:paraId="20CCC75B">
      <w:pPr>
        <w:autoSpaceDE w:val="0"/>
        <w:autoSpaceDN w:val="0"/>
        <w:adjustRightInd w:val="0"/>
        <w:spacing w:line="288" w:lineRule="auto"/>
        <w:contextualSpacing/>
        <w:jc w:val="both"/>
        <w:rPr>
          <w:b/>
          <w:color w:val="FF0000"/>
          <w:sz w:val="24"/>
          <w:szCs w:val="24"/>
        </w:rPr>
      </w:pPr>
    </w:p>
    <w:p w14:paraId="6B08B324">
      <w:pPr>
        <w:autoSpaceDE w:val="0"/>
        <w:autoSpaceDN w:val="0"/>
        <w:adjustRightInd w:val="0"/>
        <w:spacing w:line="288" w:lineRule="auto"/>
        <w:contextualSpacing/>
        <w:jc w:val="both"/>
        <w:rPr>
          <w:bCs/>
          <w:sz w:val="24"/>
          <w:szCs w:val="24"/>
        </w:rPr>
      </w:pPr>
      <w:r>
        <w:rPr>
          <w:bCs/>
          <w:sz w:val="24"/>
          <w:szCs w:val="24"/>
        </w:rPr>
        <w:t xml:space="preserve">2.2 A Ata de Registro de Preços conforme Anexo VI, poderá ser aderida por quaisquer órgãos ou entidades do Município que não tenham participado do certame licitatório, ora denominados não-participantes.  </w:t>
      </w:r>
    </w:p>
    <w:p w14:paraId="47CD580D">
      <w:pPr>
        <w:autoSpaceDE w:val="0"/>
        <w:autoSpaceDN w:val="0"/>
        <w:adjustRightInd w:val="0"/>
        <w:spacing w:line="288" w:lineRule="auto"/>
        <w:contextualSpacing/>
        <w:jc w:val="both"/>
        <w:rPr>
          <w:bCs/>
          <w:sz w:val="24"/>
          <w:szCs w:val="24"/>
        </w:rPr>
      </w:pPr>
    </w:p>
    <w:p w14:paraId="2BB7BAD3">
      <w:pPr>
        <w:autoSpaceDE w:val="0"/>
        <w:autoSpaceDN w:val="0"/>
        <w:adjustRightInd w:val="0"/>
        <w:spacing w:line="288" w:lineRule="auto"/>
        <w:contextualSpacing/>
        <w:jc w:val="both"/>
        <w:rPr>
          <w:bCs/>
          <w:sz w:val="24"/>
          <w:szCs w:val="24"/>
        </w:rPr>
      </w:pPr>
      <w:r>
        <w:rPr>
          <w:bCs/>
          <w:sz w:val="24"/>
          <w:szCs w:val="24"/>
        </w:rPr>
        <w:t xml:space="preserve">2.2.1 Podem também ser considerados não-participantes os órgãos ou entidades municipais, distritais, de outros Estados e federais, resguardadas as disposições de cada ente, desde que atendidas as condições do presente Edital e da Ata de Registro de Preços. </w:t>
      </w:r>
    </w:p>
    <w:p w14:paraId="768EFE7C">
      <w:pPr>
        <w:autoSpaceDE w:val="0"/>
        <w:autoSpaceDN w:val="0"/>
        <w:adjustRightInd w:val="0"/>
        <w:spacing w:line="288" w:lineRule="auto"/>
        <w:contextualSpacing/>
        <w:jc w:val="both"/>
        <w:rPr>
          <w:bCs/>
          <w:color w:val="231F20"/>
          <w:sz w:val="24"/>
          <w:szCs w:val="24"/>
        </w:rPr>
      </w:pPr>
    </w:p>
    <w:p w14:paraId="5C20F92F">
      <w:pPr>
        <w:autoSpaceDE w:val="0"/>
        <w:autoSpaceDN w:val="0"/>
        <w:adjustRightInd w:val="0"/>
        <w:spacing w:line="288" w:lineRule="auto"/>
        <w:contextualSpacing/>
        <w:jc w:val="both"/>
        <w:rPr>
          <w:bCs/>
          <w:sz w:val="24"/>
          <w:szCs w:val="24"/>
        </w:rPr>
      </w:pPr>
      <w:r>
        <w:rPr>
          <w:bCs/>
          <w:color w:val="231F20"/>
          <w:sz w:val="24"/>
          <w:szCs w:val="24"/>
        </w:rPr>
        <w:t>2.3 S</w:t>
      </w:r>
      <w:r>
        <w:rPr>
          <w:bCs/>
          <w:sz w:val="24"/>
          <w:szCs w:val="24"/>
        </w:rPr>
        <w:t xml:space="preserve">ão as seguintes as quantidades estimadas para a contratação, conforme descrição no Termo de Referência: </w:t>
      </w:r>
    </w:p>
    <w:p w14:paraId="696FC176">
      <w:pPr>
        <w:pStyle w:val="83"/>
        <w:spacing w:before="288" w:beforeLines="120" w:after="288" w:afterLines="120" w:line="288" w:lineRule="auto"/>
        <w:ind w:left="0" w:hanging="7"/>
        <w:contextualSpacing/>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2.3.2.1 As contratações adicionais pelos não-participantes não poderão exceder, por órgão ou entidade, a 200 % (duzentos por cento) dos quantitativos dos itens registrados na Ata de Registro de Preços para o gerenciador e para os participantes, quando houver. </w:t>
      </w:r>
    </w:p>
    <w:p w14:paraId="7F5DAAA6">
      <w:pPr>
        <w:pStyle w:val="83"/>
        <w:spacing w:before="288" w:beforeLines="120" w:after="288" w:afterLines="120" w:line="288" w:lineRule="auto"/>
        <w:ind w:left="0" w:hanging="7"/>
        <w:contextualSpacing/>
        <w:rPr>
          <w:rFonts w:ascii="Times New Roman" w:hAnsi="Times New Roman" w:cs="Times New Roman"/>
          <w:bCs/>
          <w:color w:val="auto"/>
          <w:sz w:val="24"/>
          <w:szCs w:val="24"/>
        </w:rPr>
      </w:pPr>
    </w:p>
    <w:p w14:paraId="476899E4">
      <w:pPr>
        <w:pStyle w:val="83"/>
        <w:spacing w:before="288" w:beforeLines="120" w:after="288" w:afterLines="120" w:line="288" w:lineRule="auto"/>
        <w:ind w:left="0" w:hanging="7"/>
        <w:contextualSpacing/>
        <w:rPr>
          <w:rFonts w:ascii="Times New Roman" w:hAnsi="Times New Roman" w:cs="Times New Roman"/>
          <w:bCs/>
          <w:color w:val="auto"/>
          <w:sz w:val="24"/>
          <w:szCs w:val="24"/>
        </w:rPr>
      </w:pPr>
      <w:r>
        <w:rPr>
          <w:rFonts w:ascii="Times New Roman" w:hAnsi="Times New Roman" w:cs="Times New Roman"/>
          <w:bCs/>
          <w:color w:val="auto"/>
          <w:sz w:val="24"/>
          <w:szCs w:val="24"/>
        </w:rPr>
        <w:t>2.3.2.2 O quantitativo decorrente das adesões à Ata de Registro de Preços não poderá exceder, na totalidade, ao limite de 200 % ( duzentos</w:t>
      </w:r>
      <w:r>
        <w:rPr>
          <w:rFonts w:ascii="Times New Roman" w:hAnsi="Times New Roman" w:cs="Times New Roman"/>
          <w:bCs/>
          <w:color w:val="FF0000"/>
          <w:sz w:val="24"/>
          <w:szCs w:val="24"/>
        </w:rPr>
        <w:t xml:space="preserve"> </w:t>
      </w:r>
      <w:r>
        <w:rPr>
          <w:rFonts w:ascii="Times New Roman" w:hAnsi="Times New Roman" w:cs="Times New Roman"/>
          <w:bCs/>
          <w:color w:val="auto"/>
          <w:sz w:val="24"/>
          <w:szCs w:val="24"/>
        </w:rPr>
        <w:t>por cento) do quantitativo de cada item registrado na Ata para o gerenciador e para os participantes, quando houver, independentemente do número de órgãos ou entidades não-participantes que aderirem.</w:t>
      </w:r>
    </w:p>
    <w:p w14:paraId="40FDD11E">
      <w:pPr>
        <w:pStyle w:val="83"/>
        <w:spacing w:before="288" w:beforeLines="120" w:after="288" w:afterLines="120" w:line="288" w:lineRule="auto"/>
        <w:ind w:left="0" w:firstLine="0"/>
        <w:contextualSpacing/>
        <w:rPr>
          <w:rFonts w:ascii="Times New Roman" w:hAnsi="Times New Roman" w:cs="Times New Roman"/>
          <w:bCs/>
          <w:color w:val="auto"/>
          <w:sz w:val="24"/>
          <w:szCs w:val="24"/>
        </w:rPr>
      </w:pPr>
    </w:p>
    <w:p w14:paraId="644C352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2.4 É vedada a participação do órgão ou da entidade em mais de uma Ata de Registro de Preços com o mesmo objeto no prazo de validade daquela de que já tiver participado, salvo na ocorrência de ata que tenha registrado quantitativo inferior ao máximo previsto no edital da licitação.</w:t>
      </w:r>
    </w:p>
    <w:p w14:paraId="455A4532">
      <w:pPr>
        <w:pStyle w:val="83"/>
        <w:spacing w:before="288" w:beforeLines="120" w:after="288" w:afterLines="120" w:line="288" w:lineRule="auto"/>
        <w:ind w:left="0" w:firstLine="0"/>
        <w:contextualSpacing/>
        <w:rPr>
          <w:rFonts w:ascii="Times New Roman" w:hAnsi="Times New Roman" w:cs="Times New Roman"/>
          <w:sz w:val="24"/>
          <w:szCs w:val="24"/>
        </w:rPr>
      </w:pPr>
    </w:p>
    <w:p w14:paraId="2B349E18">
      <w:pPr>
        <w:pStyle w:val="83"/>
        <w:spacing w:before="288" w:beforeLines="120" w:after="288" w:afterLines="12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3. DA PARTICIPAÇÃO NA LICITAÇÃO</w:t>
      </w:r>
    </w:p>
    <w:p w14:paraId="1CA1DA95">
      <w:pPr>
        <w:pStyle w:val="86"/>
        <w:spacing w:before="288" w:beforeLines="120" w:after="288" w:afterLines="120"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 Poderão participar deste Pregão os interessados que estiverem previamente credenciados no Sistema de Cadastramento Unificado de Fornecedores - SICAF e no sistema de compras do governo federal (</w:t>
      </w:r>
      <w:r>
        <w:fldChar w:fldCharType="begin"/>
      </w:r>
      <w:r>
        <w:instrText xml:space="preserve"> HYPERLINK "http://www.gov.br/compras" </w:instrText>
      </w:r>
      <w:r>
        <w:fldChar w:fldCharType="separate"/>
      </w:r>
      <w:r>
        <w:rPr>
          <w:rStyle w:val="14"/>
          <w:rFonts w:ascii="Times New Roman" w:hAnsi="Times New Roman" w:cs="Times New Roman" w:eastAsiaTheme="minorHAnsi"/>
          <w:color w:val="auto"/>
          <w:sz w:val="24"/>
          <w:szCs w:val="24"/>
        </w:rPr>
        <w:t>www.gov.br/compras</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por meio de Certificado Digital conferido pela Infraestrutura de Chaves Públicas Brasileira – ICP – Brasil.</w:t>
      </w:r>
    </w:p>
    <w:p w14:paraId="084B5422">
      <w:pPr>
        <w:pStyle w:val="86"/>
        <w:spacing w:before="288" w:beforeLines="120" w:after="288" w:afterLines="120" w:line="288" w:lineRule="auto"/>
        <w:ind w:left="567" w:right="565" w:firstLine="0"/>
        <w:contextualSpacing/>
        <w:rPr>
          <w:rFonts w:ascii="Times New Roman" w:hAnsi="Times New Roman" w:cs="Times New Roman"/>
          <w:color w:val="auto"/>
          <w:sz w:val="24"/>
          <w:szCs w:val="24"/>
        </w:rPr>
      </w:pPr>
    </w:p>
    <w:p w14:paraId="4CE75333">
      <w:pPr>
        <w:pStyle w:val="86"/>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3.1.1 Os interessados deverão atender às condições exigidas no cadastramento no SICAF até o terceiro dia útil anterior à data prevista para recebimento das propostas.</w:t>
      </w:r>
    </w:p>
    <w:p w14:paraId="616FA3DE">
      <w:pPr>
        <w:pStyle w:val="86"/>
        <w:spacing w:before="288" w:beforeLines="120" w:after="288" w:afterLines="120" w:line="288" w:lineRule="auto"/>
        <w:ind w:left="567" w:right="565" w:firstLine="0"/>
        <w:contextualSpacing/>
        <w:rPr>
          <w:rFonts w:ascii="Times New Roman" w:hAnsi="Times New Roman" w:eastAsia="Calibri" w:cs="Times New Roman"/>
          <w:sz w:val="24"/>
          <w:szCs w:val="24"/>
          <w:lang w:eastAsia="en-US"/>
        </w:rPr>
      </w:pPr>
    </w:p>
    <w:p w14:paraId="12EE5B69">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eastAsia="Calibri" w:cs="Times New Roman"/>
          <w:sz w:val="24"/>
          <w:szCs w:val="24"/>
          <w:lang w:eastAsia="en-US"/>
        </w:rPr>
        <w:t xml:space="preserve">3.1.2 </w:t>
      </w:r>
      <w:r>
        <w:rPr>
          <w:rFonts w:ascii="Times New Roman" w:hAnsi="Times New Roman" w:cs="Times New Roman"/>
          <w:sz w:val="24"/>
          <w:szCs w:val="24"/>
        </w:rPr>
        <w:t xml:space="preserve">O procedimento será divulgado </w:t>
      </w:r>
      <w:r>
        <w:rPr>
          <w:rFonts w:ascii="Times New Roman" w:hAnsi="Times New Roman" w:cs="Times New Roman"/>
          <w:color w:val="auto"/>
          <w:sz w:val="24"/>
          <w:szCs w:val="24"/>
        </w:rPr>
        <w:t>no sítio eletrônico mencionado no item 3.1</w:t>
      </w:r>
      <w:r>
        <w:rPr>
          <w:rFonts w:ascii="Times New Roman" w:hAnsi="Times New Roman" w:cs="Times New Roman"/>
          <w:color w:val="FF0000"/>
          <w:sz w:val="24"/>
          <w:szCs w:val="24"/>
        </w:rPr>
        <w:t xml:space="preserve"> </w:t>
      </w:r>
      <w:r>
        <w:rPr>
          <w:rFonts w:ascii="Times New Roman" w:hAnsi="Times New Roman" w:cs="Times New Roman"/>
          <w:sz w:val="24"/>
          <w:szCs w:val="24"/>
        </w:rPr>
        <w:t>e no Portal Nacional de Contratações Públicas – PNCP.</w:t>
      </w:r>
      <w:r>
        <w:rPr>
          <w:rFonts w:ascii="Times New Roman" w:hAnsi="Times New Roman" w:cs="Times New Roman"/>
          <w:strike/>
          <w:sz w:val="24"/>
          <w:szCs w:val="24"/>
        </w:rPr>
        <w:t xml:space="preserve"> </w:t>
      </w:r>
    </w:p>
    <w:p w14:paraId="5D3583DD">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910A261">
      <w:pPr>
        <w:pStyle w:val="83"/>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3E324F0F">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sz w:val="24"/>
          <w:szCs w:val="24"/>
          <w:lang w:eastAsia="en-US"/>
        </w:rPr>
        <w:t xml:space="preserve">3.3 </w:t>
      </w:r>
      <w:r>
        <w:rPr>
          <w:rFonts w:ascii="Times New Roman" w:hAnsi="Times New Roman" w:cs="Times New Roman"/>
          <w:color w:val="auto"/>
          <w:sz w:val="24"/>
          <w:szCs w:val="24"/>
        </w:rPr>
        <w:t>É de responsabilidade do cadastrado conferir a exatidão dos seus dados cadastrais nos Sistemas relacionados neste item 3 e mantê-los atualizados junto aos órgãos responsáveis pela informação, devendo proceder, imediatamente, à correção ou à alteração dos registros tão logo identifique incorreção ou aqueles se tornem desatualizados.</w:t>
      </w:r>
    </w:p>
    <w:p w14:paraId="2B0FDAE7">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53E847B9">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3.4 A não observância do disposto no item anterior poderá ensejar desclassificação no momento da habilitação.</w:t>
      </w:r>
    </w:p>
    <w:p w14:paraId="195ED3F5">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01355D85">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3.5 Para os itens 1, a participação é exclusiva a microempresas e empresas de pequeno porte, nos termos do </w:t>
      </w:r>
      <w:r>
        <w:fldChar w:fldCharType="begin"/>
      </w:r>
      <w:r>
        <w:instrText xml:space="preserve"> HYPERLINK "https://www.planalto.gov.br/ccivil_03/leis/lcp/lcp123.htm" </w:instrText>
      </w:r>
      <w:r>
        <w:fldChar w:fldCharType="separate"/>
      </w:r>
      <w:r>
        <w:rPr>
          <w:rStyle w:val="14"/>
          <w:rFonts w:ascii="Times New Roman" w:hAnsi="Times New Roman" w:cs="Times New Roman" w:eastAsiaTheme="minorHAnsi"/>
          <w:color w:val="auto"/>
          <w:sz w:val="24"/>
          <w:szCs w:val="24"/>
        </w:rPr>
        <w:t>art. 48 da Lei Complementar nº 123, de 14 de dezembro de 2006</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1236C1F2">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111457C1">
      <w:pPr>
        <w:pStyle w:val="83"/>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3.6 Será reservada cota de 25% (vinte e cinco por cento) para microempresas e empresas de pequeno porte, na forma do art. 48, III, da Lei Complementar n° 123/2006, e do art. 8º do Decreto n.º 42.063, de 06 de outubro de 2009.</w:t>
      </w:r>
    </w:p>
    <w:p w14:paraId="54774EE5">
      <w:pPr>
        <w:pStyle w:val="83"/>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001A817C">
      <w:pPr>
        <w:pStyle w:val="83"/>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3.6.1 Na hipótese de não haver vencedor para a cota reservada, esta poderá ser adjudicada ao vencedor da cota principal ou, diante de sua recusa, aos licitantes remanescentes, desde que pratiquem o preço do primeiro colocado da cota principal.</w:t>
      </w:r>
    </w:p>
    <w:p w14:paraId="13E620CE">
      <w:pPr>
        <w:pStyle w:val="83"/>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7E853F7F">
      <w:pPr>
        <w:pStyle w:val="83"/>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3.6.2 Se a mesma empresa vencer a cota reservada e a cota principal, a contratação das cotas deverá ocorrer pelo menor preço.</w:t>
      </w:r>
    </w:p>
    <w:p w14:paraId="58E1F057">
      <w:pPr>
        <w:pStyle w:val="83"/>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6ECE19BC">
      <w:pPr>
        <w:pStyle w:val="83"/>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3.6.3 </w:t>
      </w:r>
      <w:r>
        <w:rPr>
          <w:rFonts w:ascii="Times New Roman" w:hAnsi="Times New Roman" w:eastAsia="Calibri" w:cs="Times New Roman"/>
          <w:color w:val="auto"/>
          <w:sz w:val="24"/>
          <w:szCs w:val="24"/>
          <w:lang w:eastAsia="en-US"/>
        </w:rPr>
        <w:tab/>
      </w:r>
      <w:r>
        <w:rPr>
          <w:rFonts w:ascii="Times New Roman" w:hAnsi="Times New Roman" w:eastAsia="Calibri" w:cs="Times New Roman"/>
          <w:color w:val="auto"/>
          <w:sz w:val="24"/>
          <w:szCs w:val="24"/>
          <w:lang w:eastAsia="en-US"/>
        </w:rPr>
        <w:t>Será dada prioridade de aquisição aos produtos das cotas reservadas quando forem adjudicados aos licitantes qualificados como microempresas ou empresas de pequeno porte, ressalvados os casos em que a cota reservada for inadequada para atender as quantidades ou as condições do pedido, nos termos Lei Municipal nº 2367 /2007  e Lei complementar Municipal nº 122/2009.</w:t>
      </w:r>
    </w:p>
    <w:p w14:paraId="49C9CBFC">
      <w:pPr>
        <w:pStyle w:val="83"/>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5DA35BC9">
      <w:pPr>
        <w:pStyle w:val="83"/>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sz w:val="24"/>
          <w:szCs w:val="24"/>
          <w:lang w:eastAsia="en-US"/>
        </w:rPr>
        <w:t xml:space="preserve">3.7 </w:t>
      </w:r>
      <w:r>
        <w:rPr>
          <w:rFonts w:ascii="Times New Roman" w:hAnsi="Times New Roman" w:cs="Times New Roman"/>
          <w:color w:val="auto"/>
          <w:sz w:val="24"/>
          <w:szCs w:val="24"/>
        </w:rPr>
        <w:t xml:space="preserve">Será concedido o tratamento favorecido previsto nos arts. 42 a 49 da </w:t>
      </w:r>
      <w:r>
        <w:fldChar w:fldCharType="begin"/>
      </w:r>
      <w:r>
        <w:instrText xml:space="preserve"> HYPERLINK "https://www.planalto.gov.br/ccivil_03/leis/lcp/lcp123.htm" </w:instrText>
      </w:r>
      <w:r>
        <w:fldChar w:fldCharType="separate"/>
      </w:r>
      <w:r>
        <w:rPr>
          <w:rStyle w:val="14"/>
          <w:rFonts w:ascii="Times New Roman" w:hAnsi="Times New Roman" w:cs="Times New Roman" w:eastAsiaTheme="minorHAnsi"/>
          <w:color w:val="auto"/>
          <w:sz w:val="24"/>
          <w:szCs w:val="24"/>
        </w:rPr>
        <w:t>Lei Complementar nº 123/2006</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Lei Municipal n° 2367/2027</w:t>
      </w:r>
      <w:r>
        <w:rPr>
          <w:rFonts w:ascii="Times New Roman" w:hAnsi="Times New Roman" w:eastAsia="Calibri" w:cs="Times New Roman"/>
          <w:color w:val="auto"/>
          <w:sz w:val="24"/>
          <w:szCs w:val="24"/>
          <w:lang w:eastAsia="en-US"/>
        </w:rPr>
        <w:t xml:space="preserve"> e Lei complementar Municipal nº 122/2009.</w:t>
      </w:r>
    </w:p>
    <w:p w14:paraId="5F0514AB">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para as microempresas e empresas de pequeno porte, para o agricultor familiar, o produtor rural pessoa física e para o microempreendedor individual - MEI.</w:t>
      </w:r>
      <w:bookmarkStart w:id="0" w:name="_Ref117015508"/>
    </w:p>
    <w:p w14:paraId="60F6DE7A">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79C1DFE9">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3.7.1 A obtenção dos benefícios a que se referem os arts. 42 a 49 da Lei Complementar nº 123/2006,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1DB7D593">
      <w:pPr>
        <w:tabs>
          <w:tab w:val="left" w:pos="1440"/>
        </w:tabs>
        <w:autoSpaceDE w:val="0"/>
        <w:snapToGrid w:val="0"/>
        <w:spacing w:before="288" w:beforeLines="120" w:after="288" w:afterLines="120" w:line="288" w:lineRule="auto"/>
        <w:contextualSpacing/>
        <w:jc w:val="both"/>
        <w:rPr>
          <w:sz w:val="24"/>
          <w:szCs w:val="24"/>
        </w:rPr>
      </w:pPr>
      <w:r>
        <w:rPr>
          <w:sz w:val="24"/>
          <w:szCs w:val="24"/>
        </w:rPr>
        <w:t>3.7.2 Nas contratações com prazo de vigência superior a 1 (um) ano, será considerado o valor anual do contrato.</w:t>
      </w:r>
    </w:p>
    <w:p w14:paraId="3089197B">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1" w:name="_Ref117000692"/>
      <w:r>
        <w:rPr>
          <w:rFonts w:ascii="Times New Roman" w:hAnsi="Times New Roman" w:cs="Times New Roman"/>
          <w:color w:val="auto"/>
          <w:sz w:val="24"/>
          <w:szCs w:val="24"/>
        </w:rPr>
        <w:t>3.8 Não poderão disputar esta licitação:</w:t>
      </w:r>
      <w:bookmarkEnd w:id="1"/>
    </w:p>
    <w:p w14:paraId="16A35C8D">
      <w:pPr>
        <w:tabs>
          <w:tab w:val="left" w:pos="1440"/>
        </w:tabs>
        <w:autoSpaceDE w:val="0"/>
        <w:snapToGrid w:val="0"/>
        <w:spacing w:before="288" w:beforeLines="120" w:after="288" w:afterLines="120" w:line="288" w:lineRule="auto"/>
        <w:contextualSpacing/>
        <w:jc w:val="both"/>
        <w:rPr>
          <w:sz w:val="24"/>
          <w:szCs w:val="24"/>
        </w:rPr>
      </w:pPr>
      <w:bookmarkStart w:id="2" w:name="_Ref113883338"/>
      <w:r>
        <w:rPr>
          <w:sz w:val="24"/>
          <w:szCs w:val="24"/>
        </w:rPr>
        <w:t>3.8.1 aquele que não atenda às condições deste Edital e seu(s) anexo(s);</w:t>
      </w:r>
    </w:p>
    <w:p w14:paraId="14225109">
      <w:pPr>
        <w:pStyle w:val="86"/>
        <w:spacing w:before="288" w:beforeLines="120" w:after="288" w:afterLines="120" w:line="288" w:lineRule="auto"/>
        <w:ind w:left="0" w:firstLine="0"/>
        <w:contextualSpacing/>
        <w:rPr>
          <w:rFonts w:ascii="Times New Roman" w:hAnsi="Times New Roman" w:cs="Times New Roman"/>
          <w:color w:val="auto"/>
          <w:sz w:val="24"/>
          <w:szCs w:val="24"/>
        </w:rPr>
      </w:pPr>
      <w:bookmarkStart w:id="3" w:name="_Ref113883003"/>
      <w:bookmarkStart w:id="4" w:name="_Ref114659912"/>
      <w:r>
        <w:rPr>
          <w:rFonts w:ascii="Times New Roman" w:hAnsi="Times New Roman" w:cs="Times New Roman"/>
          <w:color w:val="auto"/>
          <w:sz w:val="24"/>
          <w:szCs w:val="24"/>
        </w:rPr>
        <w:t>3.</w:t>
      </w:r>
      <w:r>
        <w:rPr>
          <w:rFonts w:ascii="Times New Roman" w:hAnsi="Times New Roman" w:cs="Times New Roman"/>
          <w:sz w:val="24"/>
          <w:szCs w:val="24"/>
        </w:rPr>
        <w:t>8</w:t>
      </w:r>
      <w:r>
        <w:rPr>
          <w:rFonts w:ascii="Times New Roman" w:hAnsi="Times New Roman" w:cs="Times New Roman"/>
          <w:color w:val="auto"/>
          <w:sz w:val="24"/>
          <w:szCs w:val="24"/>
        </w:rPr>
        <w:t>.2 pessoa física ou jurídica que se encontre, ao tempo da licitação, impossibilitada de participar da licitação em decorrência de sanção que lhe foi imposta;</w:t>
      </w:r>
      <w:bookmarkEnd w:id="3"/>
    </w:p>
    <w:p w14:paraId="038B8883">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1B00AC95">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3.8.3 autor do anteprojeto, do projeto básico ou do projeto executivo, pessoa física ou jurídica, quando a licitação versar sobre serviços ou fornecimento de bens a ele relacionados;</w:t>
      </w:r>
      <w:bookmarkEnd w:id="2"/>
      <w:bookmarkEnd w:id="4"/>
    </w:p>
    <w:p w14:paraId="03E9A34E">
      <w:pPr>
        <w:pStyle w:val="86"/>
        <w:spacing w:before="288" w:beforeLines="120" w:after="288" w:afterLines="120" w:line="288" w:lineRule="auto"/>
        <w:ind w:left="0" w:firstLine="0"/>
        <w:contextualSpacing/>
        <w:rPr>
          <w:rFonts w:ascii="Times New Roman" w:hAnsi="Times New Roman" w:cs="Times New Roman"/>
          <w:color w:val="auto"/>
          <w:sz w:val="24"/>
          <w:szCs w:val="24"/>
        </w:rPr>
      </w:pPr>
      <w:bookmarkStart w:id="5" w:name="_Ref114659913"/>
      <w:bookmarkStart w:id="6" w:name="_Ref113883339"/>
    </w:p>
    <w:p w14:paraId="352A8C47">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3.8.4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Pr>
          <w:rFonts w:ascii="Times New Roman" w:hAnsi="Times New Roman" w:cs="Times New Roman"/>
          <w:color w:val="auto"/>
          <w:sz w:val="24"/>
          <w:szCs w:val="24"/>
        </w:rPr>
        <w:t xml:space="preserve"> </w:t>
      </w:r>
      <w:bookmarkEnd w:id="6"/>
    </w:p>
    <w:p w14:paraId="3C544853">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08676B67">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28FFA54">
      <w:pPr>
        <w:pStyle w:val="86"/>
        <w:spacing w:before="288" w:beforeLines="120" w:after="288" w:afterLines="120" w:line="288" w:lineRule="auto"/>
        <w:ind w:left="0" w:firstLine="0"/>
        <w:contextualSpacing/>
        <w:rPr>
          <w:rFonts w:ascii="Times New Roman" w:hAnsi="Times New Roman" w:cs="Times New Roman"/>
          <w:color w:val="auto"/>
          <w:sz w:val="24"/>
          <w:szCs w:val="24"/>
        </w:rPr>
      </w:pPr>
      <w:bookmarkStart w:id="7" w:name="_Ref113883579"/>
    </w:p>
    <w:p w14:paraId="68832CEC">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3.8.6 empresas controladoras, controladas ou coligadas, nos termos da Lei nº 6.404, de 15 de dezembro de 1976, concorrendo entre si;</w:t>
      </w:r>
      <w:bookmarkEnd w:id="7"/>
    </w:p>
    <w:p w14:paraId="0B5F53B9">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631B9F98">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C67DAF">
      <w:pPr>
        <w:pStyle w:val="86"/>
        <w:spacing w:before="288" w:beforeLines="120" w:after="288" w:afterLines="120" w:line="288" w:lineRule="auto"/>
        <w:ind w:left="0" w:firstLine="0"/>
        <w:contextualSpacing/>
        <w:rPr>
          <w:rFonts w:ascii="Times New Roman" w:hAnsi="Times New Roman" w:cs="Times New Roman"/>
          <w:color w:val="auto"/>
          <w:sz w:val="24"/>
          <w:szCs w:val="24"/>
        </w:rPr>
      </w:pPr>
      <w:bookmarkStart w:id="8" w:name="_Ref113962336"/>
    </w:p>
    <w:p w14:paraId="1AD078E5">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3.8.8 agente público do órgão ou entidade licitante, na qualidade de pessoa física ou de representante de pessoa jurídica;</w:t>
      </w:r>
      <w:bookmarkEnd w:id="8"/>
    </w:p>
    <w:p w14:paraId="4ABAA642">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75890D3C">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3.8.9 </w:t>
      </w:r>
      <w:r>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 xml:space="preserve"> HYPERLINK "http://www.planalto.gov.br/ccivil_03/_ato2019-2022/2021/lei/L14133.htm" \l "art9§1" </w:instrText>
      </w:r>
      <w:r>
        <w:fldChar w:fldCharType="separate"/>
      </w:r>
      <w:r>
        <w:rPr>
          <w:rStyle w:val="14"/>
          <w:rFonts w:ascii="Times New Roman" w:hAnsi="Times New Roman" w:cs="Times New Roman" w:eastAsiaTheme="minorHAnsi"/>
          <w:color w:val="auto"/>
          <w:sz w:val="24"/>
          <w:szCs w:val="24"/>
        </w:rPr>
        <w:t>§ 1º do art. 9º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25CDC024">
      <w:pPr>
        <w:pStyle w:val="86"/>
        <w:spacing w:before="288" w:beforeLines="120" w:after="288" w:afterLines="120" w:line="288" w:lineRule="auto"/>
        <w:ind w:left="567" w:right="565" w:firstLine="0"/>
        <w:contextualSpacing/>
        <w:rPr>
          <w:rFonts w:ascii="Times New Roman" w:hAnsi="Times New Roman" w:cs="Times New Roman"/>
          <w:color w:val="FF0000"/>
          <w:sz w:val="24"/>
          <w:szCs w:val="24"/>
        </w:rPr>
      </w:pPr>
      <w:bookmarkStart w:id="9" w:name="_Hlk154223269"/>
    </w:p>
    <w:bookmarkEnd w:id="9"/>
    <w:p w14:paraId="6150FCF8">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3.9 </w:t>
      </w:r>
      <w:r>
        <w:rPr>
          <w:rFonts w:ascii="Times New Roman" w:hAnsi="Times New Roman" w:cs="Times New Roman"/>
          <w:sz w:val="24"/>
          <w:szCs w:val="24"/>
        </w:rPr>
        <w:t>O impedimento de que trata o item 3.7.2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B059267">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10" w:name="art14§2"/>
      <w:bookmarkEnd w:id="10"/>
    </w:p>
    <w:p w14:paraId="1FCE713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3.10 A critério da Administração e exclusivamente a seu serviço, o autor dos projetos e a empresa a que se referem os itens 3.7.3 e 3.7.4 poderão participar no apoio das atividades de planejamento da contratação, de execução da licitação ou de gestão do contrato, desde que sob supervisão exclusiva de agentes públicos do órgão ou entidade.</w:t>
      </w:r>
    </w:p>
    <w:p w14:paraId="4DDAA8FE">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11" w:name="art14§3"/>
      <w:bookmarkEnd w:id="11"/>
    </w:p>
    <w:p w14:paraId="5891F9D4">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3.10.1 Equiparam-se aos autores do projeto as empresas integrantes do mesmo grupo econômico.</w:t>
      </w:r>
    </w:p>
    <w:p w14:paraId="732A26E2">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12" w:name="art14§4"/>
      <w:bookmarkEnd w:id="12"/>
    </w:p>
    <w:p w14:paraId="3322A962">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3.10.2 O disposto nos itens 3.7.3 e 3.7.4 não impede a licitação ou a contratação de serviço que inclua como encargo do contratado a elaboração do projeto básico e do projeto executivo, nas contratações integradas, e do projeto executivo, nos demais regimes de execução.</w:t>
      </w:r>
    </w:p>
    <w:p w14:paraId="53C8E30D">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13" w:name="art14§5"/>
      <w:bookmarkEnd w:id="13"/>
    </w:p>
    <w:p w14:paraId="5CBB4A61">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3.11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fldChar w:fldCharType="begin"/>
      </w:r>
      <w:r>
        <w:instrText xml:space="preserve"> HYPERLINK "http://www.planalto.gov.br/ccivil_03/_ato2019-2022/2021/lei/L14133.htm" </w:instrText>
      </w:r>
      <w:r>
        <w:fldChar w:fldCharType="separate"/>
      </w:r>
      <w:r>
        <w:rPr>
          <w:rStyle w:val="14"/>
          <w:rFonts w:ascii="Times New Roman" w:hAnsi="Times New Roman" w:cs="Times New Roman" w:eastAsiaTheme="minorHAnsi"/>
          <w:color w:val="auto"/>
          <w:sz w:val="24"/>
          <w:szCs w:val="24"/>
        </w:rPr>
        <w:t>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18215138">
      <w:pPr>
        <w:pStyle w:val="83"/>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51358CFC">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3.12 A vedação de que trata o item </w:t>
      </w:r>
      <w:r>
        <w:rPr>
          <w:rFonts w:ascii="Times New Roman" w:hAnsi="Times New Roman" w:cs="Times New Roman"/>
          <w:color w:val="auto"/>
          <w:sz w:val="24"/>
          <w:szCs w:val="24"/>
        </w:rPr>
        <w:t xml:space="preserve">3.7.8 </w:t>
      </w:r>
      <w:r>
        <w:rPr>
          <w:rFonts w:ascii="Times New Roman" w:hAnsi="Times New Roman" w:cs="Times New Roman"/>
          <w:sz w:val="24"/>
          <w:szCs w:val="24"/>
        </w:rPr>
        <w:t>estende-se a terceiro que auxilie a condução da contratação na qualidade de integrante de equipe de apoio, profissional especializado ou funcionário ou representante de empresa que preste assessoria técnica.</w:t>
      </w:r>
    </w:p>
    <w:p w14:paraId="0E6E8FDE">
      <w:pPr>
        <w:pStyle w:val="83"/>
        <w:spacing w:before="288" w:beforeLines="120" w:after="288" w:afterLines="120" w:line="288" w:lineRule="auto"/>
        <w:ind w:left="0" w:firstLine="0"/>
        <w:contextualSpacing/>
        <w:rPr>
          <w:rFonts w:ascii="Times New Roman" w:hAnsi="Times New Roman" w:cs="Times New Roman"/>
          <w:sz w:val="24"/>
          <w:szCs w:val="24"/>
        </w:rPr>
      </w:pPr>
    </w:p>
    <w:p w14:paraId="4291F5D7">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3.13 Será permitida a participação de pessoas jurídicas reunidas em consórcio, observadas as seguintes regras:</w:t>
      </w:r>
    </w:p>
    <w:p w14:paraId="749109CD">
      <w:pPr>
        <w:pStyle w:val="83"/>
        <w:spacing w:before="288" w:beforeLines="120" w:after="288" w:afterLines="120" w:line="288" w:lineRule="auto"/>
        <w:ind w:left="0" w:firstLine="0"/>
        <w:contextualSpacing/>
        <w:rPr>
          <w:rFonts w:ascii="Times New Roman" w:hAnsi="Times New Roman" w:cs="Times New Roman"/>
          <w:sz w:val="24"/>
          <w:szCs w:val="24"/>
        </w:rPr>
      </w:pPr>
    </w:p>
    <w:p w14:paraId="7B31EF5C">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3.13.1 as empresas consorciadas apresentarão compromisso público ou particular de constituição do consórcio, subscrito por todas, onde deverá estar indicada a empresa líder como responsável principal perante o órgão licitante pelos atos praticados pelo consórcio, devendo constar expressamente do instrumento os poderes específicos para requerer, assumir compromissos, transigir, discordar, desistir, renunciar, receber e dar quitação, como também receber citação em Juízo;</w:t>
      </w:r>
    </w:p>
    <w:p w14:paraId="45B8A039">
      <w:pPr>
        <w:tabs>
          <w:tab w:val="left" w:pos="1440"/>
        </w:tabs>
        <w:autoSpaceDE w:val="0"/>
        <w:snapToGrid w:val="0"/>
        <w:spacing w:before="288" w:beforeLines="120" w:after="288" w:afterLines="120" w:line="288" w:lineRule="auto"/>
        <w:contextualSpacing/>
        <w:jc w:val="both"/>
        <w:rPr>
          <w:sz w:val="24"/>
          <w:szCs w:val="24"/>
        </w:rPr>
      </w:pPr>
      <w:r>
        <w:rPr>
          <w:sz w:val="24"/>
          <w:szCs w:val="24"/>
        </w:rPr>
        <w:t>3.13.2 impedimento de a empresa consorciada participar, na mesma licitação, de mais de um consórcio ou de forma isolada;</w:t>
      </w:r>
    </w:p>
    <w:p w14:paraId="56E771AA">
      <w:pPr>
        <w:tabs>
          <w:tab w:val="left" w:pos="1440"/>
        </w:tabs>
        <w:autoSpaceDE w:val="0"/>
        <w:snapToGrid w:val="0"/>
        <w:spacing w:before="288" w:beforeLines="120" w:after="288" w:afterLines="120" w:line="288" w:lineRule="auto"/>
        <w:contextualSpacing/>
        <w:jc w:val="both"/>
        <w:rPr>
          <w:sz w:val="24"/>
          <w:szCs w:val="24"/>
        </w:rPr>
      </w:pPr>
    </w:p>
    <w:p w14:paraId="08006120">
      <w:pPr>
        <w:tabs>
          <w:tab w:val="left" w:pos="1440"/>
        </w:tabs>
        <w:autoSpaceDE w:val="0"/>
        <w:snapToGrid w:val="0"/>
        <w:spacing w:before="288" w:beforeLines="120" w:after="288" w:afterLines="120" w:line="288" w:lineRule="auto"/>
        <w:contextualSpacing/>
        <w:jc w:val="both"/>
        <w:rPr>
          <w:sz w:val="24"/>
          <w:szCs w:val="24"/>
        </w:rPr>
      </w:pPr>
      <w:r>
        <w:rPr>
          <w:sz w:val="24"/>
          <w:szCs w:val="24"/>
        </w:rPr>
        <w:t>3.13.3 o consórcio vencedor, quando for o caso, ficará obrigado a promover a sua constituição e registro antes da celebração do Contrato, nos termos do compromisso firmado conforme item 3.12.1;</w:t>
      </w:r>
    </w:p>
    <w:p w14:paraId="119ABE5A">
      <w:pPr>
        <w:tabs>
          <w:tab w:val="left" w:pos="1440"/>
        </w:tabs>
        <w:autoSpaceDE w:val="0"/>
        <w:snapToGrid w:val="0"/>
        <w:spacing w:before="288" w:beforeLines="120" w:after="288" w:afterLines="120" w:line="288" w:lineRule="auto"/>
        <w:contextualSpacing/>
        <w:jc w:val="both"/>
        <w:rPr>
          <w:sz w:val="24"/>
          <w:szCs w:val="24"/>
        </w:rPr>
      </w:pPr>
    </w:p>
    <w:p w14:paraId="78853F3C">
      <w:pPr>
        <w:tabs>
          <w:tab w:val="left" w:pos="1440"/>
        </w:tabs>
        <w:autoSpaceDE w:val="0"/>
        <w:snapToGrid w:val="0"/>
        <w:spacing w:before="288" w:beforeLines="120" w:after="288" w:afterLines="120" w:line="288" w:lineRule="auto"/>
        <w:contextualSpacing/>
        <w:jc w:val="both"/>
        <w:rPr>
          <w:sz w:val="24"/>
          <w:szCs w:val="24"/>
        </w:rPr>
      </w:pPr>
      <w:r>
        <w:rPr>
          <w:sz w:val="24"/>
          <w:szCs w:val="24"/>
        </w:rPr>
        <w:t>3.13.4 as empresas consorciadas responderão solidariamente pelos atos praticados em consórcio, tanto na fase da licitação quanto na da execução do Contrato;</w:t>
      </w:r>
    </w:p>
    <w:p w14:paraId="2AD7D802">
      <w:pPr>
        <w:tabs>
          <w:tab w:val="left" w:pos="1440"/>
        </w:tabs>
        <w:autoSpaceDE w:val="0"/>
        <w:snapToGrid w:val="0"/>
        <w:spacing w:before="288" w:beforeLines="120" w:after="288" w:afterLines="120" w:line="288" w:lineRule="auto"/>
        <w:contextualSpacing/>
        <w:jc w:val="both"/>
        <w:rPr>
          <w:sz w:val="24"/>
          <w:szCs w:val="24"/>
        </w:rPr>
      </w:pPr>
    </w:p>
    <w:p w14:paraId="5AA0F1E9">
      <w:pPr>
        <w:tabs>
          <w:tab w:val="left" w:pos="1440"/>
        </w:tabs>
        <w:autoSpaceDE w:val="0"/>
        <w:snapToGrid w:val="0"/>
        <w:spacing w:before="288" w:beforeLines="120" w:after="288" w:afterLines="120" w:line="288" w:lineRule="auto"/>
        <w:contextualSpacing/>
        <w:jc w:val="both"/>
        <w:rPr>
          <w:sz w:val="24"/>
          <w:szCs w:val="24"/>
        </w:rPr>
      </w:pPr>
      <w:r>
        <w:rPr>
          <w:sz w:val="24"/>
          <w:szCs w:val="24"/>
        </w:rPr>
        <w:t>3.13.5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0EA2BD04">
      <w:pPr>
        <w:pStyle w:val="81"/>
        <w:spacing w:before="0" w:beforeAutospacing="0" w:after="0" w:afterAutospacing="0" w:line="288" w:lineRule="auto"/>
        <w:contextualSpacing/>
        <w:jc w:val="both"/>
        <w:rPr>
          <w:rFonts w:eastAsia="Calibri"/>
          <w:b/>
          <w:bCs/>
          <w:lang w:eastAsia="en-US"/>
        </w:rPr>
      </w:pPr>
      <w:r>
        <w:rPr>
          <w:rFonts w:eastAsia="Calibri"/>
          <w:b/>
          <w:bCs/>
          <w:lang w:eastAsia="en-US"/>
        </w:rPr>
        <w:t>4. DAS DECLARAÇÕES E DA APRESENTAÇÃO DA PROPOSTA</w:t>
      </w:r>
    </w:p>
    <w:p w14:paraId="1439FBA0">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 Na presente licitação, a fase de habilitação será realizada após as fases de apresentação de propostas e lances e de julgamento.</w:t>
      </w:r>
    </w:p>
    <w:p w14:paraId="7F3A3B77">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14" w:name="_Ref113886867"/>
    </w:p>
    <w:p w14:paraId="4342E1D4">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4.2 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bookmarkStart w:id="15" w:name="_Ref113968921"/>
    </w:p>
    <w:p w14:paraId="77DE4B84">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26040E6D">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 No cadastramento da proposta inicial, o licitante declarará, em campo próprio do sistema, que:</w:t>
      </w:r>
      <w:bookmarkEnd w:id="15"/>
    </w:p>
    <w:p w14:paraId="04AA2EAA">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4.3.1 está ciente e concorda com as condições contidas no Edital e seus anexos</w:t>
      </w:r>
      <w:bookmarkStart w:id="16" w:name="_Hlk154224613"/>
      <w:r>
        <w:rPr>
          <w:rFonts w:ascii="Times New Roman" w:hAnsi="Times New Roman" w:cs="Times New Roman"/>
          <w:color w:val="auto"/>
          <w:sz w:val="24"/>
          <w:szCs w:val="24"/>
        </w:rPr>
        <w:t>,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bookmarkEnd w:id="16"/>
    <w:p w14:paraId="0FCCD2AD">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3FBB030D">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4.3.2 não emprega menor de 18 anos em trabalho noturno, perigoso ou insalubre e não emprega menor de 16 anos, salvo menor, a partir de 14 anos, na condição de aprendiz, nos termos do </w:t>
      </w:r>
      <w:r>
        <w:fldChar w:fldCharType="begin"/>
      </w:r>
      <w:r>
        <w:instrText xml:space="preserve"> HYPERLINK "https://www.planalto.gov.br/ccivil_03/constituicao/constituicaocompilado.htm" \l "art7" </w:instrText>
      </w:r>
      <w:r>
        <w:fldChar w:fldCharType="separate"/>
      </w:r>
      <w:r>
        <w:rPr>
          <w:rStyle w:val="14"/>
          <w:rFonts w:ascii="Times New Roman" w:hAnsi="Times New Roman" w:cs="Times New Roman" w:eastAsiaTheme="minorHAnsi"/>
          <w:color w:val="auto"/>
          <w:sz w:val="24"/>
          <w:szCs w:val="24"/>
        </w:rPr>
        <w:t>art. 7°, XXXIII, da Constituição</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0470D927">
      <w:pPr>
        <w:pStyle w:val="86"/>
        <w:spacing w:before="288" w:beforeLines="120" w:after="288" w:afterLines="120" w:line="288" w:lineRule="auto"/>
        <w:ind w:left="0" w:firstLine="0"/>
        <w:contextualSpacing/>
        <w:rPr>
          <w:rFonts w:ascii="Times New Roman" w:hAnsi="Times New Roman" w:cs="Times New Roman"/>
          <w:sz w:val="24"/>
          <w:szCs w:val="24"/>
        </w:rPr>
      </w:pPr>
      <w:bookmarkStart w:id="17" w:name="_Hlk154224321"/>
    </w:p>
    <w:p w14:paraId="78474EF5">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4.3.3 não possui empregados executando trabalho degradante ou forçado, observando o disposto nos </w:t>
      </w:r>
      <w:r>
        <w:fldChar w:fldCharType="begin"/>
      </w:r>
      <w:r>
        <w:instrText xml:space="preserve"> HYPERLINK "https://www.planalto.gov.br/ccivil_03/constituicao/constituicaocompilado.htm" </w:instrText>
      </w:r>
      <w:r>
        <w:fldChar w:fldCharType="separate"/>
      </w:r>
      <w:r>
        <w:rPr>
          <w:rStyle w:val="14"/>
          <w:rFonts w:ascii="Times New Roman" w:hAnsi="Times New Roman" w:cs="Times New Roman" w:eastAsiaTheme="minorHAnsi"/>
          <w:color w:val="auto"/>
          <w:sz w:val="24"/>
          <w:szCs w:val="24"/>
        </w:rPr>
        <w:t>incisos III e IV do art. 1º e no inciso III do art. 5º da Constituição Federal</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bookmarkEnd w:id="17"/>
    <w:p w14:paraId="62AD0A22">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236AA161">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4.3.4 cumpre as exigências de reserva de cargos para pessoa com deficiência e para reabilitado da Previdência Social, previstas em lei e em outras normas específicas;</w:t>
      </w:r>
    </w:p>
    <w:p w14:paraId="4CBDD6B6">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312B12A5">
      <w:pPr>
        <w:pStyle w:val="86"/>
        <w:spacing w:before="288" w:beforeLines="120" w:after="288" w:afterLines="120" w:line="288" w:lineRule="auto"/>
        <w:ind w:left="0" w:firstLine="0"/>
        <w:contextualSpacing/>
        <w:rPr>
          <w:rFonts w:ascii="Times New Roman" w:hAnsi="Times New Roman" w:cs="Times New Roman"/>
          <w:color w:val="auto"/>
          <w:sz w:val="24"/>
          <w:szCs w:val="24"/>
        </w:rPr>
      </w:pPr>
      <w:bookmarkStart w:id="18" w:name="_Hlk154224365"/>
      <w:r>
        <w:rPr>
          <w:rFonts w:ascii="Times New Roman" w:hAnsi="Times New Roman" w:cs="Times New Roman"/>
          <w:color w:val="auto"/>
          <w:sz w:val="24"/>
          <w:szCs w:val="24"/>
        </w:rPr>
        <w:t>4.3.5 está ciente da obrigação de cumprimento de cota de aprendiz, na forma dos artigos 429 e seguintes da Consolidação das Leis do Trabalho, e da necessidade de comprovar o cumprimento dessa exigência, por meio de certidão, no momento de assinatura do contrato;</w:t>
      </w:r>
    </w:p>
    <w:bookmarkEnd w:id="18"/>
    <w:p w14:paraId="5C7721FA">
      <w:pPr>
        <w:pStyle w:val="86"/>
        <w:spacing w:before="288" w:beforeLines="120" w:after="288" w:afterLines="120" w:line="288" w:lineRule="auto"/>
        <w:ind w:left="0" w:firstLine="0"/>
        <w:contextualSpacing/>
        <w:rPr>
          <w:rFonts w:ascii="Times New Roman" w:hAnsi="Times New Roman" w:cs="Times New Roman"/>
          <w:color w:val="auto"/>
          <w:sz w:val="24"/>
          <w:szCs w:val="24"/>
        </w:rPr>
      </w:pPr>
      <w:bookmarkStart w:id="19" w:name="_Hlk154224840"/>
    </w:p>
    <w:p w14:paraId="615F4C16">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4.3.6 não foram aplicadas penalidades de suspensão temporária da participação em licitação, impedimento de contratar ou declaração de inidoneidade para licitar e contratar cujos efeitos ainda vigorem e sejam aplicáveis no âmbito do Município de Valença RJ.</w:t>
      </w:r>
    </w:p>
    <w:bookmarkEnd w:id="19"/>
    <w:p w14:paraId="1FF6C0C9">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4.4 O licitante organizado em cooperativa deverá declarar, ainda, em campo próprio do sistema eletrônico, que cumpre os requisitos estabelecidos no </w:t>
      </w:r>
      <w:r>
        <w:fldChar w:fldCharType="begin"/>
      </w:r>
      <w:r>
        <w:instrText xml:space="preserve"> HYPERLINK "http://www.planalto.gov.br/ccivil_03/_ato2019-2022/2021/lei/L14133.htm" \l "art16" </w:instrText>
      </w:r>
      <w:r>
        <w:fldChar w:fldCharType="separate"/>
      </w:r>
      <w:r>
        <w:rPr>
          <w:rStyle w:val="14"/>
          <w:rFonts w:ascii="Times New Roman" w:hAnsi="Times New Roman" w:cs="Times New Roman" w:eastAsiaTheme="minorHAnsi"/>
          <w:color w:val="auto"/>
          <w:sz w:val="24"/>
          <w:szCs w:val="24"/>
        </w:rPr>
        <w:t>art. 16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584E9BDC">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20" w:name="_Ref117000019"/>
    </w:p>
    <w:p w14:paraId="5ABE33A4">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4.5 O fornecedor enquadrado como microempresa, empresa de pequeno porte ou sociedade cooperativa deverá declarar, ainda, em campo próprio do sistema eletrônico, que cumpre os requisitos estabelecidos no </w:t>
      </w:r>
      <w:r>
        <w:fldChar w:fldCharType="begin"/>
      </w:r>
      <w:r>
        <w:instrText xml:space="preserve"> HYPERLINK "https://www.planalto.gov.br/ccivil_03/leis/lcp/lcp123.htm" \l "art3" </w:instrText>
      </w:r>
      <w:r>
        <w:fldChar w:fldCharType="separate"/>
      </w:r>
      <w:r>
        <w:rPr>
          <w:rStyle w:val="14"/>
          <w:rFonts w:ascii="Times New Roman" w:hAnsi="Times New Roman" w:cs="Times New Roman" w:eastAsiaTheme="minorHAnsi"/>
          <w:color w:val="auto"/>
          <w:sz w:val="24"/>
          <w:szCs w:val="24"/>
        </w:rPr>
        <w:t>art. 3° da Lei Complementar nº 123/2006</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estando apto a usufruir do tratamento favorecido estabelecido em seus </w:t>
      </w:r>
      <w:bookmarkEnd w:id="20"/>
      <w:r>
        <w:fldChar w:fldCharType="begin"/>
      </w:r>
      <w:r>
        <w:rPr>
          <w:rFonts w:ascii="Times New Roman" w:hAnsi="Times New Roman" w:cs="Times New Roman"/>
          <w:color w:val="auto"/>
          <w:sz w:val="24"/>
          <w:szCs w:val="24"/>
        </w:rPr>
        <w:instrText xml:space="preserve">HYPERLINK "https://www.planalto.gov.br/ccivil_03/leis/lcp/lcp123.htm" \l "art42"</w:instrText>
      </w:r>
      <w:r>
        <w:fldChar w:fldCharType="separate"/>
      </w:r>
      <w:r>
        <w:rPr>
          <w:rStyle w:val="14"/>
          <w:rFonts w:ascii="Times New Roman" w:hAnsi="Times New Roman" w:cs="Times New Roman" w:eastAsiaTheme="minorHAnsi"/>
          <w:color w:val="auto"/>
          <w:sz w:val="24"/>
          <w:szCs w:val="24"/>
        </w:rPr>
        <w:t>arts. 42 a 49</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observado o disposto nos </w:t>
      </w:r>
      <w:r>
        <w:fldChar w:fldCharType="begin"/>
      </w:r>
      <w:r>
        <w:instrText xml:space="preserve"> HYPERLINK "http://www.planalto.gov.br/ccivil_03/_ato2019-2022/2021/lei/L14133.htm" \l "art4§1" </w:instrText>
      </w:r>
      <w:r>
        <w:fldChar w:fldCharType="separate"/>
      </w:r>
      <w:r>
        <w:rPr>
          <w:rStyle w:val="14"/>
          <w:rFonts w:ascii="Times New Roman" w:hAnsi="Times New Roman" w:cs="Times New Roman" w:eastAsiaTheme="minorHAnsi"/>
          <w:color w:val="auto"/>
          <w:sz w:val="24"/>
          <w:szCs w:val="24"/>
        </w:rPr>
        <w:t>§§ 1º ao 3º do art. 4º da Lei n.º 14.133/2021.</w:t>
      </w:r>
      <w:r>
        <w:rPr>
          <w:rStyle w:val="14"/>
          <w:rFonts w:ascii="Times New Roman" w:hAnsi="Times New Roman" w:cs="Times New Roman" w:eastAsiaTheme="minorHAnsi"/>
          <w:color w:val="auto"/>
          <w:sz w:val="24"/>
          <w:szCs w:val="24"/>
        </w:rPr>
        <w:fldChar w:fldCharType="end"/>
      </w:r>
    </w:p>
    <w:p w14:paraId="4DD009EC">
      <w:pPr>
        <w:pStyle w:val="86"/>
        <w:spacing w:before="288" w:beforeLines="120" w:after="288" w:afterLines="120" w:line="288" w:lineRule="auto"/>
        <w:ind w:left="0" w:firstLine="0"/>
        <w:contextualSpacing/>
        <w:rPr>
          <w:rFonts w:ascii="Times New Roman" w:hAnsi="Times New Roman" w:cs="Times New Roman"/>
          <w:sz w:val="24"/>
          <w:szCs w:val="24"/>
        </w:rPr>
      </w:pPr>
      <w:bookmarkStart w:id="21" w:name="_Hlk154225179"/>
      <w:r>
        <w:rPr>
          <w:rFonts w:ascii="Times New Roman" w:hAnsi="Times New Roman" w:cs="Times New Roman"/>
          <w:sz w:val="24"/>
          <w:szCs w:val="24"/>
        </w:rPr>
        <w:t>4.5.1 no item exclusivo para participação de microempresas e empresas de pequeno porte, a ausência de declaração na forma do item anterior impedirá o prosseguimento no certame, para aquele item;</w:t>
      </w:r>
    </w:p>
    <w:p w14:paraId="4119796D">
      <w:pPr>
        <w:pStyle w:val="86"/>
        <w:spacing w:before="288" w:beforeLines="120" w:after="288" w:afterLines="120" w:line="288" w:lineRule="auto"/>
        <w:ind w:left="0" w:firstLine="0"/>
        <w:contextualSpacing/>
        <w:rPr>
          <w:rFonts w:ascii="Times New Roman" w:hAnsi="Times New Roman" w:cs="Times New Roman"/>
          <w:sz w:val="24"/>
          <w:szCs w:val="24"/>
        </w:rPr>
      </w:pPr>
    </w:p>
    <w:p w14:paraId="09542A82">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4.5.2 nos itens em que a participação não for exclusiva para microempresas e empresas de pequeno porte, a ausência de declaração na forma do item 4.5 apenas produzirá o efeito de o licitante não ter direito ao tratamento favorecido previsto </w:t>
      </w:r>
      <w:r>
        <w:rPr>
          <w:rFonts w:ascii="Times New Roman" w:hAnsi="Times New Roman" w:cs="Times New Roman"/>
          <w:color w:val="auto"/>
          <w:sz w:val="24"/>
          <w:szCs w:val="24"/>
        </w:rPr>
        <w:t xml:space="preserve">na </w:t>
      </w:r>
      <w:r>
        <w:fldChar w:fldCharType="begin"/>
      </w:r>
      <w:r>
        <w:instrText xml:space="preserve"> HYPERLINK "https://www.planalto.gov.br/ccivil_03/leis/lcp/lcp123.htm" </w:instrText>
      </w:r>
      <w:r>
        <w:fldChar w:fldCharType="separate"/>
      </w:r>
      <w:r>
        <w:rPr>
          <w:rStyle w:val="14"/>
          <w:rFonts w:ascii="Times New Roman" w:hAnsi="Times New Roman" w:cs="Times New Roman" w:eastAsiaTheme="minorHAnsi"/>
          <w:color w:val="auto"/>
          <w:sz w:val="24"/>
          <w:szCs w:val="24"/>
        </w:rPr>
        <w:t>Lei Complementar nº 123/2006</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mesmo que microempresa, empresa de pequeno porte ou sociedade cooperativa.</w:t>
      </w:r>
    </w:p>
    <w:p w14:paraId="7CEF83E1">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4.6 A falsidade das declarações de que tratam os itens 4.3 a 4.5 sujeitará o licitante às sanções previstas na </w:t>
      </w:r>
      <w:r>
        <w:fldChar w:fldCharType="begin"/>
      </w:r>
      <w:r>
        <w:instrText xml:space="preserve"> HYPERLINK "http://www.planalto.gov.br/ccivil_03/_ato2019-2022/2021/lei/L14133.htm" </w:instrText>
      </w:r>
      <w:r>
        <w:fldChar w:fldCharType="separate"/>
      </w:r>
      <w:r>
        <w:rPr>
          <w:rStyle w:val="14"/>
          <w:rFonts w:ascii="Times New Roman" w:hAnsi="Times New Roman" w:cs="Times New Roman" w:eastAsiaTheme="minorHAnsi"/>
          <w:color w:val="auto"/>
          <w:sz w:val="24"/>
          <w:szCs w:val="24"/>
        </w:rPr>
        <w:t>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neste Edital.</w:t>
      </w:r>
    </w:p>
    <w:bookmarkEnd w:id="21"/>
    <w:p w14:paraId="0BA359F5">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14BED25D">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4.7 Os licitantes poderão retirar ou substituir a proposta ou, </w:t>
      </w:r>
      <w:r>
        <w:rPr>
          <w:rFonts w:ascii="Times New Roman" w:hAnsi="Times New Roman" w:cs="Times New Roman"/>
          <w:sz w:val="24"/>
          <w:szCs w:val="24"/>
        </w:rPr>
        <w:t xml:space="preserve">na hipótese de a fase de habilitação anteceder as fases de apresentação de propostas e lances e de julgamento, </w:t>
      </w:r>
      <w:r>
        <w:rPr>
          <w:rFonts w:ascii="Times New Roman" w:hAnsi="Times New Roman" w:cs="Times New Roman"/>
          <w:color w:val="auto"/>
          <w:sz w:val="24"/>
          <w:szCs w:val="24"/>
        </w:rPr>
        <w:t>os documentos de habilitação anteriormente inseridos no sistema, até a abertura da sessão pública.</w:t>
      </w:r>
    </w:p>
    <w:p w14:paraId="779902C3">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440BEFE5">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4.8 Não haverá ordem de classificação na etapa de apresentação da proposta e das declarações pelo licitante, o que ocorrerá somente após os procedimentos de abertura da sessão pública e da fase de envio de lances.</w:t>
      </w:r>
    </w:p>
    <w:p w14:paraId="18FF042D">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0A4FFFFA">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4.9 Após a fase de envio de lances, serão disponibilizados para acesso público os documentos que compõem a proposta dos licitantes convocados para apresentação de propostas.</w:t>
      </w:r>
    </w:p>
    <w:p w14:paraId="3A1BD431">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58A82262">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4.10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53BE77D">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262C70BE">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4.11 O licitante deverá comunicar imediatamente ao provedor do sistema qualquer acontecimento que possa comprometer o sigilo ou a segurança, para imediato bloqueio de acesso.</w:t>
      </w:r>
    </w:p>
    <w:p w14:paraId="6E44DFC1">
      <w:pPr>
        <w:pStyle w:val="83"/>
        <w:spacing w:before="288" w:beforeLines="120" w:after="288" w:afterLines="120" w:line="288" w:lineRule="auto"/>
        <w:ind w:left="567" w:right="565" w:firstLine="0"/>
        <w:contextualSpacing/>
        <w:rPr>
          <w:rFonts w:ascii="Times New Roman" w:hAnsi="Times New Roman" w:cs="Times New Roman"/>
          <w:color w:val="FF0000"/>
          <w:sz w:val="24"/>
          <w:szCs w:val="24"/>
        </w:rPr>
      </w:pPr>
    </w:p>
    <w:p w14:paraId="6348E2E0">
      <w:pPr>
        <w:pStyle w:val="8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4.12 Desde que disponibilizada a funcionalidade no sistema, o licitante poderá parametrizar o seu valor final mínimo ou o seu percentual de desconto máximo quando do cadastramento da proposta e obedecerá às seguintes regras:</w:t>
      </w:r>
    </w:p>
    <w:p w14:paraId="7E349DA3">
      <w:pPr>
        <w:pStyle w:val="86"/>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4.12.1 a aplicação do intervalo mínimo de diferença de valores ou de percentuais entre os lances, conforme disposto no item 6.8, que incidirá tanto em relação aos lances intermediários quanto em relação ao lance que cobrir a melhor oferta;  </w:t>
      </w:r>
    </w:p>
    <w:p w14:paraId="4390767E">
      <w:pPr>
        <w:pStyle w:val="86"/>
        <w:spacing w:before="288" w:beforeLines="120" w:after="288" w:afterLines="120" w:line="288" w:lineRule="auto"/>
        <w:ind w:left="0" w:right="-2" w:firstLine="0"/>
        <w:contextualSpacing/>
        <w:rPr>
          <w:rFonts w:ascii="Times New Roman" w:hAnsi="Times New Roman" w:cs="Times New Roman"/>
          <w:color w:val="auto"/>
          <w:sz w:val="24"/>
          <w:szCs w:val="24"/>
        </w:rPr>
      </w:pPr>
    </w:p>
    <w:p w14:paraId="181E986B">
      <w:pPr>
        <w:pStyle w:val="86"/>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4.12.2 os lances serão de envio automático pelo sistema, respeitado o valor final mínimo, caso estabelecido, e o intervalo de que trata o subitem acima.</w:t>
      </w:r>
    </w:p>
    <w:p w14:paraId="68C9EFC6">
      <w:pPr>
        <w:pStyle w:val="8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 O valor final mínimo ou o percentual de desconto final máximo parametrizado no sistema poderá ser alterado pelo fornecedor durante a fase de disputa, sendo vedado:</w:t>
      </w:r>
    </w:p>
    <w:p w14:paraId="260073E5">
      <w:pPr>
        <w:pStyle w:val="86"/>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4.13.1 valor superior a lance já registrado pelo fornecedor no sistema, quando adotado o critério de julgamento por menor preço; e</w:t>
      </w:r>
    </w:p>
    <w:p w14:paraId="7A6AE06B">
      <w:pPr>
        <w:pStyle w:val="86"/>
        <w:spacing w:before="288" w:beforeLines="120" w:after="288" w:afterLines="120" w:line="288" w:lineRule="auto"/>
        <w:ind w:left="0" w:right="565" w:firstLine="0"/>
        <w:contextualSpacing/>
        <w:rPr>
          <w:rFonts w:ascii="Times New Roman" w:hAnsi="Times New Roman" w:cs="Times New Roman"/>
          <w:color w:val="auto"/>
          <w:sz w:val="24"/>
          <w:szCs w:val="24"/>
        </w:rPr>
      </w:pPr>
    </w:p>
    <w:p w14:paraId="71306CF8">
      <w:pPr>
        <w:pStyle w:val="86"/>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4.13.2 percentual de desconto inferior a lance já registrado pelo fornecedor no sistema, quando adotado o critério de julgamento por maior desconto.</w:t>
      </w:r>
    </w:p>
    <w:p w14:paraId="69D148EC">
      <w:pPr>
        <w:pStyle w:val="83"/>
        <w:spacing w:before="288" w:beforeLines="120" w:after="288" w:afterLines="120"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4.14 O valor final mínimo ou o percentual de desconto final máximo parametrizado na forma do item 4.12 possuirá caráter sigiloso para os demais fornecedores e para o órgão ou entidade promotora da licitação, podendo ser disponibilizado estrita e permanentemente aos órgãos de controle externo e interno.</w:t>
      </w:r>
    </w:p>
    <w:p w14:paraId="1CE7760E">
      <w:pPr>
        <w:pStyle w:val="81"/>
        <w:spacing w:before="0" w:beforeAutospacing="0" w:after="0" w:afterAutospacing="0" w:line="288" w:lineRule="auto"/>
        <w:contextualSpacing/>
        <w:jc w:val="both"/>
        <w:rPr>
          <w:rFonts w:eastAsia="Calibri"/>
          <w:b/>
          <w:bCs/>
          <w:lang w:eastAsia="en-US"/>
        </w:rPr>
      </w:pPr>
      <w:r>
        <w:rPr>
          <w:rFonts w:eastAsia="Calibri"/>
          <w:b/>
          <w:bCs/>
          <w:lang w:eastAsia="en-US"/>
        </w:rPr>
        <w:t>5. DO PREENCHIMENTO DA PROPOSTA</w:t>
      </w:r>
    </w:p>
    <w:p w14:paraId="76A8B546">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 O licitante deverá enviar sua proposta mediante o preenchimento, no sistema eletrônico, dos seguintes campos:</w:t>
      </w:r>
    </w:p>
    <w:p w14:paraId="413F357E">
      <w:pPr>
        <w:pStyle w:val="86"/>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5.1.1 Valor unitário do item;</w:t>
      </w:r>
    </w:p>
    <w:p w14:paraId="30F3EE61">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190CBD48">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5.1.2 </w:t>
      </w:r>
      <w:r>
        <w:rPr>
          <w:rFonts w:ascii="Times New Roman" w:hAnsi="Times New Roman" w:cs="Times New Roman"/>
          <w:sz w:val="24"/>
          <w:szCs w:val="24"/>
        </w:rPr>
        <w:t xml:space="preserve">Serão aceitos marcas e fabricantes que comprovem o atendimento a essas especificações. A apresentação de ficha técnica e certificados de qualidade é obrigatória. </w:t>
      </w:r>
    </w:p>
    <w:p w14:paraId="7114427F">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70E8DDC3">
      <w:pPr>
        <w:pStyle w:val="86"/>
        <w:spacing w:before="288" w:beforeLines="120" w:after="288" w:afterLines="120" w:line="288" w:lineRule="auto"/>
        <w:ind w:left="0" w:firstLine="0"/>
        <w:contextualSpacing/>
        <w:rPr>
          <w:rFonts w:ascii="Times New Roman" w:hAnsi="Times New Roman" w:cs="Times New Roman"/>
          <w:iCs/>
          <w:color w:val="auto"/>
          <w:sz w:val="24"/>
          <w:szCs w:val="24"/>
        </w:rPr>
      </w:pPr>
      <w:r>
        <w:rPr>
          <w:rFonts w:ascii="Times New Roman" w:hAnsi="Times New Roman" w:cs="Times New Roman"/>
          <w:color w:val="auto"/>
          <w:sz w:val="24"/>
          <w:szCs w:val="24"/>
        </w:rPr>
        <w:t xml:space="preserve">5.1.3 </w:t>
      </w:r>
      <w:r>
        <w:rPr>
          <w:rFonts w:ascii="Times New Roman" w:hAnsi="Times New Roman" w:cs="Times New Roman"/>
          <w:sz w:val="24"/>
          <w:szCs w:val="24"/>
        </w:rPr>
        <w:t>Descrição do objeto, contendo as informações similares à especificação do Termo de Referência</w:t>
      </w:r>
      <w:r>
        <w:rPr>
          <w:rFonts w:ascii="Times New Roman" w:hAnsi="Times New Roman" w:cs="Times New Roman"/>
          <w:iCs/>
          <w:color w:val="auto"/>
          <w:sz w:val="24"/>
          <w:szCs w:val="24"/>
        </w:rPr>
        <w:t xml:space="preserve">; </w:t>
      </w:r>
    </w:p>
    <w:p w14:paraId="50ED2595">
      <w:pPr>
        <w:pStyle w:val="86"/>
        <w:spacing w:before="288" w:beforeLines="120" w:after="288" w:afterLines="120" w:line="288" w:lineRule="auto"/>
        <w:ind w:left="0" w:right="565" w:firstLine="0"/>
        <w:contextualSpacing/>
        <w:rPr>
          <w:rFonts w:ascii="Times New Roman" w:hAnsi="Times New Roman" w:cs="Times New Roman"/>
          <w:color w:val="auto"/>
          <w:sz w:val="24"/>
          <w:szCs w:val="24"/>
        </w:rPr>
      </w:pPr>
    </w:p>
    <w:p w14:paraId="2764141B">
      <w:pPr>
        <w:pStyle w:val="86"/>
        <w:spacing w:before="288" w:beforeLines="120" w:after="288" w:afterLines="120" w:line="288" w:lineRule="auto"/>
        <w:ind w:left="0" w:right="565" w:firstLine="0"/>
        <w:contextualSpacing/>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5.1.4 Quantidade cotada, que não poderá ser inferior ao quantitativo máximo de cada item que poderá ser adquirido.</w:t>
      </w:r>
    </w:p>
    <w:p w14:paraId="6CC35B80">
      <w:pPr>
        <w:pStyle w:val="8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5.2 Todas as especificações do objeto contidas na proposta vinculam o licitante.</w:t>
      </w:r>
    </w:p>
    <w:p w14:paraId="40B9F583">
      <w:pPr>
        <w:pStyle w:val="86"/>
        <w:spacing w:line="288" w:lineRule="auto"/>
        <w:ind w:left="0" w:right="565"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5.2.1 O licitante não poderá oferecer proposta em quantitativo inferior ao máximo previsto para contratação.</w:t>
      </w:r>
    </w:p>
    <w:p w14:paraId="1E3F67B3">
      <w:pPr>
        <w:pStyle w:val="86"/>
        <w:spacing w:line="288" w:lineRule="auto"/>
        <w:ind w:left="0" w:firstLine="0"/>
        <w:contextualSpacing/>
        <w:rPr>
          <w:rFonts w:ascii="Times New Roman" w:hAnsi="Times New Roman" w:cs="Times New Roman"/>
          <w:color w:val="auto"/>
          <w:sz w:val="24"/>
          <w:szCs w:val="24"/>
        </w:rPr>
      </w:pPr>
    </w:p>
    <w:p w14:paraId="017A0EF4">
      <w:pPr>
        <w:pStyle w:val="86"/>
        <w:spacing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5.3 Nos valores propostos estarão inclusos todos os custos operacionais, encargos previdenciários, trabalhistas, tributários, comerciais e quaisquer outros que incidam direta ou indiretamente na execução do objeto.</w:t>
      </w:r>
    </w:p>
    <w:p w14:paraId="14705992">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5.4 Os preços ofertados, tanto na proposta inicial, quanto na etapa de lances, serão de exclusiva responsabilidade do licitante, não lhe assistindo o direito de pleitear qualquer alteração, sob alegação de erro, omissão ou qualquer outro pretexto.</w:t>
      </w:r>
    </w:p>
    <w:p w14:paraId="3528FA3A">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001441CA">
      <w:pPr>
        <w:pStyle w:val="83"/>
        <w:spacing w:before="288" w:beforeLines="120" w:after="288" w:afterLines="120" w:line="288" w:lineRule="auto"/>
        <w:ind w:left="0" w:firstLine="0"/>
        <w:contextualSpacing/>
        <w:rPr>
          <w:rFonts w:ascii="Times New Roman" w:hAnsi="Times New Roman" w:cs="Times New Roman"/>
          <w:color w:val="FF66FF"/>
          <w:sz w:val="24"/>
          <w:szCs w:val="24"/>
        </w:rPr>
      </w:pPr>
      <w:r>
        <w:rPr>
          <w:rFonts w:ascii="Times New Roman" w:hAnsi="Times New Roman" w:cs="Times New Roman"/>
          <w:color w:val="auto"/>
          <w:sz w:val="24"/>
          <w:szCs w:val="24"/>
        </w:rPr>
        <w:t xml:space="preserve">5.5 Se o regime tributário da empresa implicar o recolhimento de tributos em percentuais variáveis, a cotação adequada será a que corresponde à média dos efetivos recolhimentos da empresa nos últimos doze meses. </w:t>
      </w:r>
    </w:p>
    <w:p w14:paraId="242C9722">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5DAEC865">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5.6 Independentemente do percentual de tributo inserido na planilha, no pagamento serão retidos na fonte os percentuais estabelecidos na legislação vigente.</w:t>
      </w:r>
    </w:p>
    <w:p w14:paraId="154AB864">
      <w:pPr>
        <w:pStyle w:val="83"/>
        <w:spacing w:before="288" w:beforeLines="120" w:after="288" w:afterLines="120" w:line="288" w:lineRule="auto"/>
        <w:ind w:left="0" w:firstLine="0"/>
        <w:contextualSpacing/>
        <w:rPr>
          <w:rFonts w:ascii="Times New Roman" w:hAnsi="Times New Roman" w:cs="Times New Roman"/>
          <w:i/>
          <w:iCs/>
          <w:color w:val="FF0000"/>
          <w:sz w:val="24"/>
          <w:szCs w:val="24"/>
        </w:rPr>
      </w:pPr>
      <w:bookmarkStart w:id="22" w:name="_Hlk154227498"/>
    </w:p>
    <w:p w14:paraId="6E9084CE">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5.7</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Na presente licitação, a Microempresa e a Empresa de Pequeno Porte poderão se beneficiar do regime de tributação pelo Simples Nacional.</w:t>
      </w:r>
    </w:p>
    <w:p w14:paraId="7BFC0A40">
      <w:pPr>
        <w:pStyle w:val="83"/>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sz w:val="24"/>
          <w:szCs w:val="24"/>
        </w:rPr>
        <w:t>5.8 O licitante cujo estabelecimento esteja localizado no Estado do Rio de Janeiro deverá apresentar proposta isenta de ICMS, quando cabível, de acordo com o Convênio CONFAZ nº 26/2003 e a Resolução SEFAZ nº 971/2016, sendo este valor considerado para efeito de competição na licitação.</w:t>
      </w:r>
      <w:bookmarkEnd w:id="22"/>
    </w:p>
    <w:p w14:paraId="0F223D0D">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2F8CE2AE">
      <w:pPr>
        <w:pStyle w:val="83"/>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color w:val="auto"/>
          <w:sz w:val="24"/>
          <w:szCs w:val="24"/>
        </w:rPr>
        <w:t>5.9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AE10793">
      <w:pPr>
        <w:pStyle w:val="83"/>
        <w:spacing w:before="288" w:beforeLines="120" w:after="288" w:afterLines="120" w:line="288" w:lineRule="auto"/>
        <w:ind w:left="0" w:firstLine="0"/>
        <w:contextualSpacing/>
        <w:rPr>
          <w:rFonts w:ascii="Times New Roman" w:hAnsi="Times New Roman" w:cs="Times New Roman"/>
          <w:sz w:val="24"/>
          <w:szCs w:val="24"/>
        </w:rPr>
      </w:pPr>
    </w:p>
    <w:p w14:paraId="35EC6E7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5.10 O prazo de validade da proposta não será inferior </w:t>
      </w:r>
      <w:r>
        <w:rPr>
          <w:rFonts w:ascii="Times New Roman" w:hAnsi="Times New Roman" w:cs="Times New Roman"/>
          <w:color w:val="000000" w:themeColor="text1"/>
          <w:sz w:val="24"/>
          <w:szCs w:val="24"/>
          <w14:textFill>
            <w14:solidFill>
              <w14:schemeClr w14:val="tx1"/>
            </w14:solidFill>
          </w14:textFill>
        </w:rPr>
        <w:t>a 60 (sessenta) dias corridos</w:t>
      </w:r>
      <w:r>
        <w:rPr>
          <w:rFonts w:ascii="Times New Roman" w:hAnsi="Times New Roman" w:cs="Times New Roman"/>
          <w:b/>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sz w:val="24"/>
          <w:szCs w:val="24"/>
        </w:rPr>
        <w:t>a contar da data de sua apresentação, podendo ser prorrogado, por igual período, salvo se houver justificativa para prazo diverso aceita pela Administração.</w:t>
      </w:r>
    </w:p>
    <w:p w14:paraId="4A579451">
      <w:pPr>
        <w:pStyle w:val="83"/>
        <w:spacing w:before="288" w:beforeLines="120" w:after="288" w:afterLines="120" w:line="288" w:lineRule="auto"/>
        <w:ind w:left="0" w:firstLine="0"/>
        <w:contextualSpacing/>
        <w:rPr>
          <w:rFonts w:ascii="Times New Roman" w:hAnsi="Times New Roman" w:cs="Times New Roman"/>
          <w:sz w:val="24"/>
          <w:szCs w:val="24"/>
        </w:rPr>
      </w:pPr>
      <w:bookmarkStart w:id="23" w:name="_Hlk154229074"/>
    </w:p>
    <w:p w14:paraId="1CE1B847">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5.11 Os licitantes devem respeitar os preços máximos estabelecidos no Anexo deste Edital referente ao orçamento estimado (art. 59, III, da Lei nº 14.133/2021).</w:t>
      </w:r>
    </w:p>
    <w:p w14:paraId="1A672EE6">
      <w:pPr>
        <w:pStyle w:val="83"/>
        <w:spacing w:before="288" w:beforeLines="120" w:after="288" w:afterLines="120" w:line="288" w:lineRule="auto"/>
        <w:ind w:left="0" w:firstLine="0"/>
        <w:contextualSpacing/>
        <w:rPr>
          <w:rFonts w:ascii="Times New Roman" w:hAnsi="Times New Roman" w:cs="Times New Roman"/>
          <w:sz w:val="24"/>
          <w:szCs w:val="24"/>
        </w:rPr>
      </w:pPr>
    </w:p>
    <w:p w14:paraId="5180155A">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5.11.1  O descumprimento das regras supramencionadas pela Administração por parte dos contratados pode ensejar a responsabilização pelo Tribunal de Contas do Estado e, após o devido processo legal, gerar as seguintes consequências: assinatura de prazo para a adoção das medidas necessárias ao exato cumprimento da lei, nos termos do </w:t>
      </w:r>
      <w:r>
        <w:fldChar w:fldCharType="begin"/>
      </w:r>
      <w:r>
        <w:instrText xml:space="preserve"> HYPERLINK "https://www.planalto.gov.br/ccivil_03/constituicao/constituicaocompilado.htm" </w:instrText>
      </w:r>
      <w:r>
        <w:fldChar w:fldCharType="separate"/>
      </w:r>
      <w:r>
        <w:rPr>
          <w:rStyle w:val="14"/>
          <w:rFonts w:ascii="Times New Roman" w:hAnsi="Times New Roman" w:cs="Times New Roman" w:eastAsiaTheme="minorHAnsi"/>
          <w:color w:val="auto"/>
          <w:sz w:val="24"/>
          <w:szCs w:val="24"/>
        </w:rPr>
        <w:t>art. 71, inciso IX, da Constituição</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ou condenação dos agentes públicos responsáveis e da empresa contratada ao pagamento dos prejuízos ao erário, caso verificada a ocorrência de superfaturamento por sobrepreço na execução do contrato.</w:t>
      </w:r>
    </w:p>
    <w:bookmarkEnd w:id="23"/>
    <w:p w14:paraId="39BFF536">
      <w:pPr>
        <w:pStyle w:val="81"/>
        <w:spacing w:before="0" w:beforeAutospacing="0" w:after="0" w:afterAutospacing="0" w:line="288" w:lineRule="auto"/>
        <w:contextualSpacing/>
        <w:jc w:val="both"/>
        <w:rPr>
          <w:rFonts w:eastAsia="Calibri"/>
          <w:b/>
          <w:bCs/>
          <w:lang w:eastAsia="en-US"/>
        </w:rPr>
      </w:pPr>
      <w:r>
        <w:rPr>
          <w:rFonts w:eastAsia="Calibri"/>
          <w:b/>
          <w:bCs/>
          <w:lang w:eastAsia="en-US"/>
        </w:rPr>
        <w:t>6. DA ABERTURA DA SESSÃO, CLASSIFICAÇÃO DAS PROPOSTAS E FORMULAÇÃO DE LANCES</w:t>
      </w:r>
    </w:p>
    <w:p w14:paraId="142EF874">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 A abertura da presente licitação dar-se-á em sessão pública, por meio de sistema eletrônico, na data, horário e local indicados neste Edital.</w:t>
      </w:r>
    </w:p>
    <w:p w14:paraId="68FE39D4">
      <w:pPr>
        <w:pStyle w:val="83"/>
        <w:spacing w:before="288" w:beforeLines="120" w:after="288" w:afterLines="120" w:line="288" w:lineRule="auto"/>
        <w:ind w:left="0" w:firstLine="0"/>
        <w:contextualSpacing/>
        <w:rPr>
          <w:rFonts w:ascii="Times New Roman" w:hAnsi="Times New Roman" w:cs="Times New Roman"/>
          <w:sz w:val="24"/>
          <w:szCs w:val="24"/>
        </w:rPr>
      </w:pPr>
    </w:p>
    <w:p w14:paraId="7BFD62F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6.2 Os licitantes poderão retirar ou substituir a proposta </w:t>
      </w:r>
      <w:r>
        <w:rPr>
          <w:rFonts w:ascii="Times New Roman" w:hAnsi="Times New Roman" w:cs="Times New Roman"/>
          <w:color w:val="auto"/>
          <w:sz w:val="24"/>
          <w:szCs w:val="24"/>
        </w:rPr>
        <w:t>ou os documentos de habilitação</w:t>
      </w:r>
      <w:r>
        <w:rPr>
          <w:rFonts w:ascii="Times New Roman" w:hAnsi="Times New Roman" w:cs="Times New Roman"/>
          <w:sz w:val="24"/>
          <w:szCs w:val="24"/>
        </w:rPr>
        <w:t>, quando for o caso, anteriormente inseridos no sistema, até a abertura da sessão pública.</w:t>
      </w:r>
    </w:p>
    <w:p w14:paraId="42CB701B">
      <w:pPr>
        <w:pStyle w:val="83"/>
        <w:spacing w:before="288" w:beforeLines="120" w:after="288" w:afterLines="120" w:line="288" w:lineRule="auto"/>
        <w:ind w:left="0" w:firstLine="0"/>
        <w:contextualSpacing/>
        <w:rPr>
          <w:rFonts w:ascii="Times New Roman" w:hAnsi="Times New Roman" w:cs="Times New Roman"/>
          <w:sz w:val="24"/>
          <w:szCs w:val="24"/>
        </w:rPr>
      </w:pPr>
    </w:p>
    <w:p w14:paraId="1198A0B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6.3 O sistema disponibilizará campo próprio para troca de mensagens entre o Pregoeiro e os licitantes.</w:t>
      </w:r>
    </w:p>
    <w:p w14:paraId="275B3FD7">
      <w:pPr>
        <w:pStyle w:val="83"/>
        <w:spacing w:before="288" w:beforeLines="120" w:after="288" w:afterLines="120" w:line="288" w:lineRule="auto"/>
        <w:ind w:left="0" w:firstLine="0"/>
        <w:contextualSpacing/>
        <w:rPr>
          <w:rFonts w:ascii="Times New Roman" w:hAnsi="Times New Roman" w:cs="Times New Roman"/>
          <w:sz w:val="24"/>
          <w:szCs w:val="24"/>
        </w:rPr>
      </w:pPr>
    </w:p>
    <w:p w14:paraId="72ACD206">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6.4 Iniciada a etapa competitiva, os licitantes deverão encaminhar lances exclusivamente por meio de sistema eletrônico, sendo imediatamente informados do seu recebimento e do valor consignado no registro. </w:t>
      </w:r>
    </w:p>
    <w:p w14:paraId="6B0235D9">
      <w:pPr>
        <w:pStyle w:val="83"/>
        <w:spacing w:before="288" w:beforeLines="120" w:after="288" w:afterLines="120" w:line="288" w:lineRule="auto"/>
        <w:ind w:left="0" w:firstLine="0"/>
        <w:contextualSpacing/>
        <w:rPr>
          <w:rFonts w:ascii="Times New Roman" w:hAnsi="Times New Roman" w:cs="Times New Roman"/>
          <w:color w:val="FF0000"/>
          <w:sz w:val="24"/>
          <w:szCs w:val="24"/>
        </w:rPr>
      </w:pPr>
    </w:p>
    <w:p w14:paraId="4ED8C7D5">
      <w:pPr>
        <w:pStyle w:val="8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6.5 O lance deverá ser ofertado pelo valor unitário do item.</w:t>
      </w:r>
    </w:p>
    <w:p w14:paraId="6A923D87">
      <w:pPr>
        <w:pStyle w:val="83"/>
        <w:spacing w:before="288" w:beforeLines="120" w:after="288" w:afterLines="120" w:line="288" w:lineRule="auto"/>
        <w:ind w:left="0" w:firstLine="0"/>
        <w:contextualSpacing/>
        <w:rPr>
          <w:rFonts w:ascii="Times New Roman" w:hAnsi="Times New Roman" w:cs="Times New Roman"/>
          <w:sz w:val="24"/>
          <w:szCs w:val="24"/>
        </w:rPr>
      </w:pPr>
    </w:p>
    <w:p w14:paraId="6E700FD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6.6 Os licitantes poderão oferecer lances sucessivos, observando o horário fixado para abertura da sessão e as regras estabelecidas no Edital.</w:t>
      </w:r>
    </w:p>
    <w:p w14:paraId="5C1D40CA">
      <w:pPr>
        <w:pStyle w:val="83"/>
        <w:spacing w:before="288" w:beforeLines="120" w:after="288" w:afterLines="120" w:line="288" w:lineRule="auto"/>
        <w:ind w:left="0" w:firstLine="0"/>
        <w:contextualSpacing/>
        <w:rPr>
          <w:rFonts w:ascii="Times New Roman" w:hAnsi="Times New Roman" w:cs="Times New Roman"/>
          <w:sz w:val="24"/>
          <w:szCs w:val="24"/>
        </w:rPr>
      </w:pPr>
    </w:p>
    <w:p w14:paraId="694B6583">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6.7 O licitante somente poderá oferecer lance </w:t>
      </w:r>
      <w:r>
        <w:rPr>
          <w:rFonts w:ascii="Times New Roman" w:hAnsi="Times New Roman" w:cs="Times New Roman"/>
          <w:iCs/>
          <w:color w:val="auto"/>
          <w:sz w:val="24"/>
          <w:szCs w:val="24"/>
        </w:rPr>
        <w:t>de valor inferior ou percentual de desconto superior</w:t>
      </w:r>
      <w:r>
        <w:rPr>
          <w:rFonts w:ascii="Times New Roman" w:hAnsi="Times New Roman" w:cs="Times New Roman"/>
          <w:color w:val="auto"/>
          <w:sz w:val="24"/>
          <w:szCs w:val="24"/>
        </w:rPr>
        <w:t xml:space="preserve"> </w:t>
      </w:r>
      <w:r>
        <w:rPr>
          <w:rFonts w:ascii="Times New Roman" w:hAnsi="Times New Roman" w:cs="Times New Roman"/>
          <w:sz w:val="24"/>
          <w:szCs w:val="24"/>
        </w:rPr>
        <w:t xml:space="preserve">ao último por ele ofertado e registrado pelo sistema. </w:t>
      </w:r>
    </w:p>
    <w:p w14:paraId="0C825485">
      <w:pPr>
        <w:pStyle w:val="83"/>
        <w:spacing w:before="288" w:beforeLines="120" w:after="288" w:afterLines="120" w:line="288" w:lineRule="auto"/>
        <w:ind w:left="0" w:firstLine="0"/>
        <w:contextualSpacing/>
        <w:rPr>
          <w:rFonts w:ascii="Times New Roman" w:hAnsi="Times New Roman" w:cs="Times New Roman"/>
          <w:sz w:val="24"/>
          <w:szCs w:val="24"/>
        </w:rPr>
      </w:pPr>
    </w:p>
    <w:p w14:paraId="7EF12471">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6.8 O intervalo mínimo de diferença de valores ou percentuais entre os lances, que incidirá tanto em relação aos lances intermediários quanto em relação à proposta que cobrir a melhor oferta, deverá </w:t>
      </w:r>
      <w:r>
        <w:rPr>
          <w:rFonts w:ascii="Times New Roman" w:hAnsi="Times New Roman" w:cs="Times New Roman"/>
          <w:color w:val="auto"/>
          <w:sz w:val="24"/>
          <w:szCs w:val="24"/>
        </w:rPr>
        <w:t>ser de 0,01(um centavo)</w:t>
      </w:r>
      <w:r>
        <w:rPr>
          <w:rFonts w:ascii="Times New Roman" w:hAnsi="Times New Roman" w:cs="Times New Roman"/>
          <w:i/>
          <w:iCs/>
          <w:sz w:val="24"/>
          <w:szCs w:val="24"/>
        </w:rPr>
        <w:t>.</w:t>
      </w:r>
    </w:p>
    <w:p w14:paraId="040FF0C0">
      <w:pPr>
        <w:pStyle w:val="83"/>
        <w:spacing w:before="288" w:beforeLines="120" w:after="288" w:afterLines="120" w:line="288" w:lineRule="auto"/>
        <w:ind w:left="0" w:firstLine="0"/>
        <w:contextualSpacing/>
        <w:rPr>
          <w:rFonts w:ascii="Times New Roman" w:hAnsi="Times New Roman" w:cs="Times New Roman"/>
          <w:color w:val="FF0000"/>
          <w:sz w:val="24"/>
          <w:szCs w:val="24"/>
        </w:rPr>
      </w:pPr>
    </w:p>
    <w:p w14:paraId="7293A63A">
      <w:pPr>
        <w:pStyle w:val="83"/>
        <w:spacing w:before="288" w:beforeLines="120" w:after="288" w:afterLines="120" w:line="288" w:lineRule="auto"/>
        <w:ind w:left="0"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6.9</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 xml:space="preserve">Em caso de erro material, ao licitante será concedida a possibilidade de enviar solicitação de cancelamento do seu lance durante a realização da etapa de lances da sessão pública, que poderá ser aceita ou não pelo Pregoeiro. </w:t>
      </w:r>
    </w:p>
    <w:p w14:paraId="255CECEB">
      <w:pPr>
        <w:pStyle w:val="83"/>
        <w:spacing w:before="288" w:beforeLines="120" w:after="288" w:afterLines="120" w:line="288" w:lineRule="auto"/>
        <w:ind w:left="0" w:firstLine="0"/>
        <w:contextualSpacing/>
        <w:rPr>
          <w:rFonts w:ascii="Times New Roman" w:hAnsi="Times New Roman" w:cs="Times New Roman"/>
          <w:color w:val="FF0000"/>
          <w:sz w:val="24"/>
          <w:szCs w:val="24"/>
        </w:rPr>
      </w:pPr>
    </w:p>
    <w:p w14:paraId="78F9B1EF">
      <w:pPr>
        <w:pStyle w:val="8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6.9.1 O licitante poderá, uma única vez, excluir seu último lance ofertado, no intervalo de quinze segundos após o registro no sistema, na hipótese de lance inconsistente ou inexequível.</w:t>
      </w:r>
    </w:p>
    <w:p w14:paraId="1E2C115E">
      <w:pPr>
        <w:pStyle w:val="83"/>
        <w:spacing w:before="288" w:beforeLines="120" w:after="288" w:afterLines="120" w:line="288" w:lineRule="auto"/>
        <w:ind w:left="567" w:right="565" w:firstLine="0"/>
        <w:contextualSpacing/>
        <w:rPr>
          <w:rFonts w:ascii="Times New Roman" w:hAnsi="Times New Roman" w:cs="Times New Roman"/>
          <w:sz w:val="24"/>
          <w:szCs w:val="24"/>
        </w:rPr>
      </w:pPr>
    </w:p>
    <w:p w14:paraId="1BA2FA39">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6.10 O procedimento seguirá de acordo com o modo de disputa adotado.</w:t>
      </w:r>
    </w:p>
    <w:p w14:paraId="32A2999A">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bookmarkStart w:id="24" w:name="_Hlk113631522"/>
      <w:r>
        <w:rPr>
          <w:rFonts w:ascii="Times New Roman" w:hAnsi="Times New Roman" w:cs="Times New Roman"/>
          <w:color w:val="000000" w:themeColor="text1"/>
          <w:sz w:val="24"/>
          <w:szCs w:val="24"/>
          <w14:textFill>
            <w14:solidFill>
              <w14:schemeClr w14:val="tx1"/>
            </w14:solidFill>
          </w14:textFill>
        </w:rPr>
        <w:t>6.11 O envio de lances no pregão eletrônico se dará pelo modo de disputa “aberto e fechado”, devendo os licitantes apresentar lances públicos e sucessivos, com lance final e fechado.</w:t>
      </w:r>
    </w:p>
    <w:p w14:paraId="7B50D7EF">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22EB7C58">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1604432">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3F0DF5D0">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F08D7DB">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159C0F19">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6.11.3 No procedimento de que trata o subitem supra, o licitante poderá optar por manter o seu último lance da etapa aberta, ou por ofertar melhor lance.</w:t>
      </w:r>
    </w:p>
    <w:p w14:paraId="645E73B9">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1EFBE017">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6E1ED6D">
      <w:pPr>
        <w:pStyle w:val="106"/>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3FD09A10">
      <w:pPr>
        <w:pStyle w:val="106"/>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6.11.5 Após o término dos prazos estabelecidos nos itens anteriores, o sistema ordenará e divulgará os lances segundo a ordem crescente de valores.</w:t>
      </w:r>
    </w:p>
    <w:p w14:paraId="40B32B22">
      <w:pPr>
        <w:pStyle w:val="106"/>
        <w:spacing w:line="288" w:lineRule="auto"/>
        <w:ind w:left="567" w:right="565"/>
        <w:contextualSpacing/>
        <w:rPr>
          <w:rFonts w:ascii="Times New Roman" w:hAnsi="Times New Roman" w:cs="Times New Roman"/>
          <w:color w:val="FF0000"/>
          <w:sz w:val="24"/>
          <w:szCs w:val="24"/>
        </w:rPr>
      </w:pPr>
    </w:p>
    <w:bookmarkEnd w:id="24"/>
    <w:p w14:paraId="77915376">
      <w:pPr>
        <w:pStyle w:val="106"/>
        <w:spacing w:line="288" w:lineRule="auto"/>
        <w:ind w:left="0"/>
        <w:contextualSpacing/>
        <w:rPr>
          <w:rFonts w:ascii="Times New Roman" w:hAnsi="Times New Roman" w:cs="Times New Roman"/>
          <w:i/>
          <w:sz w:val="24"/>
          <w:szCs w:val="24"/>
        </w:rPr>
      </w:pPr>
      <w:r>
        <w:rPr>
          <w:rFonts w:ascii="Times New Roman" w:hAnsi="Times New Roman" w:cs="Times New Roman"/>
          <w:sz w:val="24"/>
          <w:szCs w:val="24"/>
        </w:rPr>
        <w:t>6.12 Após o término dos prazos estabelecidos nos subitens anteriores, o sistema ordenará e divulgará os lances segundo a ordem crescente de valores</w:t>
      </w:r>
      <w:r>
        <w:rPr>
          <w:rFonts w:ascii="Times New Roman" w:hAnsi="Times New Roman" w:cs="Times New Roman"/>
          <w:i/>
          <w:iCs/>
          <w:sz w:val="24"/>
          <w:szCs w:val="24"/>
        </w:rPr>
        <w:t>.</w:t>
      </w:r>
    </w:p>
    <w:p w14:paraId="1D3BD3A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6.13 Não serão aceitos dois ou mais lances de mesmo valor, prevalecendo aquele que for recebido e registrado em primeiro lugar. </w:t>
      </w:r>
    </w:p>
    <w:p w14:paraId="1B34466D">
      <w:pPr>
        <w:pStyle w:val="83"/>
        <w:spacing w:before="288" w:beforeLines="120" w:after="288" w:afterLines="120" w:line="288" w:lineRule="auto"/>
        <w:ind w:left="0" w:firstLine="0"/>
        <w:contextualSpacing/>
        <w:rPr>
          <w:rFonts w:ascii="Times New Roman" w:hAnsi="Times New Roman" w:cs="Times New Roman"/>
          <w:sz w:val="24"/>
          <w:szCs w:val="24"/>
        </w:rPr>
      </w:pPr>
    </w:p>
    <w:p w14:paraId="3F7E8E60">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6.14 Durante o transcurso da sessão pública, os licitantes serão informados, em tempo real, do valor do menor lance registrado, vedada a identificação do licitante. </w:t>
      </w:r>
    </w:p>
    <w:p w14:paraId="7528DD5A">
      <w:pPr>
        <w:pStyle w:val="83"/>
        <w:spacing w:before="288" w:beforeLines="120" w:after="288" w:afterLines="120" w:line="288" w:lineRule="auto"/>
        <w:ind w:left="0" w:firstLine="0"/>
        <w:contextualSpacing/>
        <w:rPr>
          <w:rFonts w:ascii="Times New Roman" w:hAnsi="Times New Roman" w:cs="Times New Roman"/>
          <w:sz w:val="24"/>
          <w:szCs w:val="24"/>
        </w:rPr>
      </w:pPr>
    </w:p>
    <w:p w14:paraId="3BC0B5CA">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6.15 No caso de desconexão com o Pregoeiro, no decorrer da etapa competitiva do Pregão, o sistema eletrônico poderá permanecer acessível aos licitantes para a recepção dos lances. </w:t>
      </w:r>
    </w:p>
    <w:p w14:paraId="6B0AD607">
      <w:pPr>
        <w:pStyle w:val="83"/>
        <w:spacing w:before="288" w:beforeLines="120" w:after="288" w:afterLines="120" w:line="288" w:lineRule="auto"/>
        <w:ind w:left="0" w:firstLine="0"/>
        <w:contextualSpacing/>
        <w:rPr>
          <w:rFonts w:ascii="Times New Roman" w:hAnsi="Times New Roman" w:cs="Times New Roman"/>
          <w:sz w:val="24"/>
          <w:szCs w:val="24"/>
        </w:rPr>
      </w:pPr>
    </w:p>
    <w:p w14:paraId="19C1CDF8">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6.16 Quando a desconexão do sistema eletrônico para o Pregoeiro persistir por tempo superior a dez minutos, a sessão pública será suspensa e reiniciada somente após decorridas vinte e quatro horas da comunicação do fato pelo Pregoeiro aos participantes, quando houver, no sítio eletrônico utilizado para divulgação.</w:t>
      </w:r>
    </w:p>
    <w:p w14:paraId="3B076DA6">
      <w:pPr>
        <w:pStyle w:val="83"/>
        <w:spacing w:before="288" w:beforeLines="120" w:after="288" w:afterLines="120" w:line="288" w:lineRule="auto"/>
        <w:ind w:left="0" w:firstLine="0"/>
        <w:contextualSpacing/>
        <w:rPr>
          <w:rFonts w:ascii="Times New Roman" w:hAnsi="Times New Roman" w:cs="Times New Roman"/>
          <w:sz w:val="24"/>
          <w:szCs w:val="24"/>
        </w:rPr>
      </w:pPr>
    </w:p>
    <w:p w14:paraId="270648E1">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6.17 Caso o licitante não apresente lances, concorrerá com o valor de sua proposta.</w:t>
      </w:r>
    </w:p>
    <w:p w14:paraId="3726B5D5">
      <w:pPr>
        <w:pStyle w:val="83"/>
        <w:spacing w:before="288" w:beforeLines="120" w:after="288" w:afterLines="120" w:line="288" w:lineRule="auto"/>
        <w:ind w:left="0" w:firstLine="0"/>
        <w:contextualSpacing/>
        <w:rPr>
          <w:rFonts w:ascii="Times New Roman" w:hAnsi="Times New Roman" w:cs="Times New Roman"/>
          <w:color w:val="FF0000"/>
          <w:sz w:val="24"/>
          <w:szCs w:val="24"/>
        </w:rPr>
      </w:pPr>
    </w:p>
    <w:p w14:paraId="631A7AE7">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6.18 Em relação a itens não exclusivos para participação de microempresas e empresas de pequeno porte, uma vez encerrada a etapa de lances</w:t>
      </w:r>
      <w:r>
        <w:rPr>
          <w:rFonts w:ascii="Times New Roman" w:hAnsi="Times New Roman" w:eastAsia="Zurich BT" w:cs="Times New Roman"/>
          <w:color w:val="auto"/>
          <w:sz w:val="24"/>
          <w:szCs w:val="24"/>
        </w:rPr>
        <w:t xml:space="preserve">, será efetivada a verificação das microempresas e empresas de pequeno porte participantes, procedendo à comparação com os valores da primeira colocada, se esta for empresa de maior porte, assim como das demais classificadas, para o fim de aplicar-se o disposto nos </w:t>
      </w:r>
      <w:r>
        <w:fldChar w:fldCharType="begin"/>
      </w:r>
      <w:r>
        <w:instrText xml:space="preserve"> HYPERLINK "https://www.planalto.gov.br/ccivil_03/leis/lcp/lcp123.htm" \l "art44" </w:instrText>
      </w:r>
      <w:r>
        <w:fldChar w:fldCharType="separate"/>
      </w:r>
      <w:r>
        <w:rPr>
          <w:rStyle w:val="14"/>
          <w:rFonts w:ascii="Times New Roman" w:hAnsi="Times New Roman" w:eastAsia="Zurich BT" w:cs="Times New Roman"/>
          <w:color w:val="auto"/>
          <w:sz w:val="24"/>
          <w:szCs w:val="24"/>
        </w:rPr>
        <w:t>arts. 44 e 45 da Lei Complementar nº 123/2006</w:t>
      </w:r>
      <w:r>
        <w:rPr>
          <w:rStyle w:val="14"/>
          <w:rFonts w:ascii="Times New Roman" w:hAnsi="Times New Roman" w:eastAsia="Zurich BT" w:cs="Times New Roman"/>
          <w:color w:val="auto"/>
          <w:sz w:val="24"/>
          <w:szCs w:val="24"/>
        </w:rPr>
        <w:fldChar w:fldCharType="end"/>
      </w:r>
      <w:r>
        <w:rPr>
          <w:rFonts w:ascii="Times New Roman" w:hAnsi="Times New Roman" w:eastAsia="Zurich BT" w:cs="Times New Roman"/>
          <w:color w:val="auto"/>
          <w:sz w:val="24"/>
          <w:szCs w:val="24"/>
        </w:rPr>
        <w:t xml:space="preserve">, regulamentada pelo </w:t>
      </w:r>
      <w:r>
        <w:rPr>
          <w:rFonts w:ascii="Times New Roman" w:hAnsi="Times New Roman" w:cs="Times New Roman"/>
          <w:sz w:val="24"/>
          <w:szCs w:val="24"/>
        </w:rPr>
        <w:t>Lei Municipal nº 2367/2007.</w:t>
      </w:r>
    </w:p>
    <w:p w14:paraId="09E9D78C">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32741689">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6.18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123/2006,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2A916215">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4CB24C13">
      <w:pPr>
        <w:pStyle w:val="83"/>
        <w:spacing w:before="288" w:beforeLines="120" w:after="288" w:afterLines="120" w:line="288" w:lineRule="auto"/>
        <w:ind w:left="0" w:right="-2" w:firstLine="0"/>
        <w:contextualSpacing/>
        <w:rPr>
          <w:rFonts w:ascii="Times New Roman" w:hAnsi="Times New Roman" w:cs="Times New Roman"/>
          <w:sz w:val="24"/>
          <w:szCs w:val="24"/>
        </w:rPr>
      </w:pPr>
    </w:p>
    <w:p w14:paraId="6F1D61C5">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6.18.1 Nessas condições, as propostas de </w:t>
      </w:r>
      <w:r>
        <w:rPr>
          <w:rFonts w:ascii="Times New Roman" w:hAnsi="Times New Roman" w:eastAsia="Zurich BT" w:cs="Times New Roman"/>
          <w:sz w:val="24"/>
          <w:szCs w:val="24"/>
        </w:rPr>
        <w:t xml:space="preserve">microempresas e empresas de pequeno porte </w:t>
      </w:r>
      <w:r>
        <w:rPr>
          <w:rFonts w:ascii="Times New Roman" w:hAnsi="Times New Roman" w:cs="Times New Roman"/>
          <w:sz w:val="24"/>
          <w:szCs w:val="24"/>
        </w:rPr>
        <w:t>que se encontrarem na faixa de até 5% (cinco por cento) acima da melhor proposta ou melhor lance serão consideradas empatadas com a primeira colocada.</w:t>
      </w:r>
    </w:p>
    <w:p w14:paraId="553CBFD8">
      <w:pPr>
        <w:pStyle w:val="86"/>
        <w:spacing w:before="288" w:beforeLines="120" w:after="288" w:afterLines="120" w:line="288" w:lineRule="auto"/>
        <w:ind w:left="0" w:firstLine="0"/>
        <w:contextualSpacing/>
        <w:rPr>
          <w:rFonts w:ascii="Times New Roman" w:hAnsi="Times New Roman" w:cs="Times New Roman"/>
          <w:sz w:val="24"/>
          <w:szCs w:val="24"/>
        </w:rPr>
      </w:pPr>
    </w:p>
    <w:p w14:paraId="1698B649">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6.18.2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B95C8CF">
      <w:pPr>
        <w:pStyle w:val="86"/>
        <w:spacing w:before="288" w:beforeLines="120" w:after="288" w:afterLines="120" w:line="288" w:lineRule="auto"/>
        <w:ind w:left="0" w:firstLine="0"/>
        <w:contextualSpacing/>
        <w:rPr>
          <w:rFonts w:ascii="Times New Roman" w:hAnsi="Times New Roman" w:cs="Times New Roman"/>
          <w:sz w:val="24"/>
          <w:szCs w:val="24"/>
        </w:rPr>
      </w:pPr>
    </w:p>
    <w:p w14:paraId="59EBC536">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6.18.3 Caso a </w:t>
      </w:r>
      <w:r>
        <w:rPr>
          <w:rFonts w:ascii="Times New Roman" w:hAnsi="Times New Roman" w:eastAsia="Zurich BT" w:cs="Times New Roman"/>
          <w:sz w:val="24"/>
          <w:szCs w:val="24"/>
        </w:rPr>
        <w:t>microempresa ou a empresa de pequeno porte</w:t>
      </w:r>
      <w:r>
        <w:rPr>
          <w:rFonts w:ascii="Times New Roman" w:hAnsi="Times New Roman" w:cs="Times New Roman"/>
          <w:sz w:val="24"/>
          <w:szCs w:val="24"/>
        </w:rPr>
        <w:t xml:space="preserve"> melhor classificada desista ou não se manifeste no prazo estabelecido, serão convocadas as demais licitantes </w:t>
      </w:r>
      <w:r>
        <w:rPr>
          <w:rFonts w:ascii="Times New Roman" w:hAnsi="Times New Roman" w:eastAsia="Zurich BT" w:cs="Times New Roman"/>
          <w:sz w:val="24"/>
          <w:szCs w:val="24"/>
        </w:rPr>
        <w:t>microempresa e empresa de pequeno porte</w:t>
      </w:r>
      <w:r>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44F99FE7">
      <w:pPr>
        <w:pStyle w:val="8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6.18.4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778415A">
      <w:pPr>
        <w:pStyle w:val="83"/>
        <w:spacing w:before="288" w:beforeLines="120" w:after="288" w:afterLines="120" w:line="288" w:lineRule="auto"/>
        <w:ind w:left="0" w:firstLine="0"/>
        <w:contextualSpacing/>
        <w:rPr>
          <w:rFonts w:ascii="Times New Roman" w:hAnsi="Times New Roman" w:cs="Times New Roman"/>
          <w:sz w:val="24"/>
          <w:szCs w:val="24"/>
        </w:rPr>
      </w:pPr>
    </w:p>
    <w:p w14:paraId="1B6FEAC5">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6.19 Só poderá haver empate entre propostas iguais (não seguidas de lances) ou entre lances finais da fase fechada do modo de disputa aberto e fechado. </w:t>
      </w:r>
    </w:p>
    <w:p w14:paraId="2F8E4F93">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6.19.1 Havendo eventual empate entre propostas ou lances, o critério de desempate será o abaixo previsto, nesta ordem:</w:t>
      </w:r>
    </w:p>
    <w:p w14:paraId="018F833D">
      <w:pPr>
        <w:pStyle w:val="86"/>
        <w:spacing w:before="288" w:beforeLines="120" w:after="288" w:afterLines="120" w:line="288" w:lineRule="auto"/>
        <w:ind w:left="0" w:firstLine="0"/>
        <w:contextualSpacing/>
        <w:jc w:val="left"/>
        <w:rPr>
          <w:rFonts w:ascii="Times New Roman" w:hAnsi="Times New Roman" w:cs="Times New Roman"/>
          <w:color w:val="auto"/>
          <w:sz w:val="24"/>
          <w:szCs w:val="24"/>
        </w:rPr>
      </w:pPr>
      <w:r>
        <w:rPr>
          <w:rFonts w:ascii="Times New Roman" w:hAnsi="Times New Roman" w:cs="Times New Roman"/>
          <w:color w:val="333333"/>
          <w:sz w:val="24"/>
          <w:szCs w:val="24"/>
        </w:rPr>
        <w:br w:type="textWrapping"/>
      </w:r>
      <w:r>
        <w:rPr>
          <w:rFonts w:ascii="Times New Roman" w:hAnsi="Times New Roman" w:cs="Times New Roman"/>
          <w:color w:val="auto"/>
          <w:sz w:val="24"/>
          <w:szCs w:val="24"/>
          <w:shd w:val="clear" w:color="auto" w:fill="F5F5F5"/>
        </w:rPr>
        <w:t>I - contratação de microempresas e empresas de pequeno porte, nos termos dos arts. 44 e 45 da Lei Complementar nº </w:t>
      </w:r>
      <w:r>
        <w:fldChar w:fldCharType="begin"/>
      </w:r>
      <w:r>
        <w:instrText xml:space="preserve"> HYPERLINK "http://www.planalto.gov.br/ccivil_03/leis/lcp/lcp123.htm" </w:instrText>
      </w:r>
      <w:r>
        <w:fldChar w:fldCharType="separate"/>
      </w:r>
      <w:r>
        <w:rPr>
          <w:rStyle w:val="14"/>
          <w:rFonts w:ascii="Times New Roman" w:hAnsi="Times New Roman" w:cs="Times New Roman" w:eastAsiaTheme="minorHAnsi"/>
          <w:color w:val="auto"/>
          <w:sz w:val="24"/>
          <w:szCs w:val="24"/>
          <w:shd w:val="clear" w:color="auto" w:fill="F5F5F5"/>
        </w:rPr>
        <w:t>123</w:t>
      </w:r>
      <w:r>
        <w:rPr>
          <w:rStyle w:val="14"/>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14 de dezembro de 2006, observado o disposto no art. 4º da Lei nº </w:t>
      </w:r>
      <w:r>
        <w:fldChar w:fldCharType="begin"/>
      </w:r>
      <w:r>
        <w:instrText xml:space="preserve"> HYPERLINK "http://www.planalto.gov.br/ccivil_03/_ato2019-2022/2021/lei/L14133.htm" </w:instrText>
      </w:r>
      <w:r>
        <w:fldChar w:fldCharType="separate"/>
      </w:r>
      <w:r>
        <w:rPr>
          <w:rStyle w:val="14"/>
          <w:rFonts w:ascii="Times New Roman" w:hAnsi="Times New Roman" w:cs="Times New Roman" w:eastAsiaTheme="minorHAnsi"/>
          <w:color w:val="auto"/>
          <w:sz w:val="24"/>
          <w:szCs w:val="24"/>
          <w:shd w:val="clear" w:color="auto" w:fill="F5F5F5"/>
        </w:rPr>
        <w:t>14.133</w:t>
      </w:r>
      <w:r>
        <w:rPr>
          <w:rStyle w:val="14"/>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2021;</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 - disputa final, hipótese em que os licitantes empatados poderão apresentar nova proposta em ato contínuo à classificação;</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III - avaliação do desempenho contratual prévio dos licitantes;</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IV - desenvolvimento pelo licitante de ações de equidade entre homens e mulheres no ambiente de trabalho, conforme regulamento; 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V - desenvolvimento pelo licitante de programa de integridade, conforme orientações dos órgãos de controle.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Parágrafo único. Os critérios de desempate previstos nos incisos II, III, IV e V deste artigo serão aplicados nas hipóteses em que não haja envio de lances após o início da fase competitiva.</w:t>
      </w:r>
    </w:p>
    <w:p w14:paraId="79AA5D8D">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6.19.1.1 contratação de microempresas e empresas de pequeno porte, nos termos dos arts. 44 e 45 da Lei Complementar nº 123/2006, observado o disposto no art. 4º da Lei nº 14.133/2021;</w:t>
      </w:r>
    </w:p>
    <w:p w14:paraId="17D3D260">
      <w:pPr>
        <w:pStyle w:val="106"/>
        <w:spacing w:before="288" w:beforeLines="120" w:after="288" w:afterLines="120" w:line="288" w:lineRule="auto"/>
        <w:ind w:left="0"/>
        <w:contextualSpacing/>
        <w:rPr>
          <w:rFonts w:ascii="Times New Roman" w:hAnsi="Times New Roman" w:cs="Times New Roman"/>
          <w:sz w:val="24"/>
          <w:szCs w:val="24"/>
        </w:rPr>
      </w:pPr>
    </w:p>
    <w:p w14:paraId="343A7E53">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6.19.1.2 disputa final, hipótese em que os licitantes empatados poderão apresentar nova proposta em ato contínuo à classificação;</w:t>
      </w:r>
    </w:p>
    <w:p w14:paraId="430CFAA3">
      <w:pPr>
        <w:pStyle w:val="106"/>
        <w:spacing w:before="288" w:beforeLines="120" w:after="288" w:afterLines="120" w:line="288" w:lineRule="auto"/>
        <w:ind w:left="0"/>
        <w:contextualSpacing/>
        <w:rPr>
          <w:rFonts w:ascii="Times New Roman" w:hAnsi="Times New Roman" w:cs="Times New Roman"/>
          <w:sz w:val="24"/>
          <w:szCs w:val="24"/>
        </w:rPr>
      </w:pPr>
    </w:p>
    <w:p w14:paraId="63F819CD">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6.19.1.3 avaliação do desempenho contratual prévio dos licitantes, para a qual deverão preferencialmente ser utilizados registros cadastrais para efeito de atesto de cumprimento de obrigações previstos na Lei;</w:t>
      </w:r>
    </w:p>
    <w:p w14:paraId="4002BE77">
      <w:pPr>
        <w:pStyle w:val="106"/>
        <w:spacing w:before="288" w:beforeLines="120" w:after="288" w:afterLines="120" w:line="288" w:lineRule="auto"/>
        <w:ind w:left="0"/>
        <w:contextualSpacing/>
        <w:rPr>
          <w:rFonts w:ascii="Times New Roman" w:hAnsi="Times New Roman" w:cs="Times New Roman"/>
          <w:sz w:val="24"/>
          <w:szCs w:val="24"/>
        </w:rPr>
      </w:pPr>
    </w:p>
    <w:p w14:paraId="4451B1C6">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6.19.1.4 desenvolvimento pelo licitante de ações de equidade entre homens e mulheres no ambiente de trabalho;</w:t>
      </w:r>
    </w:p>
    <w:p w14:paraId="0D1DCAE8">
      <w:pPr>
        <w:pStyle w:val="106"/>
        <w:spacing w:before="288" w:beforeLines="120" w:after="288" w:afterLines="120" w:line="288" w:lineRule="auto"/>
        <w:ind w:left="0"/>
        <w:contextualSpacing/>
        <w:rPr>
          <w:rFonts w:ascii="Times New Roman" w:hAnsi="Times New Roman" w:cs="Times New Roman"/>
          <w:sz w:val="24"/>
          <w:szCs w:val="24"/>
        </w:rPr>
      </w:pPr>
    </w:p>
    <w:p w14:paraId="4AFDCED1">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6.19.1.5 desenvolvimento pelo licitante de programa de integridade, conforme orientações dos órgãos de controle.</w:t>
      </w:r>
    </w:p>
    <w:p w14:paraId="05F40C09">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6.19.2 Persistindo o empate, será assegurada preferência, sucessivamente, aos bens e serviços produzidos ou prestados por:</w:t>
      </w:r>
    </w:p>
    <w:p w14:paraId="7E7E5C27">
      <w:pPr>
        <w:pStyle w:val="106"/>
        <w:spacing w:before="288" w:beforeLines="120" w:after="288" w:afterLines="120" w:line="288" w:lineRule="auto"/>
        <w:ind w:left="0"/>
        <w:contextualSpacing/>
        <w:rPr>
          <w:rFonts w:ascii="Times New Roman" w:hAnsi="Times New Roman" w:cs="Times New Roman"/>
          <w:sz w:val="24"/>
          <w:szCs w:val="24"/>
        </w:rPr>
      </w:pPr>
      <w:bookmarkStart w:id="25" w:name="art60§1i"/>
      <w:bookmarkEnd w:id="25"/>
      <w:r>
        <w:rPr>
          <w:rFonts w:ascii="Times New Roman" w:hAnsi="Times New Roman" w:cs="Times New Roman"/>
          <w:sz w:val="24"/>
          <w:szCs w:val="24"/>
        </w:rPr>
        <w:t>6.19.2.1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0A24EC9">
      <w:pPr>
        <w:pStyle w:val="106"/>
        <w:spacing w:before="288" w:beforeLines="120" w:after="288" w:afterLines="120" w:line="288" w:lineRule="auto"/>
        <w:ind w:left="0"/>
        <w:contextualSpacing/>
        <w:rPr>
          <w:rFonts w:ascii="Times New Roman" w:hAnsi="Times New Roman" w:cs="Times New Roman"/>
          <w:sz w:val="24"/>
          <w:szCs w:val="24"/>
        </w:rPr>
      </w:pPr>
      <w:bookmarkStart w:id="26" w:name="art60§1ii"/>
      <w:bookmarkEnd w:id="26"/>
    </w:p>
    <w:p w14:paraId="7DB5505B">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6.19.2.2 empresas brasileiras;</w:t>
      </w:r>
    </w:p>
    <w:p w14:paraId="2FD89D02">
      <w:pPr>
        <w:pStyle w:val="106"/>
        <w:spacing w:before="288" w:beforeLines="120" w:after="288" w:afterLines="120" w:line="288" w:lineRule="auto"/>
        <w:ind w:left="0"/>
        <w:contextualSpacing/>
        <w:rPr>
          <w:rFonts w:ascii="Times New Roman" w:hAnsi="Times New Roman" w:cs="Times New Roman"/>
          <w:sz w:val="24"/>
          <w:szCs w:val="24"/>
        </w:rPr>
      </w:pPr>
      <w:bookmarkStart w:id="27" w:name="art60§1iii"/>
      <w:bookmarkEnd w:id="27"/>
    </w:p>
    <w:p w14:paraId="240C2993">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6.19.2.3 empresas que invistam em pesquisa e no desenvolvimento de tecnologia no País;</w:t>
      </w:r>
    </w:p>
    <w:p w14:paraId="01A3A9B3">
      <w:pPr>
        <w:pStyle w:val="106"/>
        <w:spacing w:before="288" w:beforeLines="120" w:after="288" w:afterLines="120" w:line="288" w:lineRule="auto"/>
        <w:ind w:left="0"/>
        <w:contextualSpacing/>
        <w:rPr>
          <w:rFonts w:ascii="Times New Roman" w:hAnsi="Times New Roman" w:cs="Times New Roman"/>
          <w:sz w:val="24"/>
          <w:szCs w:val="24"/>
        </w:rPr>
      </w:pPr>
      <w:bookmarkStart w:id="28" w:name="art60§1iv"/>
      <w:bookmarkEnd w:id="28"/>
    </w:p>
    <w:p w14:paraId="7EB1DB77">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6.19.2.4 empresas que comprovem a prática de mitigação, nos termos da </w:t>
      </w:r>
      <w:r>
        <w:fldChar w:fldCharType="begin"/>
      </w:r>
      <w:r>
        <w:instrText xml:space="preserve"> HYPERLINK "https://www.planalto.gov.br/ccivil_03/_ato2007-2010/2009/lei/l12187.htm" \l ":~:text=LEI%20N%C2%BA%2012.187%2C%20DE%2029%20DE%20DEZEMBRO%20DE%202009.&amp;text=Institui%20a%20Pol%C3%ADtica%20Nacional%20sobre,PNMC%20e%20d%C3%A1%20outras%20provid%C3%AAncias." </w:instrText>
      </w:r>
      <w:r>
        <w:fldChar w:fldCharType="separate"/>
      </w:r>
      <w:r>
        <w:rPr>
          <w:rStyle w:val="14"/>
          <w:rFonts w:ascii="Times New Roman" w:hAnsi="Times New Roman" w:cs="Times New Roman"/>
          <w:sz w:val="24"/>
          <w:szCs w:val="24"/>
        </w:rPr>
        <w:t>Lei nº 12.187, de 29 de dezembro de 2009</w:t>
      </w:r>
      <w:r>
        <w:rPr>
          <w:rStyle w:val="14"/>
          <w:rFonts w:ascii="Times New Roman" w:hAnsi="Times New Roman" w:cs="Times New Roman"/>
          <w:sz w:val="24"/>
          <w:szCs w:val="24"/>
        </w:rPr>
        <w:fldChar w:fldCharType="end"/>
      </w:r>
      <w:r>
        <w:rPr>
          <w:rFonts w:ascii="Times New Roman" w:hAnsi="Times New Roman" w:cs="Times New Roman"/>
          <w:sz w:val="24"/>
          <w:szCs w:val="24"/>
        </w:rPr>
        <w:t>.</w:t>
      </w:r>
    </w:p>
    <w:p w14:paraId="083D6137">
      <w:pPr>
        <w:pStyle w:val="81"/>
        <w:spacing w:before="0" w:beforeAutospacing="0" w:after="0" w:afterAutospacing="0" w:line="288" w:lineRule="auto"/>
        <w:contextualSpacing/>
        <w:jc w:val="both"/>
        <w:rPr>
          <w:rFonts w:eastAsia="Calibri"/>
          <w:b/>
          <w:bCs/>
          <w:lang w:eastAsia="en-US"/>
        </w:rPr>
      </w:pPr>
      <w:r>
        <w:rPr>
          <w:rFonts w:eastAsia="Calibri"/>
          <w:b/>
          <w:bCs/>
          <w:lang w:eastAsia="en-US"/>
        </w:rPr>
        <w:t>7. DA FASE DE JULGAMENTO</w:t>
      </w:r>
    </w:p>
    <w:p w14:paraId="35C73919">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 Encerrada a etapa de envio de lances da sessão pública, na hipótese de a proposta do primeiro colocado permanecer acima do preço máximo ou inferior ao desconto definido para a contratação, o Pregoeiro negociará condições mais vantajosas, após definido o resultado do julgamento.</w:t>
      </w:r>
    </w:p>
    <w:p w14:paraId="36E63DD0">
      <w:pPr>
        <w:pStyle w:val="83"/>
        <w:spacing w:before="288" w:beforeLines="120" w:after="288" w:afterLines="120" w:line="288" w:lineRule="auto"/>
        <w:ind w:left="0" w:firstLine="0"/>
        <w:contextualSpacing/>
        <w:rPr>
          <w:rFonts w:ascii="Times New Roman" w:hAnsi="Times New Roman" w:cs="Times New Roman"/>
          <w:sz w:val="24"/>
          <w:szCs w:val="24"/>
        </w:rPr>
      </w:pPr>
    </w:p>
    <w:p w14:paraId="39DE2436">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A negociação ocorrerá sempre que a proposta do primeiro colocado permanecer acima do preço máximo ou do orçamento estimado para a contratação, ou inferior ao desconto definido para a contratação, e poderá ser dispensada, nos demais casos, mediante justificativa da provável inefetividade da negociação.</w:t>
      </w:r>
    </w:p>
    <w:p w14:paraId="1A2008AE">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7.1.2 A negociação será realizada por meio do sistema, podendo ser acompanhada pelos demais licitantes.</w:t>
      </w:r>
    </w:p>
    <w:p w14:paraId="59F9C59D">
      <w:pPr>
        <w:pStyle w:val="86"/>
        <w:spacing w:before="288" w:beforeLines="120" w:after="288" w:afterLines="120" w:line="288" w:lineRule="auto"/>
        <w:ind w:left="0" w:firstLine="0"/>
        <w:contextualSpacing/>
        <w:rPr>
          <w:rFonts w:ascii="Times New Roman" w:hAnsi="Times New Roman" w:cs="Times New Roman"/>
          <w:sz w:val="24"/>
          <w:szCs w:val="24"/>
        </w:rPr>
      </w:pPr>
    </w:p>
    <w:p w14:paraId="5E1F0009">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7.1.3 O resultado da negociação será divulgado a todos os licitantes e anexado aos autos do processo licitatório.</w:t>
      </w:r>
    </w:p>
    <w:p w14:paraId="6651379A">
      <w:pPr>
        <w:pStyle w:val="86"/>
        <w:spacing w:before="288" w:beforeLines="120" w:after="288" w:afterLines="120" w:line="288" w:lineRule="auto"/>
        <w:ind w:left="0" w:firstLine="0"/>
        <w:contextualSpacing/>
        <w:rPr>
          <w:rFonts w:ascii="Times New Roman" w:hAnsi="Times New Roman" w:cs="Times New Roman"/>
          <w:sz w:val="24"/>
          <w:szCs w:val="24"/>
        </w:rPr>
      </w:pPr>
    </w:p>
    <w:p w14:paraId="54CF0315">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7.1.4 O Pregoeiro solicitará ao licitante mais bem classificado que, no </w:t>
      </w:r>
      <w:bookmarkStart w:id="29" w:name="_Hlk178773510"/>
      <w:r>
        <w:rPr>
          <w:rFonts w:ascii="Times New Roman" w:hAnsi="Times New Roman" w:cs="Times New Roman"/>
          <w:color w:val="auto"/>
          <w:sz w:val="24"/>
          <w:szCs w:val="24"/>
        </w:rPr>
        <w:t xml:space="preserve">prazo mínimo </w:t>
      </w:r>
      <w:r>
        <w:rPr>
          <w:rFonts w:ascii="Times New Roman" w:hAnsi="Times New Roman" w:cs="Times New Roman"/>
          <w:color w:val="000000" w:themeColor="text1"/>
          <w:sz w:val="24"/>
          <w:szCs w:val="24"/>
          <w14:textFill>
            <w14:solidFill>
              <w14:schemeClr w14:val="tx1"/>
            </w14:solidFill>
          </w14:textFill>
        </w:rPr>
        <w:t>de 2 (duas) horas</w:t>
      </w:r>
      <w:bookmarkEnd w:id="29"/>
      <w:r>
        <w:rPr>
          <w:rFonts w:ascii="Times New Roman" w:hAnsi="Times New Roman" w:cs="Times New Roman"/>
          <w:color w:val="000000" w:themeColor="text1"/>
          <w:sz w:val="24"/>
          <w:szCs w:val="24"/>
          <w14:textFill>
            <w14:solidFill>
              <w14:schemeClr w14:val="tx1"/>
            </w14:solidFill>
          </w14:textFill>
        </w:rPr>
        <w:t xml:space="preserve">, envie </w:t>
      </w:r>
      <w:r>
        <w:rPr>
          <w:rFonts w:ascii="Times New Roman" w:hAnsi="Times New Roman" w:cs="Times New Roman"/>
          <w:sz w:val="24"/>
          <w:szCs w:val="24"/>
        </w:rPr>
        <w:t>a proposta adequada ao último lance ofertado após a negociação realizada, acompanhada, se for o caso, dos documentos complementares, quando necessários à confirmação daqueles exigidos neste Edital e já apresentados.</w:t>
      </w:r>
    </w:p>
    <w:p w14:paraId="14037819">
      <w:pPr>
        <w:pStyle w:val="86"/>
        <w:spacing w:before="288" w:beforeLines="120" w:after="288" w:afterLines="120" w:line="288" w:lineRule="auto"/>
        <w:ind w:left="0" w:firstLine="0"/>
        <w:contextualSpacing/>
        <w:rPr>
          <w:rFonts w:ascii="Times New Roman" w:hAnsi="Times New Roman" w:cs="Times New Roman"/>
          <w:sz w:val="24"/>
          <w:szCs w:val="24"/>
        </w:rPr>
      </w:pPr>
    </w:p>
    <w:p w14:paraId="7361C6B2">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7.1.5 É facultado ao Pregoeiro prorrogar o prazo estabelecido, por igual período, de ofício ou a partir de solicitação fundamentada feita no chat pelo licitante, antes de findo o prazo.</w:t>
      </w:r>
    </w:p>
    <w:p w14:paraId="09108464">
      <w:pPr>
        <w:pStyle w:val="8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7.2 Encerrada a negociação, o Pregoeiro examinará a proposta classificada em primeiro lugar quanto à adequação ao objeto e à compatibilidade do preço em relação ao máximo estipulado para contratação neste Edital e em seus anexos.</w:t>
      </w:r>
    </w:p>
    <w:p w14:paraId="59B3AF31">
      <w:pPr>
        <w:pStyle w:val="83"/>
        <w:spacing w:before="288" w:beforeLines="120" w:after="288" w:afterLines="120" w:line="288" w:lineRule="auto"/>
        <w:ind w:left="0" w:firstLine="0"/>
        <w:contextualSpacing/>
        <w:rPr>
          <w:rFonts w:ascii="Times New Roman" w:hAnsi="Times New Roman" w:cs="Times New Roman"/>
          <w:sz w:val="24"/>
          <w:szCs w:val="24"/>
        </w:rPr>
      </w:pPr>
    </w:p>
    <w:p w14:paraId="5D54D3D9">
      <w:pPr>
        <w:pStyle w:val="8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 xml:space="preserve">7.3 Será desclassificada a proposta vencedora que: </w:t>
      </w:r>
    </w:p>
    <w:p w14:paraId="1A501F00">
      <w:pPr>
        <w:pStyle w:val="86"/>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7.3.1 contiver vícios insanáveis;</w:t>
      </w:r>
    </w:p>
    <w:p w14:paraId="0EC1FD73">
      <w:pPr>
        <w:pStyle w:val="86"/>
        <w:spacing w:before="288" w:beforeLines="120" w:after="288" w:afterLines="120" w:line="288" w:lineRule="auto"/>
        <w:ind w:left="0" w:firstLine="0"/>
        <w:contextualSpacing/>
        <w:rPr>
          <w:rFonts w:ascii="Times New Roman" w:hAnsi="Times New Roman" w:cs="Times New Roman"/>
          <w:sz w:val="24"/>
          <w:szCs w:val="24"/>
        </w:rPr>
      </w:pPr>
    </w:p>
    <w:p w14:paraId="4324CBF7">
      <w:pPr>
        <w:pStyle w:val="86"/>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7.3.2 não obedecer às especificações técnicas contidas no Termo de Referência;</w:t>
      </w:r>
    </w:p>
    <w:p w14:paraId="75B19C7E">
      <w:pPr>
        <w:pStyle w:val="86"/>
        <w:spacing w:before="288" w:beforeLines="120" w:after="288" w:afterLines="120" w:line="288" w:lineRule="auto"/>
        <w:ind w:left="0" w:firstLine="0"/>
        <w:contextualSpacing/>
        <w:rPr>
          <w:rFonts w:ascii="Times New Roman" w:hAnsi="Times New Roman" w:cs="Times New Roman"/>
          <w:sz w:val="24"/>
          <w:szCs w:val="24"/>
        </w:rPr>
      </w:pPr>
    </w:p>
    <w:p w14:paraId="39CD7ED7">
      <w:pPr>
        <w:pStyle w:val="86"/>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7.3.3 apresentar preços inexequíveis ou permanecerem acima do preço máximo definido para a contratação;</w:t>
      </w:r>
    </w:p>
    <w:p w14:paraId="1B87DBB2">
      <w:pPr>
        <w:pStyle w:val="86"/>
        <w:spacing w:before="288" w:beforeLines="120" w:after="288" w:afterLines="120" w:line="288" w:lineRule="auto"/>
        <w:ind w:left="0" w:firstLine="0"/>
        <w:contextualSpacing/>
        <w:rPr>
          <w:rFonts w:ascii="Times New Roman" w:hAnsi="Times New Roman" w:cs="Times New Roman"/>
          <w:sz w:val="24"/>
          <w:szCs w:val="24"/>
        </w:rPr>
      </w:pPr>
    </w:p>
    <w:p w14:paraId="4603EA1F">
      <w:pPr>
        <w:pStyle w:val="86"/>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7.3.4 não tiverem sua exequibilidade demonstrada, quando exigido pela Administração;</w:t>
      </w:r>
    </w:p>
    <w:p w14:paraId="1F39726B">
      <w:pPr>
        <w:pStyle w:val="86"/>
        <w:spacing w:before="288" w:beforeLines="120" w:after="288" w:afterLines="120" w:line="288" w:lineRule="auto"/>
        <w:ind w:left="0" w:firstLine="0"/>
        <w:contextualSpacing/>
        <w:rPr>
          <w:rFonts w:ascii="Times New Roman" w:hAnsi="Times New Roman" w:cs="Times New Roman"/>
          <w:sz w:val="24"/>
          <w:szCs w:val="24"/>
        </w:rPr>
      </w:pPr>
    </w:p>
    <w:p w14:paraId="79E72D76">
      <w:pPr>
        <w:pStyle w:val="86"/>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7.3.5 apresentar desconformidade com quaisquer outras exigências deste Edital ou seus anexos, desde que insanável.</w:t>
      </w:r>
    </w:p>
    <w:p w14:paraId="34C809B8">
      <w:pPr>
        <w:pStyle w:val="83"/>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7.4 A desclassificação será sempre fundamentada e registrada no sistema, com acompanhamento por todos os participantes.</w:t>
      </w:r>
    </w:p>
    <w:p w14:paraId="7929A970">
      <w:pPr>
        <w:pStyle w:val="83"/>
        <w:spacing w:before="288" w:beforeLines="120" w:after="288" w:afterLines="120" w:line="288" w:lineRule="auto"/>
        <w:ind w:left="0" w:firstLine="0"/>
        <w:contextualSpacing/>
        <w:rPr>
          <w:rFonts w:ascii="Times New Roman" w:hAnsi="Times New Roman" w:cs="Times New Roman"/>
          <w:sz w:val="24"/>
          <w:szCs w:val="24"/>
        </w:rPr>
      </w:pPr>
    </w:p>
    <w:p w14:paraId="4E562679">
      <w:pPr>
        <w:pStyle w:val="83"/>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 xml:space="preserve">7.5 É indício de inexequibilidade das propostas valores inferiores a 50% (cinquenta por cento) do valor orçado pela Administração, conforme art. 59 da Lei 14.133/2021 e Instrução Normativa/ME 73/2022. </w:t>
      </w:r>
    </w:p>
    <w:p w14:paraId="5A0EC24D">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A inexequibilidade, na hipótese de que trata o </w:t>
      </w:r>
      <w:r>
        <w:rPr>
          <w:rFonts w:ascii="Times New Roman" w:hAnsi="Times New Roman" w:cs="Times New Roman"/>
          <w:i/>
          <w:iCs/>
          <w:sz w:val="24"/>
          <w:szCs w:val="24"/>
        </w:rPr>
        <w:t>caput</w:t>
      </w:r>
      <w:r>
        <w:rPr>
          <w:rFonts w:ascii="Times New Roman" w:hAnsi="Times New Roman" w:cs="Times New Roman"/>
          <w:sz w:val="24"/>
          <w:szCs w:val="24"/>
        </w:rPr>
        <w:t>, só será considerada após diligência do Pregoeiro, que comprove:</w:t>
      </w:r>
    </w:p>
    <w:p w14:paraId="0340F5B8">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7.5.1.1 que o custo do licitante ultrapassa o valor da proposta; e</w:t>
      </w:r>
    </w:p>
    <w:p w14:paraId="6E1F3CFA">
      <w:pPr>
        <w:pStyle w:val="106"/>
        <w:spacing w:before="288" w:beforeLines="120" w:after="288" w:afterLines="120" w:line="288" w:lineRule="auto"/>
        <w:ind w:left="0"/>
        <w:contextualSpacing/>
        <w:rPr>
          <w:rFonts w:ascii="Times New Roman" w:hAnsi="Times New Roman" w:cs="Times New Roman"/>
          <w:sz w:val="24"/>
          <w:szCs w:val="24"/>
        </w:rPr>
      </w:pPr>
    </w:p>
    <w:p w14:paraId="3F733850">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7.5.1.2 inexistirem custos de oportunidade capazes de justificar o vulto da oferta.</w:t>
      </w:r>
    </w:p>
    <w:p w14:paraId="4244186C">
      <w:pPr>
        <w:pStyle w:val="8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7.6 Se houver indícios de inexequibilidade da proposta de preço, ou em caso da necessidade de esclarecimentos complementares, poderão ser efetuadas diligências, para que a empresa comprove a exequibilidade da proposta.</w:t>
      </w:r>
    </w:p>
    <w:p w14:paraId="4969CC63">
      <w:pPr>
        <w:pStyle w:val="83"/>
        <w:spacing w:before="288" w:beforeLines="120" w:after="288" w:afterLines="120" w:line="288" w:lineRule="auto"/>
        <w:ind w:left="0" w:firstLine="0"/>
        <w:contextualSpacing/>
        <w:rPr>
          <w:rFonts w:ascii="Times New Roman" w:hAnsi="Times New Roman" w:cs="Times New Roman"/>
          <w:sz w:val="24"/>
          <w:szCs w:val="24"/>
        </w:rPr>
      </w:pPr>
    </w:p>
    <w:p w14:paraId="7AD2D40B">
      <w:pPr>
        <w:pStyle w:val="8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7.7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51DA149">
      <w:pPr>
        <w:pStyle w:val="83"/>
        <w:spacing w:before="288" w:beforeLines="120" w:after="288" w:afterLines="120" w:line="288" w:lineRule="auto"/>
        <w:ind w:left="0" w:firstLine="0"/>
        <w:contextualSpacing/>
        <w:rPr>
          <w:rFonts w:ascii="Times New Roman" w:hAnsi="Times New Roman" w:cs="Times New Roman"/>
          <w:sz w:val="24"/>
          <w:szCs w:val="24"/>
        </w:rPr>
      </w:pPr>
    </w:p>
    <w:p w14:paraId="5CC12796">
      <w:pPr>
        <w:pStyle w:val="8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9189CED">
      <w:pPr>
        <w:pStyle w:val="86"/>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7.8.1 O ajuste de que trata este dispositivo se limita a sanar erros ou falhas que não alterem a substância das propostas.</w:t>
      </w:r>
    </w:p>
    <w:p w14:paraId="40491E78">
      <w:pPr>
        <w:pStyle w:val="86"/>
        <w:spacing w:before="288" w:beforeLines="120" w:after="288" w:afterLines="120" w:line="288" w:lineRule="auto"/>
        <w:ind w:left="0" w:firstLine="0"/>
        <w:contextualSpacing/>
        <w:rPr>
          <w:rFonts w:ascii="Times New Roman" w:hAnsi="Times New Roman" w:cs="Times New Roman"/>
          <w:sz w:val="24"/>
          <w:szCs w:val="24"/>
        </w:rPr>
      </w:pPr>
    </w:p>
    <w:p w14:paraId="5022AA80">
      <w:pPr>
        <w:pStyle w:val="86"/>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7.8.2 Considera-se erro no preenchimento da planilha passível de correção a indicação de recolhimento de impostos e contribuições na forma do Simples Nacional, quando não cabível esse regime.</w:t>
      </w:r>
    </w:p>
    <w:p w14:paraId="5CF3C039">
      <w:pPr>
        <w:pStyle w:val="83"/>
        <w:spacing w:before="288" w:beforeLines="120" w:after="288" w:afterLines="120" w:line="288" w:lineRule="auto"/>
        <w:ind w:left="0" w:firstLine="0"/>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 xml:space="preserve">7.9 Para fins de análise da proposta quanto ao cumprimento </w:t>
      </w:r>
      <w:r>
        <w:rPr>
          <w:rFonts w:ascii="Times New Roman" w:hAnsi="Times New Roman" w:cs="Times New Roman"/>
          <w:sz w:val="24"/>
          <w:szCs w:val="24"/>
        </w:rPr>
        <w:t>das</w:t>
      </w:r>
      <w:r>
        <w:rPr>
          <w:rFonts w:ascii="Times New Roman" w:hAnsi="Times New Roman" w:cs="Times New Roman"/>
          <w:sz w:val="24"/>
          <w:szCs w:val="24"/>
          <w:lang w:eastAsia="en-US"/>
        </w:rPr>
        <w:t xml:space="preserve"> especificações do objeto, poderá ser colhida a </w:t>
      </w:r>
      <w:r>
        <w:rPr>
          <w:rFonts w:ascii="Times New Roman" w:hAnsi="Times New Roman" w:cs="Times New Roman"/>
          <w:sz w:val="24"/>
          <w:szCs w:val="24"/>
        </w:rPr>
        <w:t>manifestação</w:t>
      </w:r>
      <w:r>
        <w:rPr>
          <w:rFonts w:ascii="Times New Roman" w:hAnsi="Times New Roman" w:cs="Times New Roman"/>
          <w:sz w:val="24"/>
          <w:szCs w:val="24"/>
          <w:lang w:eastAsia="en-US"/>
        </w:rPr>
        <w:t xml:space="preserve"> escrita do setor requisitante da área especializada no objeto.</w:t>
      </w:r>
    </w:p>
    <w:p w14:paraId="2DCA427F">
      <w:pPr>
        <w:pStyle w:val="83"/>
        <w:spacing w:before="288" w:beforeLines="120" w:after="288" w:afterLines="120" w:line="288" w:lineRule="auto"/>
        <w:ind w:left="0" w:firstLine="0"/>
        <w:contextualSpacing/>
        <w:rPr>
          <w:rFonts w:ascii="Times New Roman" w:hAnsi="Times New Roman" w:cs="Times New Roman"/>
          <w:sz w:val="24"/>
          <w:szCs w:val="24"/>
        </w:rPr>
      </w:pPr>
    </w:p>
    <w:p w14:paraId="68F5AD33">
      <w:pPr>
        <w:pStyle w:val="83"/>
        <w:spacing w:before="288" w:beforeLines="120" w:after="288" w:afterLines="120" w:line="288" w:lineRule="auto"/>
        <w:ind w:left="0" w:firstLine="0"/>
        <w:contextualSpacing/>
        <w:rPr>
          <w:rFonts w:ascii="Times New Roman" w:hAnsi="Times New Roman" w:cs="Times New Roman"/>
          <w:b/>
          <w:bCs/>
          <w:sz w:val="24"/>
          <w:szCs w:val="24"/>
          <w:lang w:eastAsia="ar-SA"/>
        </w:rPr>
      </w:pPr>
      <w:r>
        <w:rPr>
          <w:rFonts w:ascii="Times New Roman" w:hAnsi="Times New Roman" w:cs="Times New Roman"/>
          <w:sz w:val="24"/>
          <w:szCs w:val="24"/>
        </w:rPr>
        <w:t xml:space="preserve">7.10 O Pregoeiro verificará se o licitante provisoriamente classificado em primeiro lugar atende às condições de participação no certame, conforme previsto no </w:t>
      </w:r>
      <w:r>
        <w:fldChar w:fldCharType="begin"/>
      </w:r>
      <w:r>
        <w:instrText xml:space="preserve"> HYPERLINK "http://www.planalto.gov.br/ccivil_03/_ato2019-2022/2021/lei/L14133.htm" \l "art14" </w:instrText>
      </w:r>
      <w:r>
        <w:fldChar w:fldCharType="separate"/>
      </w:r>
      <w:r>
        <w:rPr>
          <w:rStyle w:val="14"/>
          <w:rFonts w:ascii="Times New Roman" w:hAnsi="Times New Roman" w:cs="Times New Roman" w:eastAsiaTheme="minorHAnsi"/>
          <w:color w:val="auto"/>
          <w:sz w:val="24"/>
          <w:szCs w:val="24"/>
        </w:rPr>
        <w:t>art. 14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legislação correlata e no item 3.9 do Edital, </w:t>
      </w:r>
      <w:r>
        <w:rPr>
          <w:rFonts w:ascii="Times New Roman" w:hAnsi="Times New Roman" w:cs="Times New Roman"/>
          <w:color w:val="auto"/>
          <w:sz w:val="24"/>
          <w:szCs w:val="24"/>
          <w:lang w:eastAsia="ar-SA"/>
        </w:rPr>
        <w:t>especialmente quanto à existência de sanção que impeça a participação no certame ou a futura contratação,</w:t>
      </w:r>
      <w:r>
        <w:rPr>
          <w:rFonts w:ascii="Times New Roman" w:hAnsi="Times New Roman" w:cs="Times New Roman"/>
          <w:sz w:val="24"/>
          <w:szCs w:val="24"/>
          <w:lang w:eastAsia="ar-SA"/>
        </w:rPr>
        <w:t xml:space="preserve"> mediante a consulta aos seguintes cadastros:</w:t>
      </w:r>
    </w:p>
    <w:p w14:paraId="34026E4C">
      <w:pPr>
        <w:pStyle w:val="34"/>
        <w:spacing w:before="288" w:beforeLines="120" w:after="288" w:afterLines="120" w:line="288" w:lineRule="auto"/>
        <w:ind w:left="0"/>
        <w:jc w:val="both"/>
        <w:rPr>
          <w:sz w:val="24"/>
          <w:szCs w:val="24"/>
          <w:lang w:eastAsia="ar-SA"/>
        </w:rPr>
      </w:pPr>
      <w:r>
        <w:rPr>
          <w:sz w:val="24"/>
          <w:szCs w:val="24"/>
          <w:lang w:eastAsia="ar-SA"/>
        </w:rPr>
        <w:t xml:space="preserve">a) SICAF;  </w:t>
      </w:r>
    </w:p>
    <w:p w14:paraId="5C4E1B3F">
      <w:pPr>
        <w:pStyle w:val="34"/>
        <w:spacing w:before="288" w:beforeLines="120" w:after="288" w:afterLines="120" w:line="288" w:lineRule="auto"/>
        <w:ind w:left="0"/>
        <w:jc w:val="both"/>
        <w:rPr>
          <w:sz w:val="24"/>
          <w:szCs w:val="24"/>
          <w:lang w:eastAsia="ar-SA"/>
        </w:rPr>
      </w:pPr>
    </w:p>
    <w:p w14:paraId="3B781E39">
      <w:pPr>
        <w:pStyle w:val="34"/>
        <w:spacing w:before="288" w:beforeLines="120" w:after="288" w:afterLines="120" w:line="288" w:lineRule="auto"/>
        <w:ind w:left="0"/>
        <w:jc w:val="both"/>
        <w:rPr>
          <w:sz w:val="24"/>
          <w:szCs w:val="24"/>
          <w:lang w:eastAsia="ar-SA"/>
        </w:rPr>
      </w:pPr>
      <w:r>
        <w:rPr>
          <w:sz w:val="24"/>
          <w:szCs w:val="24"/>
          <w:lang w:eastAsia="ar-SA"/>
        </w:rPr>
        <w:t>b) Cadastro Nacional de Empresas Inidôneas e Suspensas - CEIS, mantido pela Controladoria-Geral da União (</w:t>
      </w:r>
      <w:r>
        <w:fldChar w:fldCharType="begin"/>
      </w:r>
      <w:r>
        <w:instrText xml:space="preserve"> HYPERLINK "https://www.portaltransparencia.gov.br/sancoes/ceis" </w:instrText>
      </w:r>
      <w:r>
        <w:fldChar w:fldCharType="separate"/>
      </w:r>
      <w:r>
        <w:rPr>
          <w:rStyle w:val="14"/>
          <w:rFonts w:eastAsiaTheme="minorHAnsi"/>
          <w:sz w:val="24"/>
          <w:szCs w:val="24"/>
          <w:lang w:eastAsia="ar-SA"/>
        </w:rPr>
        <w:t>https://www.portaltransparencia.gov.br/sancoes/ceis</w:t>
      </w:r>
      <w:r>
        <w:rPr>
          <w:rStyle w:val="14"/>
          <w:rFonts w:eastAsiaTheme="minorHAnsi"/>
          <w:sz w:val="24"/>
          <w:szCs w:val="24"/>
          <w:lang w:eastAsia="ar-SA"/>
        </w:rPr>
        <w:fldChar w:fldCharType="end"/>
      </w:r>
      <w:r>
        <w:rPr>
          <w:sz w:val="24"/>
          <w:szCs w:val="24"/>
          <w:lang w:eastAsia="ar-SA"/>
        </w:rPr>
        <w:t xml:space="preserve">); </w:t>
      </w:r>
    </w:p>
    <w:p w14:paraId="0A2C3E7C">
      <w:pPr>
        <w:pStyle w:val="34"/>
        <w:spacing w:before="288" w:beforeLines="120" w:after="288" w:afterLines="120" w:line="288" w:lineRule="auto"/>
        <w:ind w:left="0"/>
        <w:jc w:val="both"/>
        <w:rPr>
          <w:sz w:val="24"/>
          <w:szCs w:val="24"/>
          <w:lang w:eastAsia="ar-SA"/>
        </w:rPr>
      </w:pPr>
    </w:p>
    <w:p w14:paraId="5E65E35A">
      <w:pPr>
        <w:pStyle w:val="34"/>
        <w:spacing w:before="288" w:beforeLines="120" w:after="288" w:afterLines="120" w:line="288" w:lineRule="auto"/>
        <w:ind w:left="0"/>
        <w:jc w:val="both"/>
        <w:rPr>
          <w:sz w:val="24"/>
          <w:szCs w:val="24"/>
          <w:lang w:eastAsia="ar-SA"/>
        </w:rPr>
      </w:pPr>
      <w:r>
        <w:rPr>
          <w:sz w:val="24"/>
          <w:szCs w:val="24"/>
          <w:lang w:eastAsia="ar-SA"/>
        </w:rPr>
        <w:t>c) Cadastro Nacional de Condenações Cíveis por Atos de Improbidade Administrativa, mantido pelo Conselho Nacional de Justiça (www.cnj.jus.br/improbidade_adm/consultar_requerido.php);</w:t>
      </w:r>
    </w:p>
    <w:p w14:paraId="05CFD867">
      <w:pPr>
        <w:pStyle w:val="34"/>
        <w:spacing w:before="288" w:beforeLines="120" w:after="288" w:afterLines="120" w:line="288" w:lineRule="auto"/>
        <w:ind w:left="0"/>
        <w:jc w:val="both"/>
        <w:rPr>
          <w:sz w:val="24"/>
          <w:szCs w:val="24"/>
          <w:lang w:eastAsia="ar-SA"/>
        </w:rPr>
      </w:pPr>
    </w:p>
    <w:p w14:paraId="11AD9FB1">
      <w:pPr>
        <w:pStyle w:val="34"/>
        <w:spacing w:before="288" w:beforeLines="120" w:after="288" w:afterLines="120" w:line="288" w:lineRule="auto"/>
        <w:ind w:left="0"/>
        <w:jc w:val="both"/>
        <w:rPr>
          <w:sz w:val="24"/>
          <w:szCs w:val="24"/>
          <w:lang w:eastAsia="ar-SA"/>
        </w:rPr>
      </w:pPr>
      <w:r>
        <w:rPr>
          <w:sz w:val="24"/>
          <w:szCs w:val="24"/>
          <w:lang w:eastAsia="ar-SA"/>
        </w:rPr>
        <w:t>d) Cadastro Nacional de Empresas Punidas – CNEP, mantido pela Controladoria-Geral da União (</w:t>
      </w:r>
      <w:r>
        <w:fldChar w:fldCharType="begin"/>
      </w:r>
      <w:r>
        <w:instrText xml:space="preserve"> HYPERLINK "https://www.portaltransparencia.gov.br/sancoes/cnep" </w:instrText>
      </w:r>
      <w:r>
        <w:fldChar w:fldCharType="separate"/>
      </w:r>
      <w:r>
        <w:rPr>
          <w:rStyle w:val="14"/>
          <w:rFonts w:eastAsiaTheme="minorHAnsi"/>
          <w:sz w:val="24"/>
          <w:szCs w:val="24"/>
          <w:lang w:eastAsia="ar-SA"/>
        </w:rPr>
        <w:t>https://www.portaltransparencia.gov.br/sancoes/cnep</w:t>
      </w:r>
      <w:r>
        <w:rPr>
          <w:rStyle w:val="14"/>
          <w:rFonts w:eastAsiaTheme="minorHAnsi"/>
          <w:sz w:val="24"/>
          <w:szCs w:val="24"/>
          <w:lang w:eastAsia="ar-SA"/>
        </w:rPr>
        <w:fldChar w:fldCharType="end"/>
      </w:r>
      <w:r>
        <w:rPr>
          <w:sz w:val="24"/>
          <w:szCs w:val="24"/>
          <w:lang w:eastAsia="ar-SA"/>
        </w:rPr>
        <w:t>);</w:t>
      </w:r>
    </w:p>
    <w:p w14:paraId="4CD40C96">
      <w:pPr>
        <w:pStyle w:val="34"/>
        <w:spacing w:before="288" w:beforeLines="120" w:after="288" w:afterLines="120" w:line="288" w:lineRule="auto"/>
        <w:ind w:left="0"/>
        <w:jc w:val="both"/>
        <w:rPr>
          <w:sz w:val="24"/>
          <w:szCs w:val="24"/>
          <w:lang w:eastAsia="ar-SA"/>
        </w:rPr>
      </w:pPr>
    </w:p>
    <w:p w14:paraId="7DF3B4AC">
      <w:pPr>
        <w:pStyle w:val="34"/>
        <w:spacing w:before="288" w:beforeLines="120" w:after="288" w:afterLines="120" w:line="288" w:lineRule="auto"/>
        <w:ind w:left="0"/>
        <w:jc w:val="both"/>
        <w:rPr>
          <w:sz w:val="24"/>
          <w:szCs w:val="24"/>
          <w:lang w:eastAsia="ar-SA"/>
        </w:rPr>
      </w:pPr>
      <w:r>
        <w:rPr>
          <w:sz w:val="24"/>
          <w:szCs w:val="24"/>
          <w:lang w:eastAsia="ar-SA"/>
        </w:rPr>
        <w:t>e) Lista de inidôneos mantida pelo Tribunal de Contas da União; e</w:t>
      </w:r>
    </w:p>
    <w:p w14:paraId="0967370E">
      <w:pPr>
        <w:pStyle w:val="34"/>
        <w:spacing w:before="288" w:beforeLines="120" w:after="288" w:afterLines="120" w:line="288" w:lineRule="auto"/>
        <w:ind w:left="0"/>
        <w:jc w:val="both"/>
        <w:rPr>
          <w:sz w:val="24"/>
          <w:szCs w:val="24"/>
          <w:lang w:eastAsia="ar-SA"/>
        </w:rPr>
      </w:pPr>
    </w:p>
    <w:p w14:paraId="57B7BE45">
      <w:pPr>
        <w:pStyle w:val="34"/>
        <w:spacing w:before="288" w:beforeLines="120" w:after="288" w:afterLines="120" w:line="288" w:lineRule="auto"/>
        <w:ind w:left="0"/>
        <w:jc w:val="both"/>
        <w:rPr>
          <w:sz w:val="24"/>
          <w:szCs w:val="24"/>
          <w:lang w:eastAsia="ar-SA"/>
        </w:rPr>
      </w:pPr>
      <w:r>
        <w:rPr>
          <w:sz w:val="24"/>
          <w:szCs w:val="24"/>
          <w:lang w:eastAsia="ar-SA"/>
        </w:rPr>
        <w:t>f) módulo Registro de Ocorrências do Comprasnet.</w:t>
      </w:r>
    </w:p>
    <w:p w14:paraId="5EAD7227">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Caso o licitante provisoriamente classificado em primeiro lugar tenha se utilizado de algum tratamento favorecido às ME/EPPs, o Pregoeiro verificará se faz jus ao benefício, em conformidade com os itens 3.8 e 4.5 deste Edital.</w:t>
      </w:r>
    </w:p>
    <w:p w14:paraId="2BBC7518">
      <w:pPr>
        <w:pStyle w:val="81"/>
        <w:spacing w:before="0" w:beforeAutospacing="0" w:after="0" w:afterAutospacing="0" w:line="288" w:lineRule="auto"/>
        <w:contextualSpacing/>
        <w:jc w:val="both"/>
        <w:rPr>
          <w:rFonts w:eastAsia="Calibri"/>
          <w:b/>
          <w:bCs/>
          <w:lang w:eastAsia="en-US"/>
        </w:rPr>
      </w:pPr>
      <w:r>
        <w:rPr>
          <w:rFonts w:eastAsia="Calibri"/>
          <w:b/>
          <w:bCs/>
          <w:lang w:eastAsia="en-US"/>
        </w:rPr>
        <w:t>8. DA FASE DE HABILITAÇÃO</w:t>
      </w:r>
    </w:p>
    <w:p w14:paraId="08BDFC27">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 A consulta aos cadastros será realizada em nome da empresa licitante e também de seu sócio majoritário, por força da vedação de que trata o </w:t>
      </w:r>
      <w:r>
        <w:fldChar w:fldCharType="begin"/>
      </w:r>
      <w:r>
        <w:instrText xml:space="preserve"> HYPERLINK "https://www.planalto.gov.br/ccivil_03/leis/l8429.htm" \l ":~:text=%C3%A0s%20seguintes%20comina%C3%A7%C3%B5es%3A-,Art.,n%C2%BA%2012.120%2C%20de%202009)." </w:instrText>
      </w:r>
      <w:r>
        <w:fldChar w:fldCharType="separate"/>
      </w:r>
      <w:r>
        <w:rPr>
          <w:rStyle w:val="14"/>
          <w:rFonts w:ascii="Times New Roman" w:hAnsi="Times New Roman" w:cs="Times New Roman" w:eastAsiaTheme="minorHAnsi"/>
          <w:color w:val="auto"/>
          <w:sz w:val="24"/>
          <w:szCs w:val="24"/>
        </w:rPr>
        <w:t>art. 12 da Lei nº 8.429/1992</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7B7F2B46">
      <w:pPr>
        <w:pStyle w:val="83"/>
        <w:spacing w:before="288" w:beforeLines="120" w:after="288" w:afterLines="120" w:line="288" w:lineRule="auto"/>
        <w:ind w:left="0" w:firstLine="0"/>
        <w:contextualSpacing/>
        <w:rPr>
          <w:rFonts w:ascii="Times New Roman" w:hAnsi="Times New Roman" w:cs="Times New Roman"/>
          <w:sz w:val="24"/>
          <w:szCs w:val="24"/>
        </w:rPr>
      </w:pPr>
    </w:p>
    <w:p w14:paraId="58AC04B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8.2 Caso conste na Consulta de Situação do l</w:t>
      </w:r>
      <w:r>
        <w:rPr>
          <w:rFonts w:ascii="Times New Roman" w:hAnsi="Times New Roman" w:cs="Times New Roman"/>
          <w:color w:val="auto"/>
          <w:sz w:val="24"/>
          <w:szCs w:val="24"/>
        </w:rPr>
        <w:t xml:space="preserve">icitante </w:t>
      </w:r>
      <w:r>
        <w:rPr>
          <w:rFonts w:ascii="Times New Roman" w:hAnsi="Times New Roman" w:cs="Times New Roman"/>
          <w:sz w:val="24"/>
          <w:szCs w:val="24"/>
        </w:rPr>
        <w:t xml:space="preserve">a existência de Ocorrências Impeditivas Indiretas, o </w:t>
      </w:r>
      <w:r>
        <w:rPr>
          <w:rFonts w:ascii="Times New Roman" w:hAnsi="Times New Roman" w:cs="Times New Roman"/>
          <w:color w:val="auto"/>
          <w:sz w:val="24"/>
          <w:szCs w:val="24"/>
        </w:rPr>
        <w:t>Pregoeiro diligenciará para v</w:t>
      </w:r>
      <w:r>
        <w:rPr>
          <w:rFonts w:ascii="Times New Roman" w:hAnsi="Times New Roman" w:cs="Times New Roman"/>
          <w:sz w:val="24"/>
          <w:szCs w:val="24"/>
        </w:rPr>
        <w:t xml:space="preserve">erificar se houve fraude por parte das empresas apontadas no Relatório de Ocorrências Impeditivas Indiretas. </w:t>
      </w:r>
    </w:p>
    <w:p w14:paraId="5A3E4DC7">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8.3.1 A tentativa de burla será verificada por meio dos vínculos societários, linhas de fornecimento similares, dentre outros. </w:t>
      </w:r>
    </w:p>
    <w:p w14:paraId="233AAEF3">
      <w:pPr>
        <w:pStyle w:val="86"/>
        <w:spacing w:before="288" w:beforeLines="120" w:after="288" w:afterLines="120" w:line="288" w:lineRule="auto"/>
        <w:ind w:left="0" w:firstLine="0"/>
        <w:contextualSpacing/>
        <w:rPr>
          <w:rFonts w:ascii="Times New Roman" w:hAnsi="Times New Roman" w:cs="Times New Roman"/>
          <w:sz w:val="24"/>
          <w:szCs w:val="24"/>
        </w:rPr>
      </w:pPr>
    </w:p>
    <w:p w14:paraId="1D566A16">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8.3.2 O licitante será convocado para manifestação previamente a uma eventual desclassificação. </w:t>
      </w:r>
    </w:p>
    <w:p w14:paraId="17307E40">
      <w:pPr>
        <w:pStyle w:val="86"/>
        <w:spacing w:before="288" w:beforeLines="120" w:after="288" w:afterLines="120" w:line="288" w:lineRule="auto"/>
        <w:ind w:left="0" w:firstLine="0"/>
        <w:contextualSpacing/>
        <w:rPr>
          <w:rFonts w:ascii="Times New Roman" w:hAnsi="Times New Roman" w:cs="Times New Roman"/>
          <w:sz w:val="24"/>
          <w:szCs w:val="24"/>
        </w:rPr>
      </w:pPr>
    </w:p>
    <w:p w14:paraId="3A680FD4">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8.3.3 Constatada a existência de sanção, o licitante será reputado inabilitado, por falta de condição de participação.</w:t>
      </w:r>
    </w:p>
    <w:p w14:paraId="113CC88F">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8.5 Será exigida a apresentação dos documentos de habilitação que trata o </w:t>
      </w:r>
      <w:r>
        <w:rPr>
          <w:rFonts w:ascii="Times New Roman" w:hAnsi="Times New Roman" w:cs="Times New Roman"/>
          <w:color w:val="auto"/>
          <w:sz w:val="24"/>
          <w:szCs w:val="24"/>
        </w:rPr>
        <w:t xml:space="preserve">Anexo referente aos requisitos de habilitação </w:t>
      </w:r>
      <w:r>
        <w:rPr>
          <w:rFonts w:ascii="Times New Roman" w:hAnsi="Times New Roman" w:cs="Times New Roman"/>
          <w:sz w:val="24"/>
          <w:szCs w:val="24"/>
        </w:rPr>
        <w:t>deste Edital apenas ao licitante vencedor.</w:t>
      </w:r>
    </w:p>
    <w:p w14:paraId="499173A4">
      <w:pPr>
        <w:pStyle w:val="83"/>
        <w:spacing w:before="57" w:beforeLines="24" w:after="57" w:afterLines="24" w:line="288" w:lineRule="auto"/>
        <w:ind w:left="0" w:right="-2" w:firstLine="0"/>
        <w:contextualSpacing/>
        <w:rPr>
          <w:rFonts w:ascii="Times New Roman" w:hAnsi="Times New Roman" w:cs="Times New Roman"/>
          <w:color w:val="auto"/>
          <w:sz w:val="24"/>
          <w:szCs w:val="24"/>
        </w:rPr>
      </w:pPr>
      <w:bookmarkStart w:id="30" w:name="_Hlk178688754"/>
    </w:p>
    <w:p w14:paraId="5D665104">
      <w:pPr>
        <w:pStyle w:val="83"/>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 Caso atendidas as condições de participação, a habilitação do licitante provisoriamente classificado em primeiro lugar será verificada pelo Pregoeiro por meio do registro cadastral no SICAF, quanto aos documentos por este abrangidos.</w:t>
      </w:r>
    </w:p>
    <w:p w14:paraId="393EE922">
      <w:pPr>
        <w:pStyle w:val="86"/>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8.6.1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3D829FA8">
      <w:pPr>
        <w:pStyle w:val="86"/>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8.6.2 A não observância do disposto no item anterior poderá ensejar desclassificação no momento da habilitação, exceto se o Pregoeiro, em consulta aos sítios eletrônicos oficiais de órgãos e entidades emissores de certidões, lograr êxito em encontrar a(s) certidão(ões) válida(s).</w:t>
      </w:r>
    </w:p>
    <w:p w14:paraId="5733D5DC">
      <w:pPr>
        <w:pStyle w:val="86"/>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8.6.3 Havendo a necessidade de envio de documentos de habilitação complementares, necessários à confirmação dos já apresentados para a habilitação, ou de documentos não constantes do SICAF, o licitante provisoriamente classificado em primeiro lugar será convocado a encaminhá-los, em formato digital, por meio do sistema, no prazo de até 5 (cinco) dias úteis, sob pena de inabilitação.</w:t>
      </w:r>
    </w:p>
    <w:p w14:paraId="7AA02CFD">
      <w:pPr>
        <w:pStyle w:val="86"/>
        <w:spacing w:before="57" w:beforeLines="24" w:after="57" w:afterLines="24"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8.6.4 Somente haverá a necessidade de comprovação do preenchimento de requisitos mediante apresentação dos documentos originais não-digitais quando houver dúvida em relação à integridade do documento digital ou quando a lei expressamente o exigir.</w:t>
      </w:r>
    </w:p>
    <w:bookmarkEnd w:id="30"/>
    <w:p w14:paraId="6DEADE78">
      <w:pPr>
        <w:pStyle w:val="83"/>
        <w:spacing w:before="57" w:beforeLines="24" w:after="57" w:afterLines="24" w:line="288" w:lineRule="auto"/>
        <w:ind w:left="0" w:firstLine="0"/>
        <w:contextualSpacing/>
        <w:rPr>
          <w:rFonts w:ascii="Times New Roman" w:hAnsi="Times New Roman" w:cs="Times New Roman"/>
          <w:sz w:val="24"/>
          <w:szCs w:val="24"/>
        </w:rPr>
      </w:pPr>
    </w:p>
    <w:p w14:paraId="66658579">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8.7 Após a apresentação dos documentos de habilitação, fica vedada a substituição ou a apresentação de novos documentos, salvo em sede de diligência, para:</w:t>
      </w:r>
    </w:p>
    <w:p w14:paraId="5FBE51BD">
      <w:pPr>
        <w:pStyle w:val="83"/>
        <w:spacing w:before="57" w:beforeLines="24" w:after="57" w:afterLines="24" w:line="288" w:lineRule="auto"/>
        <w:ind w:left="0" w:firstLine="0"/>
        <w:contextualSpacing/>
        <w:rPr>
          <w:rFonts w:ascii="Times New Roman" w:hAnsi="Times New Roman" w:cs="Times New Roman"/>
          <w:sz w:val="24"/>
          <w:szCs w:val="24"/>
        </w:rPr>
      </w:pPr>
    </w:p>
    <w:p w14:paraId="2352B73F">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complementação de informações acerca dos documentos já apresentados pelos licitantes e desde que necessária para apurar fatos existentes à época da abertura do certame; e</w:t>
      </w:r>
    </w:p>
    <w:p w14:paraId="374CC1D5">
      <w:pPr>
        <w:pStyle w:val="83"/>
        <w:spacing w:before="57" w:beforeLines="24" w:after="57" w:afterLines="24" w:line="288" w:lineRule="auto"/>
        <w:ind w:left="0" w:firstLine="0"/>
        <w:contextualSpacing/>
        <w:rPr>
          <w:rFonts w:ascii="Times New Roman" w:hAnsi="Times New Roman" w:cs="Times New Roman"/>
          <w:sz w:val="24"/>
          <w:szCs w:val="24"/>
        </w:rPr>
      </w:pPr>
    </w:p>
    <w:p w14:paraId="16B4C8F8">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atualização de documentos cuja validade tenha expirado após a data de recebimento das propostas.</w:t>
      </w:r>
    </w:p>
    <w:p w14:paraId="308E9B9A">
      <w:pPr>
        <w:pStyle w:val="83"/>
        <w:spacing w:before="57" w:beforeLines="24" w:after="57" w:afterLines="24" w:line="288" w:lineRule="auto"/>
        <w:ind w:left="0" w:firstLine="0"/>
        <w:contextualSpacing/>
        <w:rPr>
          <w:rFonts w:ascii="Times New Roman" w:hAnsi="Times New Roman" w:cs="Times New Roman"/>
          <w:sz w:val="24"/>
          <w:szCs w:val="24"/>
        </w:rPr>
      </w:pPr>
    </w:p>
    <w:p w14:paraId="69F41DB0">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8.8 O Pregoeiro poderá, na análise dos documentos de habilitação, sanar erros ou falhas que não alterem a substância dos documentos e sua validade jurídica, mediante decisão fundamentada, registrada em ata e acessível a todos, atribuindo-lhes eficácia para fins de habilitação.</w:t>
      </w:r>
    </w:p>
    <w:p w14:paraId="5523D25C">
      <w:pPr>
        <w:pStyle w:val="83"/>
        <w:spacing w:before="57" w:beforeLines="24" w:after="57" w:afterLines="24" w:line="288" w:lineRule="auto"/>
        <w:ind w:left="0" w:firstLine="0"/>
        <w:contextualSpacing/>
        <w:rPr>
          <w:rFonts w:ascii="Times New Roman" w:hAnsi="Times New Roman" w:cs="Times New Roman"/>
          <w:sz w:val="24"/>
          <w:szCs w:val="24"/>
        </w:rPr>
      </w:pPr>
    </w:p>
    <w:p w14:paraId="5A4A0310">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8.8.1 Na hipótese de necessidade de suspensão da sessão pública para a realização de diligências, com vistas ao saneamento de que trata o subitem anterior, a sessão pública somente poderá ser reiniciada mediante aviso prévio no sistema com, no mínimo, vinte e quatro horas de antecedência, e a ocorrência será registrada em ata.</w:t>
      </w:r>
    </w:p>
    <w:p w14:paraId="64646F60">
      <w:pPr>
        <w:pStyle w:val="86"/>
        <w:spacing w:before="57" w:beforeLines="24" w:after="57" w:afterLines="24" w:line="288" w:lineRule="auto"/>
        <w:ind w:left="0" w:firstLine="0"/>
        <w:contextualSpacing/>
        <w:rPr>
          <w:rFonts w:ascii="Times New Roman" w:hAnsi="Times New Roman" w:cs="Times New Roman"/>
          <w:sz w:val="24"/>
          <w:szCs w:val="24"/>
        </w:rPr>
      </w:pPr>
    </w:p>
    <w:p w14:paraId="7C11ABA9">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8.9 Na hipótese de o licitante provisoriamente classificado em primeiro lugar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0C7D7AA1">
      <w:pPr>
        <w:pStyle w:val="83"/>
        <w:spacing w:before="57" w:beforeLines="24" w:after="57" w:afterLines="24" w:line="288" w:lineRule="auto"/>
        <w:ind w:left="0" w:firstLine="0"/>
        <w:contextualSpacing/>
        <w:rPr>
          <w:rFonts w:ascii="Times New Roman" w:hAnsi="Times New Roman" w:cs="Times New Roman"/>
          <w:sz w:val="24"/>
          <w:szCs w:val="24"/>
        </w:rPr>
      </w:pPr>
    </w:p>
    <w:p w14:paraId="44D631BA">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8.10 Constatado o atendimento às exigências de habilitação, o licitante será habilitado.</w:t>
      </w:r>
    </w:p>
    <w:p w14:paraId="683E9219">
      <w:pPr>
        <w:pStyle w:val="83"/>
        <w:spacing w:before="57" w:beforeLines="24" w:after="57" w:afterLines="24" w:line="288" w:lineRule="auto"/>
        <w:ind w:left="0" w:firstLine="0"/>
        <w:contextualSpacing/>
        <w:rPr>
          <w:rFonts w:ascii="Times New Roman" w:hAnsi="Times New Roman" w:cs="Times New Roman"/>
          <w:sz w:val="24"/>
          <w:szCs w:val="24"/>
        </w:rPr>
      </w:pPr>
    </w:p>
    <w:p w14:paraId="4377A7A4">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 Somente serão disponibilizados para acesso público os documentos de habilitação do licitante cuja proposta atenda ao edital de licitação, após declarada sua habilitação. </w:t>
      </w:r>
    </w:p>
    <w:p w14:paraId="60672142">
      <w:pPr>
        <w:pStyle w:val="83"/>
        <w:spacing w:before="57" w:beforeLines="24" w:after="57" w:afterLines="24" w:line="288" w:lineRule="auto"/>
        <w:ind w:left="0" w:firstLine="0"/>
        <w:contextualSpacing/>
        <w:rPr>
          <w:rFonts w:ascii="Times New Roman" w:hAnsi="Times New Roman" w:cs="Times New Roman"/>
          <w:sz w:val="24"/>
          <w:szCs w:val="24"/>
        </w:rPr>
      </w:pPr>
    </w:p>
    <w:p w14:paraId="6F73C348">
      <w:pPr>
        <w:pStyle w:val="83"/>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 Não serão aceitos documentos de habilitação com indicação de CNPJ/CPF diferentes, salvo aqueles legalmente permitidos.</w:t>
      </w:r>
    </w:p>
    <w:p w14:paraId="471786FC">
      <w:pPr>
        <w:pStyle w:val="83"/>
        <w:spacing w:before="57" w:beforeLines="24" w:after="57" w:afterLines="24" w:line="288" w:lineRule="auto"/>
        <w:ind w:left="0" w:firstLine="0"/>
        <w:contextualSpacing/>
        <w:rPr>
          <w:rFonts w:ascii="Times New Roman" w:hAnsi="Times New Roman" w:cs="Times New Roman"/>
          <w:color w:val="auto"/>
          <w:sz w:val="24"/>
          <w:szCs w:val="24"/>
        </w:rPr>
      </w:pPr>
    </w:p>
    <w:p w14:paraId="6CA245B0">
      <w:pPr>
        <w:pStyle w:val="86"/>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8.12.1 Se o fornecedor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28587078">
      <w:pPr>
        <w:pStyle w:val="86"/>
        <w:spacing w:before="57" w:beforeLines="24" w:after="57" w:afterLines="24" w:line="288" w:lineRule="auto"/>
        <w:ind w:left="0" w:firstLine="0"/>
        <w:contextualSpacing/>
        <w:rPr>
          <w:rFonts w:ascii="Times New Roman" w:hAnsi="Times New Roman" w:cs="Times New Roman"/>
          <w:color w:val="auto"/>
          <w:sz w:val="24"/>
          <w:szCs w:val="24"/>
        </w:rPr>
      </w:pPr>
    </w:p>
    <w:p w14:paraId="63DF6510">
      <w:pPr>
        <w:pStyle w:val="86"/>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8.12.2 Serão aceitos registros de CNPJ de licitante matriz e filial com diferenças de números de documentos pertinentes ao CND e ao CRF/FGTS, quando for comprovada a centralização do recolhimento dessas contribuições.</w:t>
      </w:r>
    </w:p>
    <w:p w14:paraId="0C34FCDE">
      <w:pPr>
        <w:pStyle w:val="86"/>
        <w:spacing w:before="57" w:beforeLines="24" w:after="57" w:afterLines="24" w:line="288" w:lineRule="auto"/>
        <w:ind w:left="0" w:firstLine="0"/>
        <w:contextualSpacing/>
        <w:rPr>
          <w:rFonts w:ascii="Times New Roman" w:hAnsi="Times New Roman" w:cs="Times New Roman"/>
          <w:sz w:val="24"/>
          <w:szCs w:val="24"/>
        </w:rPr>
      </w:pPr>
    </w:p>
    <w:p w14:paraId="2B6373D1">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31" w:name="_Hlk154307107"/>
      <w:r>
        <w:rPr>
          <w:rFonts w:ascii="Times New Roman" w:hAnsi="Times New Roman" w:cs="Times New Roman"/>
          <w:sz w:val="24"/>
          <w:szCs w:val="24"/>
        </w:rPr>
        <w:t xml:space="preserve">8.13 A comprovação de regularidade fiscal e trabalhista das microempresas e das empresas de pequeno porte será exigida nos termos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215EE49B">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367477EA">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8.14 No caso de contratações para entrega imediata, considerada aquela com prazo de entrega de até 30 (trinta) dias da ordem de fornecimento, cujo valor estimado da contratação não supere o limite do disposto na alínea "c" do inciso IV do Art. 75 da Lei nº 14.133/2021, nas contratações com valores inferiores a 1/4 (um quarto) do limite para dispensa de licitação para compras em geral e nas contratações de produto para pesquisa e desenvolvimento de que trata a alínea "c" do inciso IV do art. 75 da Lei nº 14.133/2021, somente será exigida:</w:t>
      </w:r>
    </w:p>
    <w:p w14:paraId="2D29192F">
      <w:pPr>
        <w:pStyle w:val="83"/>
        <w:spacing w:before="57" w:beforeLines="24" w:after="57" w:afterLines="24" w:line="288" w:lineRule="auto"/>
        <w:ind w:left="0" w:firstLine="0"/>
        <w:contextualSpacing/>
        <w:rPr>
          <w:rFonts w:ascii="Times New Roman" w:hAnsi="Times New Roman" w:cs="Times New Roman"/>
          <w:sz w:val="24"/>
          <w:szCs w:val="24"/>
        </w:rPr>
      </w:pPr>
    </w:p>
    <w:p w14:paraId="1CB7FD5D">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das pessoas jurídicas, a comprovação relativa à habilitação jurídica, regularidade fiscal estadual, à Seguridade Social e ao FGTS e a regularidade perante a Justiça do Trabalho; e</w:t>
      </w:r>
    </w:p>
    <w:p w14:paraId="597F91BB">
      <w:pPr>
        <w:pStyle w:val="83"/>
        <w:spacing w:before="57" w:beforeLines="24" w:after="57" w:afterLines="24" w:line="288" w:lineRule="auto"/>
        <w:ind w:left="0" w:firstLine="0"/>
        <w:contextualSpacing/>
        <w:rPr>
          <w:rFonts w:ascii="Times New Roman" w:hAnsi="Times New Roman" w:cs="Times New Roman"/>
          <w:sz w:val="24"/>
          <w:szCs w:val="24"/>
        </w:rPr>
      </w:pPr>
    </w:p>
    <w:p w14:paraId="58A23055">
      <w:pPr>
        <w:pStyle w:val="83"/>
        <w:spacing w:before="57" w:beforeLines="24" w:after="57" w:afterLines="24" w:line="288" w:lineRule="auto"/>
        <w:ind w:left="0" w:firstLine="0"/>
        <w:contextualSpacing/>
        <w:rPr>
          <w:rFonts w:ascii="Times New Roman" w:hAnsi="Times New Roman" w:cs="Times New Roman"/>
          <w:color w:val="FF0000"/>
          <w:sz w:val="24"/>
          <w:szCs w:val="24"/>
        </w:rPr>
      </w:pPr>
      <w:r>
        <w:rPr>
          <w:rFonts w:ascii="Times New Roman" w:hAnsi="Times New Roman" w:cs="Times New Roman"/>
          <w:sz w:val="24"/>
          <w:szCs w:val="24"/>
        </w:rPr>
        <w:t xml:space="preserve">b) das pessoas físicas, a comprovação da regularidade fiscal com a Fazenda </w:t>
      </w:r>
      <w:r>
        <w:rPr>
          <w:rFonts w:ascii="Times New Roman" w:hAnsi="Times New Roman" w:cs="Times New Roman"/>
          <w:color w:val="000000" w:themeColor="text1"/>
          <w:sz w:val="24"/>
          <w:szCs w:val="24"/>
          <w14:textFill>
            <w14:solidFill>
              <w14:schemeClr w14:val="tx1"/>
            </w14:solidFill>
          </w14:textFill>
        </w:rPr>
        <w:t>Estadual, c</w:t>
      </w:r>
      <w:r>
        <w:rPr>
          <w:rFonts w:ascii="Times New Roman" w:hAnsi="Times New Roman" w:cs="Times New Roman"/>
          <w:color w:val="000000" w:themeColor="text1"/>
          <w:sz w:val="24"/>
          <w:szCs w:val="24"/>
          <w:lang w:eastAsia="en-US"/>
          <w14:textFill>
            <w14:solidFill>
              <w14:schemeClr w14:val="tx1"/>
            </w14:solidFill>
          </w14:textFill>
        </w:rPr>
        <w:t>onforme art. 17, §2º, do Decreto nº 45/2025.</w:t>
      </w:r>
    </w:p>
    <w:p w14:paraId="61251733">
      <w:pPr>
        <w:pStyle w:val="83"/>
        <w:spacing w:before="57" w:beforeLines="24" w:after="57" w:afterLines="24" w:line="288" w:lineRule="auto"/>
        <w:ind w:left="0" w:firstLine="0"/>
        <w:contextualSpacing/>
        <w:rPr>
          <w:rFonts w:ascii="Times New Roman" w:hAnsi="Times New Roman" w:cs="Times New Roman"/>
          <w:sz w:val="24"/>
          <w:szCs w:val="24"/>
        </w:rPr>
      </w:pPr>
    </w:p>
    <w:bookmarkEnd w:id="31"/>
    <w:p w14:paraId="66F7F610">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 Quando permitida a participação de empresas estrangeiras que não funcionem no País, as exigências de habilitação serão atendidas mediante documentos equivalentes, inicialmente apresentados em tradução livre.</w:t>
      </w:r>
    </w:p>
    <w:p w14:paraId="51A7AB4A">
      <w:pPr>
        <w:pStyle w:val="83"/>
        <w:spacing w:before="57" w:beforeLines="24" w:after="57" w:afterLines="24" w:line="288" w:lineRule="auto"/>
        <w:ind w:left="0" w:firstLine="0"/>
        <w:contextualSpacing/>
        <w:rPr>
          <w:rFonts w:ascii="Times New Roman" w:hAnsi="Times New Roman" w:cs="Times New Roman"/>
          <w:sz w:val="24"/>
          <w:szCs w:val="24"/>
        </w:rPr>
      </w:pPr>
    </w:p>
    <w:p w14:paraId="286309CE">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8.15.1 O licitante deverá ter procurador residente e domiciliado no Brasil, com poderes para receber citação, intimação e responder administrativa e judicialmente por seus atos, juntando o instrumento de mandato com os documentos de habilitação.</w:t>
      </w:r>
    </w:p>
    <w:p w14:paraId="7A7BE818">
      <w:pPr>
        <w:pStyle w:val="86"/>
        <w:spacing w:before="57" w:beforeLines="24" w:after="57" w:afterLines="24" w:line="288" w:lineRule="auto"/>
        <w:ind w:left="0" w:firstLine="0"/>
        <w:contextualSpacing/>
        <w:rPr>
          <w:rFonts w:ascii="Times New Roman" w:hAnsi="Times New Roman" w:cs="Times New Roman"/>
          <w:sz w:val="24"/>
          <w:szCs w:val="24"/>
        </w:rPr>
      </w:pPr>
    </w:p>
    <w:p w14:paraId="7E83CCC3">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8.15.2 Na hipótese de o licitante vencedor ser empresa estrangeira que não funcione no País, para fins de assinatura do contrato ou da ata de registro de preços, os documentos exigidos para a habilitação serão traduzidos por tradutor juramentado no País e apostilados, ou consularizados pelos respectivos consulados ou embaixadas.</w:t>
      </w:r>
    </w:p>
    <w:p w14:paraId="21535259">
      <w:pPr>
        <w:pStyle w:val="86"/>
        <w:spacing w:before="57" w:beforeLines="24" w:after="57" w:afterLines="24" w:line="288" w:lineRule="auto"/>
        <w:ind w:left="0" w:firstLine="0"/>
        <w:contextualSpacing/>
        <w:rPr>
          <w:rFonts w:ascii="Times New Roman" w:hAnsi="Times New Roman" w:cs="Times New Roman"/>
          <w:sz w:val="24"/>
          <w:szCs w:val="24"/>
        </w:rPr>
      </w:pPr>
    </w:p>
    <w:p w14:paraId="148ADD67">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8.16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E5C6D52">
      <w:pPr>
        <w:pStyle w:val="83"/>
        <w:spacing w:before="57" w:beforeLines="24" w:after="57" w:afterLines="24" w:line="288" w:lineRule="auto"/>
        <w:ind w:left="0" w:firstLine="0"/>
        <w:contextualSpacing/>
        <w:rPr>
          <w:rFonts w:ascii="Times New Roman" w:hAnsi="Times New Roman" w:cs="Times New Roman"/>
          <w:sz w:val="24"/>
          <w:szCs w:val="24"/>
        </w:rPr>
      </w:pPr>
    </w:p>
    <w:p w14:paraId="02AA2386">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8.16.1 Se o consórcio não for formado integralmente por microempresas ou empresas de pequeno porte e forem exigidos neste Edital requisitos de habilitação econômico-financeira, haverá um acréscimo </w:t>
      </w:r>
      <w:r>
        <w:rPr>
          <w:rFonts w:ascii="Times New Roman" w:hAnsi="Times New Roman" w:cs="Times New Roman"/>
          <w:color w:val="000000" w:themeColor="text1"/>
          <w:sz w:val="24"/>
          <w:szCs w:val="24"/>
          <w14:textFill>
            <w14:solidFill>
              <w14:schemeClr w14:val="tx1"/>
            </w14:solidFill>
          </w14:textFill>
        </w:rPr>
        <w:t xml:space="preserve">de 10% A 30 % </w:t>
      </w:r>
      <w:r>
        <w:rPr>
          <w:rFonts w:ascii="Times New Roman" w:hAnsi="Times New Roman" w:cs="Times New Roman"/>
          <w:sz w:val="24"/>
          <w:szCs w:val="24"/>
        </w:rPr>
        <w:t>para o consórcio em relação ao valor exigido para os licitantes individuais.</w:t>
      </w:r>
    </w:p>
    <w:p w14:paraId="20223099">
      <w:pPr>
        <w:pStyle w:val="86"/>
        <w:spacing w:before="57" w:beforeLines="24" w:after="57" w:afterLines="24" w:line="288" w:lineRule="auto"/>
        <w:ind w:left="0" w:firstLine="0"/>
        <w:contextualSpacing/>
        <w:rPr>
          <w:rFonts w:ascii="Times New Roman" w:hAnsi="Times New Roman" w:cs="Times New Roman"/>
          <w:sz w:val="24"/>
          <w:szCs w:val="24"/>
        </w:rPr>
      </w:pPr>
    </w:p>
    <w:p w14:paraId="5AAF32ED">
      <w:pPr>
        <w:spacing w:line="288" w:lineRule="auto"/>
        <w:contextualSpacing/>
        <w:jc w:val="both"/>
        <w:rPr>
          <w:color w:val="000000"/>
          <w:sz w:val="24"/>
          <w:szCs w:val="24"/>
        </w:rPr>
      </w:pPr>
      <w:r>
        <w:rPr>
          <w:color w:val="000000"/>
          <w:sz w:val="24"/>
          <w:szCs w:val="24"/>
        </w:rPr>
        <w:t>8.17 As certidões valerão nos prazos que lhes são próprios. Inexistindo esse prazo, reputar-se-ão válidas por 90 (noventa) dias, contados de sua expedição.</w:t>
      </w:r>
    </w:p>
    <w:p w14:paraId="0E4183AB">
      <w:pPr>
        <w:spacing w:line="288" w:lineRule="auto"/>
        <w:contextualSpacing/>
        <w:jc w:val="both"/>
        <w:rPr>
          <w:color w:val="000000"/>
          <w:sz w:val="24"/>
          <w:szCs w:val="24"/>
        </w:rPr>
      </w:pPr>
    </w:p>
    <w:p w14:paraId="0264FB3C">
      <w:pPr>
        <w:spacing w:line="288" w:lineRule="auto"/>
        <w:contextualSpacing/>
        <w:jc w:val="both"/>
        <w:rPr>
          <w:color w:val="000000"/>
          <w:sz w:val="24"/>
          <w:szCs w:val="24"/>
        </w:rPr>
      </w:pPr>
      <w:r>
        <w:rPr>
          <w:color w:val="000000"/>
          <w:sz w:val="24"/>
          <w:szCs w:val="24"/>
        </w:rPr>
        <w:t>8.17.1 Caso seja feita a opção pela opção da certidão referida no item 8.6.2, esta seguirá, como prazo de validade, a sistemática própria estabelecida em âmbito federal constante do SICAF.</w:t>
      </w:r>
    </w:p>
    <w:p w14:paraId="7706E48A">
      <w:pPr>
        <w:pStyle w:val="85"/>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 DA IMPUGNAÇÃO AO EDITAL, DO PEDIDO DE ESCLARECIMENTO E DOS RECURSOS</w:t>
      </w:r>
    </w:p>
    <w:p w14:paraId="5E7A87B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 Qualquer pessoa é parte legítima para impugnar este Edital por irregularidade na aplicação da </w:t>
      </w:r>
      <w:r>
        <w:fldChar w:fldCharType="begin"/>
      </w:r>
      <w:r>
        <w:instrText xml:space="preserve"> HYPERLINK "http://www.planalto.gov.br/ccivil_03/_ato2019-2022/2021/lei/L14133.htm" </w:instrText>
      </w:r>
      <w:r>
        <w:fldChar w:fldCharType="separate"/>
      </w:r>
      <w:r>
        <w:rPr>
          <w:rStyle w:val="14"/>
          <w:rFonts w:ascii="Times New Roman" w:hAnsi="Times New Roman" w:cs="Times New Roman" w:eastAsiaTheme="minorHAnsi"/>
          <w:color w:val="auto"/>
          <w:sz w:val="24"/>
          <w:szCs w:val="24"/>
        </w:rPr>
        <w:t>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devendo protocolar o pedido até 3 (três) dias úteis antes da data da abertura do certame.</w:t>
      </w:r>
    </w:p>
    <w:p w14:paraId="1DB5FC9C">
      <w:pPr>
        <w:pStyle w:val="83"/>
        <w:spacing w:before="288" w:beforeLines="120" w:after="288" w:afterLines="120" w:line="288" w:lineRule="auto"/>
        <w:ind w:left="0" w:firstLine="0"/>
        <w:contextualSpacing/>
        <w:rPr>
          <w:rFonts w:ascii="Times New Roman" w:hAnsi="Times New Roman" w:cs="Times New Roman"/>
          <w:sz w:val="24"/>
          <w:szCs w:val="24"/>
        </w:rPr>
      </w:pPr>
    </w:p>
    <w:p w14:paraId="69A8A0D2">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 A impugnação e o pedido de esclarecimento poderão ser realizados por forma eletrônica, através do e-mail funcional </w:t>
      </w:r>
      <w:r>
        <w:rPr>
          <w:rFonts w:ascii="Times New Roman" w:hAnsi="Times New Roman" w:cs="Times New Roman"/>
          <w:b/>
          <w:bCs/>
          <w:i/>
          <w:iCs/>
          <w:sz w:val="24"/>
          <w:szCs w:val="24"/>
          <w:u w:val="single"/>
        </w:rPr>
        <w:t>licitacoespmvrj@gmail.com</w:t>
      </w:r>
      <w:r>
        <w:rPr>
          <w:rFonts w:ascii="Times New Roman" w:hAnsi="Times New Roman" w:cs="Times New Roman"/>
          <w:color w:val="auto"/>
          <w:sz w:val="24"/>
          <w:szCs w:val="24"/>
        </w:rPr>
        <w:t xml:space="preserve">, </w:t>
      </w:r>
      <w:r>
        <w:rPr>
          <w:rFonts w:ascii="Times New Roman" w:hAnsi="Times New Roman" w:cs="Times New Roman"/>
          <w:sz w:val="24"/>
          <w:szCs w:val="24"/>
        </w:rPr>
        <w:t>mediante confirmação de recebimento.</w:t>
      </w:r>
    </w:p>
    <w:p w14:paraId="052E8251">
      <w:pPr>
        <w:pStyle w:val="83"/>
        <w:spacing w:before="288" w:beforeLines="120" w:after="288" w:afterLines="120" w:line="288" w:lineRule="auto"/>
        <w:ind w:left="0" w:firstLine="0"/>
        <w:contextualSpacing/>
        <w:rPr>
          <w:rFonts w:ascii="Times New Roman" w:hAnsi="Times New Roman" w:cs="Times New Roman"/>
          <w:sz w:val="24"/>
          <w:szCs w:val="24"/>
        </w:rPr>
      </w:pPr>
    </w:p>
    <w:p w14:paraId="644A11B9">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9.1.2 A resposta à impugnação ou ao pedido de esclarecimento será divulgado em sítio eletrônico oficial no prazo de até 3 (três) dias úteis, limitado ao último dia útil anterior à data da abertura do certame.</w:t>
      </w:r>
    </w:p>
    <w:p w14:paraId="0896DE2C">
      <w:pPr>
        <w:pStyle w:val="83"/>
        <w:spacing w:before="288" w:beforeLines="120" w:after="288" w:afterLines="120" w:line="288" w:lineRule="auto"/>
        <w:ind w:left="0" w:firstLine="0"/>
        <w:contextualSpacing/>
        <w:rPr>
          <w:rFonts w:ascii="Times New Roman" w:hAnsi="Times New Roman" w:cs="Times New Roman"/>
          <w:sz w:val="24"/>
          <w:szCs w:val="24"/>
        </w:rPr>
      </w:pPr>
    </w:p>
    <w:p w14:paraId="1ED5EA0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9.1.3 As impugnações e pedidos de esclarecimentos não suspendem os prazos previstos no certame.</w:t>
      </w:r>
    </w:p>
    <w:p w14:paraId="0F807A58">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9.1.4 A concessão de efeito suspensivo à impugnação é medida excepcional e deverá ser motivada pela autoridade competente, nos autos do processo de licitação.</w:t>
      </w:r>
    </w:p>
    <w:p w14:paraId="4EE24D59">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9.1.5 Modificado substancialmente o edital como resultado da resposta à impugnação ou ao pedido de esclarecimento, será definida e publicada nova data para a realização do certame.</w:t>
      </w:r>
    </w:p>
    <w:p w14:paraId="5ABE1ED4">
      <w:pPr>
        <w:pStyle w:val="83"/>
        <w:spacing w:before="57" w:beforeLines="24" w:after="57" w:afterLines="24" w:line="288" w:lineRule="auto"/>
        <w:ind w:left="0" w:firstLine="0"/>
        <w:contextualSpacing/>
        <w:rPr>
          <w:rFonts w:ascii="Times New Roman" w:hAnsi="Times New Roman" w:cs="Times New Roman"/>
          <w:sz w:val="24"/>
          <w:szCs w:val="24"/>
        </w:rPr>
      </w:pPr>
    </w:p>
    <w:p w14:paraId="4AB1A081">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 Qualquer licitante poderá, durante o prazo de 15 minutos após o término do julgamento das propostas e do ato de habilitação ou inabilitação, em campo próprio do sistema, manifestar sua intenção de recorrer, sob pena de preclusão, ficando a autoridade superior autorizada a adjudicar o objeto ao licitante declarado vencedor. </w:t>
      </w:r>
    </w:p>
    <w:p w14:paraId="1B674783">
      <w:pPr>
        <w:pStyle w:val="86"/>
        <w:spacing w:before="57" w:beforeLines="24" w:after="57" w:afterLines="24" w:line="288" w:lineRule="auto"/>
        <w:ind w:left="0" w:firstLine="0"/>
        <w:contextualSpacing/>
        <w:rPr>
          <w:rFonts w:ascii="Times New Roman" w:hAnsi="Times New Roman" w:cs="Times New Roman"/>
          <w:sz w:val="24"/>
          <w:szCs w:val="24"/>
        </w:rPr>
      </w:pPr>
    </w:p>
    <w:p w14:paraId="642F2D7A">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9.2.1 As razões do recurso deverão ser apresentadas em momento único, no prazo de três dias úteis, em campo próprio do sistema eletrônico de contratações ou, em sua indisponibilidade, para o e-mail funcional </w:t>
      </w:r>
      <w:r>
        <w:rPr>
          <w:rFonts w:ascii="Times New Roman" w:hAnsi="Times New Roman" w:cs="Times New Roman"/>
          <w:b/>
          <w:i/>
          <w:sz w:val="24"/>
          <w:szCs w:val="24"/>
          <w:u w:val="single"/>
        </w:rPr>
        <w:t>licitacoespmvrj@gmail.com</w:t>
      </w: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sz w:val="24"/>
          <w:szCs w:val="24"/>
        </w:rPr>
        <w:t xml:space="preserve"> mediante confirmação de recebimento, contados:</w:t>
      </w:r>
    </w:p>
    <w:p w14:paraId="00F086B4">
      <w:pPr>
        <w:pStyle w:val="86"/>
        <w:spacing w:before="57" w:beforeLines="24" w:after="57" w:afterLines="24" w:line="288" w:lineRule="auto"/>
        <w:ind w:left="0" w:firstLine="0"/>
        <w:contextualSpacing/>
        <w:rPr>
          <w:rFonts w:ascii="Times New Roman" w:hAnsi="Times New Roman" w:cs="Times New Roman"/>
          <w:sz w:val="24"/>
          <w:szCs w:val="24"/>
        </w:rPr>
      </w:pPr>
    </w:p>
    <w:p w14:paraId="266C51A7">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a partir da data de intimação ou de lavratura da ata de habilitação ou inabilitação;</w:t>
      </w:r>
    </w:p>
    <w:p w14:paraId="2485383B">
      <w:pPr>
        <w:pStyle w:val="86"/>
        <w:spacing w:before="57" w:beforeLines="24" w:after="57" w:afterLines="24" w:line="288" w:lineRule="auto"/>
        <w:ind w:left="0" w:firstLine="0"/>
        <w:contextualSpacing/>
        <w:rPr>
          <w:rFonts w:ascii="Times New Roman" w:hAnsi="Times New Roman" w:cs="Times New Roman"/>
          <w:sz w:val="24"/>
          <w:szCs w:val="24"/>
        </w:rPr>
      </w:pPr>
    </w:p>
    <w:p w14:paraId="25CAF621">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ata de julgamento, nas licitações com inversão de fases.</w:t>
      </w:r>
    </w:p>
    <w:p w14:paraId="76512524">
      <w:pPr>
        <w:pStyle w:val="86"/>
        <w:spacing w:before="57" w:beforeLines="24" w:after="57" w:afterLines="24" w:line="288" w:lineRule="auto"/>
        <w:ind w:left="0" w:firstLine="0"/>
        <w:contextualSpacing/>
        <w:rPr>
          <w:rFonts w:ascii="Times New Roman" w:hAnsi="Times New Roman" w:cs="Times New Roman"/>
          <w:sz w:val="24"/>
          <w:szCs w:val="24"/>
        </w:rPr>
      </w:pPr>
    </w:p>
    <w:p w14:paraId="220AD3C6">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9.2.2 Os demais licitantes ficarão intimados para, se desejarem, apresentar suas contrarrazões, no prazo de três dias úteis, contado da data de intimação pessoal ou de divulgação da interposição do recurso.</w:t>
      </w:r>
    </w:p>
    <w:p w14:paraId="146B0E33">
      <w:pPr>
        <w:pStyle w:val="86"/>
        <w:spacing w:before="57" w:beforeLines="24" w:after="57" w:afterLines="24" w:line="288" w:lineRule="auto"/>
        <w:ind w:left="0" w:firstLine="0"/>
        <w:contextualSpacing/>
        <w:rPr>
          <w:rFonts w:ascii="Times New Roman" w:hAnsi="Times New Roman" w:cs="Times New Roman"/>
          <w:sz w:val="24"/>
          <w:szCs w:val="24"/>
        </w:rPr>
      </w:pPr>
    </w:p>
    <w:p w14:paraId="6A0C8800">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9.2.3 Os recursos interpostos fora do prazo não serão conhecidos.</w:t>
      </w:r>
    </w:p>
    <w:p w14:paraId="7DCA6128">
      <w:pPr>
        <w:pStyle w:val="86"/>
        <w:spacing w:before="57" w:beforeLines="24" w:after="57" w:afterLines="24" w:line="288" w:lineRule="auto"/>
        <w:ind w:left="0" w:firstLine="0"/>
        <w:contextualSpacing/>
        <w:rPr>
          <w:rFonts w:ascii="Times New Roman" w:hAnsi="Times New Roman" w:cs="Times New Roman"/>
          <w:sz w:val="24"/>
          <w:szCs w:val="24"/>
        </w:rPr>
      </w:pPr>
    </w:p>
    <w:p w14:paraId="57FE30B8">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9.2.4 Caberá ao Pregoeiro, no prazo de 3 (três) dias úteis, receber, examinar e decidir os recursos e encaminhá-los à autoridade superior quando mantiver sua decisão, a qual deverá proferir sua decisão no prazo de 10 (dez) dias úteis, contado do recebimento dos autos.</w:t>
      </w:r>
    </w:p>
    <w:p w14:paraId="4D9FDFFB">
      <w:pPr>
        <w:pStyle w:val="83"/>
        <w:spacing w:before="57" w:beforeLines="24" w:after="57" w:afterLines="24" w:line="288" w:lineRule="auto"/>
        <w:ind w:left="0" w:firstLine="0"/>
        <w:contextualSpacing/>
        <w:rPr>
          <w:rFonts w:ascii="Times New Roman" w:hAnsi="Times New Roman" w:cs="Times New Roman"/>
          <w:sz w:val="24"/>
          <w:szCs w:val="24"/>
        </w:rPr>
      </w:pPr>
    </w:p>
    <w:p w14:paraId="0960718F">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9.2.5 Será assegurado ao licitante vista dos elementos indispensáveis à defesa de seus interesses.</w:t>
      </w:r>
    </w:p>
    <w:p w14:paraId="53F13877">
      <w:pPr>
        <w:pStyle w:val="83"/>
        <w:spacing w:before="57" w:beforeLines="24" w:after="57" w:afterLines="24" w:line="288" w:lineRule="auto"/>
        <w:ind w:left="0" w:firstLine="0"/>
        <w:contextualSpacing/>
        <w:rPr>
          <w:rFonts w:ascii="Times New Roman" w:hAnsi="Times New Roman" w:cs="Times New Roman"/>
          <w:sz w:val="24"/>
          <w:szCs w:val="24"/>
        </w:rPr>
      </w:pPr>
    </w:p>
    <w:p w14:paraId="68100BF0">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9.2.6 O recurso e o pedido de reconsideração terão efeito suspensivo do ato ou da decisão recorrida até que sobrevenha decisão final da autoridade competente.</w:t>
      </w:r>
    </w:p>
    <w:p w14:paraId="4AA6E6CE">
      <w:pPr>
        <w:pStyle w:val="83"/>
        <w:spacing w:before="57" w:beforeLines="24" w:after="57" w:afterLines="24" w:line="288" w:lineRule="auto"/>
        <w:ind w:left="0" w:firstLine="0"/>
        <w:contextualSpacing/>
        <w:rPr>
          <w:rFonts w:ascii="Times New Roman" w:hAnsi="Times New Roman" w:cs="Times New Roman"/>
          <w:sz w:val="24"/>
          <w:szCs w:val="24"/>
        </w:rPr>
      </w:pPr>
    </w:p>
    <w:p w14:paraId="7FF146E5">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9.2.7 O acolhimento do recurso invalida tão somente os atos insuscetíveis de aproveitamento. </w:t>
      </w:r>
    </w:p>
    <w:p w14:paraId="6639CC21">
      <w:pPr>
        <w:pStyle w:val="81"/>
        <w:spacing w:before="0" w:beforeAutospacing="0" w:after="0" w:afterAutospacing="0" w:line="288" w:lineRule="auto"/>
        <w:contextualSpacing/>
        <w:jc w:val="both"/>
        <w:rPr>
          <w:rFonts w:eastAsia="Calibri"/>
          <w:b/>
          <w:bCs/>
          <w:lang w:eastAsia="en-US"/>
        </w:rPr>
      </w:pPr>
    </w:p>
    <w:p w14:paraId="52590174">
      <w:pPr>
        <w:spacing w:line="288" w:lineRule="auto"/>
        <w:contextualSpacing/>
        <w:jc w:val="both"/>
        <w:rPr>
          <w:b/>
          <w:bCs/>
          <w:sz w:val="24"/>
          <w:szCs w:val="24"/>
        </w:rPr>
      </w:pPr>
      <w:r>
        <w:rPr>
          <w:b/>
          <w:bCs/>
          <w:sz w:val="24"/>
          <w:szCs w:val="24"/>
        </w:rPr>
        <w:t>10. DO ENCERRAMENTO DA LICITAÇÃO</w:t>
      </w:r>
    </w:p>
    <w:p w14:paraId="3B999575">
      <w:pPr>
        <w:spacing w:line="288" w:lineRule="auto"/>
        <w:contextualSpacing/>
        <w:jc w:val="both"/>
        <w:rPr>
          <w:sz w:val="24"/>
          <w:szCs w:val="24"/>
        </w:rPr>
      </w:pPr>
    </w:p>
    <w:p w14:paraId="0E078CF0">
      <w:pPr>
        <w:spacing w:line="288" w:lineRule="auto"/>
        <w:contextualSpacing/>
        <w:jc w:val="both"/>
        <w:rPr>
          <w:sz w:val="24"/>
          <w:szCs w:val="24"/>
        </w:rPr>
      </w:pPr>
      <w:r>
        <w:rPr>
          <w:sz w:val="24"/>
          <w:szCs w:val="24"/>
        </w:rPr>
        <w:t>10.1 Encerradas as fases de julgamento e habilitação, e exauridos os recursos administrativos, o processo licitatório será encaminhado à autoridade superior, que poderá proceder na forma dos incisos I a III do art. 71 da Lei nº 14.133/2021, ou adjudicar o objeto e homologar a licitação, quando verificada a regularidade do procedimento.</w:t>
      </w:r>
    </w:p>
    <w:p w14:paraId="52B68816">
      <w:pPr>
        <w:pStyle w:val="81"/>
        <w:spacing w:before="0" w:beforeAutospacing="0" w:after="0" w:afterAutospacing="0" w:line="288" w:lineRule="auto"/>
        <w:contextualSpacing/>
        <w:jc w:val="both"/>
        <w:rPr>
          <w:rFonts w:eastAsia="Calibri"/>
          <w:b/>
          <w:bCs/>
          <w:lang w:eastAsia="en-US"/>
        </w:rPr>
      </w:pPr>
    </w:p>
    <w:p w14:paraId="3F8F96F9">
      <w:pPr>
        <w:pStyle w:val="81"/>
        <w:spacing w:before="0" w:beforeAutospacing="0" w:after="0" w:afterAutospacing="0" w:line="288" w:lineRule="auto"/>
        <w:contextualSpacing/>
        <w:jc w:val="both"/>
        <w:rPr>
          <w:rFonts w:eastAsia="Calibri"/>
          <w:b/>
          <w:bCs/>
          <w:lang w:eastAsia="en-US"/>
        </w:rPr>
      </w:pPr>
      <w:r>
        <w:rPr>
          <w:rFonts w:eastAsia="Calibri"/>
          <w:b/>
          <w:bCs/>
          <w:lang w:eastAsia="en-US"/>
        </w:rPr>
        <w:t>11. DA ATA DE REGISTRO DE PREÇOS</w:t>
      </w:r>
    </w:p>
    <w:p w14:paraId="029FA647">
      <w:pPr>
        <w:pStyle w:val="81"/>
        <w:spacing w:before="0" w:beforeAutospacing="0" w:after="0" w:afterAutospacing="0" w:line="288" w:lineRule="auto"/>
        <w:contextualSpacing/>
        <w:jc w:val="both"/>
        <w:rPr>
          <w:rFonts w:eastAsia="Calibri"/>
          <w:lang w:eastAsia="en-US"/>
        </w:rPr>
      </w:pPr>
    </w:p>
    <w:p w14:paraId="41BAA0C6">
      <w:pPr>
        <w:pStyle w:val="81"/>
        <w:spacing w:before="0" w:beforeAutospacing="0" w:after="0" w:afterAutospacing="0" w:line="288" w:lineRule="auto"/>
        <w:contextualSpacing/>
        <w:jc w:val="both"/>
      </w:pPr>
      <w:r>
        <w:rPr>
          <w:rFonts w:eastAsia="Calibri"/>
          <w:lang w:eastAsia="en-US"/>
        </w:rPr>
        <w:t xml:space="preserve">11.1 </w:t>
      </w:r>
      <w:r>
        <w:t>Homologado o resultado do processo licitatório, o(s) licitante(s) melhor classificado(s), deverá(ão) ser convocado(s) para assinar a Ata de Registro de Preços, no prazo de 5 (cinco) dias úteis, sob pena de decair o direito, sem prejuízo das sanções previstas na Lei nº 14.133/2021 e neste Edital.</w:t>
      </w:r>
    </w:p>
    <w:p w14:paraId="2FB6A180">
      <w:pPr>
        <w:pStyle w:val="81"/>
        <w:spacing w:before="0" w:beforeAutospacing="0" w:after="0" w:afterAutospacing="0" w:line="288" w:lineRule="auto"/>
        <w:contextualSpacing/>
        <w:jc w:val="both"/>
      </w:pPr>
    </w:p>
    <w:p w14:paraId="1EF821C0">
      <w:pPr>
        <w:pStyle w:val="81"/>
        <w:spacing w:before="0" w:beforeAutospacing="0" w:after="0" w:afterAutospacing="0" w:line="288" w:lineRule="auto"/>
        <w:contextualSpacing/>
        <w:jc w:val="both"/>
      </w:pPr>
      <w:r>
        <w:t>11.1.1 O prazo para assinatura da Ata poderá ser prorrogado uma vez, por igual período, desde que:</w:t>
      </w:r>
    </w:p>
    <w:p w14:paraId="30337900">
      <w:pPr>
        <w:pStyle w:val="81"/>
        <w:spacing w:before="0" w:beforeAutospacing="0" w:after="0" w:afterAutospacing="0" w:line="288" w:lineRule="auto"/>
        <w:contextualSpacing/>
        <w:jc w:val="both"/>
      </w:pPr>
    </w:p>
    <w:p w14:paraId="41B5BBF5">
      <w:pPr>
        <w:pStyle w:val="81"/>
        <w:spacing w:before="0" w:beforeAutospacing="0" w:after="0" w:afterAutospacing="0" w:line="288" w:lineRule="auto"/>
        <w:contextualSpacing/>
        <w:jc w:val="both"/>
      </w:pPr>
      <w:r>
        <w:t>a) a solicitação seja justificada pelo licitante melhor classificado e apresentada dentro do prazo; e</w:t>
      </w:r>
    </w:p>
    <w:p w14:paraId="73F8805D">
      <w:pPr>
        <w:pStyle w:val="81"/>
        <w:spacing w:before="0" w:beforeAutospacing="0" w:after="0" w:afterAutospacing="0" w:line="288" w:lineRule="auto"/>
        <w:contextualSpacing/>
        <w:jc w:val="both"/>
      </w:pPr>
    </w:p>
    <w:p w14:paraId="1F61723D">
      <w:pPr>
        <w:pStyle w:val="81"/>
        <w:spacing w:before="0" w:beforeAutospacing="0" w:after="0" w:afterAutospacing="0" w:line="288" w:lineRule="auto"/>
        <w:contextualSpacing/>
        <w:jc w:val="both"/>
      </w:pPr>
      <w:r>
        <w:t>b) a justificativa apresentada seja aceita pela Administração.</w:t>
      </w:r>
    </w:p>
    <w:p w14:paraId="78684AC6">
      <w:pPr>
        <w:pStyle w:val="81"/>
        <w:spacing w:before="0" w:beforeAutospacing="0" w:after="0" w:afterAutospacing="0" w:line="288" w:lineRule="auto"/>
        <w:contextualSpacing/>
        <w:jc w:val="both"/>
      </w:pPr>
    </w:p>
    <w:p w14:paraId="54098C1C">
      <w:pPr>
        <w:pStyle w:val="81"/>
        <w:spacing w:before="0" w:beforeAutospacing="0" w:after="0" w:afterAutospacing="0" w:line="288" w:lineRule="auto"/>
        <w:contextualSpacing/>
        <w:jc w:val="both"/>
      </w:pPr>
      <w:r>
        <w:t xml:space="preserve">11.2 Serão formalizadas tantas Atas de Registro de Preços quantas forem necessárias para o registro de todos os itens constantes no Termo de Referência, com a descrição do licitante vencedor, a descrição </w:t>
      </w:r>
      <w:r>
        <w:rPr>
          <w:color w:val="000000" w:themeColor="text1"/>
          <w14:textFill>
            <w14:solidFill>
              <w14:schemeClr w14:val="tx1"/>
            </w14:solidFill>
          </w14:textFill>
        </w:rPr>
        <w:t xml:space="preserve">dos itens, as </w:t>
      </w:r>
      <w:r>
        <w:t>respectivas quantidades, preços registrados e os demais requisitos estabelecidos no art. 19 do Decreto nº 46/2025.</w:t>
      </w:r>
    </w:p>
    <w:p w14:paraId="0D50E385">
      <w:pPr>
        <w:pStyle w:val="81"/>
        <w:spacing w:before="0" w:beforeAutospacing="0" w:after="0" w:afterAutospacing="0" w:line="288" w:lineRule="auto"/>
        <w:contextualSpacing/>
        <w:jc w:val="both"/>
      </w:pPr>
    </w:p>
    <w:p w14:paraId="73351485">
      <w:pPr>
        <w:pStyle w:val="81"/>
        <w:spacing w:before="0" w:beforeAutospacing="0" w:after="0" w:afterAutospacing="0" w:line="288" w:lineRule="auto"/>
        <w:contextualSpacing/>
        <w:jc w:val="both"/>
      </w:pPr>
      <w:r>
        <w:t>11.2.1 Quando a quantidade ofertada pelo primeiro colocado não for suficiente para suprir a demanda estimada, ao preço do primeiro colocado poderão ser registrados tantos fornecedores quantos necessários para que, em função das propostas apresentadas, seja atingida a quantidade total estimada para o item ou grupo de itens.</w:t>
      </w:r>
    </w:p>
    <w:p w14:paraId="56611CCA">
      <w:pPr>
        <w:pStyle w:val="81"/>
        <w:spacing w:before="0" w:beforeAutospacing="0" w:after="0" w:afterAutospacing="0" w:line="288" w:lineRule="auto"/>
        <w:contextualSpacing/>
        <w:jc w:val="both"/>
      </w:pPr>
    </w:p>
    <w:p w14:paraId="669A4F91">
      <w:pPr>
        <w:pStyle w:val="81"/>
        <w:spacing w:before="0" w:beforeAutospacing="0" w:after="0" w:afterAutospacing="0" w:line="288" w:lineRule="auto"/>
        <w:contextualSpacing/>
        <w:jc w:val="both"/>
      </w:pPr>
      <w:r>
        <w:t>11.3 O registro de preços e as atas dele decorrentes deverão ser divulgados no Portal Nacional de Contratações Públicas - PNCP e no Portal do Município de Valença RJ.</w:t>
      </w:r>
    </w:p>
    <w:p w14:paraId="48EB53E1">
      <w:pPr>
        <w:pStyle w:val="81"/>
        <w:spacing w:before="0" w:beforeAutospacing="0" w:after="0" w:afterAutospacing="0" w:line="288" w:lineRule="auto"/>
        <w:contextualSpacing/>
        <w:jc w:val="both"/>
      </w:pPr>
    </w:p>
    <w:p w14:paraId="06FDAF4A">
      <w:pPr>
        <w:pStyle w:val="81"/>
        <w:spacing w:before="0" w:beforeAutospacing="0" w:after="0" w:afterAutospacing="0" w:line="288" w:lineRule="auto"/>
        <w:contextualSpacing/>
        <w:jc w:val="both"/>
      </w:pPr>
      <w:r>
        <w:t xml:space="preserve">11.4 A existência de preços registrados implicará compromisso de fornecimento nas condições estabelecidas, mas não obrigará a Administração a contratar, facultada a realização de licitação para a aquisição pretendida, desde que devidamente motivada. </w:t>
      </w:r>
    </w:p>
    <w:p w14:paraId="4D3A6779">
      <w:pPr>
        <w:pStyle w:val="81"/>
        <w:spacing w:before="0" w:beforeAutospacing="0" w:after="0" w:afterAutospacing="0" w:line="288" w:lineRule="auto"/>
        <w:contextualSpacing/>
        <w:jc w:val="both"/>
      </w:pPr>
    </w:p>
    <w:p w14:paraId="54A072A2">
      <w:pPr>
        <w:pStyle w:val="81"/>
        <w:spacing w:before="0" w:beforeAutospacing="0" w:after="0" w:afterAutospacing="0" w:line="288" w:lineRule="auto"/>
        <w:contextualSpacing/>
        <w:jc w:val="both"/>
      </w:pPr>
      <w:r>
        <w:t>11.5 É facultado à Administração, quando o(s) fornecedor(es) convocado(s) não assinar(em) a Ata de Registro de Preços no prazo e condições estabelecidas, convocar os proponentes do Cadastro de Reserva, na ordem de classificação, para fazê-lo em igual prazo e nas mesmas condições propostas pelo primeiro classificado, de modo a integrar a Ata na qualidade de fornecedor.</w:t>
      </w:r>
    </w:p>
    <w:p w14:paraId="2A5A9D59">
      <w:pPr>
        <w:pStyle w:val="81"/>
        <w:spacing w:before="0" w:beforeAutospacing="0" w:after="0" w:afterAutospacing="0" w:line="288" w:lineRule="auto"/>
        <w:contextualSpacing/>
        <w:jc w:val="both"/>
      </w:pPr>
    </w:p>
    <w:p w14:paraId="715339C5">
      <w:pPr>
        <w:autoSpaceDE w:val="0"/>
        <w:autoSpaceDN w:val="0"/>
        <w:adjustRightInd w:val="0"/>
        <w:spacing w:line="288" w:lineRule="auto"/>
        <w:contextualSpacing/>
        <w:jc w:val="both"/>
        <w:rPr>
          <w:sz w:val="24"/>
          <w:szCs w:val="24"/>
        </w:rPr>
      </w:pPr>
      <w:r>
        <w:rPr>
          <w:sz w:val="24"/>
          <w:szCs w:val="24"/>
        </w:rPr>
        <w:t xml:space="preserve">11.6 O prazo de validade da Ata de Registro de Preços é de 1 (um) ano, contado a partir do 1º (primeiro) dia útil subsequente à data de divulgação no PNCP. </w:t>
      </w:r>
    </w:p>
    <w:p w14:paraId="20DC1DA0">
      <w:pPr>
        <w:autoSpaceDE w:val="0"/>
        <w:autoSpaceDN w:val="0"/>
        <w:adjustRightInd w:val="0"/>
        <w:spacing w:line="288" w:lineRule="auto"/>
        <w:contextualSpacing/>
        <w:jc w:val="both"/>
        <w:rPr>
          <w:color w:val="231F20"/>
          <w:sz w:val="24"/>
          <w:szCs w:val="24"/>
        </w:rPr>
      </w:pPr>
    </w:p>
    <w:p w14:paraId="37693BB2">
      <w:pPr>
        <w:autoSpaceDE w:val="0"/>
        <w:autoSpaceDN w:val="0"/>
        <w:adjustRightInd w:val="0"/>
        <w:spacing w:line="288" w:lineRule="auto"/>
        <w:contextualSpacing/>
        <w:jc w:val="both"/>
        <w:rPr>
          <w:sz w:val="24"/>
          <w:szCs w:val="24"/>
        </w:rPr>
      </w:pPr>
      <w:r>
        <w:rPr>
          <w:color w:val="231F20"/>
          <w:sz w:val="24"/>
          <w:szCs w:val="24"/>
        </w:rPr>
        <w:t xml:space="preserve">11.6.1 </w:t>
      </w:r>
      <w:r>
        <w:rPr>
          <w:sz w:val="24"/>
          <w:szCs w:val="24"/>
        </w:rPr>
        <w:t>O prazo de vigência da Ata de Registro de Preços poderá ser prorrogado, por igual período, mediante termo aditivo, desde que as condições e os preços permaneçam vantajosos, observados os requisitos estabelecidos no art. 20 do Decreto nº 46/2025 e na referida Ata.</w:t>
      </w:r>
    </w:p>
    <w:p w14:paraId="5B23FAD2">
      <w:pPr>
        <w:autoSpaceDE w:val="0"/>
        <w:autoSpaceDN w:val="0"/>
        <w:adjustRightInd w:val="0"/>
        <w:spacing w:line="288" w:lineRule="auto"/>
        <w:contextualSpacing/>
        <w:jc w:val="both"/>
        <w:rPr>
          <w:sz w:val="24"/>
          <w:szCs w:val="24"/>
        </w:rPr>
      </w:pPr>
    </w:p>
    <w:p w14:paraId="0E5A3E5B">
      <w:pPr>
        <w:spacing w:line="288" w:lineRule="auto"/>
        <w:contextualSpacing/>
        <w:jc w:val="both"/>
        <w:rPr>
          <w:color w:val="231F20"/>
          <w:sz w:val="24"/>
          <w:szCs w:val="24"/>
        </w:rPr>
      </w:pPr>
      <w:r>
        <w:rPr>
          <w:sz w:val="24"/>
          <w:szCs w:val="24"/>
        </w:rPr>
        <w:t>11.7</w:t>
      </w:r>
      <w:r>
        <w:rPr>
          <w:bCs/>
          <w:sz w:val="24"/>
          <w:szCs w:val="24"/>
        </w:rPr>
        <w:t xml:space="preserve"> Na forma dos arts. 27 e 28 do Decreto nº 46/2025, o</w:t>
      </w:r>
      <w:r>
        <w:rPr>
          <w:sz w:val="24"/>
          <w:szCs w:val="24"/>
        </w:rPr>
        <w:t xml:space="preserve">s preços registrados poderão ser revistos e alterados em decorrência de eventual redução dos preços praticados no mercado ou de fato que eleve o custo dos bens, obras ou serviços registrados, em caso de força maior, caso fortuito ou fato do príncipe ou em decorrência de fatos imprevisíveis ou previsíveis de consequências incalculáveis, que inviabilizem a execução da Ata tal como pactuado, nos termos da alínea d do inciso II do </w:t>
      </w:r>
      <w:r>
        <w:rPr>
          <w:i/>
          <w:iCs/>
          <w:sz w:val="24"/>
          <w:szCs w:val="24"/>
        </w:rPr>
        <w:t>caput</w:t>
      </w:r>
      <w:r>
        <w:rPr>
          <w:sz w:val="24"/>
          <w:szCs w:val="24"/>
        </w:rPr>
        <w:t xml:space="preserve"> do art. 124 da Lei nº 14.133/2021</w:t>
      </w:r>
      <w:r>
        <w:rPr>
          <w:color w:val="231F20"/>
          <w:sz w:val="24"/>
          <w:szCs w:val="24"/>
        </w:rPr>
        <w:t>.</w:t>
      </w:r>
    </w:p>
    <w:p w14:paraId="3716EA66">
      <w:pPr>
        <w:autoSpaceDE w:val="0"/>
        <w:autoSpaceDN w:val="0"/>
        <w:adjustRightInd w:val="0"/>
        <w:spacing w:line="288" w:lineRule="auto"/>
        <w:contextualSpacing/>
        <w:jc w:val="both"/>
        <w:rPr>
          <w:sz w:val="24"/>
          <w:szCs w:val="24"/>
        </w:rPr>
      </w:pPr>
    </w:p>
    <w:p w14:paraId="052B0D85">
      <w:pPr>
        <w:autoSpaceDE w:val="0"/>
        <w:autoSpaceDN w:val="0"/>
        <w:adjustRightInd w:val="0"/>
        <w:spacing w:line="288" w:lineRule="auto"/>
        <w:contextualSpacing/>
        <w:jc w:val="both"/>
        <w:rPr>
          <w:sz w:val="24"/>
          <w:szCs w:val="24"/>
        </w:rPr>
      </w:pPr>
      <w:r>
        <w:rPr>
          <w:sz w:val="24"/>
          <w:szCs w:val="24"/>
        </w:rPr>
        <w:t>11.7.1 Os preços registrados poderão, ainda, ser reajustados ou repactuados, observando-se as regras estabelecidas no item 18 deste Edital, nos termos da Lei nº 14.133/2021.</w:t>
      </w:r>
    </w:p>
    <w:p w14:paraId="5FB25F36">
      <w:pPr>
        <w:autoSpaceDE w:val="0"/>
        <w:autoSpaceDN w:val="0"/>
        <w:adjustRightInd w:val="0"/>
        <w:spacing w:line="288" w:lineRule="auto"/>
        <w:contextualSpacing/>
        <w:jc w:val="both"/>
        <w:rPr>
          <w:sz w:val="24"/>
          <w:szCs w:val="24"/>
        </w:rPr>
      </w:pPr>
    </w:p>
    <w:p w14:paraId="58FB87C9">
      <w:pPr>
        <w:pStyle w:val="81"/>
        <w:spacing w:before="0" w:beforeAutospacing="0" w:after="0" w:afterAutospacing="0" w:line="288" w:lineRule="auto"/>
        <w:contextualSpacing/>
        <w:jc w:val="both"/>
      </w:pPr>
      <w:r>
        <w:t>11.7.2 As condições para alteração ou atualização dos preços registrados se encontram previstas na Ata de Registro de Preços.</w:t>
      </w:r>
    </w:p>
    <w:p w14:paraId="44951CCF">
      <w:pPr>
        <w:pStyle w:val="81"/>
        <w:spacing w:before="0" w:beforeAutospacing="0" w:after="0" w:afterAutospacing="0" w:line="288" w:lineRule="auto"/>
        <w:contextualSpacing/>
        <w:jc w:val="both"/>
      </w:pPr>
    </w:p>
    <w:p w14:paraId="277F1588">
      <w:pPr>
        <w:spacing w:line="288" w:lineRule="auto"/>
        <w:contextualSpacing/>
        <w:jc w:val="both"/>
        <w:rPr>
          <w:sz w:val="24"/>
          <w:szCs w:val="24"/>
        </w:rPr>
      </w:pPr>
      <w:r>
        <w:rPr>
          <w:sz w:val="24"/>
          <w:szCs w:val="24"/>
        </w:rPr>
        <w:t xml:space="preserve">11.8 </w:t>
      </w:r>
      <w:r>
        <w:rPr>
          <w:color w:val="231F20"/>
          <w:sz w:val="24"/>
          <w:szCs w:val="24"/>
        </w:rPr>
        <w:t>O registro do fornecedor será cancelado, na forma do art. 31 do Decreto nº 46/2025 da Ata de Registro de Preços, quando:</w:t>
      </w:r>
    </w:p>
    <w:p w14:paraId="5169BE33">
      <w:pPr>
        <w:autoSpaceDE w:val="0"/>
        <w:autoSpaceDN w:val="0"/>
        <w:adjustRightInd w:val="0"/>
        <w:spacing w:line="288" w:lineRule="auto"/>
        <w:contextualSpacing/>
        <w:jc w:val="both"/>
        <w:rPr>
          <w:b/>
          <w:bCs/>
          <w:color w:val="231F20"/>
          <w:sz w:val="24"/>
          <w:szCs w:val="24"/>
        </w:rPr>
      </w:pPr>
    </w:p>
    <w:p w14:paraId="60B2826B">
      <w:pPr>
        <w:autoSpaceDE w:val="0"/>
        <w:autoSpaceDN w:val="0"/>
        <w:adjustRightInd w:val="0"/>
        <w:spacing w:line="288" w:lineRule="auto"/>
        <w:contextualSpacing/>
        <w:jc w:val="both"/>
        <w:rPr>
          <w:color w:val="231F20"/>
          <w:sz w:val="24"/>
          <w:szCs w:val="24"/>
        </w:rPr>
      </w:pPr>
      <w:r>
        <w:rPr>
          <w:color w:val="231F20"/>
          <w:sz w:val="24"/>
          <w:szCs w:val="24"/>
        </w:rPr>
        <w:t>a) forem descumpridas as condições da Ata de Registro de Preços, sem motivo justificado;</w:t>
      </w:r>
    </w:p>
    <w:p w14:paraId="3B421F2F">
      <w:pPr>
        <w:autoSpaceDE w:val="0"/>
        <w:autoSpaceDN w:val="0"/>
        <w:adjustRightInd w:val="0"/>
        <w:spacing w:line="288" w:lineRule="auto"/>
        <w:contextualSpacing/>
        <w:jc w:val="both"/>
        <w:rPr>
          <w:color w:val="231F20"/>
          <w:sz w:val="24"/>
          <w:szCs w:val="24"/>
        </w:rPr>
      </w:pPr>
    </w:p>
    <w:p w14:paraId="72B31F85">
      <w:pPr>
        <w:autoSpaceDE w:val="0"/>
        <w:autoSpaceDN w:val="0"/>
        <w:adjustRightInd w:val="0"/>
        <w:spacing w:line="288" w:lineRule="auto"/>
        <w:contextualSpacing/>
        <w:jc w:val="both"/>
        <w:rPr>
          <w:color w:val="231F20"/>
          <w:sz w:val="24"/>
          <w:szCs w:val="24"/>
        </w:rPr>
      </w:pPr>
      <w:r>
        <w:rPr>
          <w:color w:val="231F20"/>
          <w:sz w:val="24"/>
          <w:szCs w:val="24"/>
        </w:rPr>
        <w:t xml:space="preserve">b) </w:t>
      </w:r>
      <w:r>
        <w:rPr>
          <w:sz w:val="24"/>
          <w:szCs w:val="24"/>
        </w:rPr>
        <w:t>não assinar o contrato ou não retirar a nota de empenho ou instrumento equivalente no prazo estabelecido pela Administração, sem justificativa aceitável;</w:t>
      </w:r>
    </w:p>
    <w:p w14:paraId="5CCD1C2A">
      <w:pPr>
        <w:autoSpaceDE w:val="0"/>
        <w:autoSpaceDN w:val="0"/>
        <w:adjustRightInd w:val="0"/>
        <w:spacing w:line="288" w:lineRule="auto"/>
        <w:contextualSpacing/>
        <w:jc w:val="both"/>
        <w:rPr>
          <w:color w:val="231F20"/>
          <w:sz w:val="24"/>
          <w:szCs w:val="24"/>
        </w:rPr>
      </w:pPr>
    </w:p>
    <w:p w14:paraId="43BE51FF">
      <w:pPr>
        <w:autoSpaceDE w:val="0"/>
        <w:autoSpaceDN w:val="0"/>
        <w:adjustRightInd w:val="0"/>
        <w:spacing w:line="288" w:lineRule="auto"/>
        <w:contextualSpacing/>
        <w:jc w:val="both"/>
        <w:rPr>
          <w:color w:val="231F20"/>
          <w:sz w:val="24"/>
          <w:szCs w:val="24"/>
        </w:rPr>
      </w:pPr>
      <w:r>
        <w:rPr>
          <w:color w:val="231F20"/>
          <w:sz w:val="24"/>
          <w:szCs w:val="24"/>
        </w:rPr>
        <w:t>c) não aceitar reduzir o seu preço registrado, na hipótese deste se tornar superior àqueles praticados no mercado; ou</w:t>
      </w:r>
    </w:p>
    <w:p w14:paraId="775C7C33">
      <w:pPr>
        <w:autoSpaceDE w:val="0"/>
        <w:autoSpaceDN w:val="0"/>
        <w:adjustRightInd w:val="0"/>
        <w:spacing w:line="288" w:lineRule="auto"/>
        <w:contextualSpacing/>
        <w:jc w:val="both"/>
        <w:rPr>
          <w:color w:val="231F20"/>
          <w:sz w:val="24"/>
          <w:szCs w:val="24"/>
        </w:rPr>
      </w:pPr>
    </w:p>
    <w:p w14:paraId="3215A531">
      <w:pPr>
        <w:autoSpaceDE w:val="0"/>
        <w:autoSpaceDN w:val="0"/>
        <w:adjustRightInd w:val="0"/>
        <w:spacing w:line="288" w:lineRule="auto"/>
        <w:contextualSpacing/>
        <w:jc w:val="both"/>
        <w:rPr>
          <w:sz w:val="24"/>
          <w:szCs w:val="24"/>
        </w:rPr>
      </w:pPr>
      <w:r>
        <w:rPr>
          <w:color w:val="231F20"/>
          <w:sz w:val="24"/>
          <w:szCs w:val="24"/>
        </w:rPr>
        <w:t xml:space="preserve">d) </w:t>
      </w:r>
      <w:r>
        <w:rPr>
          <w:sz w:val="24"/>
          <w:szCs w:val="24"/>
        </w:rPr>
        <w:t xml:space="preserve">sofrer sanção prevista nos incisos III ou IV do </w:t>
      </w:r>
      <w:r>
        <w:rPr>
          <w:i/>
          <w:iCs/>
          <w:sz w:val="24"/>
          <w:szCs w:val="24"/>
        </w:rPr>
        <w:t>caput</w:t>
      </w:r>
      <w:r>
        <w:rPr>
          <w:sz w:val="24"/>
          <w:szCs w:val="24"/>
        </w:rPr>
        <w:t xml:space="preserve"> do art. 156 da Lei nº 14.133/2021, observado os §§ 4º e 5º do referido dispositivo. </w:t>
      </w:r>
    </w:p>
    <w:p w14:paraId="036F1B9A">
      <w:pPr>
        <w:autoSpaceDE w:val="0"/>
        <w:autoSpaceDN w:val="0"/>
        <w:adjustRightInd w:val="0"/>
        <w:spacing w:line="288" w:lineRule="auto"/>
        <w:contextualSpacing/>
        <w:jc w:val="both"/>
        <w:rPr>
          <w:sz w:val="24"/>
          <w:szCs w:val="24"/>
        </w:rPr>
      </w:pPr>
    </w:p>
    <w:p w14:paraId="58828B68">
      <w:pPr>
        <w:autoSpaceDE w:val="0"/>
        <w:autoSpaceDN w:val="0"/>
        <w:adjustRightInd w:val="0"/>
        <w:spacing w:line="288" w:lineRule="auto"/>
        <w:contextualSpacing/>
        <w:jc w:val="both"/>
        <w:rPr>
          <w:sz w:val="24"/>
          <w:szCs w:val="24"/>
        </w:rPr>
      </w:pPr>
      <w:r>
        <w:rPr>
          <w:color w:val="231F20"/>
          <w:sz w:val="24"/>
          <w:szCs w:val="24"/>
        </w:rPr>
        <w:t>11.9 O cancelamento do registro de preços poderá ocorrer</w:t>
      </w:r>
      <w:r>
        <w:rPr>
          <w:sz w:val="24"/>
          <w:szCs w:val="24"/>
        </w:rPr>
        <w:t xml:space="preserve">, total ou parcialmente, pelo gerenciador, </w:t>
      </w:r>
      <w:r>
        <w:rPr>
          <w:color w:val="231F20"/>
          <w:sz w:val="24"/>
          <w:szCs w:val="24"/>
        </w:rPr>
        <w:t>na forma do art. 32 do Decreto nº 46/2025 e da Ata de Registro de Preços,</w:t>
      </w:r>
      <w:r>
        <w:rPr>
          <w:sz w:val="24"/>
          <w:szCs w:val="24"/>
        </w:rPr>
        <w:t xml:space="preserve"> desde que devidamente comprovados e justificados: </w:t>
      </w:r>
    </w:p>
    <w:p w14:paraId="232AF1EB">
      <w:pPr>
        <w:autoSpaceDE w:val="0"/>
        <w:autoSpaceDN w:val="0"/>
        <w:adjustRightInd w:val="0"/>
        <w:spacing w:line="288" w:lineRule="auto"/>
        <w:contextualSpacing/>
        <w:jc w:val="both"/>
        <w:rPr>
          <w:sz w:val="24"/>
          <w:szCs w:val="24"/>
        </w:rPr>
      </w:pPr>
    </w:p>
    <w:p w14:paraId="418F95BE">
      <w:pPr>
        <w:autoSpaceDE w:val="0"/>
        <w:autoSpaceDN w:val="0"/>
        <w:adjustRightInd w:val="0"/>
        <w:spacing w:line="288" w:lineRule="auto"/>
        <w:contextualSpacing/>
        <w:jc w:val="both"/>
        <w:rPr>
          <w:sz w:val="24"/>
          <w:szCs w:val="24"/>
        </w:rPr>
      </w:pPr>
      <w:r>
        <w:rPr>
          <w:sz w:val="24"/>
          <w:szCs w:val="24"/>
        </w:rPr>
        <w:t xml:space="preserve">a)  por razão de interesse público; </w:t>
      </w:r>
    </w:p>
    <w:p w14:paraId="3C707DE7">
      <w:pPr>
        <w:autoSpaceDE w:val="0"/>
        <w:autoSpaceDN w:val="0"/>
        <w:adjustRightInd w:val="0"/>
        <w:spacing w:line="288" w:lineRule="auto"/>
        <w:contextualSpacing/>
        <w:jc w:val="both"/>
        <w:rPr>
          <w:sz w:val="24"/>
          <w:szCs w:val="24"/>
        </w:rPr>
      </w:pPr>
    </w:p>
    <w:p w14:paraId="429AE5A1">
      <w:pPr>
        <w:autoSpaceDE w:val="0"/>
        <w:autoSpaceDN w:val="0"/>
        <w:adjustRightInd w:val="0"/>
        <w:spacing w:line="288" w:lineRule="auto"/>
        <w:contextualSpacing/>
        <w:jc w:val="both"/>
        <w:rPr>
          <w:sz w:val="24"/>
          <w:szCs w:val="24"/>
        </w:rPr>
      </w:pPr>
      <w:r>
        <w:rPr>
          <w:sz w:val="24"/>
          <w:szCs w:val="24"/>
        </w:rPr>
        <w:t xml:space="preserve">b) pelo cancelamento de todos os preços registrados; ou </w:t>
      </w:r>
    </w:p>
    <w:p w14:paraId="4B681BBE">
      <w:pPr>
        <w:autoSpaceDE w:val="0"/>
        <w:autoSpaceDN w:val="0"/>
        <w:adjustRightInd w:val="0"/>
        <w:spacing w:line="288" w:lineRule="auto"/>
        <w:contextualSpacing/>
        <w:jc w:val="both"/>
        <w:rPr>
          <w:sz w:val="24"/>
          <w:szCs w:val="24"/>
        </w:rPr>
      </w:pPr>
    </w:p>
    <w:p w14:paraId="73FD2216">
      <w:pPr>
        <w:autoSpaceDE w:val="0"/>
        <w:autoSpaceDN w:val="0"/>
        <w:adjustRightInd w:val="0"/>
        <w:spacing w:line="288" w:lineRule="auto"/>
        <w:contextualSpacing/>
        <w:jc w:val="both"/>
        <w:rPr>
          <w:sz w:val="24"/>
          <w:szCs w:val="24"/>
        </w:rPr>
      </w:pPr>
      <w:r>
        <w:rPr>
          <w:sz w:val="24"/>
          <w:szCs w:val="24"/>
        </w:rPr>
        <w:t xml:space="preserve">c) a pedido do </w:t>
      </w:r>
      <w:r>
        <w:rPr>
          <w:color w:val="231F20"/>
          <w:sz w:val="24"/>
          <w:szCs w:val="24"/>
        </w:rPr>
        <w:t>fornecedor</w:t>
      </w:r>
      <w:r>
        <w:rPr>
          <w:sz w:val="24"/>
          <w:szCs w:val="24"/>
        </w:rPr>
        <w:t>, decorrente de fato superveniente, de caso fortuito ou força maior, que prejudique o cumprimento da Ata.</w:t>
      </w:r>
    </w:p>
    <w:p w14:paraId="51118C91">
      <w:pPr>
        <w:pStyle w:val="81"/>
        <w:spacing w:before="0" w:beforeAutospacing="0" w:after="0" w:afterAutospacing="0" w:line="288" w:lineRule="auto"/>
        <w:contextualSpacing/>
        <w:jc w:val="both"/>
      </w:pPr>
      <w:r>
        <w:t xml:space="preserve"> </w:t>
      </w:r>
    </w:p>
    <w:p w14:paraId="294A8A24">
      <w:pPr>
        <w:spacing w:line="288" w:lineRule="auto"/>
        <w:contextualSpacing/>
        <w:jc w:val="both"/>
        <w:rPr>
          <w:sz w:val="24"/>
          <w:szCs w:val="24"/>
        </w:rPr>
      </w:pPr>
      <w:r>
        <w:rPr>
          <w:sz w:val="24"/>
          <w:szCs w:val="24"/>
        </w:rPr>
        <w:t>11.10 Compete ao gerenciador aplicar, garantida a ampla defesa e o contraditório, as penalidades decorrentes do descumprimento do pactuado neste Edital e na Ata de Registro de Preços ou do descumprimento das obrigações contratuais, em relação às suas próprias contratações, e promover as publicações, encaminhamentos e registros cabíveis.</w:t>
      </w:r>
    </w:p>
    <w:p w14:paraId="2BA25D66">
      <w:pPr>
        <w:spacing w:line="288" w:lineRule="auto"/>
        <w:contextualSpacing/>
        <w:jc w:val="both"/>
        <w:rPr>
          <w:sz w:val="24"/>
          <w:szCs w:val="24"/>
        </w:rPr>
      </w:pPr>
    </w:p>
    <w:p w14:paraId="0EE5CF20">
      <w:pPr>
        <w:spacing w:line="288" w:lineRule="auto"/>
        <w:contextualSpacing/>
        <w:jc w:val="both"/>
        <w:rPr>
          <w:sz w:val="24"/>
          <w:szCs w:val="24"/>
        </w:rPr>
      </w:pPr>
      <w:r>
        <w:rPr>
          <w:sz w:val="24"/>
          <w:szCs w:val="24"/>
        </w:rPr>
        <w:t xml:space="preserve">11.11 Compete aos participantes e aos </w:t>
      </w:r>
      <w:r>
        <w:rPr>
          <w:bCs/>
          <w:color w:val="231F20"/>
          <w:sz w:val="24"/>
          <w:szCs w:val="24"/>
        </w:rPr>
        <w:t xml:space="preserve">não-participantes </w:t>
      </w:r>
      <w:r>
        <w:rPr>
          <w:sz w:val="24"/>
          <w:szCs w:val="24"/>
        </w:rPr>
        <w:t>aplicar, quando admitidos, garantida a ampla defesa e o contraditório, as penalidades decorrentes do descumprimento das obrigações contratuais, em relação às suas próprias contratações, e promover as publicações, encaminhamentos e registros cabíveis.</w:t>
      </w:r>
    </w:p>
    <w:p w14:paraId="2147B387">
      <w:pPr>
        <w:pStyle w:val="81"/>
        <w:spacing w:before="0" w:beforeAutospacing="0" w:after="0" w:afterAutospacing="0" w:line="288" w:lineRule="auto"/>
        <w:contextualSpacing/>
        <w:jc w:val="both"/>
        <w:rPr>
          <w:rFonts w:asciiTheme="minorHAnsi" w:hAnsiTheme="minorHAnsi" w:cstheme="minorHAnsi"/>
        </w:rPr>
      </w:pPr>
    </w:p>
    <w:p w14:paraId="56BEFEA9">
      <w:pPr>
        <w:pStyle w:val="81"/>
        <w:spacing w:before="0" w:beforeAutospacing="0" w:after="0" w:afterAutospacing="0" w:line="288" w:lineRule="auto"/>
        <w:contextualSpacing/>
        <w:jc w:val="both"/>
      </w:pPr>
      <w:r>
        <w:rPr>
          <w:b/>
          <w:bCs/>
        </w:rPr>
        <w:t>12. FORMAÇÃO DO CADASTRO DE RESERVA</w:t>
      </w:r>
    </w:p>
    <w:p w14:paraId="783C7135">
      <w:pPr>
        <w:pStyle w:val="81"/>
        <w:spacing w:before="0" w:beforeAutospacing="0" w:after="0" w:afterAutospacing="0" w:line="288" w:lineRule="auto"/>
        <w:contextualSpacing/>
        <w:jc w:val="both"/>
      </w:pPr>
    </w:p>
    <w:p w14:paraId="41CFF9F6">
      <w:pPr>
        <w:pStyle w:val="81"/>
        <w:spacing w:before="0" w:beforeAutospacing="0" w:after="0" w:afterAutospacing="0" w:line="288" w:lineRule="auto"/>
        <w:contextualSpacing/>
        <w:jc w:val="both"/>
      </w:pPr>
      <w:r>
        <w:t xml:space="preserve">12.1 Após a fase recursal, os licitantes serão convocados para reduzir seus preços ao valor da proposta do proponente melhor classificado, ocasião na qual será oportunizada a formação de eventual Cadastro de Reserva. </w:t>
      </w:r>
    </w:p>
    <w:p w14:paraId="62B52802">
      <w:pPr>
        <w:pStyle w:val="81"/>
        <w:spacing w:before="0" w:beforeAutospacing="0" w:after="0" w:afterAutospacing="0" w:line="288" w:lineRule="auto"/>
        <w:contextualSpacing/>
        <w:jc w:val="both"/>
      </w:pPr>
    </w:p>
    <w:p w14:paraId="5ACCC62B">
      <w:pPr>
        <w:pStyle w:val="81"/>
        <w:spacing w:before="0" w:beforeAutospacing="0" w:after="0" w:afterAutospacing="0" w:line="288" w:lineRule="auto"/>
        <w:contextualSpacing/>
        <w:jc w:val="both"/>
      </w:pPr>
      <w:r>
        <w:t xml:space="preserve">12.1.1 A apresentação de novas propostas na forma do </w:t>
      </w:r>
      <w:r>
        <w:rPr>
          <w:i/>
          <w:iCs/>
        </w:rPr>
        <w:t>caput</w:t>
      </w:r>
      <w:r>
        <w:t xml:space="preserve"> deste item não prejudicará o resultado do certame, inclusive quanto à ordem de classificação das propostas.</w:t>
      </w:r>
    </w:p>
    <w:p w14:paraId="7CDB399B">
      <w:pPr>
        <w:pStyle w:val="81"/>
        <w:spacing w:before="0" w:beforeAutospacing="0" w:after="0" w:afterAutospacing="0" w:line="288" w:lineRule="auto"/>
        <w:contextualSpacing/>
        <w:jc w:val="both"/>
      </w:pPr>
    </w:p>
    <w:p w14:paraId="013DF549">
      <w:pPr>
        <w:pStyle w:val="81"/>
        <w:spacing w:before="0" w:beforeAutospacing="0" w:after="0" w:afterAutospacing="0" w:line="288" w:lineRule="auto"/>
        <w:contextualSpacing/>
        <w:jc w:val="both"/>
      </w:pPr>
      <w:r>
        <w:t xml:space="preserve">12.2 Homologada a licitação, deverão ser registrados na Ata de Registro de Preços, para fins de formação de Cadastro de Reserva: </w:t>
      </w:r>
    </w:p>
    <w:p w14:paraId="40F79C4E">
      <w:pPr>
        <w:pStyle w:val="81"/>
        <w:spacing w:before="0" w:beforeAutospacing="0" w:after="0" w:afterAutospacing="0" w:line="288" w:lineRule="auto"/>
        <w:contextualSpacing/>
        <w:jc w:val="both"/>
      </w:pPr>
    </w:p>
    <w:p w14:paraId="76342B4F">
      <w:pPr>
        <w:pStyle w:val="81"/>
        <w:spacing w:before="0" w:beforeAutospacing="0" w:after="0" w:afterAutospacing="0" w:line="288" w:lineRule="auto"/>
        <w:contextualSpacing/>
        <w:jc w:val="both"/>
      </w:pPr>
      <w:r>
        <w:t xml:space="preserve">12.2.1 os licitantes que aceitarem cotar os bens ou serviços com preços iguais aos do proponente vencedor do certame, observada a ordem de classificação; e </w:t>
      </w:r>
    </w:p>
    <w:p w14:paraId="4A6E6C3C">
      <w:pPr>
        <w:pStyle w:val="81"/>
        <w:spacing w:before="0" w:beforeAutospacing="0" w:after="0" w:afterAutospacing="0" w:line="288" w:lineRule="auto"/>
        <w:contextualSpacing/>
        <w:jc w:val="both"/>
      </w:pPr>
    </w:p>
    <w:p w14:paraId="093B216D">
      <w:pPr>
        <w:pStyle w:val="81"/>
        <w:spacing w:before="0" w:beforeAutospacing="0" w:after="0" w:afterAutospacing="0" w:line="288" w:lineRule="auto"/>
        <w:contextualSpacing/>
        <w:jc w:val="both"/>
      </w:pPr>
      <w:r>
        <w:t xml:space="preserve">12.2.2 os proponentes que mantiverem sua proposta original. </w:t>
      </w:r>
    </w:p>
    <w:p w14:paraId="3C7E0E17">
      <w:pPr>
        <w:autoSpaceDE w:val="0"/>
        <w:autoSpaceDN w:val="0"/>
        <w:adjustRightInd w:val="0"/>
        <w:spacing w:line="288" w:lineRule="auto"/>
        <w:contextualSpacing/>
        <w:jc w:val="both"/>
        <w:rPr>
          <w:color w:val="231F20"/>
          <w:sz w:val="24"/>
          <w:szCs w:val="24"/>
        </w:rPr>
      </w:pPr>
    </w:p>
    <w:p w14:paraId="4AEF6ABC">
      <w:pPr>
        <w:autoSpaceDE w:val="0"/>
        <w:autoSpaceDN w:val="0"/>
        <w:adjustRightInd w:val="0"/>
        <w:spacing w:line="288" w:lineRule="auto"/>
        <w:contextualSpacing/>
        <w:jc w:val="both"/>
        <w:rPr>
          <w:color w:val="231F20"/>
          <w:sz w:val="24"/>
          <w:szCs w:val="24"/>
        </w:rPr>
      </w:pPr>
      <w:r>
        <w:rPr>
          <w:color w:val="231F20"/>
          <w:sz w:val="24"/>
          <w:szCs w:val="24"/>
        </w:rPr>
        <w:t>12.3 A ordem de classificação dos registrados na Ata deverá ser respeitada para as contratações, cabendo ao gerenciador realizar os devidos registros na Ata de Registro de Preços, para a sua atualização.</w:t>
      </w:r>
    </w:p>
    <w:p w14:paraId="5DDE9B17">
      <w:pPr>
        <w:autoSpaceDE w:val="0"/>
        <w:autoSpaceDN w:val="0"/>
        <w:adjustRightInd w:val="0"/>
        <w:spacing w:line="288" w:lineRule="auto"/>
        <w:contextualSpacing/>
        <w:jc w:val="both"/>
        <w:rPr>
          <w:color w:val="231F20"/>
          <w:sz w:val="24"/>
          <w:szCs w:val="24"/>
        </w:rPr>
      </w:pPr>
    </w:p>
    <w:p w14:paraId="3FF0B7AB">
      <w:pPr>
        <w:autoSpaceDE w:val="0"/>
        <w:autoSpaceDN w:val="0"/>
        <w:adjustRightInd w:val="0"/>
        <w:spacing w:line="288" w:lineRule="auto"/>
        <w:contextualSpacing/>
        <w:jc w:val="both"/>
        <w:rPr>
          <w:color w:val="231F20"/>
          <w:sz w:val="24"/>
          <w:szCs w:val="24"/>
        </w:rPr>
      </w:pPr>
      <w:r>
        <w:rPr>
          <w:color w:val="231F20"/>
          <w:sz w:val="24"/>
          <w:szCs w:val="24"/>
        </w:rPr>
        <w:t xml:space="preserve">12.4 </w:t>
      </w:r>
      <w:r>
        <w:rPr>
          <w:sz w:val="24"/>
          <w:szCs w:val="24"/>
        </w:rPr>
        <w:t>A habilitação dos proponentes que irão compor o Cadastro de Reserva somente será efetuada quando houver necessidade de contratação dos proponentes remanescentes.</w:t>
      </w:r>
    </w:p>
    <w:p w14:paraId="10C2EDB2">
      <w:pPr>
        <w:autoSpaceDE w:val="0"/>
        <w:autoSpaceDN w:val="0"/>
        <w:adjustRightInd w:val="0"/>
        <w:spacing w:line="288" w:lineRule="auto"/>
        <w:contextualSpacing/>
        <w:jc w:val="both"/>
        <w:rPr>
          <w:color w:val="231F20"/>
          <w:sz w:val="24"/>
          <w:szCs w:val="24"/>
        </w:rPr>
      </w:pPr>
    </w:p>
    <w:p w14:paraId="21257F96">
      <w:pPr>
        <w:autoSpaceDE w:val="0"/>
        <w:autoSpaceDN w:val="0"/>
        <w:adjustRightInd w:val="0"/>
        <w:spacing w:line="288" w:lineRule="auto"/>
        <w:contextualSpacing/>
        <w:jc w:val="both"/>
        <w:rPr>
          <w:sz w:val="24"/>
          <w:szCs w:val="24"/>
        </w:rPr>
      </w:pPr>
      <w:r>
        <w:rPr>
          <w:color w:val="231F20"/>
          <w:sz w:val="24"/>
          <w:szCs w:val="24"/>
        </w:rPr>
        <w:t xml:space="preserve">12.5 O Cadastro de Reserva poderá ser empregado no caso do item 11.5, bem como de </w:t>
      </w:r>
      <w:r>
        <w:rPr>
          <w:sz w:val="24"/>
          <w:szCs w:val="24"/>
        </w:rPr>
        <w:t>cancelamento do registro do proponente ou dos preços, nas hipóteses previstas no § 4º do art. 28 e nos arts. 29 e 31 do Decreto nº 46/2025 e na Ata de Registro de Preços.</w:t>
      </w:r>
    </w:p>
    <w:p w14:paraId="369C60A1">
      <w:pPr>
        <w:pStyle w:val="81"/>
        <w:spacing w:before="0" w:beforeAutospacing="0" w:after="0" w:afterAutospacing="0" w:line="288" w:lineRule="auto"/>
        <w:contextualSpacing/>
        <w:jc w:val="both"/>
        <w:rPr>
          <w:rFonts w:eastAsia="Calibri"/>
          <w:lang w:eastAsia="en-US"/>
        </w:rPr>
      </w:pPr>
    </w:p>
    <w:p w14:paraId="2833D0BD">
      <w:pPr>
        <w:pStyle w:val="81"/>
        <w:spacing w:before="0" w:beforeAutospacing="0" w:after="0" w:afterAutospacing="0" w:line="288" w:lineRule="auto"/>
        <w:contextualSpacing/>
        <w:jc w:val="both"/>
        <w:rPr>
          <w:rFonts w:eastAsia="Calibri"/>
          <w:b/>
          <w:bCs/>
          <w:lang w:eastAsia="en-US"/>
        </w:rPr>
      </w:pPr>
      <w:r>
        <w:rPr>
          <w:rFonts w:eastAsia="Calibri"/>
          <w:b/>
          <w:bCs/>
          <w:lang w:eastAsia="en-US"/>
        </w:rPr>
        <w:t>13. DA FORMALIZAÇÃO DOS CONTRATOS ORIUNDOS DA ATA DE REGISTRO DE PREÇOS</w:t>
      </w:r>
    </w:p>
    <w:p w14:paraId="66DBAABD">
      <w:pPr>
        <w:pStyle w:val="81"/>
        <w:spacing w:before="0" w:beforeAutospacing="0" w:after="0" w:afterAutospacing="0" w:line="288" w:lineRule="auto"/>
        <w:contextualSpacing/>
        <w:jc w:val="both"/>
        <w:rPr>
          <w:rFonts w:eastAsia="Arial"/>
        </w:rPr>
      </w:pPr>
    </w:p>
    <w:p w14:paraId="14320AD3">
      <w:pPr>
        <w:pStyle w:val="81"/>
        <w:spacing w:before="0" w:beforeAutospacing="0" w:after="0" w:afterAutospacing="0" w:line="288" w:lineRule="auto"/>
        <w:contextualSpacing/>
        <w:jc w:val="both"/>
        <w:rPr>
          <w:rFonts w:eastAsia="Calibri"/>
          <w:lang w:eastAsia="en-US"/>
        </w:rPr>
      </w:pPr>
      <w:r>
        <w:rPr>
          <w:rFonts w:eastAsia="Arial"/>
        </w:rPr>
        <w:t xml:space="preserve">13.1 Compete ao </w:t>
      </w:r>
      <w:r>
        <w:rPr>
          <w:bCs/>
        </w:rPr>
        <w:t xml:space="preserve">gerenciador, aos </w:t>
      </w:r>
      <w:r>
        <w:rPr>
          <w:rFonts w:eastAsia="Arial"/>
          <w:bCs/>
        </w:rPr>
        <w:t xml:space="preserve">participantes, quando houver, e aos eventuais não-participantes </w:t>
      </w:r>
      <w:r>
        <w:rPr>
          <w:rFonts w:eastAsia="Arial"/>
        </w:rPr>
        <w:t>promover as ações necessárias para as suas próprias contratações com o fornecedor registrado, durante o prazo de validade da Ata de Registro de Preços.</w:t>
      </w:r>
    </w:p>
    <w:p w14:paraId="5ED60549">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13.2 A Administração convocará o fornecedor registrado para assinar o termo de contrato ou para aceitar ou retirar o instrumento equivalente, bem como para demonstrar o atendimento às exigências deste Edital e do Termo de Referência que devam ser apresentadas no momento de assinatura do contrato, </w:t>
      </w:r>
      <w:r>
        <w:rPr>
          <w:rFonts w:ascii="Times New Roman" w:hAnsi="Times New Roman" w:cs="Times New Roman"/>
          <w:color w:val="auto"/>
          <w:sz w:val="24"/>
          <w:szCs w:val="24"/>
        </w:rPr>
        <w:t>no prazo de 5 (cinco) dias úteis</w:t>
      </w:r>
      <w:r>
        <w:rPr>
          <w:rFonts w:ascii="Times New Roman" w:hAnsi="Times New Roman" w:cs="Times New Roman"/>
          <w:sz w:val="24"/>
          <w:szCs w:val="24"/>
        </w:rPr>
        <w:t>, sob pena de decair o direito à contratação, sem prejuízo das sanções previstas na Lei nº 14.133/2021, no Decreto nº 46/2025 e no Edital.</w:t>
      </w:r>
    </w:p>
    <w:p w14:paraId="5395AA0B">
      <w:pPr>
        <w:pStyle w:val="83"/>
        <w:spacing w:before="288" w:beforeLines="120" w:after="288" w:afterLines="120" w:line="288" w:lineRule="auto"/>
        <w:ind w:left="0" w:firstLine="0"/>
        <w:contextualSpacing/>
        <w:rPr>
          <w:rFonts w:ascii="Times New Roman" w:hAnsi="Times New Roman" w:cs="Times New Roman"/>
          <w:sz w:val="24"/>
          <w:szCs w:val="24"/>
        </w:rPr>
      </w:pPr>
    </w:p>
    <w:p w14:paraId="2FA950BF">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13.3 O prazo de convocação poderá ser prorrogado, 1 (uma) vez, por igual período, mediante solicitação da parte interessada durante seu transcurso, devidamente justificada, e desde que o motivo apresentado seja aceito pela Administração.</w:t>
      </w:r>
    </w:p>
    <w:p w14:paraId="0D8B86AE">
      <w:pPr>
        <w:autoSpaceDE w:val="0"/>
        <w:autoSpaceDN w:val="0"/>
        <w:adjustRightInd w:val="0"/>
        <w:spacing w:line="288" w:lineRule="auto"/>
        <w:contextualSpacing/>
        <w:jc w:val="both"/>
        <w:rPr>
          <w:color w:val="231F20"/>
          <w:sz w:val="24"/>
          <w:szCs w:val="24"/>
        </w:rPr>
      </w:pPr>
      <w:r>
        <w:rPr>
          <w:sz w:val="24"/>
          <w:szCs w:val="24"/>
        </w:rPr>
        <w:t xml:space="preserve">13.4 Na hipótese de o fornecedor registrado não assinar o contrato, ou não aceitar ou não retirar o instrumento equivalente no prazo e nas condições estabelecidas, a Administração poderá convocar os proponentes do Cadastro de Reserva, na ordem de classificação, para fazê-lo em igual prazo e nas mesmas condições propostas pelo primeiro classificado. </w:t>
      </w:r>
    </w:p>
    <w:p w14:paraId="3CBA8C24">
      <w:pPr>
        <w:pStyle w:val="83"/>
        <w:spacing w:before="288" w:beforeLines="120" w:after="288" w:afterLines="120" w:line="288" w:lineRule="auto"/>
        <w:ind w:left="0" w:firstLine="0"/>
        <w:contextualSpacing/>
        <w:rPr>
          <w:rFonts w:ascii="Times New Roman" w:hAnsi="Times New Roman" w:cs="Times New Roman"/>
          <w:sz w:val="24"/>
          <w:szCs w:val="24"/>
        </w:rPr>
      </w:pPr>
      <w:bookmarkStart w:id="32" w:name="_Hlk158798489"/>
      <w:r>
        <w:rPr>
          <w:rFonts w:ascii="Times New Roman" w:hAnsi="Times New Roman" w:cs="Times New Roman"/>
          <w:sz w:val="24"/>
          <w:szCs w:val="24"/>
        </w:rPr>
        <w:t>13.5 A recusa injustificada do fornecedor registrado em assinar o contrato ou em aceitar ou retirar o instrumento equivalente no prazo estabelecido pela Administração caracterizará o descumprimento total da obrigação assumida e o sujeitará às penalidades estabelecidas na lei e neste Edital e à imediata perda da garantia de proposta apresentada, quando existente, em favor do órgão ou entidade licitante.</w:t>
      </w:r>
    </w:p>
    <w:p w14:paraId="5B9F0D21">
      <w:pPr>
        <w:pStyle w:val="83"/>
        <w:spacing w:before="288" w:beforeLines="120" w:after="288" w:afterLines="120" w:line="288" w:lineRule="auto"/>
        <w:ind w:left="0" w:firstLine="0"/>
        <w:contextualSpacing/>
        <w:rPr>
          <w:rFonts w:ascii="Times New Roman" w:hAnsi="Times New Roman" w:cs="Times New Roman"/>
          <w:sz w:val="24"/>
          <w:szCs w:val="24"/>
        </w:rPr>
      </w:pPr>
    </w:p>
    <w:p w14:paraId="7FC792D6">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13.6 As consequências de que trata o item anterior não serão aplicadas ao integrante do Cadastro de Reserva que, quando convocado, se recusar a compor a Ata de Registro de Preços. </w:t>
      </w:r>
    </w:p>
    <w:p w14:paraId="26591281">
      <w:pPr>
        <w:pStyle w:val="83"/>
        <w:spacing w:before="288" w:beforeLines="120" w:after="288" w:afterLines="120" w:line="288" w:lineRule="auto"/>
        <w:ind w:left="0" w:firstLine="0"/>
        <w:contextualSpacing/>
        <w:rPr>
          <w:rFonts w:ascii="Times New Roman" w:hAnsi="Times New Roman" w:cs="Times New Roman"/>
          <w:sz w:val="24"/>
          <w:szCs w:val="24"/>
        </w:rPr>
      </w:pPr>
    </w:p>
    <w:p w14:paraId="4227B4F5">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13.7</w:t>
      </w:r>
      <w:r>
        <w:rPr>
          <w:rFonts w:ascii="Times New Roman" w:hAnsi="Times New Roman" w:cs="Times New Roman"/>
          <w:sz w:val="24"/>
          <w:szCs w:val="24"/>
        </w:rPr>
        <w:tab/>
      </w:r>
      <w:r>
        <w:rPr>
          <w:rFonts w:ascii="Times New Roman" w:hAnsi="Times New Roman" w:cs="Times New Roman"/>
          <w:sz w:val="24"/>
          <w:szCs w:val="24"/>
        </w:rPr>
        <w:t>No momento da assinatura do Contrato, o adjudicatário apresentará certidão de cumprimento de cota de aprendiz, expedida pelo Ministério do Trabalho e Emprego, para fins de atendimento aos arts. 429 e seguintes da Consolidação das Leis do Trabalho.</w:t>
      </w:r>
    </w:p>
    <w:p w14:paraId="0855E988">
      <w:pPr>
        <w:pStyle w:val="81"/>
        <w:spacing w:line="288" w:lineRule="auto"/>
        <w:contextualSpacing/>
        <w:jc w:val="both"/>
        <w:rPr>
          <w:rFonts w:eastAsia="Calibri"/>
          <w:lang w:eastAsia="en-US"/>
        </w:rPr>
      </w:pPr>
      <w:r>
        <w:rPr>
          <w:rFonts w:eastAsia="Calibri"/>
          <w:lang w:eastAsia="en-US"/>
        </w:rPr>
        <w:t>13.8</w:t>
      </w:r>
      <w:r>
        <w:rPr>
          <w:rFonts w:eastAsia="Calibri"/>
          <w:lang w:eastAsia="en-US"/>
        </w:rPr>
        <w:tab/>
      </w:r>
      <w:r>
        <w:rPr>
          <w:rFonts w:eastAsia="Calibri"/>
          <w:lang w:eastAsia="en-US"/>
        </w:rPr>
        <w:t>Caso o valor da contratação se enquadre no limite previsto na legislação vigente, o fornecedor registrado deverá demonstrar que mantém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62ECC7AB">
      <w:pPr>
        <w:pStyle w:val="81"/>
        <w:spacing w:before="0" w:beforeAutospacing="0" w:after="0" w:afterAutospacing="0" w:line="288" w:lineRule="auto"/>
        <w:contextualSpacing/>
        <w:jc w:val="both"/>
        <w:rPr>
          <w:rFonts w:eastAsia="Calibri"/>
          <w:lang w:eastAsia="en-US"/>
        </w:rPr>
      </w:pPr>
    </w:p>
    <w:p w14:paraId="30B4CCFB">
      <w:pPr>
        <w:pStyle w:val="81"/>
        <w:spacing w:before="0" w:beforeAutospacing="0" w:after="0" w:afterAutospacing="0" w:line="288" w:lineRule="auto"/>
        <w:contextualSpacing/>
        <w:jc w:val="both"/>
        <w:rPr>
          <w:rFonts w:eastAsia="Calibri"/>
          <w:lang w:eastAsia="en-US"/>
        </w:rPr>
      </w:pPr>
      <w:r>
        <w:rPr>
          <w:rFonts w:eastAsia="Calibri"/>
          <w:lang w:eastAsia="en-US"/>
        </w:rPr>
        <w:t>13.8.1</w:t>
      </w:r>
      <w:r>
        <w:rPr>
          <w:rFonts w:eastAsia="Calibri"/>
          <w:lang w:eastAsia="en-US"/>
        </w:rPr>
        <w:tab/>
      </w:r>
      <w:r>
        <w:rPr>
          <w:rFonts w:eastAsia="Calibri"/>
          <w:lang w:eastAsia="en-US"/>
        </w:rPr>
        <w:t>Caso o fornecedor registrado ainda não tenha programa de integridade instituído, deverá implantar o Programa de Integridade no prazo de até 180 (cento e oitenta) dias corridos, a partir da assinatura do Contrato, na forma da legislação vigente.</w:t>
      </w:r>
    </w:p>
    <w:bookmarkEnd w:id="32"/>
    <w:p w14:paraId="5B46477B">
      <w:pPr>
        <w:pStyle w:val="81"/>
        <w:spacing w:before="0" w:beforeAutospacing="0" w:after="0" w:afterAutospacing="0" w:line="288" w:lineRule="auto"/>
        <w:contextualSpacing/>
        <w:jc w:val="both"/>
        <w:rPr>
          <w:rFonts w:eastAsia="Calibri" w:asciiTheme="minorHAnsi" w:hAnsiTheme="minorHAnsi" w:cstheme="minorHAnsi"/>
          <w:b/>
          <w:bCs/>
          <w:lang w:eastAsia="en-US"/>
        </w:rPr>
      </w:pPr>
    </w:p>
    <w:p w14:paraId="0E221A05">
      <w:pPr>
        <w:pStyle w:val="81"/>
        <w:spacing w:before="0" w:beforeAutospacing="0" w:after="0" w:afterAutospacing="0" w:line="288" w:lineRule="auto"/>
        <w:contextualSpacing/>
        <w:jc w:val="both"/>
        <w:rPr>
          <w:rFonts w:eastAsia="Calibri"/>
          <w:b/>
          <w:bCs/>
          <w:lang w:eastAsia="en-US"/>
        </w:rPr>
      </w:pPr>
      <w:r>
        <w:rPr>
          <w:rFonts w:eastAsia="Calibri"/>
          <w:b/>
          <w:bCs/>
          <w:lang w:eastAsia="en-US"/>
        </w:rPr>
        <w:t xml:space="preserve">14. DA SUBCONTRATAÇÃO </w:t>
      </w:r>
    </w:p>
    <w:p w14:paraId="4D4CEBBC">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14.1 Não será admitida a subcontratação do objeto contratual.</w:t>
      </w:r>
    </w:p>
    <w:p w14:paraId="1B7549E2">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7DA02C74">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b/>
          <w:bCs/>
          <w:sz w:val="24"/>
          <w:szCs w:val="24"/>
          <w:lang w:eastAsia="en-US"/>
        </w:rPr>
        <w:t>15. DA GARANTIA</w:t>
      </w:r>
    </w:p>
    <w:p w14:paraId="04D657AE">
      <w:pPr>
        <w:pStyle w:val="83"/>
        <w:spacing w:before="288" w:beforeLines="120" w:after="288" w:afterLines="120" w:line="288" w:lineRule="auto"/>
        <w:ind w:left="4537" w:right="565" w:firstLine="0"/>
        <w:contextualSpacing/>
        <w:rPr>
          <w:rFonts w:ascii="Times New Roman" w:hAnsi="Times New Roman" w:cs="Times New Roman"/>
          <w:sz w:val="24"/>
          <w:szCs w:val="24"/>
        </w:rPr>
      </w:pPr>
    </w:p>
    <w:p w14:paraId="2DEE534D">
      <w:pPr>
        <w:pStyle w:val="83"/>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 Haverá exigência de garantia contratual da execução.</w:t>
      </w:r>
    </w:p>
    <w:p w14:paraId="293EA79B">
      <w:pPr>
        <w:pStyle w:val="86"/>
        <w:spacing w:before="288" w:beforeLines="120" w:after="288" w:afterLines="120" w:line="288" w:lineRule="auto"/>
        <w:ind w:left="567" w:right="565" w:firstLine="0"/>
        <w:contextualSpacing/>
        <w:rPr>
          <w:rFonts w:ascii="Times New Roman" w:hAnsi="Times New Roman" w:cs="Times New Roman"/>
          <w:color w:val="auto"/>
          <w:sz w:val="24"/>
          <w:szCs w:val="24"/>
        </w:rPr>
      </w:pPr>
      <w:bookmarkStart w:id="33" w:name="_Hlk152767454"/>
      <w:r>
        <w:rPr>
          <w:rFonts w:ascii="Times New Roman" w:hAnsi="Times New Roman" w:cs="Times New Roman"/>
          <w:color w:val="auto"/>
          <w:sz w:val="24"/>
          <w:szCs w:val="24"/>
        </w:rPr>
        <w:t>15.1.1 Caso o prazo de vigência do contrato seja inferior a um ano</w:t>
      </w:r>
      <w:bookmarkEnd w:id="33"/>
      <w:r>
        <w:rPr>
          <w:rFonts w:ascii="Times New Roman" w:hAnsi="Times New Roman" w:cs="Times New Roman"/>
          <w:color w:val="auto"/>
          <w:sz w:val="24"/>
          <w:szCs w:val="24"/>
        </w:rPr>
        <w:t xml:space="preserve">, a garantia prevista no item 15.1 será calculada sobre o valor total do Contrato. </w:t>
      </w:r>
    </w:p>
    <w:p w14:paraId="5C87E5EE">
      <w:pPr>
        <w:pStyle w:val="86"/>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 Na forma do art. 101 da Lei nº 14.133/2021, nos casos de contratos que impliquem a entrega de bens pela Administração, dos quais o contratado ficará depositário, o valor desses bens deverá ser acrescido ao valor da garantia.</w:t>
      </w:r>
    </w:p>
    <w:p w14:paraId="0E378B44">
      <w:pPr>
        <w:pStyle w:val="86"/>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 O contratado poderá optar pelas seguintes modalidades de garantia:</w:t>
      </w:r>
    </w:p>
    <w:p w14:paraId="03E661C2">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15.2.1 caução em dinheiro ou em títulos da dívida pública;</w:t>
      </w:r>
    </w:p>
    <w:p w14:paraId="38410FD7">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15.2.2 seguro-garantia; </w:t>
      </w:r>
    </w:p>
    <w:p w14:paraId="33098612">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15.2.3 fiança bancária; e</w:t>
      </w:r>
    </w:p>
    <w:p w14:paraId="0F6927A6">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15.2.4 título de capitalização custeado por pagamento único, com resgate pelo valor total.</w:t>
      </w:r>
    </w:p>
    <w:p w14:paraId="5022CD3E">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 Qualquer que seja a modalidade escolhida pelo contratado, a garantia assegurará o pagamento de:</w:t>
      </w:r>
    </w:p>
    <w:p w14:paraId="6228975E">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15.3.1 prejuízos advindos do não cumprimento do objeto do Contrato e do não adimplemento das demais obrigações neste previstas;</w:t>
      </w:r>
    </w:p>
    <w:p w14:paraId="4A43D4CE">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15.3.2 multas moratórias, compensatórias e administrativas aplicadas pela Administração ao contratado; e</w:t>
      </w:r>
    </w:p>
    <w:p w14:paraId="2747ACA4">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15.3.3 obrigações trabalhistas e previdenciárias de qualquer natureza, assim como as obrigações de regularidade perante o FGTS, não adimplidas pelo contratado, quando couber.</w:t>
      </w:r>
    </w:p>
    <w:p w14:paraId="03B6E633">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15.4 A garantia, qualquer que seja a modalidade escolhida, terá validade durante a vigência do Contrato e por mais 90 (noventa) dias após o término deste prazo de vigência.  </w:t>
      </w:r>
    </w:p>
    <w:p w14:paraId="1AA9E51B">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15.5 Na hipótese de suspensão do Contrato por ordem ou inadimplemento da Administração, o contratado ficará desobrigado de renovar a garantia ou de endossar a apólice de seguro até a ordem de reinício da execução ou o adimplemento pela Administração.</w:t>
      </w:r>
    </w:p>
    <w:p w14:paraId="02C70797">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15.6 Ressalvada a hipótese de seguro-garantia, em que deverá ser observado o prazo do item 15.7, o contratado apresentará, no prazo máximo de 10 (dez) dias úteis, prorrogáveis por igual período, a critério do contratante, contado da assinatura do Contrato, o comprovante de prestação de garantia, na forma do item 15.2.</w:t>
      </w:r>
    </w:p>
    <w:p w14:paraId="287AE9F9">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 Caso oferecida a modalidade de seguro-garantia, sua apresentação deve ocorrer em 1 (um) mês, contado da data de homologação da licitação e anterior à assinatura do Contrato, e observar-se-ão as seguintes condições:</w:t>
      </w:r>
    </w:p>
    <w:p w14:paraId="0E6EBF31">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15.7.1 a apólice permanecerá em vigor mesmo que o contratado não pague o prêmio nas datas convencionadas;</w:t>
      </w:r>
    </w:p>
    <w:p w14:paraId="49A97B17">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15.7.2 a apólice deverá acompanhar as modificações referentes à vigência do Contrato principal, mediante a emissão do respectivo endosso pela seguradora;</w:t>
      </w:r>
    </w:p>
    <w:p w14:paraId="05E3F55B">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15.7.3 será permitida a substituição da apólice na data de renovação ou de aniversário, desde que mantidas as condições e coberturas da apólice vigente e nenhum período fique descoberto, ressalvado o disposto no item 15.5 deste Edital; e</w:t>
      </w:r>
    </w:p>
    <w:p w14:paraId="154848ED">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15.7.4 a apólice somente será aceita se contemplar todos os eventos indicados no item 15.3, observada a legislação que rege a matéria.</w:t>
      </w:r>
    </w:p>
    <w:p w14:paraId="53C3E1BC">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1CB7D7AB">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15.9 Caso a opção seja por fiança bancária, esta deverá ser emitida por banco ou instituição financeira devidamente autorizada a operar no País pelo Banco Central do Brasil, e deverá constar expressa renúncia do fiador aos benefícios do art. 827 do Código Civil.</w:t>
      </w:r>
    </w:p>
    <w:p w14:paraId="53D983F3">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15.10 Caso a opção seja por garantia em dinheiro, deverá ser efetuada em favor do contratante, na conta corrente nº ......., da agência ....... da instituição financeira contratada pelo Município, cujo valor será corrigido monetariamente e restituído ao contratado, na forma do item 15.16.</w:t>
      </w:r>
    </w:p>
    <w:p w14:paraId="5AA7F065">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15.11 O contratado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15.1 neste item. </w:t>
      </w:r>
    </w:p>
    <w:p w14:paraId="77BE3AD7">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 A inobservância do prazo fixado para apresentação, reposição, suplementação ou renovação da garantia acarretará a aplicação de multa e/ou outras penalidades, na forma disposta no Contrato.</w:t>
      </w:r>
    </w:p>
    <w:p w14:paraId="57E43660">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15.12.1 O atraso superior a 25 (vinte e cinco) dias autoriza o contratante a promover a rescisão do contrato por descumprimento ou cumprimento irregular de suas cláusulas, com a aplicação das sanções cabíveis.</w:t>
      </w:r>
    </w:p>
    <w:p w14:paraId="6906ECD8">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15.13 O contratante executará a garantia na forma prevista na legislação que rege a matéria.</w:t>
      </w:r>
    </w:p>
    <w:p w14:paraId="49B910DB">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15.14 O emitente da garantia ofertada pelo contratado deverá ser notificado pelo contratante quanto ao início de processo administrativo para apuração de descumprimento de cláusulas contratuais.</w:t>
      </w:r>
    </w:p>
    <w:p w14:paraId="5BC87B19">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15.14.1 O garantidor não é parte para figurar em processo administrativo instaurado pelo contratante com o objetivo de apurar prejuízos e/ou aplicar sanções ao contratado.</w:t>
      </w:r>
    </w:p>
    <w:p w14:paraId="35274A3F">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3F581666">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15.16 Extinguir-se-á a garantia com a restituição da apólice, carta fiança, título da dívida pública ou autorização para a liberação da caução em dinheiro, atualizada monetariamente, acompanhada de declaração do contratante, mediante termo circunstanciado, de que o contratado cumpriu todas as cláusulas do Contrato.</w:t>
      </w:r>
    </w:p>
    <w:p w14:paraId="316013C8">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15.16.1 A garantia somente será liberada ou restituída, após a fiel execução do Contrato ou pela sua extinção, por culpa exclusiva da Administração, ou quando assim convencionado, em se tratando de extinção consensual da contratação.</w:t>
      </w:r>
    </w:p>
    <w:p w14:paraId="4DE3B97F">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15.17 O contratado autoriza o contratante a reter, a qualquer tempo, a garantia, na forma prevista no Edital e no Contrato. </w:t>
      </w:r>
    </w:p>
    <w:p w14:paraId="34500ECF">
      <w:pPr>
        <w:pStyle w:val="81"/>
        <w:spacing w:before="0" w:beforeAutospacing="0" w:after="0" w:afterAutospacing="0" w:line="288" w:lineRule="auto"/>
        <w:contextualSpacing/>
        <w:jc w:val="both"/>
        <w:rPr>
          <w:rFonts w:eastAsia="Calibri" w:asciiTheme="minorHAnsi" w:hAnsiTheme="minorHAnsi" w:cstheme="minorHAnsi"/>
          <w:b/>
          <w:bCs/>
          <w:lang w:eastAsia="en-US"/>
        </w:rPr>
      </w:pPr>
    </w:p>
    <w:p w14:paraId="7E54F496">
      <w:pPr>
        <w:pStyle w:val="81"/>
        <w:spacing w:before="0" w:beforeAutospacing="0" w:after="0" w:afterAutospacing="0" w:line="288" w:lineRule="auto"/>
        <w:contextualSpacing/>
        <w:jc w:val="both"/>
        <w:rPr>
          <w:rFonts w:eastAsia="Calibri"/>
          <w:b/>
          <w:bCs/>
          <w:lang w:eastAsia="en-US"/>
        </w:rPr>
      </w:pPr>
      <w:r>
        <w:rPr>
          <w:rFonts w:eastAsia="Calibri"/>
          <w:b/>
          <w:bCs/>
          <w:lang w:eastAsia="en-US"/>
        </w:rPr>
        <w:t>16. PAGAMENTO</w:t>
      </w:r>
    </w:p>
    <w:p w14:paraId="1C381315">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 O contratante deverá pagar o preço ao contratado em 01 (uma) parcelas</w:t>
      </w:r>
      <w:r>
        <w:rPr>
          <w:rFonts w:ascii="Times New Roman" w:hAnsi="Times New Roman" w:cs="Times New Roman"/>
          <w:color w:val="auto"/>
          <w:sz w:val="24"/>
          <w:szCs w:val="24"/>
        </w:rPr>
        <w:t>,</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na conta corrente de titularidade do contratado a ser indicada. </w:t>
      </w:r>
    </w:p>
    <w:p w14:paraId="02E54F86">
      <w:pPr>
        <w:pStyle w:val="83"/>
        <w:spacing w:before="288" w:beforeLines="120" w:after="288" w:afterLines="120" w:line="288" w:lineRule="auto"/>
        <w:ind w:left="0" w:firstLine="0"/>
        <w:contextualSpacing/>
        <w:rPr>
          <w:rFonts w:ascii="Times New Roman" w:hAnsi="Times New Roman" w:cs="Times New Roman"/>
          <w:sz w:val="24"/>
          <w:szCs w:val="24"/>
        </w:rPr>
      </w:pPr>
    </w:p>
    <w:p w14:paraId="5439C47A">
      <w:pPr>
        <w:pStyle w:val="83"/>
        <w:spacing w:before="288" w:beforeLines="120" w:after="288" w:afterLines="120" w:line="288" w:lineRule="auto"/>
        <w:ind w:left="0" w:firstLine="0"/>
        <w:contextualSpacing/>
        <w:rPr>
          <w:rFonts w:ascii="Times New Roman" w:hAnsi="Times New Roman" w:cs="Times New Roman"/>
          <w:color w:val="FF0000"/>
          <w:sz w:val="24"/>
          <w:szCs w:val="24"/>
        </w:rPr>
      </w:pPr>
      <w:r>
        <w:rPr>
          <w:rFonts w:ascii="Times New Roman" w:hAnsi="Times New Roman" w:cs="Times New Roman"/>
          <w:sz w:val="24"/>
          <w:szCs w:val="24"/>
        </w:rPr>
        <w:t xml:space="preserve">16.2 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rFonts w:ascii="Times New Roman" w:hAnsi="Times New Roman" w:cs="Times New Roman"/>
          <w:b/>
          <w:sz w:val="24"/>
          <w:szCs w:val="24"/>
        </w:rPr>
        <w:t>Banco Itaú S.A</w:t>
      </w:r>
      <w:r>
        <w:rPr>
          <w:rFonts w:ascii="Times New Roman" w:hAnsi="Times New Roman" w:cs="Times New Roman"/>
          <w:sz w:val="24"/>
          <w:szCs w:val="24"/>
        </w:rPr>
        <w:t>, cujo número e agência deverão ser informados pelo adjudicatário.</w:t>
      </w:r>
    </w:p>
    <w:p w14:paraId="60C255A5">
      <w:pPr>
        <w:pStyle w:val="83"/>
        <w:spacing w:before="288" w:beforeLines="120" w:after="288" w:afterLines="120" w:line="288" w:lineRule="auto"/>
        <w:ind w:left="0" w:firstLine="0"/>
        <w:contextualSpacing/>
        <w:rPr>
          <w:rFonts w:ascii="Times New Roman" w:hAnsi="Times New Roman" w:cs="Times New Roman"/>
          <w:sz w:val="24"/>
          <w:szCs w:val="24"/>
        </w:rPr>
      </w:pPr>
    </w:p>
    <w:p w14:paraId="1A5C95D4">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16.3 A emissão da Nota Fiscal ou Fatura será precedida do recebimento definitivo do objeto ou de cada parcela, mediante atestação, que não poderá ser realizada pelo ordenador de despesas, conforme disposto neste instrumento e/ou no Termo de Referência, bem ainda no art. 140, II, alínea “b”, da Lei nº 14.133/2021 e arts. 20 e 22, XXIII, do Decreto nº 40, de 25 de fevereiro de 2025.</w:t>
      </w:r>
    </w:p>
    <w:p w14:paraId="6CEC954B">
      <w:pPr>
        <w:pStyle w:val="85"/>
        <w:spacing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16.3.1 Quando houver glosa parcial do objeto, o contratante deverá comunicar ao contratado para que emita Nota Fiscal ou Fatura com o valor exato dimensionado.</w:t>
      </w:r>
    </w:p>
    <w:p w14:paraId="4B284FB0">
      <w:pPr>
        <w:pStyle w:val="83"/>
        <w:spacing w:before="288" w:beforeLines="120" w:after="288" w:afterLines="120" w:line="288" w:lineRule="auto"/>
        <w:ind w:left="0" w:firstLine="0"/>
        <w:contextualSpacing/>
        <w:rPr>
          <w:rFonts w:ascii="Times New Roman" w:hAnsi="Times New Roman" w:cs="Times New Roman"/>
          <w:b/>
          <w:bCs/>
          <w:i/>
          <w:iCs/>
          <w:color w:val="558ED5" w:themeColor="text2" w:themeTint="99"/>
          <w:sz w:val="24"/>
          <w:szCs w:val="24"/>
          <w:u w:val="single"/>
          <w14:textFill>
            <w14:solidFill>
              <w14:schemeClr w14:val="tx2">
                <w14:lumMod w14:val="60000"/>
                <w14:lumOff w14:val="40000"/>
              </w14:schemeClr>
            </w14:solidFill>
          </w14:textFill>
        </w:rPr>
      </w:pPr>
      <w:r>
        <w:rPr>
          <w:rFonts w:ascii="Times New Roman" w:hAnsi="Times New Roman" w:cs="Times New Roman"/>
          <w:sz w:val="24"/>
          <w:szCs w:val="24"/>
        </w:rPr>
        <w:t>16.4 O contratado deverá encaminhar a Nota Fiscal ou Fatura para pagamento à Prefeitura Municipal de Valença, Secretaria Municipal de Educação, situada na Nilo Peçanha, nº 506, na cidade do Valença, no Estado do Rio de Janeiro ou para o endereço eletrônico</w:t>
      </w:r>
      <w:r>
        <w:rPr>
          <w:rFonts w:ascii="Times New Roman" w:hAnsi="Times New Roman" w:cs="Times New Roman"/>
          <w:sz w:val="24"/>
          <w:szCs w:val="24"/>
          <w:u w:val="single"/>
        </w:rPr>
        <w:t xml:space="preserve"> </w:t>
      </w:r>
      <w:r>
        <w:rPr>
          <w:rFonts w:ascii="Times New Roman" w:hAnsi="Times New Roman" w:cs="Times New Roman"/>
          <w:b/>
          <w:bCs/>
          <w:i/>
          <w:iCs/>
          <w:color w:val="558ED5" w:themeColor="text2" w:themeTint="99"/>
          <w:sz w:val="24"/>
          <w:szCs w:val="24"/>
          <w:u w:val="single"/>
          <w14:textFill>
            <w14:solidFill>
              <w14:schemeClr w14:val="tx2">
                <w14:lumMod w14:val="60000"/>
                <w14:lumOff w14:val="40000"/>
              </w14:schemeClr>
            </w14:solidFill>
          </w14:textFill>
        </w:rPr>
        <w:t>educacao@valenca.rj.gov.br.</w:t>
      </w:r>
    </w:p>
    <w:p w14:paraId="6485ED13">
      <w:pPr>
        <w:pStyle w:val="83"/>
        <w:spacing w:line="288" w:lineRule="auto"/>
        <w:ind w:left="0" w:firstLine="0"/>
        <w:contextualSpacing/>
        <w:rPr>
          <w:rFonts w:ascii="Times New Roman" w:hAnsi="Times New Roman" w:cs="Times New Roman"/>
          <w:sz w:val="24"/>
          <w:szCs w:val="24"/>
        </w:rPr>
      </w:pPr>
    </w:p>
    <w:p w14:paraId="00E4DF74">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16.5 </w:t>
      </w:r>
      <w:bookmarkStart w:id="34" w:name="_Hlk178774483"/>
      <w:r>
        <w:rPr>
          <w:rFonts w:ascii="Times New Roman" w:hAnsi="Times New Roman" w:cs="Times New Roman"/>
          <w:sz w:val="24"/>
          <w:szCs w:val="24"/>
        </w:rPr>
        <w:t xml:space="preserve">Uma vez recebidos os documentos mencionados no item 16.4, o órgão competente deverá verificar: </w:t>
      </w:r>
      <w:bookmarkEnd w:id="34"/>
    </w:p>
    <w:p w14:paraId="675D07AE">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p w14:paraId="76FC944C">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a) a manutenção das condições de habilitação exigidas pelo instrumento convocatório; </w:t>
      </w:r>
    </w:p>
    <w:p w14:paraId="52D2171A">
      <w:pPr>
        <w:pStyle w:val="83"/>
        <w:spacing w:line="288" w:lineRule="auto"/>
        <w:ind w:left="0" w:firstLine="0"/>
        <w:contextualSpacing/>
        <w:rPr>
          <w:rFonts w:ascii="Times New Roman" w:hAnsi="Times New Roman" w:cs="Times New Roman"/>
          <w:sz w:val="24"/>
          <w:szCs w:val="24"/>
        </w:rPr>
      </w:pPr>
    </w:p>
    <w:p w14:paraId="60CD2513">
      <w:pPr>
        <w:pStyle w:val="83"/>
        <w:spacing w:line="288" w:lineRule="auto"/>
        <w:ind w:left="0" w:firstLine="0"/>
        <w:contextualSpacing/>
        <w:rPr>
          <w:rFonts w:ascii="Times New Roman" w:hAnsi="Times New Roman" w:cs="Times New Roman"/>
          <w:sz w:val="24"/>
          <w:szCs w:val="24"/>
        </w:rPr>
      </w:pPr>
      <w:bookmarkStart w:id="35" w:name="_Hlk178774506"/>
      <w:r>
        <w:rPr>
          <w:rFonts w:ascii="Times New Roman" w:hAnsi="Times New Roman" w:cs="Times New Roman"/>
          <w:sz w:val="24"/>
          <w:szCs w:val="24"/>
        </w:rPr>
        <w:t>b) por consulta aos cadastros mencionados no item 8.1, se o contratado foi penalizado com as sanções de declaração de inidoneidade ou impedimento de licitar e contratar com o poder público, observadas as abrangências de aplicação; e</w:t>
      </w:r>
    </w:p>
    <w:p w14:paraId="39142192">
      <w:pPr>
        <w:pStyle w:val="83"/>
        <w:spacing w:line="288" w:lineRule="auto"/>
        <w:ind w:left="0" w:firstLine="0"/>
        <w:contextualSpacing/>
        <w:rPr>
          <w:rFonts w:ascii="Times New Roman" w:hAnsi="Times New Roman" w:cs="Times New Roman"/>
          <w:sz w:val="24"/>
          <w:szCs w:val="24"/>
        </w:rPr>
      </w:pPr>
    </w:p>
    <w:p w14:paraId="5458A572">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 por consulta ao SICAF, eventuais ocorrências impeditivas indiretas, hipótese na qual o gestor deverá verificar se houve fraude por parte das empresas apontadas no Relatório de Ocorrências Impeditivas Indiretas.</w:t>
      </w:r>
    </w:p>
    <w:bookmarkEnd w:id="35"/>
    <w:p w14:paraId="67CFE439">
      <w:pPr>
        <w:pStyle w:val="83"/>
        <w:spacing w:line="288" w:lineRule="auto"/>
        <w:ind w:left="0" w:firstLine="0"/>
        <w:contextualSpacing/>
        <w:rPr>
          <w:rFonts w:ascii="Times New Roman" w:hAnsi="Times New Roman" w:cs="Times New Roman"/>
          <w:sz w:val="24"/>
          <w:szCs w:val="24"/>
        </w:rPr>
      </w:pPr>
    </w:p>
    <w:p w14:paraId="2D73486F">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16.5.1 Constatando-se a situação de irregularidade do contratado, será providenciada sua notificação, por escrito, para que, no prazo de 15 (quinze) dias úteis, regularize sua situação ou, no mesmo prazo, apresente sua defesa e especifique provas que pretende produzir. O prazo poderá ser prorrogado uma vez, por igual período, a critério do contratante.</w:t>
      </w:r>
    </w:p>
    <w:p w14:paraId="3AAE891D">
      <w:pPr>
        <w:pStyle w:val="83"/>
        <w:spacing w:line="288" w:lineRule="auto"/>
        <w:ind w:left="0" w:firstLine="0"/>
        <w:contextualSpacing/>
        <w:rPr>
          <w:rFonts w:ascii="Times New Roman" w:hAnsi="Times New Roman" w:cs="Times New Roman"/>
          <w:sz w:val="24"/>
          <w:szCs w:val="24"/>
        </w:rPr>
      </w:pPr>
    </w:p>
    <w:p w14:paraId="54CEFF9E">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16.5.2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4312153">
      <w:pPr>
        <w:pStyle w:val="83"/>
        <w:spacing w:line="288" w:lineRule="auto"/>
        <w:ind w:left="0" w:firstLine="0"/>
        <w:contextualSpacing/>
        <w:rPr>
          <w:rFonts w:ascii="Times New Roman" w:hAnsi="Times New Roman" w:cs="Times New Roman"/>
          <w:sz w:val="24"/>
          <w:szCs w:val="24"/>
        </w:rPr>
      </w:pPr>
    </w:p>
    <w:p w14:paraId="0BD8273A">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16.5.3 Persistindo a irregularidade, o contratante deverá adotar as medidas necessárias à rescisão do Contrato nos autos do processo administrativo correspondente, assegurada ao contratado a ampla defesa.</w:t>
      </w:r>
    </w:p>
    <w:p w14:paraId="7E6586C7">
      <w:pPr>
        <w:pStyle w:val="83"/>
        <w:spacing w:line="288" w:lineRule="auto"/>
        <w:ind w:left="0" w:firstLine="0"/>
        <w:contextualSpacing/>
        <w:rPr>
          <w:rFonts w:ascii="Times New Roman" w:hAnsi="Times New Roman" w:cs="Times New Roman"/>
          <w:sz w:val="24"/>
          <w:szCs w:val="24"/>
        </w:rPr>
      </w:pPr>
    </w:p>
    <w:p w14:paraId="17F06EAA">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16.5.4 Havendo a efetiva execução do objeto, os pagamentos serão realizados normalmente, até que se decida pela rescisão do Contrato, caso o contratado não regularize sua situação.</w:t>
      </w:r>
    </w:p>
    <w:p w14:paraId="7DD238A9">
      <w:pPr>
        <w:pStyle w:val="83"/>
        <w:spacing w:line="288" w:lineRule="auto"/>
        <w:ind w:left="0" w:firstLine="0"/>
        <w:contextualSpacing/>
        <w:rPr>
          <w:rFonts w:ascii="Times New Roman" w:hAnsi="Times New Roman" w:cs="Times New Roman"/>
          <w:sz w:val="24"/>
          <w:szCs w:val="24"/>
        </w:rPr>
      </w:pPr>
    </w:p>
    <w:p w14:paraId="04D4A17C">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16.6 O pagamento será efetuado no prazo máximo de até </w:t>
      </w:r>
      <w:r>
        <w:rPr>
          <w:rFonts w:ascii="Times New Roman" w:hAnsi="Times New Roman" w:cs="Times New Roman"/>
          <w:color w:val="000000" w:themeColor="text1"/>
          <w:sz w:val="24"/>
          <w:szCs w:val="24"/>
          <w14:textFill>
            <w14:solidFill>
              <w14:schemeClr w14:val="tx1"/>
            </w14:solidFill>
          </w14:textFill>
        </w:rPr>
        <w:t>30 (trinta) dias</w:t>
      </w:r>
      <w:r>
        <w:rPr>
          <w:rFonts w:ascii="Times New Roman" w:hAnsi="Times New Roman" w:cs="Times New Roman"/>
          <w:sz w:val="24"/>
          <w:szCs w:val="24"/>
        </w:rPr>
        <w:t xml:space="preserve">, contados do recebimento da Nota Fiscal ou Fatura. </w:t>
      </w:r>
    </w:p>
    <w:p w14:paraId="3BD32289">
      <w:pPr>
        <w:pStyle w:val="83"/>
        <w:spacing w:line="288" w:lineRule="auto"/>
        <w:ind w:left="0" w:firstLine="0"/>
        <w:contextualSpacing/>
        <w:rPr>
          <w:rFonts w:ascii="Times New Roman" w:hAnsi="Times New Roman" w:cs="Times New Roman"/>
          <w:sz w:val="24"/>
          <w:szCs w:val="24"/>
        </w:rPr>
      </w:pPr>
    </w:p>
    <w:p w14:paraId="2DE0C49A">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16.6.1 Havendo erro na apresentação da Nota Fiscal ou Fatura, ou circunstância que impeça a liquidação da despesa, o pagamento ficará sobrestado até que o contratado providencie as medidas saneadoras. Nessa hipótese, o prazo para pagamento iniciar-se-á após a comprovação da regularização da situação, não acarretando qualquer ônus para o contratante.</w:t>
      </w:r>
    </w:p>
    <w:p w14:paraId="22E311D4">
      <w:pPr>
        <w:pStyle w:val="83"/>
        <w:spacing w:line="288" w:lineRule="auto"/>
        <w:ind w:left="0" w:firstLine="0"/>
        <w:contextualSpacing/>
        <w:rPr>
          <w:rFonts w:ascii="Times New Roman" w:hAnsi="Times New Roman" w:cs="Times New Roman"/>
          <w:sz w:val="24"/>
          <w:szCs w:val="24"/>
        </w:rPr>
      </w:pPr>
    </w:p>
    <w:p w14:paraId="7C2FA93C">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 Quando do pagamento, será efetuada a retenção tributária prevista na legislação aplicável.</w:t>
      </w:r>
    </w:p>
    <w:p w14:paraId="4B7C5DFB">
      <w:pPr>
        <w:pStyle w:val="83"/>
        <w:spacing w:line="288" w:lineRule="auto"/>
        <w:ind w:left="0" w:firstLine="0"/>
        <w:contextualSpacing/>
        <w:rPr>
          <w:rFonts w:ascii="Times New Roman" w:hAnsi="Times New Roman" w:cs="Times New Roman"/>
          <w:sz w:val="24"/>
          <w:szCs w:val="24"/>
        </w:rPr>
      </w:pPr>
    </w:p>
    <w:p w14:paraId="7D2E3155">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16.7.1 Independentemente do percentual de tributo inserido na planilha, no pagamento serão retidos na fonte os percentuais estabelecidos na legislação vigente.</w:t>
      </w:r>
    </w:p>
    <w:p w14:paraId="70279132">
      <w:pPr>
        <w:pStyle w:val="83"/>
        <w:spacing w:line="288" w:lineRule="auto"/>
        <w:ind w:left="0" w:firstLine="0"/>
        <w:contextualSpacing/>
        <w:rPr>
          <w:rFonts w:ascii="Times New Roman" w:hAnsi="Times New Roman" w:cs="Times New Roman"/>
          <w:sz w:val="24"/>
          <w:szCs w:val="24"/>
        </w:rPr>
      </w:pPr>
    </w:p>
    <w:p w14:paraId="38FA2D2A">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16.7.2 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70A383CA">
      <w:pPr>
        <w:pStyle w:val="83"/>
        <w:spacing w:line="288" w:lineRule="auto"/>
        <w:ind w:left="0" w:firstLine="0"/>
        <w:contextualSpacing/>
        <w:rPr>
          <w:rFonts w:ascii="Times New Roman" w:hAnsi="Times New Roman" w:cs="Times New Roman"/>
          <w:sz w:val="24"/>
          <w:szCs w:val="24"/>
        </w:rPr>
      </w:pPr>
    </w:p>
    <w:p w14:paraId="4C03CCED">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16.8 Os pagamentos eventualmente realizados com atraso, desde que não decorram de ato ou fato atribuível ao contratado, sofrerão a incidência de atualização monetária e juros de mora pelo </w:t>
      </w:r>
      <w:r>
        <w:rPr>
          <w:rFonts w:ascii="Times New Roman" w:hAnsi="Times New Roman" w:cs="Times New Roman"/>
          <w:bCs/>
          <w:color w:val="auto"/>
          <w:sz w:val="24"/>
          <w:szCs w:val="24"/>
        </w:rPr>
        <w:t>IPCA-E</w:t>
      </w:r>
      <w:r>
        <w:rPr>
          <w:rFonts w:ascii="Times New Roman" w:hAnsi="Times New Roman" w:cs="Times New Roman"/>
          <w:sz w:val="24"/>
          <w:szCs w:val="24"/>
        </w:rPr>
        <w:t xml:space="preserve">, calculado </w:t>
      </w:r>
      <w:r>
        <w:rPr>
          <w:rFonts w:ascii="Times New Roman" w:hAnsi="Times New Roman" w:cs="Times New Roman"/>
          <w:i/>
          <w:sz w:val="24"/>
          <w:szCs w:val="24"/>
        </w:rPr>
        <w:t>pro rata die</w:t>
      </w:r>
      <w:r>
        <w:rPr>
          <w:rFonts w:ascii="Times New Roman" w:hAnsi="Times New Roman" w:cs="Times New Roman"/>
          <w:sz w:val="24"/>
          <w:szCs w:val="24"/>
        </w:rPr>
        <w:t xml:space="preserve">, e aqueles pagos em prazo inferior ao estabelecido no instrumento convocatório serão feitos mediante desconto de 0,5% (um meio por cento) ao mês, calculado </w:t>
      </w:r>
      <w:r>
        <w:rPr>
          <w:rFonts w:ascii="Times New Roman" w:hAnsi="Times New Roman" w:cs="Times New Roman"/>
          <w:i/>
          <w:sz w:val="24"/>
          <w:szCs w:val="24"/>
        </w:rPr>
        <w:t>pro rata die.</w:t>
      </w:r>
    </w:p>
    <w:p w14:paraId="4BBA91A5">
      <w:pPr>
        <w:pStyle w:val="83"/>
        <w:spacing w:line="288" w:lineRule="auto"/>
        <w:ind w:left="0" w:firstLine="0"/>
        <w:contextualSpacing/>
        <w:rPr>
          <w:rFonts w:ascii="Times New Roman" w:hAnsi="Times New Roman" w:cs="Times New Roman"/>
          <w:sz w:val="24"/>
          <w:szCs w:val="24"/>
        </w:rPr>
      </w:pPr>
    </w:p>
    <w:p w14:paraId="48448B72">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16.9 O contratado deverá emitir a Nota Fiscal Eletrônica – NF-e, consoante o Protocolo ICMS nº 42/2009, com a redação conferida pelo Protocolo ICMS nº 85/2010, e caso seu estabelecimento esteja localizado no Estado do Rio de Janeiro, deverá observar a forma prescrita nas alíneas </w:t>
      </w:r>
      <w:r>
        <w:rPr>
          <w:rFonts w:ascii="Times New Roman" w:hAnsi="Times New Roman" w:cs="Times New Roman"/>
          <w:i/>
          <w:sz w:val="24"/>
          <w:szCs w:val="24"/>
        </w:rPr>
        <w:t xml:space="preserve">a, b, c, d </w:t>
      </w:r>
      <w:r>
        <w:rPr>
          <w:rFonts w:ascii="Times New Roman" w:hAnsi="Times New Roman" w:cs="Times New Roman"/>
          <w:sz w:val="24"/>
          <w:szCs w:val="24"/>
        </w:rPr>
        <w:t xml:space="preserve">e </w:t>
      </w:r>
      <w:r>
        <w:rPr>
          <w:rFonts w:ascii="Times New Roman" w:hAnsi="Times New Roman" w:cs="Times New Roman"/>
          <w:i/>
          <w:sz w:val="24"/>
          <w:szCs w:val="24"/>
        </w:rPr>
        <w:t xml:space="preserve">e, </w:t>
      </w:r>
      <w:r>
        <w:rPr>
          <w:rFonts w:ascii="Times New Roman" w:hAnsi="Times New Roman" w:cs="Times New Roman"/>
          <w:sz w:val="24"/>
          <w:szCs w:val="24"/>
        </w:rPr>
        <w:t>do §1º, do art. 2º da Resolução SEFAZ nº 971/2016.</w:t>
      </w:r>
    </w:p>
    <w:p w14:paraId="08A6632B">
      <w:pPr>
        <w:pStyle w:val="83"/>
        <w:spacing w:line="288" w:lineRule="auto"/>
        <w:ind w:left="0" w:firstLine="0"/>
        <w:contextualSpacing/>
        <w:rPr>
          <w:rFonts w:ascii="Times New Roman" w:hAnsi="Times New Roman" w:cs="Times New Roman"/>
          <w:sz w:val="24"/>
          <w:szCs w:val="24"/>
        </w:rPr>
      </w:pPr>
    </w:p>
    <w:p w14:paraId="7237186C">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16.10 Caso o Edital admita a subcontratação, os pagamentos aos subcontratados serão realizados diretamente pelo contratado, ficando vedada a emissão de empenho do contratante diretamente aos subcontratados.</w:t>
      </w:r>
    </w:p>
    <w:p w14:paraId="46B0E317">
      <w:pPr>
        <w:pStyle w:val="83"/>
        <w:spacing w:line="288" w:lineRule="auto"/>
        <w:ind w:left="0" w:firstLine="0"/>
        <w:contextualSpacing/>
        <w:rPr>
          <w:rFonts w:ascii="Times New Roman" w:hAnsi="Times New Roman" w:cs="Times New Roman"/>
          <w:sz w:val="24"/>
          <w:szCs w:val="24"/>
        </w:rPr>
      </w:pPr>
    </w:p>
    <w:p w14:paraId="0B04CCF0">
      <w:pPr>
        <w:pStyle w:val="83"/>
        <w:spacing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16.10.1 A subcontratação porventura realizada será integralmente custeada pelo contratado.</w:t>
      </w:r>
    </w:p>
    <w:p w14:paraId="5236D606">
      <w:pPr>
        <w:pStyle w:val="81"/>
        <w:spacing w:before="0" w:beforeAutospacing="0" w:after="0" w:afterAutospacing="0" w:line="288" w:lineRule="auto"/>
        <w:contextualSpacing/>
        <w:jc w:val="both"/>
        <w:rPr>
          <w:rFonts w:eastAsia="Calibri"/>
          <w:lang w:eastAsia="en-US"/>
        </w:rPr>
      </w:pPr>
    </w:p>
    <w:p w14:paraId="1CBD7EEC">
      <w:pPr>
        <w:pStyle w:val="81"/>
        <w:spacing w:before="0" w:beforeAutospacing="0" w:after="0" w:afterAutospacing="0" w:line="288" w:lineRule="auto"/>
        <w:contextualSpacing/>
        <w:jc w:val="both"/>
        <w:rPr>
          <w:rFonts w:eastAsia="Calibri"/>
          <w:b/>
          <w:bCs/>
          <w:lang w:eastAsia="en-US"/>
        </w:rPr>
      </w:pPr>
      <w:r>
        <w:rPr>
          <w:rFonts w:eastAsia="Calibri"/>
          <w:b/>
          <w:bCs/>
          <w:lang w:eastAsia="en-US"/>
        </w:rPr>
        <w:t xml:space="preserve">17. PRAZO CONTRATUAL </w:t>
      </w:r>
    </w:p>
    <w:p w14:paraId="2CBAD5F0">
      <w:pPr>
        <w:pStyle w:val="83"/>
        <w:spacing w:before="0" w:after="0" w:line="288" w:lineRule="auto"/>
        <w:ind w:left="0" w:firstLine="0"/>
        <w:contextualSpacing/>
        <w:rPr>
          <w:rFonts w:ascii="Times New Roman" w:hAnsi="Times New Roman" w:cs="Times New Roman"/>
          <w:sz w:val="24"/>
          <w:szCs w:val="24"/>
        </w:rPr>
      </w:pPr>
    </w:p>
    <w:p w14:paraId="16AE267E">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17.1 O prazo de vigência do Contrato é de </w:t>
      </w:r>
      <w:r>
        <w:rPr>
          <w:rFonts w:ascii="Times New Roman" w:hAnsi="Times New Roman" w:cs="Times New Roman"/>
          <w:color w:val="000000" w:themeColor="text1"/>
          <w:sz w:val="24"/>
          <w:szCs w:val="24"/>
          <w14:textFill>
            <w14:solidFill>
              <w14:schemeClr w14:val="tx1"/>
            </w14:solidFill>
          </w14:textFill>
        </w:rPr>
        <w:t>12 (doze) meses</w:t>
      </w:r>
      <w:r>
        <w:rPr>
          <w:rFonts w:ascii="Times New Roman" w:hAnsi="Times New Roman" w:cs="Times New Roman"/>
          <w:sz w:val="24"/>
          <w:szCs w:val="24"/>
        </w:rPr>
        <w:t xml:space="preserve">, contado da data da </w:t>
      </w:r>
      <w:r>
        <w:rPr>
          <w:rFonts w:ascii="Times New Roman" w:hAnsi="Times New Roman" w:cs="Times New Roman"/>
          <w:iCs/>
          <w:sz w:val="24"/>
          <w:szCs w:val="24"/>
        </w:rPr>
        <w:t>divulgação no Portal Nacional de Contratações Públicas</w:t>
      </w:r>
      <w:r>
        <w:rPr>
          <w:rFonts w:ascii="Times New Roman" w:hAnsi="Times New Roman" w:cs="Times New Roman"/>
          <w:sz w:val="24"/>
          <w:szCs w:val="24"/>
        </w:rPr>
        <w:t>.</w:t>
      </w:r>
    </w:p>
    <w:p w14:paraId="42B30E15">
      <w:pPr>
        <w:pStyle w:val="83"/>
        <w:spacing w:after="0" w:line="288" w:lineRule="auto"/>
        <w:ind w:left="0" w:firstLine="0"/>
        <w:contextualSpacing/>
        <w:rPr>
          <w:rFonts w:ascii="Times New Roman" w:hAnsi="Times New Roman" w:cs="Times New Roman"/>
          <w:color w:val="auto"/>
          <w:sz w:val="24"/>
          <w:szCs w:val="24"/>
        </w:rPr>
      </w:pPr>
    </w:p>
    <w:p w14:paraId="6102D4B6">
      <w:pPr>
        <w:pStyle w:val="83"/>
        <w:spacing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17.2 O prazo de vigência será automaticamente prorrogado,</w:t>
      </w:r>
      <w:r>
        <w:rPr>
          <w:rFonts w:ascii="Times New Roman" w:hAnsi="Times New Roman" w:cs="Times New Roman"/>
          <w:bCs/>
          <w:iCs/>
          <w:color w:val="auto"/>
          <w:sz w:val="24"/>
          <w:szCs w:val="24"/>
        </w:rPr>
        <w:t xml:space="preserve"> sem prejuízo da formalização adequada,</w:t>
      </w:r>
      <w:r>
        <w:rPr>
          <w:rFonts w:ascii="Times New Roman" w:hAnsi="Times New Roman" w:cs="Times New Roman"/>
          <w:color w:val="auto"/>
          <w:sz w:val="24"/>
          <w:szCs w:val="24"/>
        </w:rPr>
        <w:t xml:space="preserve"> quando o objeto não for concluído no período firmado acima, ressalvadas as providências cabíveis no caso de culpa do contratado, previstas neste instrumento e no Contrato.</w:t>
      </w:r>
      <w:r>
        <w:rPr>
          <w:rFonts w:ascii="Times New Roman" w:hAnsi="Times New Roman" w:cs="Times New Roman"/>
          <w:sz w:val="24"/>
          <w:szCs w:val="24"/>
        </w:rPr>
        <w:t> </w:t>
      </w:r>
    </w:p>
    <w:p w14:paraId="44A7363D">
      <w:pPr>
        <w:pStyle w:val="83"/>
        <w:spacing w:after="0" w:line="288" w:lineRule="auto"/>
        <w:ind w:left="0" w:firstLine="0"/>
        <w:contextualSpacing/>
        <w:rPr>
          <w:rFonts w:ascii="Times New Roman" w:hAnsi="Times New Roman" w:cs="Times New Roman"/>
          <w:sz w:val="24"/>
          <w:szCs w:val="24"/>
        </w:rPr>
      </w:pPr>
    </w:p>
    <w:p w14:paraId="676CC0DB">
      <w:pPr>
        <w:pStyle w:val="81"/>
        <w:spacing w:before="0" w:beforeAutospacing="0" w:after="0" w:afterAutospacing="0" w:line="288" w:lineRule="auto"/>
        <w:contextualSpacing/>
        <w:jc w:val="both"/>
      </w:pPr>
      <w:r>
        <w:rPr>
          <w:rFonts w:eastAsia="Calibri"/>
          <w:b/>
          <w:bCs/>
          <w:lang w:eastAsia="en-US"/>
        </w:rPr>
        <w:t xml:space="preserve">18. REAJUSTE </w:t>
      </w:r>
    </w:p>
    <w:p w14:paraId="522F8CB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 Os preços contratados serão reajustados após o interregno de 1 (um) ano, mediante solicitação do contratado.</w:t>
      </w:r>
    </w:p>
    <w:p w14:paraId="0537202E">
      <w:pPr>
        <w:pStyle w:val="83"/>
        <w:spacing w:before="288" w:beforeLines="120" w:after="288" w:afterLines="120" w:line="288" w:lineRule="auto"/>
        <w:ind w:left="0" w:firstLine="0"/>
        <w:contextualSpacing/>
        <w:rPr>
          <w:rFonts w:ascii="Times New Roman" w:hAnsi="Times New Roman" w:cs="Times New Roman"/>
          <w:sz w:val="24"/>
          <w:szCs w:val="24"/>
        </w:rPr>
      </w:pPr>
    </w:p>
    <w:p w14:paraId="2EDA3F4E">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18.2 O interregno mínimo de 1 (um) ano para o primeiro reajuste será contado da data do orçamento estimado. </w:t>
      </w:r>
    </w:p>
    <w:p w14:paraId="05BB6ED4">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0297662E">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18.3 </w:t>
      </w:r>
      <w:r>
        <w:rPr>
          <w:rFonts w:ascii="Times New Roman" w:hAnsi="Times New Roman" w:cs="Times New Roman"/>
          <w:sz w:val="24"/>
          <w:szCs w:val="24"/>
        </w:rPr>
        <w:t>Nos reajustes subsequentes ao primeiro, o interregno mínimo de um ano será contado a partir do fato gerador que deu ensejo ao último reajuste.</w:t>
      </w:r>
    </w:p>
    <w:p w14:paraId="053797CE">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40C769F1">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18.4 </w:t>
      </w:r>
      <w:r>
        <w:rPr>
          <w:rFonts w:ascii="Times New Roman" w:hAnsi="Times New Roman" w:cs="Times New Roman"/>
          <w:sz w:val="24"/>
          <w:szCs w:val="24"/>
        </w:rPr>
        <w:t>Os preços iniciais serão reajustados, mediante a aplicação, pelo contratante, do índice IPCA, exclusivamente para as obrigações que se iniciem após a anualidade.</w:t>
      </w:r>
    </w:p>
    <w:p w14:paraId="3D38248C">
      <w:pPr>
        <w:pStyle w:val="83"/>
        <w:spacing w:before="288" w:beforeLines="120" w:after="288" w:afterLines="120" w:line="288" w:lineRule="auto"/>
        <w:ind w:left="0" w:firstLine="0"/>
        <w:contextualSpacing/>
        <w:rPr>
          <w:rFonts w:ascii="Times New Roman" w:hAnsi="Times New Roman" w:cs="Times New Roman"/>
          <w:color w:val="FF0000"/>
          <w:sz w:val="24"/>
          <w:szCs w:val="24"/>
        </w:rPr>
      </w:pPr>
      <w:bookmarkStart w:id="36" w:name="_Hlk153284733"/>
    </w:p>
    <w:bookmarkEnd w:id="36"/>
    <w:p w14:paraId="629A1DEB">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4D7AB290">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18.5 </w:t>
      </w:r>
      <w:r>
        <w:rPr>
          <w:rFonts w:ascii="Times New Roman" w:hAnsi="Times New Roman" w:cs="Times New Roman"/>
          <w:sz w:val="24"/>
          <w:szCs w:val="24"/>
        </w:rPr>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77211141">
      <w:pPr>
        <w:pStyle w:val="83"/>
        <w:spacing w:before="288" w:beforeLines="120" w:after="288" w:afterLines="120" w:line="288" w:lineRule="auto"/>
        <w:ind w:left="0" w:firstLine="0"/>
        <w:contextualSpacing/>
        <w:rPr>
          <w:rFonts w:ascii="Times New Roman" w:hAnsi="Times New Roman" w:cs="Times New Roman"/>
          <w:sz w:val="24"/>
          <w:szCs w:val="24"/>
        </w:rPr>
      </w:pPr>
    </w:p>
    <w:p w14:paraId="4A9FEDB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18.5.1 Fica o contratado obrigado a apresentar memória de cálculo referente ao reajustamento de preços do valor remanescente, sempre que este ocorrer, sendo adotado na aferição final o índice definitivo.</w:t>
      </w:r>
    </w:p>
    <w:p w14:paraId="747040B3">
      <w:pPr>
        <w:pStyle w:val="83"/>
        <w:spacing w:before="288" w:beforeLines="120" w:after="288" w:afterLines="120" w:line="288" w:lineRule="auto"/>
        <w:ind w:left="0" w:firstLine="0"/>
        <w:contextualSpacing/>
        <w:rPr>
          <w:rFonts w:ascii="Times New Roman" w:hAnsi="Times New Roman" w:cs="Times New Roman"/>
          <w:sz w:val="24"/>
          <w:szCs w:val="24"/>
        </w:rPr>
      </w:pPr>
    </w:p>
    <w:p w14:paraId="116F1974">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18.6 Caso o(s) índice(s) estabelecido(s) para reajustamento venha(m) a ser extinto(s) ou de qualquer forma não possa(m) mais ser utilizado(s), será(ão) adotado(s), em substituição, o(s) que vier(em) a ser determinado(s) pela legislação então em vigor.</w:t>
      </w:r>
    </w:p>
    <w:p w14:paraId="6E302585">
      <w:pPr>
        <w:pStyle w:val="83"/>
        <w:spacing w:before="288" w:beforeLines="120" w:after="288" w:afterLines="120" w:line="288" w:lineRule="auto"/>
        <w:ind w:left="0" w:firstLine="0"/>
        <w:contextualSpacing/>
        <w:rPr>
          <w:rFonts w:ascii="Times New Roman" w:hAnsi="Times New Roman" w:cs="Times New Roman"/>
          <w:sz w:val="24"/>
          <w:szCs w:val="24"/>
        </w:rPr>
      </w:pPr>
    </w:p>
    <w:p w14:paraId="481C49D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18.7 Na ausência de previsão legal quanto ao índice substituto, as partes elegerão novo índice oficial, para reajustamento do preço do valor remanescente, por meio de termo aditivo.</w:t>
      </w:r>
    </w:p>
    <w:p w14:paraId="004A8884">
      <w:pPr>
        <w:pStyle w:val="83"/>
        <w:spacing w:before="288" w:beforeLines="120" w:after="288" w:afterLines="120" w:line="288" w:lineRule="auto"/>
        <w:ind w:left="0" w:firstLine="0"/>
        <w:contextualSpacing/>
        <w:rPr>
          <w:rFonts w:ascii="Times New Roman" w:hAnsi="Times New Roman" w:cs="Times New Roman"/>
          <w:sz w:val="24"/>
          <w:szCs w:val="24"/>
        </w:rPr>
      </w:pPr>
    </w:p>
    <w:p w14:paraId="4663F2A4">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18.8 O pedido de reajuste deverá ser formulado durante a vigência do contrato e antes de eventual prorrogação contratual, sob pena de preclusão.</w:t>
      </w:r>
    </w:p>
    <w:p w14:paraId="03604A63">
      <w:pPr>
        <w:pStyle w:val="83"/>
        <w:spacing w:before="288" w:beforeLines="120" w:after="288" w:afterLines="120" w:line="288" w:lineRule="auto"/>
        <w:ind w:left="0" w:firstLine="0"/>
        <w:contextualSpacing/>
        <w:rPr>
          <w:rFonts w:ascii="Times New Roman" w:hAnsi="Times New Roman" w:cs="Times New Roman"/>
          <w:sz w:val="24"/>
          <w:szCs w:val="24"/>
        </w:rPr>
      </w:pPr>
    </w:p>
    <w:p w14:paraId="20125A6F">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18.8.1 Os efeitos financeiros do pedido de reajuste serão contados:</w:t>
      </w:r>
    </w:p>
    <w:p w14:paraId="7B241D14">
      <w:pPr>
        <w:pStyle w:val="83"/>
        <w:spacing w:before="288" w:beforeLines="120" w:after="288" w:afterLines="120" w:line="288" w:lineRule="auto"/>
        <w:ind w:left="0" w:firstLine="0"/>
        <w:contextualSpacing/>
        <w:rPr>
          <w:rFonts w:ascii="Times New Roman" w:hAnsi="Times New Roman" w:cs="Times New Roman"/>
          <w:sz w:val="24"/>
          <w:szCs w:val="24"/>
        </w:rPr>
      </w:pPr>
    </w:p>
    <w:p w14:paraId="337C706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 data-base prevista no contrato, desde que requerido o reajuste no prazo de 60 (sessenta) dias da data de publicação do índice ajustado contratualmente;</w:t>
      </w:r>
    </w:p>
    <w:p w14:paraId="47F17EEE">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data do requerimento do contratado, caso o pedido seja formulado após o prazo fixado na alínea a, acima, o que não acarretará a alteração do marco para cômputo da anualidade do reajustamento, já adotado no edital e no contrato.</w:t>
      </w:r>
    </w:p>
    <w:p w14:paraId="169F43EF">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76FDE8A2">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18.9 </w:t>
      </w:r>
      <w:r>
        <w:rPr>
          <w:rFonts w:ascii="Times New Roman" w:hAnsi="Times New Roman" w:cs="Times New Roman"/>
          <w:sz w:val="24"/>
          <w:szCs w:val="24"/>
        </w:rPr>
        <w:t>Caso, na data de eventual prorrogação contratual, ainda não tenha sido divulgado o índice de reajuste, deverá, a requerimento do contratado, ser inserida cláusula no termo aditivo de prorrogação para resguardar o direito futuro do contratado, a ser exercido tão logo se disponha dos valores reajustados, sob pena de preclusão.</w:t>
      </w:r>
    </w:p>
    <w:p w14:paraId="05D293A1">
      <w:pPr>
        <w:pStyle w:val="83"/>
        <w:spacing w:before="288" w:beforeLines="120" w:after="288" w:afterLines="120" w:line="288" w:lineRule="auto"/>
        <w:ind w:left="0" w:firstLine="0"/>
        <w:contextualSpacing/>
        <w:rPr>
          <w:rFonts w:ascii="Times New Roman" w:hAnsi="Times New Roman" w:cs="Times New Roman"/>
          <w:sz w:val="24"/>
          <w:szCs w:val="24"/>
        </w:rPr>
      </w:pPr>
    </w:p>
    <w:p w14:paraId="7A7635DE">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18.10 A extinção do contrato não configurará óbice para o deferimento do reajuste solicitado tempestivamente, hipótese em que será concedido por meio de termo indenizatório.</w:t>
      </w:r>
    </w:p>
    <w:p w14:paraId="23FD7033">
      <w:pPr>
        <w:pStyle w:val="83"/>
        <w:spacing w:before="288" w:beforeLines="120" w:after="288" w:afterLines="120" w:line="288" w:lineRule="auto"/>
        <w:ind w:left="0" w:firstLine="0"/>
        <w:contextualSpacing/>
        <w:rPr>
          <w:rFonts w:ascii="Times New Roman" w:hAnsi="Times New Roman" w:cs="Times New Roman"/>
          <w:sz w:val="24"/>
          <w:szCs w:val="24"/>
        </w:rPr>
      </w:pPr>
    </w:p>
    <w:p w14:paraId="4CC61364">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18.11 O reajuste será realizado por apostilamento, se esta for a única alteração contratual a ser realizada.</w:t>
      </w:r>
    </w:p>
    <w:p w14:paraId="65E2CC60">
      <w:pPr>
        <w:pStyle w:val="83"/>
        <w:spacing w:before="288" w:beforeLines="120" w:after="288" w:afterLines="120" w:line="288" w:lineRule="auto"/>
        <w:ind w:left="0" w:firstLine="0"/>
        <w:contextualSpacing/>
        <w:rPr>
          <w:rFonts w:ascii="Times New Roman" w:hAnsi="Times New Roman" w:cs="Times New Roman"/>
          <w:sz w:val="24"/>
          <w:szCs w:val="24"/>
        </w:rPr>
      </w:pPr>
    </w:p>
    <w:p w14:paraId="48C7720A">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18.12 O reajuste de preços não interfere no direito das partes de solicitar, a qualquer momento, a manutenção do equilíbrio econômico dos contratos com base no disposto no art. 124, inciso II, alínea “d”, da Lei n.º 14.133/2021.</w:t>
      </w:r>
    </w:p>
    <w:p w14:paraId="266ECA71">
      <w:pPr>
        <w:pStyle w:val="81"/>
        <w:spacing w:before="0" w:beforeAutospacing="0" w:after="0" w:afterAutospacing="0" w:line="288" w:lineRule="auto"/>
        <w:contextualSpacing/>
        <w:jc w:val="both"/>
        <w:rPr>
          <w:rFonts w:eastAsia="Calibri"/>
          <w:b/>
          <w:bCs/>
          <w:lang w:eastAsia="en-US"/>
        </w:rPr>
      </w:pPr>
      <w:r>
        <w:rPr>
          <w:rFonts w:eastAsia="Calibri"/>
          <w:b/>
          <w:bCs/>
          <w:lang w:eastAsia="en-US"/>
        </w:rPr>
        <w:t>19. EXECUÇÃO, GESTÃO E FISCALIZAÇÃO CONTRATUAIS</w:t>
      </w:r>
    </w:p>
    <w:p w14:paraId="03591E9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19.1 O regime de execução contratual, o modelo de gestão e a fiscalização, assim como os prazos e condições de conclusão, entrega, observação e recebimento se submetem ao disposto no Termo de Referência anexo a este Edital, na forma do Decreto nº 40/2025.</w:t>
      </w:r>
    </w:p>
    <w:p w14:paraId="0CF7D3B6">
      <w:pPr>
        <w:spacing w:line="288" w:lineRule="auto"/>
        <w:contextualSpacing/>
        <w:jc w:val="both"/>
        <w:rPr>
          <w:b/>
          <w:bCs/>
          <w:sz w:val="24"/>
          <w:szCs w:val="24"/>
        </w:rPr>
      </w:pPr>
      <w:r>
        <w:rPr>
          <w:b/>
          <w:bCs/>
          <w:sz w:val="24"/>
          <w:szCs w:val="24"/>
        </w:rPr>
        <w:t>20. DAS INFRAÇÕES ADMINISTRATIVAS E SANÇÕES</w:t>
      </w:r>
    </w:p>
    <w:p w14:paraId="1A81B7D3">
      <w:pPr>
        <w:spacing w:line="288" w:lineRule="auto"/>
        <w:contextualSpacing/>
        <w:jc w:val="both"/>
        <w:rPr>
          <w:sz w:val="24"/>
          <w:szCs w:val="24"/>
        </w:rPr>
      </w:pPr>
    </w:p>
    <w:p w14:paraId="7D75D0CC">
      <w:pPr>
        <w:spacing w:line="288" w:lineRule="auto"/>
        <w:contextualSpacing/>
        <w:jc w:val="both"/>
        <w:rPr>
          <w:color w:val="000000"/>
          <w:sz w:val="24"/>
          <w:szCs w:val="24"/>
        </w:rPr>
      </w:pPr>
      <w:r>
        <w:rPr>
          <w:color w:val="000000"/>
          <w:sz w:val="24"/>
          <w:szCs w:val="24"/>
        </w:rPr>
        <w:t>20.1 Constitui infração administrativa, a prática, pelo licitante ou contratado, das seguintes condutas previstas no art. 155 da Lei nº 14.133/2021:</w:t>
      </w:r>
    </w:p>
    <w:p w14:paraId="2BD81653">
      <w:pPr>
        <w:spacing w:line="288" w:lineRule="auto"/>
        <w:contextualSpacing/>
        <w:jc w:val="both"/>
        <w:rPr>
          <w:color w:val="000000"/>
          <w:sz w:val="24"/>
          <w:szCs w:val="24"/>
        </w:rPr>
      </w:pPr>
    </w:p>
    <w:p w14:paraId="1BDD3D81">
      <w:pPr>
        <w:spacing w:line="288" w:lineRule="auto"/>
        <w:contextualSpacing/>
        <w:jc w:val="both"/>
        <w:rPr>
          <w:sz w:val="24"/>
          <w:szCs w:val="24"/>
        </w:rPr>
      </w:pPr>
      <w:bookmarkStart w:id="37" w:name="_Hlk183789048"/>
      <w:r>
        <w:rPr>
          <w:color w:val="000000"/>
          <w:sz w:val="24"/>
          <w:szCs w:val="24"/>
        </w:rPr>
        <w:t>20</w:t>
      </w:r>
      <w:bookmarkEnd w:id="37"/>
      <w:r>
        <w:rPr>
          <w:color w:val="000000"/>
          <w:sz w:val="24"/>
          <w:szCs w:val="24"/>
        </w:rPr>
        <w:t>.1.1 dar causa à inexecução parcial do contrato</w:t>
      </w:r>
      <w:r>
        <w:rPr>
          <w:sz w:val="24"/>
          <w:szCs w:val="24"/>
        </w:rPr>
        <w:t>;</w:t>
      </w:r>
    </w:p>
    <w:p w14:paraId="118D3F0E">
      <w:pPr>
        <w:spacing w:line="288" w:lineRule="auto"/>
        <w:contextualSpacing/>
        <w:jc w:val="both"/>
        <w:rPr>
          <w:sz w:val="24"/>
          <w:szCs w:val="24"/>
        </w:rPr>
      </w:pPr>
    </w:p>
    <w:p w14:paraId="72B8B09C">
      <w:pPr>
        <w:spacing w:line="288" w:lineRule="auto"/>
        <w:contextualSpacing/>
        <w:jc w:val="both"/>
        <w:rPr>
          <w:sz w:val="24"/>
          <w:szCs w:val="24"/>
        </w:rPr>
      </w:pPr>
      <w:r>
        <w:rPr>
          <w:color w:val="000000"/>
          <w:sz w:val="24"/>
          <w:szCs w:val="24"/>
        </w:rPr>
        <w:t>20.1.2 dar causa à inexecução parcial do contrato que cause grave dano à Administração, ao funcionamento dos serviços públicos ou ao interesse coletivo;</w:t>
      </w:r>
    </w:p>
    <w:p w14:paraId="325C372D">
      <w:pPr>
        <w:spacing w:line="288" w:lineRule="auto"/>
        <w:contextualSpacing/>
        <w:jc w:val="both"/>
        <w:rPr>
          <w:color w:val="000000"/>
          <w:sz w:val="24"/>
          <w:szCs w:val="24"/>
        </w:rPr>
      </w:pPr>
    </w:p>
    <w:p w14:paraId="16BD7F69">
      <w:pPr>
        <w:spacing w:after="160" w:line="288" w:lineRule="auto"/>
        <w:contextualSpacing/>
        <w:jc w:val="both"/>
        <w:rPr>
          <w:sz w:val="24"/>
          <w:szCs w:val="24"/>
        </w:rPr>
      </w:pPr>
      <w:r>
        <w:rPr>
          <w:color w:val="000000"/>
          <w:sz w:val="24"/>
          <w:szCs w:val="24"/>
        </w:rPr>
        <w:t>20.1.3 dar causa à inexecução total do contrato;</w:t>
      </w:r>
    </w:p>
    <w:p w14:paraId="7ECD8C3F">
      <w:pPr>
        <w:spacing w:line="288" w:lineRule="auto"/>
        <w:contextualSpacing/>
        <w:jc w:val="both"/>
        <w:rPr>
          <w:color w:val="000000"/>
          <w:sz w:val="24"/>
          <w:szCs w:val="24"/>
        </w:rPr>
      </w:pPr>
    </w:p>
    <w:p w14:paraId="2E8A5A6D">
      <w:pPr>
        <w:spacing w:line="288" w:lineRule="auto"/>
        <w:contextualSpacing/>
        <w:jc w:val="both"/>
        <w:rPr>
          <w:sz w:val="24"/>
          <w:szCs w:val="24"/>
        </w:rPr>
      </w:pPr>
      <w:r>
        <w:rPr>
          <w:color w:val="000000"/>
          <w:sz w:val="24"/>
          <w:szCs w:val="24"/>
        </w:rPr>
        <w:t xml:space="preserve">20.1.4 deixar de entregar a documentação exigida para o certame ou não entregar qualquer documento que tenha sido solicitado pelo Pregoeiro durante o certame; </w:t>
      </w:r>
    </w:p>
    <w:p w14:paraId="0CBBE616">
      <w:pPr>
        <w:spacing w:line="288" w:lineRule="auto"/>
        <w:contextualSpacing/>
        <w:jc w:val="both"/>
        <w:rPr>
          <w:color w:val="000000"/>
          <w:sz w:val="24"/>
          <w:szCs w:val="24"/>
        </w:rPr>
      </w:pPr>
    </w:p>
    <w:p w14:paraId="1F768F58">
      <w:pPr>
        <w:spacing w:line="288" w:lineRule="auto"/>
        <w:contextualSpacing/>
        <w:jc w:val="both"/>
        <w:rPr>
          <w:color w:val="000000"/>
          <w:sz w:val="24"/>
          <w:szCs w:val="24"/>
        </w:rPr>
      </w:pPr>
      <w:r>
        <w:rPr>
          <w:color w:val="000000"/>
          <w:sz w:val="24"/>
          <w:szCs w:val="24"/>
        </w:rPr>
        <w:t>20.1.5 não manter a proposta, salvo em decorrência de fato superveniente devidamente justificado, em especial quando:</w:t>
      </w:r>
    </w:p>
    <w:p w14:paraId="2265E309">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20</w:t>
      </w:r>
      <w:r>
        <w:rPr>
          <w:rFonts w:ascii="Times New Roman" w:hAnsi="Times New Roman" w:cs="Times New Roman"/>
          <w:sz w:val="24"/>
          <w:szCs w:val="24"/>
        </w:rPr>
        <w:t xml:space="preserve">.1.5.1 não enviar a proposta adequada ao último lance ofertado ou após a negociação; </w:t>
      </w:r>
    </w:p>
    <w:p w14:paraId="39C38F5C">
      <w:pPr>
        <w:pStyle w:val="106"/>
        <w:spacing w:before="288" w:beforeLines="120" w:after="288" w:afterLines="120" w:line="288" w:lineRule="auto"/>
        <w:ind w:left="0"/>
        <w:contextualSpacing/>
        <w:rPr>
          <w:rFonts w:ascii="Times New Roman" w:hAnsi="Times New Roman" w:cs="Times New Roman"/>
          <w:sz w:val="24"/>
          <w:szCs w:val="24"/>
        </w:rPr>
      </w:pPr>
    </w:p>
    <w:p w14:paraId="1E5F9404">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20</w:t>
      </w:r>
      <w:r>
        <w:rPr>
          <w:rFonts w:ascii="Times New Roman" w:hAnsi="Times New Roman" w:cs="Times New Roman"/>
          <w:sz w:val="24"/>
          <w:szCs w:val="24"/>
        </w:rPr>
        <w:t xml:space="preserve">.1.5.2 recusar-se a enviar o detalhamento da proposta quando exigível; </w:t>
      </w:r>
    </w:p>
    <w:p w14:paraId="53BE1DE4">
      <w:pPr>
        <w:pStyle w:val="106"/>
        <w:spacing w:before="288" w:beforeLines="120" w:after="288" w:afterLines="120" w:line="288" w:lineRule="auto"/>
        <w:ind w:left="0"/>
        <w:contextualSpacing/>
        <w:rPr>
          <w:rFonts w:ascii="Times New Roman" w:hAnsi="Times New Roman" w:cs="Times New Roman"/>
          <w:sz w:val="24"/>
          <w:szCs w:val="24"/>
        </w:rPr>
      </w:pPr>
    </w:p>
    <w:p w14:paraId="3F8D95C2">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20.1.5.3 pedir para ser desclassificado quando encerrada a etapa competitiva; </w:t>
      </w:r>
    </w:p>
    <w:p w14:paraId="35B71CD4">
      <w:pPr>
        <w:pStyle w:val="106"/>
        <w:spacing w:before="288" w:beforeLines="120" w:after="288" w:afterLines="120" w:line="288" w:lineRule="auto"/>
        <w:ind w:left="0"/>
        <w:contextualSpacing/>
        <w:rPr>
          <w:rFonts w:ascii="Times New Roman" w:hAnsi="Times New Roman" w:cs="Times New Roman"/>
          <w:sz w:val="24"/>
          <w:szCs w:val="24"/>
        </w:rPr>
      </w:pPr>
    </w:p>
    <w:p w14:paraId="4CD9B354">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20.1.5.4 deixar de apresentar amostra; ou</w:t>
      </w:r>
    </w:p>
    <w:p w14:paraId="56C16DD6">
      <w:pPr>
        <w:pStyle w:val="106"/>
        <w:spacing w:before="288" w:beforeLines="120" w:after="288" w:afterLines="120" w:line="288" w:lineRule="auto"/>
        <w:ind w:left="0"/>
        <w:contextualSpacing/>
        <w:rPr>
          <w:rFonts w:ascii="Times New Roman" w:hAnsi="Times New Roman" w:cs="Times New Roman"/>
          <w:sz w:val="24"/>
          <w:szCs w:val="24"/>
        </w:rPr>
      </w:pPr>
    </w:p>
    <w:p w14:paraId="559FA027">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20.1.5.5 apresentar proposta ou amostra em desacordo com as especificações do instrumento convocatório; </w:t>
      </w:r>
    </w:p>
    <w:p w14:paraId="67CFEA35">
      <w:pPr>
        <w:spacing w:line="288" w:lineRule="auto"/>
        <w:contextualSpacing/>
        <w:jc w:val="both"/>
        <w:rPr>
          <w:color w:val="000000"/>
          <w:sz w:val="24"/>
          <w:szCs w:val="24"/>
        </w:rPr>
      </w:pPr>
      <w:r>
        <w:rPr>
          <w:color w:val="000000"/>
          <w:sz w:val="24"/>
          <w:szCs w:val="24"/>
        </w:rPr>
        <w:t>20.1.6 não celebrar o contrato ou não entregar a documentação exigida para a contratação, quando convocado dentro do prazo de validade de sua proposta;</w:t>
      </w:r>
    </w:p>
    <w:p w14:paraId="2E58DEA1">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20.1.6.1 recusar-se, sem justificativa, a assinar o contrato ou a ata de registro de preço, ou a aceitar ou retirar o instrumento equivalente no prazo estabelecido pela Administração;</w:t>
      </w:r>
    </w:p>
    <w:p w14:paraId="22618521">
      <w:pPr>
        <w:spacing w:line="288" w:lineRule="auto"/>
        <w:contextualSpacing/>
        <w:jc w:val="both"/>
        <w:rPr>
          <w:color w:val="000000"/>
          <w:sz w:val="24"/>
          <w:szCs w:val="24"/>
        </w:rPr>
      </w:pPr>
      <w:r>
        <w:rPr>
          <w:color w:val="000000"/>
          <w:sz w:val="24"/>
          <w:szCs w:val="24"/>
        </w:rPr>
        <w:t>20.1.7 ensejar o retardamento da execução ou da entrega do objeto da contratação sem motivo justificado;</w:t>
      </w:r>
    </w:p>
    <w:p w14:paraId="123D1723">
      <w:pPr>
        <w:spacing w:line="288" w:lineRule="auto"/>
        <w:contextualSpacing/>
        <w:jc w:val="both"/>
        <w:rPr>
          <w:color w:val="000000"/>
          <w:sz w:val="24"/>
          <w:szCs w:val="24"/>
        </w:rPr>
      </w:pPr>
    </w:p>
    <w:p w14:paraId="4CAD4C84">
      <w:pPr>
        <w:spacing w:line="288" w:lineRule="auto"/>
        <w:contextualSpacing/>
        <w:jc w:val="both"/>
        <w:rPr>
          <w:color w:val="000000"/>
          <w:sz w:val="24"/>
          <w:szCs w:val="24"/>
        </w:rPr>
      </w:pPr>
      <w:r>
        <w:rPr>
          <w:color w:val="000000"/>
          <w:sz w:val="24"/>
          <w:szCs w:val="24"/>
        </w:rPr>
        <w:t>20.1.8 apresentar declaração ou documentação falsa exigida para o certame ou prestar declaração falsa durante o certame ou a execução do contrato;</w:t>
      </w:r>
    </w:p>
    <w:p w14:paraId="2F5D43A3">
      <w:pPr>
        <w:spacing w:line="288" w:lineRule="auto"/>
        <w:contextualSpacing/>
        <w:jc w:val="both"/>
        <w:rPr>
          <w:rFonts w:eastAsia="Arial"/>
          <w:color w:val="000000"/>
          <w:sz w:val="24"/>
          <w:szCs w:val="24"/>
        </w:rPr>
      </w:pPr>
    </w:p>
    <w:p w14:paraId="27F89C55">
      <w:pPr>
        <w:spacing w:line="288" w:lineRule="auto"/>
        <w:contextualSpacing/>
        <w:jc w:val="both"/>
        <w:rPr>
          <w:color w:val="000000"/>
          <w:sz w:val="24"/>
          <w:szCs w:val="24"/>
        </w:rPr>
      </w:pPr>
      <w:r>
        <w:rPr>
          <w:color w:val="000000"/>
          <w:sz w:val="24"/>
          <w:szCs w:val="24"/>
        </w:rPr>
        <w:t>20.1.9 fraudar o certame ou praticar ato fraudulento na execução do contrato;</w:t>
      </w:r>
    </w:p>
    <w:p w14:paraId="079233BC">
      <w:pPr>
        <w:spacing w:line="288" w:lineRule="auto"/>
        <w:contextualSpacing/>
        <w:jc w:val="both"/>
        <w:rPr>
          <w:color w:val="000000"/>
          <w:sz w:val="24"/>
          <w:szCs w:val="24"/>
        </w:rPr>
      </w:pPr>
      <w:r>
        <w:rPr>
          <w:color w:val="000000"/>
          <w:sz w:val="24"/>
          <w:szCs w:val="24"/>
        </w:rPr>
        <w:t> </w:t>
      </w:r>
    </w:p>
    <w:p w14:paraId="0ED77862">
      <w:pPr>
        <w:spacing w:line="288" w:lineRule="auto"/>
        <w:contextualSpacing/>
        <w:jc w:val="both"/>
        <w:rPr>
          <w:color w:val="000000"/>
          <w:sz w:val="24"/>
          <w:szCs w:val="24"/>
        </w:rPr>
      </w:pPr>
      <w:r>
        <w:rPr>
          <w:color w:val="000000"/>
          <w:sz w:val="24"/>
          <w:szCs w:val="24"/>
        </w:rPr>
        <w:t>20.1.10 comportar-se de modo inidôneo ou cometer fraude de qualquer natureza, em especial quando:</w:t>
      </w:r>
    </w:p>
    <w:p w14:paraId="7B320D35">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20.1.10.1 agir em conluio ou em desconformidade com a lei; </w:t>
      </w:r>
    </w:p>
    <w:p w14:paraId="4A31A0A4">
      <w:pPr>
        <w:pStyle w:val="106"/>
        <w:spacing w:before="288" w:beforeLines="120" w:after="288" w:afterLines="120" w:line="288" w:lineRule="auto"/>
        <w:ind w:left="0"/>
        <w:contextualSpacing/>
        <w:rPr>
          <w:rFonts w:ascii="Times New Roman" w:hAnsi="Times New Roman" w:cs="Times New Roman"/>
          <w:sz w:val="24"/>
          <w:szCs w:val="24"/>
        </w:rPr>
      </w:pPr>
    </w:p>
    <w:p w14:paraId="6CEC8D1D">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20.1.10.2 induzir deliberadamente a erro no julgamento; </w:t>
      </w:r>
    </w:p>
    <w:p w14:paraId="49EE940F">
      <w:pPr>
        <w:pStyle w:val="106"/>
        <w:spacing w:before="288" w:beforeLines="120" w:after="288" w:afterLines="120" w:line="288" w:lineRule="auto"/>
        <w:ind w:left="0"/>
        <w:contextualSpacing/>
        <w:rPr>
          <w:rFonts w:ascii="Times New Roman" w:hAnsi="Times New Roman" w:cs="Times New Roman"/>
          <w:sz w:val="24"/>
          <w:szCs w:val="24"/>
        </w:rPr>
      </w:pPr>
    </w:p>
    <w:p w14:paraId="60B2ED79">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20.1.10.3 apresentar amostra falsificada ou deteriorada; </w:t>
      </w:r>
    </w:p>
    <w:p w14:paraId="4B4D159F">
      <w:pPr>
        <w:pStyle w:val="106"/>
        <w:spacing w:before="288" w:beforeLines="120" w:after="288" w:afterLines="120" w:line="288" w:lineRule="auto"/>
        <w:ind w:left="0"/>
        <w:contextualSpacing/>
        <w:rPr>
          <w:rFonts w:ascii="Times New Roman" w:hAnsi="Times New Roman" w:cs="Times New Roman"/>
          <w:sz w:val="24"/>
          <w:szCs w:val="24"/>
        </w:rPr>
      </w:pPr>
    </w:p>
    <w:p w14:paraId="6743465B">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20.1.10.4 apresentar declaração falsa quanto às condições de participação ou quanto ao enquadramento como ME/EPP; </w:t>
      </w:r>
    </w:p>
    <w:p w14:paraId="1AEF09D8">
      <w:pPr>
        <w:spacing w:line="288" w:lineRule="auto"/>
        <w:contextualSpacing/>
        <w:jc w:val="both"/>
        <w:rPr>
          <w:color w:val="000000"/>
          <w:sz w:val="24"/>
          <w:szCs w:val="24"/>
        </w:rPr>
      </w:pPr>
      <w:r>
        <w:rPr>
          <w:sz w:val="24"/>
          <w:szCs w:val="24"/>
        </w:rPr>
        <w:t>20</w:t>
      </w:r>
      <w:r>
        <w:rPr>
          <w:color w:val="000000"/>
          <w:sz w:val="24"/>
          <w:szCs w:val="24"/>
        </w:rPr>
        <w:t>.1.11 praticar atos ilícitos com vistas a frustrar os objetivos do certame;</w:t>
      </w:r>
    </w:p>
    <w:p w14:paraId="5F5975D0">
      <w:pPr>
        <w:spacing w:line="288" w:lineRule="auto"/>
        <w:contextualSpacing/>
        <w:jc w:val="both"/>
        <w:rPr>
          <w:color w:val="000000"/>
          <w:sz w:val="24"/>
          <w:szCs w:val="24"/>
        </w:rPr>
      </w:pPr>
    </w:p>
    <w:p w14:paraId="06099E4F">
      <w:pPr>
        <w:spacing w:line="288" w:lineRule="auto"/>
        <w:contextualSpacing/>
        <w:jc w:val="both"/>
        <w:rPr>
          <w:rStyle w:val="14"/>
          <w:rFonts w:eastAsiaTheme="minorHAnsi"/>
          <w:color w:val="000000"/>
          <w:sz w:val="24"/>
          <w:szCs w:val="24"/>
        </w:rPr>
      </w:pPr>
      <w:r>
        <w:rPr>
          <w:sz w:val="24"/>
          <w:szCs w:val="24"/>
        </w:rPr>
        <w:t>20</w:t>
      </w:r>
      <w:r>
        <w:rPr>
          <w:color w:val="000000"/>
          <w:sz w:val="24"/>
          <w:szCs w:val="24"/>
        </w:rPr>
        <w:t>.1.12 praticar ato lesivo previsto no </w:t>
      </w:r>
      <w:r>
        <w:fldChar w:fldCharType="begin"/>
      </w:r>
      <w:r>
        <w:instrText xml:space="preserve"> HYPERLINK "http://www.planalto.gov.br/ccivil_03/_Ato2011-2014/2013/Lei/L12846.htm" \l "art5" </w:instrText>
      </w:r>
      <w:r>
        <w:fldChar w:fldCharType="separate"/>
      </w:r>
      <w:r>
        <w:rPr>
          <w:rStyle w:val="14"/>
          <w:rFonts w:eastAsiaTheme="minorHAnsi"/>
          <w:color w:val="000000"/>
          <w:sz w:val="24"/>
          <w:szCs w:val="24"/>
        </w:rPr>
        <w:t>art. 5º da Lei nº 12.846, de 1º de agosto de 2013.</w:t>
      </w:r>
      <w:r>
        <w:rPr>
          <w:rStyle w:val="14"/>
          <w:rFonts w:eastAsiaTheme="minorHAnsi"/>
          <w:color w:val="000000"/>
          <w:sz w:val="24"/>
          <w:szCs w:val="24"/>
        </w:rPr>
        <w:fldChar w:fldCharType="end"/>
      </w:r>
    </w:p>
    <w:p w14:paraId="3A0AE5D6">
      <w:pPr>
        <w:spacing w:line="288" w:lineRule="auto"/>
        <w:contextualSpacing/>
        <w:jc w:val="both"/>
        <w:rPr>
          <w:sz w:val="24"/>
          <w:szCs w:val="24"/>
        </w:rPr>
      </w:pPr>
    </w:p>
    <w:p w14:paraId="4F2011DE">
      <w:pPr>
        <w:spacing w:line="288" w:lineRule="auto"/>
        <w:contextualSpacing/>
        <w:jc w:val="both"/>
        <w:rPr>
          <w:sz w:val="24"/>
          <w:szCs w:val="24"/>
        </w:rPr>
      </w:pPr>
      <w:r>
        <w:rPr>
          <w:sz w:val="24"/>
          <w:szCs w:val="24"/>
        </w:rPr>
        <w:t xml:space="preserve">20.2 O licitante ou </w:t>
      </w:r>
      <w:r>
        <w:rPr>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1C5A444C">
      <w:pPr>
        <w:spacing w:line="288" w:lineRule="auto"/>
        <w:contextualSpacing/>
        <w:jc w:val="both"/>
        <w:rPr>
          <w:sz w:val="24"/>
          <w:szCs w:val="24"/>
        </w:rPr>
      </w:pPr>
    </w:p>
    <w:p w14:paraId="4DFAD87F">
      <w:pPr>
        <w:spacing w:line="288" w:lineRule="auto"/>
        <w:contextualSpacing/>
        <w:jc w:val="both"/>
        <w:rPr>
          <w:sz w:val="24"/>
          <w:szCs w:val="24"/>
        </w:rPr>
      </w:pPr>
      <w:r>
        <w:rPr>
          <w:sz w:val="24"/>
          <w:szCs w:val="24"/>
        </w:rPr>
        <w:t>20.2.1 Advertência, prevista no art. 156, I, § 2º, da Lei nº 14.133/2021, pela infração descrita no item 20.1.1, de menor potencial ofensivo, quando não se justificar a imposição de penalidade mais grave.</w:t>
      </w:r>
    </w:p>
    <w:p w14:paraId="2B506584">
      <w:pPr>
        <w:spacing w:line="288" w:lineRule="auto"/>
        <w:contextualSpacing/>
        <w:jc w:val="both"/>
        <w:rPr>
          <w:sz w:val="24"/>
          <w:szCs w:val="24"/>
        </w:rPr>
      </w:pPr>
    </w:p>
    <w:p w14:paraId="46534993">
      <w:pPr>
        <w:spacing w:line="288" w:lineRule="auto"/>
        <w:contextualSpacing/>
        <w:jc w:val="both"/>
        <w:rPr>
          <w:sz w:val="24"/>
          <w:szCs w:val="24"/>
        </w:rPr>
      </w:pPr>
      <w:r>
        <w:rPr>
          <w:sz w:val="24"/>
          <w:szCs w:val="24"/>
        </w:rPr>
        <w:t xml:space="preserve">20.2.2 Multa administrativa, prevista no art. 156, II, § 3º, da Lei nº 14.133/2021, pela infração dos subitens 20.1.1 a 20.1.12,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043A7754">
      <w:pPr>
        <w:spacing w:line="288" w:lineRule="auto"/>
        <w:contextualSpacing/>
        <w:jc w:val="both"/>
        <w:rPr>
          <w:sz w:val="24"/>
          <w:szCs w:val="24"/>
        </w:rPr>
      </w:pPr>
      <w:r>
        <w:rPr>
          <w:sz w:val="24"/>
          <w:szCs w:val="24"/>
        </w:rPr>
        <w:t xml:space="preserve">a) multa de 0,5% a 1,5%, nos casos da infração prevista no subitem </w:t>
      </w:r>
      <w:r>
        <w:rPr>
          <w:color w:val="000000"/>
          <w:sz w:val="24"/>
          <w:szCs w:val="24"/>
        </w:rPr>
        <w:t>20</w:t>
      </w:r>
      <w:r>
        <w:rPr>
          <w:sz w:val="24"/>
          <w:szCs w:val="24"/>
        </w:rPr>
        <w:t xml:space="preserve">.1.1, incidente sobre o valor anual do Contrato; </w:t>
      </w:r>
    </w:p>
    <w:p w14:paraId="52008CB5">
      <w:pPr>
        <w:spacing w:line="288" w:lineRule="auto"/>
        <w:contextualSpacing/>
        <w:jc w:val="both"/>
        <w:rPr>
          <w:sz w:val="24"/>
          <w:szCs w:val="24"/>
        </w:rPr>
      </w:pPr>
      <w:r>
        <w:rPr>
          <w:sz w:val="24"/>
          <w:szCs w:val="24"/>
        </w:rPr>
        <w:t>b) multa de 0,5% a 15%, nos casos das infrações previstas nos subitens 20.1.2 a 20.1.7, incidente sobre o valor anual do Contrato;</w:t>
      </w:r>
    </w:p>
    <w:p w14:paraId="7A22E89F">
      <w:pPr>
        <w:spacing w:line="288" w:lineRule="auto"/>
        <w:contextualSpacing/>
        <w:jc w:val="both"/>
        <w:rPr>
          <w:sz w:val="24"/>
          <w:szCs w:val="24"/>
        </w:rPr>
      </w:pPr>
      <w:r>
        <w:rPr>
          <w:sz w:val="24"/>
          <w:szCs w:val="24"/>
        </w:rPr>
        <w:t>c) multa de 5% a 30%, nos casos das infrações previstas nos subitens 20.1.8 a 20.1.12, incidente sobre o valor anual do Contrato;</w:t>
      </w:r>
    </w:p>
    <w:p w14:paraId="2843190B">
      <w:pPr>
        <w:pStyle w:val="19"/>
        <w:spacing w:before="225" w:line="288" w:lineRule="auto"/>
        <w:contextualSpacing/>
        <w:jc w:val="both"/>
        <w:rPr>
          <w:color w:val="000000"/>
        </w:rPr>
      </w:pPr>
      <w:r>
        <w:t>20.2.2.1 Na hipótese de a infração ser cometida antes da celebração do Contrato, a base de cálculo da multa do item 20.2.2 será o valor anual estimado da contratação.</w:t>
      </w:r>
    </w:p>
    <w:p w14:paraId="1F3DB4F6">
      <w:pPr>
        <w:spacing w:line="288" w:lineRule="auto"/>
        <w:contextualSpacing/>
        <w:jc w:val="both"/>
        <w:rPr>
          <w:sz w:val="24"/>
          <w:szCs w:val="24"/>
        </w:rPr>
      </w:pPr>
      <w:r>
        <w:rPr>
          <w:sz w:val="24"/>
          <w:szCs w:val="24"/>
        </w:rPr>
        <w:t>20.2.2.2 Em caso de reincidência, o valor total das multas administrativas aplicadas não poderá exceder o limite de 30% (trinta por cento) sobre o valor total do Contrato.</w:t>
      </w:r>
    </w:p>
    <w:p w14:paraId="1D540B53">
      <w:pPr>
        <w:spacing w:line="288" w:lineRule="auto"/>
        <w:contextualSpacing/>
        <w:jc w:val="both"/>
        <w:rPr>
          <w:sz w:val="24"/>
          <w:szCs w:val="24"/>
        </w:rPr>
      </w:pPr>
    </w:p>
    <w:p w14:paraId="3C432D58">
      <w:pPr>
        <w:spacing w:line="288" w:lineRule="auto"/>
        <w:contextualSpacing/>
        <w:jc w:val="both"/>
        <w:rPr>
          <w:sz w:val="24"/>
          <w:szCs w:val="24"/>
        </w:rPr>
      </w:pPr>
      <w:r>
        <w:rPr>
          <w:sz w:val="24"/>
          <w:szCs w:val="24"/>
        </w:rPr>
        <w:t xml:space="preserve">20.2.2.3 Se a multa aplicada e as indenizações cabíveis forem superiores ao valor de pagamento eventualmente devido pela Administração ao </w:t>
      </w:r>
      <w:r>
        <w:rPr>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20.13.</w:t>
      </w:r>
    </w:p>
    <w:p w14:paraId="782F59AA">
      <w:pPr>
        <w:spacing w:line="288" w:lineRule="auto"/>
        <w:contextualSpacing/>
        <w:jc w:val="both"/>
        <w:rPr>
          <w:sz w:val="24"/>
          <w:szCs w:val="24"/>
        </w:rPr>
      </w:pPr>
    </w:p>
    <w:p w14:paraId="4B8FC0A6">
      <w:pPr>
        <w:spacing w:line="288" w:lineRule="auto"/>
        <w:contextualSpacing/>
        <w:jc w:val="both"/>
        <w:rPr>
          <w:sz w:val="24"/>
          <w:szCs w:val="24"/>
        </w:rPr>
      </w:pPr>
      <w:r>
        <w:rPr>
          <w:sz w:val="24"/>
          <w:szCs w:val="24"/>
        </w:rPr>
        <w:t>20.2.2.4 A penalidade de multa pode ser aplicada cumulativamente com as demais sanções, na forma do art. 156, § 7º, da Lei nº 14.133/2021.</w:t>
      </w:r>
    </w:p>
    <w:p w14:paraId="64DE7DBD">
      <w:pPr>
        <w:spacing w:line="288" w:lineRule="auto"/>
        <w:contextualSpacing/>
        <w:jc w:val="both"/>
        <w:rPr>
          <w:sz w:val="24"/>
          <w:szCs w:val="24"/>
        </w:rPr>
      </w:pPr>
    </w:p>
    <w:p w14:paraId="468AA8E8">
      <w:pPr>
        <w:spacing w:line="288" w:lineRule="auto"/>
        <w:contextualSpacing/>
        <w:jc w:val="both"/>
        <w:rPr>
          <w:color w:val="000000"/>
          <w:sz w:val="24"/>
          <w:szCs w:val="24"/>
        </w:rPr>
      </w:pPr>
      <w:r>
        <w:rPr>
          <w:sz w:val="24"/>
          <w:szCs w:val="24"/>
        </w:rPr>
        <w:t>20</w:t>
      </w:r>
      <w:r>
        <w:rPr>
          <w:color w:val="000000"/>
          <w:sz w:val="24"/>
          <w:szCs w:val="24"/>
        </w:rPr>
        <w:t xml:space="preserve">.2.3 Impedimento de licitar e contratar, prevista no </w:t>
      </w:r>
      <w:r>
        <w:rPr>
          <w:sz w:val="24"/>
          <w:szCs w:val="24"/>
        </w:rPr>
        <w:t xml:space="preserve">art. 156, III, § 4º, da Lei nº 14.133/2021, </w:t>
      </w:r>
      <w:r>
        <w:rPr>
          <w:color w:val="000000"/>
          <w:sz w:val="24"/>
          <w:szCs w:val="24"/>
        </w:rPr>
        <w:t xml:space="preserve">nos casos relacionados nos subitens </w:t>
      </w:r>
      <w:r>
        <w:rPr>
          <w:sz w:val="24"/>
          <w:szCs w:val="24"/>
        </w:rPr>
        <w:t>20</w:t>
      </w:r>
      <w:r>
        <w:rPr>
          <w:color w:val="000000"/>
          <w:sz w:val="24"/>
          <w:szCs w:val="24"/>
        </w:rPr>
        <w:t>.1.2 a 20.1.7, quando não se justificar a imposição de penalidade mais grave, e impedirá o responsável de licitar ou contratar no âmbito da Administração Pública direta e indireta do Estado, pelo prazo máximo de 3 (três) anos;</w:t>
      </w:r>
    </w:p>
    <w:p w14:paraId="507E9FAD">
      <w:pPr>
        <w:spacing w:line="288" w:lineRule="auto"/>
        <w:contextualSpacing/>
        <w:jc w:val="both"/>
        <w:rPr>
          <w:rFonts w:eastAsia="Arial"/>
          <w:color w:val="000000"/>
          <w:sz w:val="24"/>
          <w:szCs w:val="24"/>
        </w:rPr>
      </w:pPr>
    </w:p>
    <w:p w14:paraId="24C0900F">
      <w:pPr>
        <w:spacing w:line="288" w:lineRule="auto"/>
        <w:contextualSpacing/>
        <w:jc w:val="both"/>
        <w:rPr>
          <w:sz w:val="24"/>
          <w:szCs w:val="24"/>
        </w:rPr>
      </w:pPr>
      <w:r>
        <w:rPr>
          <w:sz w:val="24"/>
          <w:szCs w:val="24"/>
        </w:rPr>
        <w:t>20</w:t>
      </w:r>
      <w:r>
        <w:rPr>
          <w:color w:val="000000"/>
          <w:sz w:val="24"/>
          <w:szCs w:val="24"/>
        </w:rPr>
        <w:t>.2.4 Declaração de inidoneidade para licitar ou contratar, prevista no a</w:t>
      </w:r>
      <w:r>
        <w:rPr>
          <w:rStyle w:val="102"/>
          <w:rFonts w:ascii="Times New Roman" w:hAnsi="Times New Roman" w:cs="Times New Roman"/>
          <w:sz w:val="24"/>
          <w:szCs w:val="24"/>
        </w:rPr>
        <w:t xml:space="preserve">rt. 156, IV, § 5º, da Lei nº 14.133/2021, </w:t>
      </w:r>
      <w:r>
        <w:rPr>
          <w:color w:val="000000"/>
          <w:sz w:val="24"/>
          <w:szCs w:val="24"/>
        </w:rPr>
        <w:t>nos casos relacionados nos subitens 20.1.8 a 20.1.12,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0A634B9F">
      <w:pPr>
        <w:spacing w:line="288" w:lineRule="auto"/>
        <w:contextualSpacing/>
        <w:jc w:val="both"/>
        <w:rPr>
          <w:sz w:val="24"/>
          <w:szCs w:val="24"/>
        </w:rPr>
      </w:pPr>
    </w:p>
    <w:p w14:paraId="1E58C0C5">
      <w:pPr>
        <w:spacing w:line="288" w:lineRule="auto"/>
        <w:contextualSpacing/>
        <w:jc w:val="both"/>
        <w:rPr>
          <w:sz w:val="24"/>
          <w:szCs w:val="24"/>
        </w:rPr>
      </w:pPr>
      <w:r>
        <w:rPr>
          <w:sz w:val="24"/>
          <w:szCs w:val="24"/>
        </w:rPr>
        <w:t>20.3 Sem prejuízo da multa administrativa prevista no art. 156, II, § 3º, da Lei nº 14.133/2021, o atraso injustificado no cumprimento das obrigações contratuais sujeitará o  contratado,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4DE80D46">
      <w:pPr>
        <w:spacing w:line="288" w:lineRule="auto"/>
        <w:contextualSpacing/>
        <w:jc w:val="both"/>
        <w:rPr>
          <w:sz w:val="24"/>
          <w:szCs w:val="24"/>
        </w:rPr>
      </w:pPr>
    </w:p>
    <w:p w14:paraId="5A5209C0">
      <w:pPr>
        <w:spacing w:line="288" w:lineRule="auto"/>
        <w:contextualSpacing/>
        <w:jc w:val="both"/>
        <w:rPr>
          <w:sz w:val="24"/>
          <w:szCs w:val="24"/>
        </w:rPr>
      </w:pPr>
      <w:r>
        <w:rPr>
          <w:sz w:val="24"/>
          <w:szCs w:val="24"/>
        </w:rPr>
        <w:t>20.3.1 Em caso de atraso injustificado para apresentação, suplementação ou reposição da garantia, a multa de mora será de 0,07% (sete centésimos por cento) sobre o valor total do Contrato por dia útil que exceder o prazo estipulado até o máximo de 2% (dois por cento).</w:t>
      </w:r>
    </w:p>
    <w:p w14:paraId="184CE3FE">
      <w:pPr>
        <w:spacing w:line="288" w:lineRule="auto"/>
        <w:contextualSpacing/>
        <w:jc w:val="both"/>
        <w:rPr>
          <w:sz w:val="24"/>
          <w:szCs w:val="24"/>
        </w:rPr>
      </w:pPr>
    </w:p>
    <w:p w14:paraId="58D34790">
      <w:pPr>
        <w:spacing w:line="288" w:lineRule="auto"/>
        <w:contextualSpacing/>
        <w:jc w:val="both"/>
        <w:rPr>
          <w:sz w:val="24"/>
          <w:szCs w:val="24"/>
        </w:rPr>
      </w:pPr>
      <w:r>
        <w:rPr>
          <w:sz w:val="24"/>
          <w:szCs w:val="24"/>
        </w:rPr>
        <w:t>20.3.2 O atraso superior a 25 (vinte e cinco) dias no cumprimento da obrigação prevista no item 20.3.1 autoriza a Administração a promover a rescisão contratual por descumprimento ou cumprimento irregular de suas cláusulas.</w:t>
      </w:r>
    </w:p>
    <w:p w14:paraId="3C6D334F">
      <w:pPr>
        <w:spacing w:line="288" w:lineRule="auto"/>
        <w:contextualSpacing/>
        <w:jc w:val="both"/>
        <w:rPr>
          <w:sz w:val="24"/>
          <w:szCs w:val="24"/>
        </w:rPr>
      </w:pPr>
    </w:p>
    <w:p w14:paraId="445628ED">
      <w:pPr>
        <w:spacing w:line="288" w:lineRule="auto"/>
        <w:contextualSpacing/>
        <w:jc w:val="both"/>
        <w:rPr>
          <w:sz w:val="24"/>
          <w:szCs w:val="24"/>
        </w:rPr>
      </w:pPr>
      <w:r>
        <w:rPr>
          <w:sz w:val="24"/>
          <w:szCs w:val="24"/>
        </w:rPr>
        <w:t>20.3.3 A aplicação de multa de mora não impedirá que a Administração a converta em compensatória e promova a extinção unilateral do Contrato com a aplicação cumulada de outras sanções previstas no Contrato.</w:t>
      </w:r>
    </w:p>
    <w:p w14:paraId="386CF406">
      <w:pPr>
        <w:spacing w:line="288" w:lineRule="auto"/>
        <w:contextualSpacing/>
        <w:jc w:val="both"/>
        <w:rPr>
          <w:sz w:val="24"/>
          <w:szCs w:val="24"/>
        </w:rPr>
      </w:pPr>
    </w:p>
    <w:p w14:paraId="46DA618C">
      <w:pPr>
        <w:spacing w:line="288" w:lineRule="auto"/>
        <w:contextualSpacing/>
        <w:jc w:val="both"/>
        <w:rPr>
          <w:sz w:val="24"/>
          <w:szCs w:val="24"/>
        </w:rPr>
      </w:pPr>
      <w:r>
        <w:rPr>
          <w:sz w:val="24"/>
          <w:szCs w:val="24"/>
        </w:rPr>
        <w:t>20.4 No caso de inexecução total ou parcial do objeto, que acarrete a rescisão do Contrato, será automaticamente devida multa compensatória no valor de 5(cinco)</w:t>
      </w:r>
      <w:r>
        <w:rPr>
          <w:color w:val="FF0000"/>
          <w:sz w:val="24"/>
          <w:szCs w:val="24"/>
        </w:rPr>
        <w:t xml:space="preserve"> </w:t>
      </w:r>
      <w:r>
        <w:rPr>
          <w:sz w:val="24"/>
          <w:szCs w:val="24"/>
        </w:rPr>
        <w:t>% do valor do Contrato.</w:t>
      </w:r>
    </w:p>
    <w:p w14:paraId="42DD09C2">
      <w:pPr>
        <w:spacing w:line="288" w:lineRule="auto"/>
        <w:contextualSpacing/>
        <w:jc w:val="both"/>
        <w:rPr>
          <w:b/>
          <w:bCs/>
          <w:color w:val="FF0000"/>
          <w:sz w:val="24"/>
          <w:szCs w:val="24"/>
        </w:rPr>
      </w:pPr>
    </w:p>
    <w:p w14:paraId="423599B9">
      <w:pPr>
        <w:spacing w:line="288" w:lineRule="auto"/>
        <w:contextualSpacing/>
        <w:jc w:val="both"/>
        <w:rPr>
          <w:sz w:val="24"/>
          <w:szCs w:val="24"/>
        </w:rPr>
      </w:pPr>
      <w:r>
        <w:rPr>
          <w:sz w:val="24"/>
          <w:szCs w:val="24"/>
        </w:rPr>
        <w:t>20.4.1 A multa compensatória, isoladamente aplicada ou quando somada ao valor da multa moratória convertida, não poderá exceder o limite previsto no art. 412 do Código Civil, ou seja, o valor da obrigação principal.</w:t>
      </w:r>
    </w:p>
    <w:p w14:paraId="1D5717B7">
      <w:pPr>
        <w:spacing w:line="288" w:lineRule="auto"/>
        <w:contextualSpacing/>
        <w:jc w:val="both"/>
        <w:rPr>
          <w:sz w:val="24"/>
          <w:szCs w:val="24"/>
        </w:rPr>
      </w:pPr>
    </w:p>
    <w:p w14:paraId="3135823A">
      <w:pPr>
        <w:spacing w:line="288" w:lineRule="auto"/>
        <w:contextualSpacing/>
        <w:jc w:val="both"/>
        <w:rPr>
          <w:sz w:val="24"/>
          <w:szCs w:val="24"/>
        </w:rPr>
      </w:pPr>
      <w:r>
        <w:rPr>
          <w:sz w:val="24"/>
          <w:szCs w:val="24"/>
        </w:rPr>
        <w:t xml:space="preserve">20.5 Na aplicação das sanções serão considerados os seguintes requisitos, previstos no art. </w:t>
      </w:r>
      <w:r>
        <w:rPr>
          <w:rStyle w:val="102"/>
          <w:rFonts w:ascii="Times New Roman" w:hAnsi="Times New Roman" w:cs="Times New Roman"/>
          <w:sz w:val="24"/>
          <w:szCs w:val="24"/>
        </w:rPr>
        <w:t>156, § 1º, incisos I a V, da Lei nº 14.133/2021</w:t>
      </w:r>
      <w:r>
        <w:rPr>
          <w:sz w:val="24"/>
          <w:szCs w:val="24"/>
        </w:rPr>
        <w:t>:</w:t>
      </w:r>
    </w:p>
    <w:p w14:paraId="6CD1AE21">
      <w:pPr>
        <w:spacing w:line="288" w:lineRule="auto"/>
        <w:contextualSpacing/>
        <w:jc w:val="both"/>
        <w:rPr>
          <w:sz w:val="24"/>
          <w:szCs w:val="24"/>
        </w:rPr>
      </w:pPr>
      <w:r>
        <w:rPr>
          <w:sz w:val="24"/>
          <w:szCs w:val="24"/>
        </w:rPr>
        <w:t>20.5.1 a natureza e a gravidade da infração cometida;</w:t>
      </w:r>
    </w:p>
    <w:p w14:paraId="431217A2">
      <w:pPr>
        <w:spacing w:line="288" w:lineRule="auto"/>
        <w:contextualSpacing/>
        <w:jc w:val="both"/>
        <w:rPr>
          <w:sz w:val="24"/>
          <w:szCs w:val="24"/>
        </w:rPr>
      </w:pPr>
      <w:r>
        <w:rPr>
          <w:sz w:val="24"/>
          <w:szCs w:val="24"/>
        </w:rPr>
        <w:t>20.5.2 as peculiaridades do caso concreto;</w:t>
      </w:r>
    </w:p>
    <w:p w14:paraId="28216E35">
      <w:pPr>
        <w:spacing w:line="288" w:lineRule="auto"/>
        <w:contextualSpacing/>
        <w:jc w:val="both"/>
        <w:rPr>
          <w:sz w:val="24"/>
          <w:szCs w:val="24"/>
        </w:rPr>
      </w:pPr>
      <w:r>
        <w:rPr>
          <w:sz w:val="24"/>
          <w:szCs w:val="24"/>
        </w:rPr>
        <w:t>20.5.3 as circunstâncias agravantes ou atenuantes;</w:t>
      </w:r>
    </w:p>
    <w:p w14:paraId="258D9E41">
      <w:pPr>
        <w:spacing w:line="288" w:lineRule="auto"/>
        <w:contextualSpacing/>
        <w:jc w:val="both"/>
        <w:rPr>
          <w:sz w:val="24"/>
          <w:szCs w:val="24"/>
        </w:rPr>
      </w:pPr>
      <w:r>
        <w:rPr>
          <w:sz w:val="24"/>
          <w:szCs w:val="24"/>
        </w:rPr>
        <w:t>20.5.4 os danos que dela provierem para a Administração Pública;</w:t>
      </w:r>
    </w:p>
    <w:p w14:paraId="44FCE387">
      <w:pPr>
        <w:spacing w:line="288" w:lineRule="auto"/>
        <w:contextualSpacing/>
        <w:jc w:val="both"/>
        <w:rPr>
          <w:sz w:val="24"/>
          <w:szCs w:val="24"/>
        </w:rPr>
      </w:pPr>
      <w:r>
        <w:rPr>
          <w:sz w:val="24"/>
          <w:szCs w:val="24"/>
        </w:rPr>
        <w:t>20.5.5 a implantação ou o aperfeiçoamento de programa de integridade, conforme normas e orientações dos órgãos de controle.</w:t>
      </w:r>
    </w:p>
    <w:p w14:paraId="34B1898F">
      <w:pPr>
        <w:spacing w:line="288" w:lineRule="auto"/>
        <w:contextualSpacing/>
        <w:jc w:val="both"/>
        <w:rPr>
          <w:sz w:val="24"/>
          <w:szCs w:val="24"/>
        </w:rPr>
      </w:pPr>
    </w:p>
    <w:p w14:paraId="19F712C9">
      <w:pPr>
        <w:spacing w:line="288" w:lineRule="auto"/>
        <w:contextualSpacing/>
        <w:jc w:val="both"/>
        <w:rPr>
          <w:sz w:val="24"/>
          <w:szCs w:val="24"/>
        </w:rPr>
      </w:pPr>
      <w:r>
        <w:rPr>
          <w:sz w:val="24"/>
          <w:szCs w:val="24"/>
        </w:rPr>
        <w:t xml:space="preserve">20.6 A imposição das penalidades é de competência exclusiva do órgão ou entidade contratante, sendo competentes para sua aplicação: </w:t>
      </w:r>
    </w:p>
    <w:p w14:paraId="369868B6">
      <w:pPr>
        <w:spacing w:line="288" w:lineRule="auto"/>
        <w:contextualSpacing/>
        <w:jc w:val="both"/>
        <w:rPr>
          <w:sz w:val="24"/>
          <w:szCs w:val="24"/>
        </w:rPr>
      </w:pPr>
      <w:r>
        <w:rPr>
          <w:sz w:val="24"/>
          <w:szCs w:val="24"/>
        </w:rPr>
        <w:t>a) as sanções previstas nos itens 20.2.1, 20.2.2 e 20.2.3 serão impostas pelo Ordenador de Despesa;</w:t>
      </w:r>
    </w:p>
    <w:p w14:paraId="0FF5D0BB">
      <w:pPr>
        <w:spacing w:line="288" w:lineRule="auto"/>
        <w:contextualSpacing/>
        <w:jc w:val="both"/>
        <w:rPr>
          <w:sz w:val="24"/>
          <w:szCs w:val="24"/>
        </w:rPr>
      </w:pPr>
      <w:r>
        <w:rPr>
          <w:sz w:val="24"/>
          <w:szCs w:val="24"/>
        </w:rPr>
        <w:t xml:space="preserve">b) a aplicação da sanção prevista no item 20.2.4, na forma do art. </w:t>
      </w:r>
      <w:r>
        <w:rPr>
          <w:rStyle w:val="102"/>
          <w:rFonts w:ascii="Times New Roman" w:hAnsi="Times New Roman" w:cs="Times New Roman"/>
          <w:sz w:val="24"/>
          <w:szCs w:val="24"/>
        </w:rPr>
        <w:t>156, § 6º, I, da Lei nº 14.133/2021,</w:t>
      </w:r>
      <w:r>
        <w:rPr>
          <w:sz w:val="24"/>
          <w:szCs w:val="24"/>
        </w:rPr>
        <w:t xml:space="preserve"> é de competência exclusiva:</w:t>
      </w:r>
    </w:p>
    <w:p w14:paraId="64555BC4">
      <w:pPr>
        <w:spacing w:line="288" w:lineRule="auto"/>
        <w:contextualSpacing/>
        <w:jc w:val="both"/>
        <w:rPr>
          <w:sz w:val="24"/>
          <w:szCs w:val="24"/>
        </w:rPr>
      </w:pPr>
      <w:r>
        <w:rPr>
          <w:sz w:val="24"/>
          <w:szCs w:val="24"/>
        </w:rPr>
        <w:t>b.1) em se tratando de contratação realizada pela Administração Pública direta, do Secretário de Município; ou</w:t>
      </w:r>
    </w:p>
    <w:p w14:paraId="39AE5322">
      <w:pPr>
        <w:spacing w:line="288" w:lineRule="auto"/>
        <w:contextualSpacing/>
        <w:jc w:val="both"/>
        <w:rPr>
          <w:sz w:val="24"/>
          <w:szCs w:val="24"/>
        </w:rPr>
      </w:pPr>
      <w:r>
        <w:rPr>
          <w:sz w:val="24"/>
          <w:szCs w:val="24"/>
        </w:rPr>
        <w:t>b.2) em se tratando de contratação realizada pela Administração Pública Indireta (fundação e autarquia), da autoridade máxima da entidade.</w:t>
      </w:r>
    </w:p>
    <w:p w14:paraId="6FB80C86">
      <w:pPr>
        <w:spacing w:line="288" w:lineRule="auto"/>
        <w:contextualSpacing/>
        <w:jc w:val="both"/>
        <w:rPr>
          <w:sz w:val="24"/>
          <w:szCs w:val="24"/>
        </w:rPr>
      </w:pPr>
    </w:p>
    <w:p w14:paraId="02C57455">
      <w:pPr>
        <w:spacing w:line="288" w:lineRule="auto"/>
        <w:contextualSpacing/>
        <w:jc w:val="both"/>
        <w:rPr>
          <w:sz w:val="24"/>
          <w:szCs w:val="24"/>
        </w:rPr>
      </w:pPr>
      <w:r>
        <w:rPr>
          <w:sz w:val="24"/>
          <w:szCs w:val="24"/>
        </w:rPr>
        <w:t>20.7 A aplicação de quaisquer das penalidades administrativas realizar-se-á em processo administrativo que assegurará o contraditório e a ampla defesa ao licitante ou contratado, devendo ser observado o procedimento previsto na Lei nº 14.133/2021.</w:t>
      </w:r>
    </w:p>
    <w:p w14:paraId="6C0C99E6">
      <w:pPr>
        <w:spacing w:line="288" w:lineRule="auto"/>
        <w:contextualSpacing/>
        <w:jc w:val="both"/>
        <w:rPr>
          <w:sz w:val="24"/>
          <w:szCs w:val="24"/>
        </w:rPr>
      </w:pPr>
    </w:p>
    <w:p w14:paraId="3A78EF2A">
      <w:pPr>
        <w:spacing w:line="288" w:lineRule="auto"/>
        <w:contextualSpacing/>
        <w:jc w:val="both"/>
        <w:rPr>
          <w:sz w:val="24"/>
          <w:szCs w:val="24"/>
        </w:rPr>
      </w:pPr>
      <w:r>
        <w:rPr>
          <w:sz w:val="24"/>
          <w:szCs w:val="24"/>
        </w:rPr>
        <w:t>20.7.1 A aplicação de sanção será antecedida de intimação do licitante ou contratado, que indicará a infração cometida, os fatos, os dispositivos do Edital e/ou do Contrato infringidos e os fundamentos legais pertinentes, a penalidade que se pretende imputar e o respectivo prazo e/ou valor, se for o caso, assim como o prazo e o local para a apresentação da defesa, com a possibilidade de produção de provas.</w:t>
      </w:r>
    </w:p>
    <w:p w14:paraId="4C7BEA4F">
      <w:pPr>
        <w:spacing w:line="288" w:lineRule="auto"/>
        <w:contextualSpacing/>
        <w:jc w:val="both"/>
        <w:rPr>
          <w:sz w:val="24"/>
          <w:szCs w:val="24"/>
        </w:rPr>
      </w:pPr>
    </w:p>
    <w:p w14:paraId="48D8C08D">
      <w:pPr>
        <w:spacing w:line="288" w:lineRule="auto"/>
        <w:contextualSpacing/>
        <w:jc w:val="both"/>
        <w:rPr>
          <w:sz w:val="24"/>
          <w:szCs w:val="24"/>
        </w:rPr>
      </w:pPr>
      <w:r>
        <w:rPr>
          <w:sz w:val="24"/>
          <w:szCs w:val="24"/>
        </w:rPr>
        <w:t>20.7.2 A defesa prévia do licitante ou contratado será exercida no prazo de:</w:t>
      </w:r>
    </w:p>
    <w:p w14:paraId="3E5FB19F">
      <w:pPr>
        <w:spacing w:line="288" w:lineRule="auto"/>
        <w:contextualSpacing/>
        <w:jc w:val="both"/>
        <w:rPr>
          <w:sz w:val="24"/>
          <w:szCs w:val="24"/>
        </w:rPr>
      </w:pPr>
      <w:r>
        <w:rPr>
          <w:sz w:val="24"/>
          <w:szCs w:val="24"/>
        </w:rPr>
        <w:t>a) 15 (quinze) dias úteis, no caso da aplicação das sanções previstas nos itens 20.2.1 e 20.2.2, contado da data da intimação;</w:t>
      </w:r>
    </w:p>
    <w:p w14:paraId="782DF6C7">
      <w:pPr>
        <w:spacing w:line="288" w:lineRule="auto"/>
        <w:contextualSpacing/>
        <w:jc w:val="both"/>
        <w:rPr>
          <w:color w:val="000000"/>
          <w:sz w:val="24"/>
          <w:szCs w:val="24"/>
        </w:rPr>
      </w:pPr>
      <w:r>
        <w:rPr>
          <w:sz w:val="24"/>
          <w:szCs w:val="24"/>
        </w:rPr>
        <w:t xml:space="preserve">b) 15 (quinze) dias úteis, no caso de aplicação das sanções previstas nos itens 20.2.3 e 20.2.4, </w:t>
      </w:r>
      <w:r>
        <w:rPr>
          <w:color w:val="000000"/>
          <w:sz w:val="24"/>
          <w:szCs w:val="24"/>
        </w:rPr>
        <w:t>contado da data da intimação, observado o procedimento estabelecido no art. 158 da Lei nº 14.133/2021.</w:t>
      </w:r>
    </w:p>
    <w:p w14:paraId="16611E37">
      <w:pPr>
        <w:pStyle w:val="19"/>
        <w:spacing w:line="288" w:lineRule="auto"/>
        <w:contextualSpacing/>
        <w:jc w:val="both"/>
      </w:pPr>
      <w:r>
        <w:t>20.7.3 Será emitida decisão conclusiva sobre a aplicação ou não da sanção, pela autoridade competente, devendo ser apresentada a devida motivação, com a demonstração dos fatos e dos respectivos fundamentos jurídicos.</w:t>
      </w:r>
    </w:p>
    <w:p w14:paraId="26D0E971">
      <w:pPr>
        <w:spacing w:line="288" w:lineRule="auto"/>
        <w:contextualSpacing/>
        <w:jc w:val="both"/>
        <w:rPr>
          <w:sz w:val="24"/>
          <w:szCs w:val="24"/>
        </w:rPr>
      </w:pPr>
      <w:r>
        <w:rPr>
          <w:sz w:val="24"/>
          <w:szCs w:val="24"/>
        </w:rPr>
        <w:t>20.8 A aplicação das sanções previstas no Edital e no Contrato não exclui, em hipótese alguma:</w:t>
      </w:r>
    </w:p>
    <w:p w14:paraId="37985623">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6A2D5E7E">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698F098C">
      <w:pPr>
        <w:spacing w:line="288" w:lineRule="auto"/>
        <w:contextualSpacing/>
        <w:jc w:val="both"/>
        <w:rPr>
          <w:rFonts w:eastAsia="Arial"/>
          <w:color w:val="000000"/>
          <w:sz w:val="24"/>
          <w:szCs w:val="24"/>
        </w:rPr>
      </w:pPr>
    </w:p>
    <w:p w14:paraId="2F6E30C7">
      <w:pPr>
        <w:spacing w:line="288" w:lineRule="auto"/>
        <w:contextualSpacing/>
        <w:jc w:val="both"/>
        <w:rPr>
          <w:rFonts w:eastAsia="Arial"/>
          <w:color w:val="000000"/>
          <w:sz w:val="24"/>
          <w:szCs w:val="24"/>
        </w:rPr>
      </w:pPr>
      <w:r>
        <w:rPr>
          <w:rFonts w:eastAsia="Arial"/>
          <w:color w:val="000000"/>
          <w:sz w:val="24"/>
          <w:szCs w:val="24"/>
        </w:rPr>
        <w:t xml:space="preserve">20.8.1 Aplica-se o disposto na alínea a do item </w:t>
      </w:r>
      <w:r>
        <w:rPr>
          <w:sz w:val="24"/>
          <w:szCs w:val="24"/>
        </w:rPr>
        <w:t>20</w:t>
      </w:r>
      <w:r>
        <w:rPr>
          <w:rFonts w:eastAsia="Arial"/>
          <w:color w:val="000000"/>
          <w:sz w:val="24"/>
          <w:szCs w:val="24"/>
        </w:rPr>
        <w:t xml:space="preserve">.8 à multa compensatória, nos termos do parágrafo único do art. 416 do Código Civil. </w:t>
      </w:r>
    </w:p>
    <w:p w14:paraId="315211DE">
      <w:pPr>
        <w:spacing w:line="288" w:lineRule="auto"/>
        <w:contextualSpacing/>
        <w:jc w:val="both"/>
        <w:rPr>
          <w:rFonts w:eastAsia="Arial"/>
          <w:color w:val="000000"/>
          <w:sz w:val="24"/>
          <w:szCs w:val="24"/>
        </w:rPr>
      </w:pPr>
    </w:p>
    <w:p w14:paraId="348447BE">
      <w:pPr>
        <w:spacing w:line="288" w:lineRule="auto"/>
        <w:contextualSpacing/>
        <w:jc w:val="both"/>
        <w:rPr>
          <w:rFonts w:eastAsia="Arial"/>
          <w:color w:val="000000"/>
          <w:sz w:val="24"/>
          <w:szCs w:val="24"/>
        </w:rPr>
      </w:pPr>
      <w:r>
        <w:rPr>
          <w:sz w:val="24"/>
          <w:szCs w:val="24"/>
        </w:rPr>
        <w:t>20</w:t>
      </w:r>
      <w:r>
        <w:rPr>
          <w:rFonts w:eastAsia="Arial"/>
          <w:color w:val="000000"/>
          <w:sz w:val="24"/>
          <w:szCs w:val="24"/>
        </w:rPr>
        <w:t>.9 As sanções de impedimento de licitar e contratar e de declaração de inidoneidade para licitar ou contratar são passíveis de reabilitação, observados os requisitos estabelecidos no art. 163 da Lei nº 14.133/2021.</w:t>
      </w:r>
    </w:p>
    <w:p w14:paraId="51C1128C">
      <w:pPr>
        <w:spacing w:line="288" w:lineRule="auto"/>
        <w:contextualSpacing/>
        <w:jc w:val="both"/>
        <w:rPr>
          <w:rFonts w:eastAsia="Arial"/>
          <w:color w:val="000000"/>
          <w:sz w:val="24"/>
          <w:szCs w:val="24"/>
        </w:rPr>
      </w:pPr>
    </w:p>
    <w:p w14:paraId="76F16C7B">
      <w:pPr>
        <w:spacing w:line="288" w:lineRule="auto"/>
        <w:contextualSpacing/>
        <w:jc w:val="both"/>
        <w:rPr>
          <w:sz w:val="24"/>
          <w:szCs w:val="24"/>
        </w:rPr>
      </w:pPr>
      <w:r>
        <w:rPr>
          <w:sz w:val="24"/>
          <w:szCs w:val="24"/>
        </w:rPr>
        <w:t xml:space="preserve">20.10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6DBB2E8">
      <w:pPr>
        <w:spacing w:line="288" w:lineRule="auto"/>
        <w:contextualSpacing/>
        <w:jc w:val="both"/>
        <w:rPr>
          <w:sz w:val="24"/>
          <w:szCs w:val="24"/>
        </w:rPr>
      </w:pPr>
    </w:p>
    <w:p w14:paraId="556B2A73">
      <w:pPr>
        <w:spacing w:line="288" w:lineRule="auto"/>
        <w:contextualSpacing/>
        <w:jc w:val="both"/>
        <w:rPr>
          <w:sz w:val="24"/>
          <w:szCs w:val="24"/>
        </w:rPr>
      </w:pPr>
      <w:r>
        <w:rPr>
          <w:sz w:val="24"/>
          <w:szCs w:val="24"/>
        </w:rPr>
        <w:t>20.10.1 A apuração e o julgamento das demais infrações administrativas não consideradas como ato lesivo à Administração Pública nacional, nos termos da Lei nº 12.846/2013, seguirão seu rito normal na unidade administrativa.</w:t>
      </w:r>
    </w:p>
    <w:p w14:paraId="0B485226">
      <w:pPr>
        <w:spacing w:line="288" w:lineRule="auto"/>
        <w:contextualSpacing/>
        <w:jc w:val="both"/>
        <w:rPr>
          <w:sz w:val="24"/>
          <w:szCs w:val="24"/>
        </w:rPr>
      </w:pPr>
    </w:p>
    <w:p w14:paraId="70844382">
      <w:pPr>
        <w:spacing w:line="288" w:lineRule="auto"/>
        <w:contextualSpacing/>
        <w:jc w:val="both"/>
        <w:rPr>
          <w:sz w:val="24"/>
          <w:szCs w:val="24"/>
        </w:rPr>
      </w:pPr>
      <w:r>
        <w:rPr>
          <w:sz w:val="24"/>
          <w:szCs w:val="24"/>
        </w:rPr>
        <w:t xml:space="preserve">20.10.2 O processamento do PAR não interfere no seguimento regular dos processos administrativos específicos para apuração da ocorrência de danos e prejuízos à Administração Pública Estadual resultantes de ato lesivo cometido por pessoa jurídica, com ou sem a participação de agente público. </w:t>
      </w:r>
    </w:p>
    <w:p w14:paraId="1D1ECBEA">
      <w:pPr>
        <w:spacing w:line="288" w:lineRule="auto"/>
        <w:contextualSpacing/>
        <w:jc w:val="both"/>
        <w:rPr>
          <w:sz w:val="24"/>
          <w:szCs w:val="24"/>
        </w:rPr>
      </w:pPr>
    </w:p>
    <w:p w14:paraId="418182E2">
      <w:pPr>
        <w:spacing w:line="288" w:lineRule="auto"/>
        <w:contextualSpacing/>
        <w:jc w:val="both"/>
        <w:rPr>
          <w:sz w:val="24"/>
          <w:szCs w:val="24"/>
        </w:rPr>
      </w:pPr>
      <w:r>
        <w:rPr>
          <w:sz w:val="24"/>
          <w:szCs w:val="24"/>
        </w:rPr>
        <w:t>20.10.2.1 Caso seja possível, a apuração deverá ser promovida em conjunto no PAR.</w:t>
      </w:r>
    </w:p>
    <w:p w14:paraId="2086FEC1">
      <w:pPr>
        <w:spacing w:line="288" w:lineRule="auto"/>
        <w:contextualSpacing/>
        <w:jc w:val="both"/>
        <w:rPr>
          <w:sz w:val="24"/>
          <w:szCs w:val="24"/>
        </w:rPr>
      </w:pPr>
    </w:p>
    <w:p w14:paraId="75E8061B">
      <w:pPr>
        <w:spacing w:line="288" w:lineRule="auto"/>
        <w:contextualSpacing/>
        <w:jc w:val="both"/>
        <w:rPr>
          <w:sz w:val="24"/>
          <w:szCs w:val="24"/>
        </w:rPr>
      </w:pPr>
      <w:r>
        <w:rPr>
          <w:sz w:val="24"/>
          <w:szCs w:val="24"/>
        </w:rPr>
        <w:t>20.11 Na hipótese de abertura de processo administrativo destinado a apuração de fatos e, se for o caso, aplicação de sanções ao licitante ou contratado, em decorrência de conduta vedada no Edital e/ou no Contrato, as comunicações serão efetuadas por meio do endereço de correio eletrônico ("e-mail") cadastrado pela empresa junto ao Comprasnet.</w:t>
      </w:r>
    </w:p>
    <w:p w14:paraId="613F2B66">
      <w:pPr>
        <w:spacing w:line="288" w:lineRule="auto"/>
        <w:contextualSpacing/>
        <w:jc w:val="both"/>
        <w:rPr>
          <w:sz w:val="24"/>
          <w:szCs w:val="24"/>
        </w:rPr>
      </w:pPr>
    </w:p>
    <w:p w14:paraId="4F70CFFB">
      <w:pPr>
        <w:autoSpaceDE w:val="0"/>
        <w:autoSpaceDN w:val="0"/>
        <w:adjustRightInd w:val="0"/>
        <w:spacing w:line="288" w:lineRule="auto"/>
        <w:contextualSpacing/>
        <w:jc w:val="both"/>
        <w:rPr>
          <w:sz w:val="24"/>
          <w:szCs w:val="24"/>
        </w:rPr>
      </w:pPr>
      <w:r>
        <w:rPr>
          <w:sz w:val="24"/>
          <w:szCs w:val="24"/>
        </w:rPr>
        <w:t>20.11.1 O licitante ou contratado deverá manter atualizado o endereço de correio eletrônico ("e-mail") cadastrado junto ao sistema eletrônico de contratações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35E7A78D">
      <w:pPr>
        <w:autoSpaceDE w:val="0"/>
        <w:autoSpaceDN w:val="0"/>
        <w:adjustRightInd w:val="0"/>
        <w:spacing w:line="288" w:lineRule="auto"/>
        <w:contextualSpacing/>
        <w:jc w:val="both"/>
        <w:rPr>
          <w:sz w:val="24"/>
          <w:szCs w:val="24"/>
        </w:rPr>
      </w:pPr>
    </w:p>
    <w:p w14:paraId="13139E1F">
      <w:pPr>
        <w:pStyle w:val="53"/>
        <w:spacing w:line="288" w:lineRule="auto"/>
        <w:contextualSpacing/>
        <w:jc w:val="both"/>
        <w:rPr>
          <w:rFonts w:ascii="Times New Roman" w:hAnsi="Times New Roman" w:cs="Times New Roman"/>
        </w:rPr>
      </w:pPr>
      <w:r>
        <w:rPr>
          <w:rFonts w:ascii="Times New Roman" w:hAnsi="Times New Roman" w:cs="Times New Roman"/>
        </w:rPr>
        <w:t>20.12 O contratante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72A5D331">
      <w:pPr>
        <w:pStyle w:val="53"/>
        <w:spacing w:line="288" w:lineRule="auto"/>
        <w:contextualSpacing/>
        <w:jc w:val="both"/>
        <w:rPr>
          <w:rFonts w:ascii="Times New Roman" w:hAnsi="Times New Roman" w:cs="Times New Roman"/>
        </w:rPr>
      </w:pPr>
    </w:p>
    <w:p w14:paraId="5EA3E706">
      <w:pPr>
        <w:pStyle w:val="53"/>
        <w:spacing w:line="288" w:lineRule="auto"/>
        <w:contextualSpacing/>
        <w:jc w:val="both"/>
        <w:rPr>
          <w:rFonts w:ascii="Times New Roman" w:hAnsi="Times New Roman" w:cs="Times New Roman"/>
        </w:rPr>
      </w:pPr>
      <w:r>
        <w:rPr>
          <w:rFonts w:ascii="Times New Roman" w:hAnsi="Times New Roman" w:cs="Times New Roman"/>
        </w:rPr>
        <w:t>20.12.1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50E2C47E">
      <w:pPr>
        <w:pStyle w:val="53"/>
        <w:spacing w:line="288" w:lineRule="auto"/>
        <w:contextualSpacing/>
        <w:jc w:val="both"/>
        <w:rPr>
          <w:rFonts w:ascii="Times New Roman" w:hAnsi="Times New Roman" w:cs="Times New Roman"/>
        </w:rPr>
      </w:pPr>
    </w:p>
    <w:p w14:paraId="26990485">
      <w:pPr>
        <w:spacing w:line="288" w:lineRule="auto"/>
        <w:contextualSpacing/>
        <w:jc w:val="both"/>
        <w:rPr>
          <w:sz w:val="24"/>
          <w:szCs w:val="24"/>
        </w:rPr>
      </w:pPr>
      <w:r>
        <w:rPr>
          <w:sz w:val="24"/>
          <w:szCs w:val="24"/>
        </w:rPr>
        <w:t xml:space="preserve">20.13 Caso não seja efetuado o pagamento da multa aplicada ou o valor seja superior ao </w:t>
      </w:r>
      <w:r>
        <w:rPr>
          <w:color w:val="000000"/>
          <w:sz w:val="24"/>
          <w:szCs w:val="24"/>
        </w:rPr>
        <w:t>do pagamento eventualmente devido pela Administração ao contratado e da garantia prestada</w:t>
      </w:r>
      <w:r>
        <w:rPr>
          <w:sz w:val="24"/>
          <w:szCs w:val="24"/>
        </w:rPr>
        <w:t>, deverá ser emitida nota de débito no valor total ou do saldo, no prazo de 30 (trinta) dias após a decisão final quanto à penalidade.</w:t>
      </w:r>
    </w:p>
    <w:p w14:paraId="574F27A0">
      <w:pPr>
        <w:spacing w:line="288" w:lineRule="auto"/>
        <w:contextualSpacing/>
        <w:jc w:val="both"/>
        <w:rPr>
          <w:sz w:val="24"/>
          <w:szCs w:val="24"/>
        </w:rPr>
      </w:pPr>
    </w:p>
    <w:p w14:paraId="12AFFFA4">
      <w:pPr>
        <w:spacing w:line="288" w:lineRule="auto"/>
        <w:contextualSpacing/>
        <w:jc w:val="both"/>
        <w:rPr>
          <w:sz w:val="24"/>
          <w:szCs w:val="24"/>
        </w:rPr>
      </w:pPr>
      <w:r>
        <w:rPr>
          <w:sz w:val="24"/>
          <w:szCs w:val="24"/>
        </w:rPr>
        <w:t>20.13.1 A nota de débito deverá ser encaminhada à Departamento de Cadastro Controle e Arrecadação para inscrição do débito em dívida ativa e propositura de execução fiscal, na forma do art. 39 da Lei nº 4.320, de 17 de março de 1964.</w:t>
      </w:r>
    </w:p>
    <w:p w14:paraId="04EEFA3E">
      <w:pPr>
        <w:spacing w:line="288" w:lineRule="auto"/>
        <w:contextualSpacing/>
        <w:jc w:val="both"/>
        <w:rPr>
          <w:sz w:val="24"/>
          <w:szCs w:val="24"/>
        </w:rPr>
      </w:pPr>
    </w:p>
    <w:p w14:paraId="5F02D0D2">
      <w:pPr>
        <w:spacing w:line="288" w:lineRule="auto"/>
        <w:contextualSpacing/>
        <w:jc w:val="both"/>
        <w:rPr>
          <w:sz w:val="24"/>
          <w:szCs w:val="24"/>
        </w:rPr>
      </w:pPr>
      <w:r>
        <w:rPr>
          <w:sz w:val="24"/>
          <w:szCs w:val="24"/>
        </w:rPr>
        <w:t xml:space="preserve">20.13.2 O procedimento para inscrição do débito em dívida ativa deverá observar o que dispõe a Lei Complementar nº: 279/2024. </w:t>
      </w:r>
    </w:p>
    <w:p w14:paraId="747A4999">
      <w:pPr>
        <w:spacing w:line="288" w:lineRule="auto"/>
        <w:contextualSpacing/>
        <w:jc w:val="both"/>
        <w:rPr>
          <w:sz w:val="24"/>
          <w:szCs w:val="24"/>
        </w:rPr>
      </w:pPr>
    </w:p>
    <w:p w14:paraId="6FA069AB">
      <w:pPr>
        <w:pStyle w:val="81"/>
        <w:spacing w:before="0" w:beforeAutospacing="0" w:after="0" w:afterAutospacing="0" w:line="288" w:lineRule="auto"/>
        <w:contextualSpacing/>
        <w:jc w:val="both"/>
        <w:rPr>
          <w:rFonts w:eastAsia="Calibri"/>
          <w:b/>
          <w:bCs/>
          <w:lang w:eastAsia="en-US"/>
        </w:rPr>
      </w:pPr>
      <w:r>
        <w:rPr>
          <w:rFonts w:eastAsia="Calibri"/>
          <w:b/>
          <w:bCs/>
          <w:lang w:eastAsia="en-US"/>
        </w:rPr>
        <w:t>21. DAS DISPOSIÇÕES GERAIS</w:t>
      </w:r>
    </w:p>
    <w:p w14:paraId="7802BDD4">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21.1 Será divulgada ata da sessão pública no sistema eletrônico.</w:t>
      </w:r>
    </w:p>
    <w:p w14:paraId="1C395FD6">
      <w:pPr>
        <w:pStyle w:val="83"/>
        <w:spacing w:before="288" w:beforeLines="120" w:after="288" w:afterLines="120" w:line="288" w:lineRule="auto"/>
        <w:ind w:left="0" w:firstLine="0"/>
        <w:contextualSpacing/>
        <w:rPr>
          <w:rFonts w:ascii="Times New Roman" w:hAnsi="Times New Roman" w:cs="Times New Roman"/>
          <w:sz w:val="24"/>
          <w:szCs w:val="24"/>
        </w:rPr>
      </w:pPr>
    </w:p>
    <w:p w14:paraId="601E44E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446E3B6">
      <w:pPr>
        <w:pStyle w:val="83"/>
        <w:spacing w:before="288" w:beforeLines="120" w:after="288" w:afterLines="120" w:line="288" w:lineRule="auto"/>
        <w:ind w:left="0" w:firstLine="0"/>
        <w:contextualSpacing/>
        <w:rPr>
          <w:rFonts w:ascii="Times New Roman" w:hAnsi="Times New Roman" w:cs="Times New Roman"/>
          <w:sz w:val="24"/>
          <w:szCs w:val="24"/>
        </w:rPr>
      </w:pPr>
    </w:p>
    <w:p w14:paraId="2E9A65A8">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21.3 Todas as referências de tempo no Edital, no aviso e durante a sessão pública observarão o horário de Brasília - DF.</w:t>
      </w:r>
    </w:p>
    <w:p w14:paraId="743A9BC5">
      <w:pPr>
        <w:pStyle w:val="83"/>
        <w:spacing w:before="288" w:beforeLines="120" w:after="288" w:afterLines="120" w:line="288" w:lineRule="auto"/>
        <w:ind w:left="0" w:firstLine="0"/>
        <w:contextualSpacing/>
        <w:rPr>
          <w:rFonts w:ascii="Times New Roman" w:hAnsi="Times New Roman" w:cs="Times New Roman"/>
          <w:sz w:val="24"/>
          <w:szCs w:val="24"/>
        </w:rPr>
      </w:pPr>
    </w:p>
    <w:p w14:paraId="0776C82F">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21.4 A homologação do resultado desta licitação não implicará direito à contratação.</w:t>
      </w:r>
    </w:p>
    <w:p w14:paraId="72EA710A">
      <w:pPr>
        <w:pStyle w:val="83"/>
        <w:spacing w:before="288" w:beforeLines="120" w:after="288" w:afterLines="120" w:line="288" w:lineRule="auto"/>
        <w:ind w:left="0" w:firstLine="0"/>
        <w:contextualSpacing/>
        <w:rPr>
          <w:rFonts w:ascii="Times New Roman" w:hAnsi="Times New Roman" w:cs="Times New Roman"/>
          <w:sz w:val="24"/>
          <w:szCs w:val="24"/>
        </w:rPr>
      </w:pPr>
    </w:p>
    <w:p w14:paraId="26FF6ECA">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21.5 As normas disciplinadoras da licitação serão sempre interpretadas em favor da ampliação da disputa entre os interessados, desde que não comprometam o interesse da Administração, o princípio da isonomia, a finalidade e a segurança da contratação. </w:t>
      </w:r>
    </w:p>
    <w:p w14:paraId="304A136D">
      <w:pPr>
        <w:pStyle w:val="83"/>
        <w:spacing w:before="288" w:beforeLines="120" w:after="288" w:afterLines="120" w:line="288" w:lineRule="auto"/>
        <w:ind w:left="0" w:firstLine="0"/>
        <w:contextualSpacing/>
        <w:rPr>
          <w:rFonts w:ascii="Times New Roman" w:hAnsi="Times New Roman" w:cs="Times New Roman"/>
          <w:sz w:val="24"/>
          <w:szCs w:val="24"/>
        </w:rPr>
      </w:pPr>
    </w:p>
    <w:p w14:paraId="24D8007C">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21.6 Os licitantes assumem todos os custos de preparação e apresentação de suas propostas e a Administração não será, em nenhum caso, responsável por esses custos, independentemente da condução ou do resultado do processo licitatório.</w:t>
      </w:r>
    </w:p>
    <w:p w14:paraId="0D975E41">
      <w:pPr>
        <w:pStyle w:val="83"/>
        <w:spacing w:before="288" w:beforeLines="120" w:after="288" w:afterLines="120" w:line="288" w:lineRule="auto"/>
        <w:ind w:left="0" w:firstLine="0"/>
        <w:contextualSpacing/>
        <w:rPr>
          <w:rFonts w:ascii="Times New Roman" w:hAnsi="Times New Roman" w:cs="Times New Roman"/>
          <w:sz w:val="24"/>
          <w:szCs w:val="24"/>
        </w:rPr>
      </w:pPr>
    </w:p>
    <w:p w14:paraId="0307A8DA">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21.7 Na contagem dos prazos estabelecidos neste Edital e seus Anexos, excluir-se-á o dia do início e incluir-se-á o do vencimento. Só se iniciam e vencem os prazos em dias de expediente na Administração.</w:t>
      </w:r>
    </w:p>
    <w:p w14:paraId="57E56060">
      <w:pPr>
        <w:pStyle w:val="83"/>
        <w:spacing w:before="288" w:beforeLines="120" w:after="288" w:afterLines="120" w:line="288" w:lineRule="auto"/>
        <w:ind w:left="0" w:firstLine="0"/>
        <w:contextualSpacing/>
        <w:rPr>
          <w:rFonts w:ascii="Times New Roman" w:hAnsi="Times New Roman" w:cs="Times New Roman"/>
          <w:sz w:val="24"/>
          <w:szCs w:val="24"/>
        </w:rPr>
      </w:pPr>
    </w:p>
    <w:p w14:paraId="15AF3106">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21.8 O desatendimento de exigências formais não essenciais não importará o afastamento do licitante, desde que seja possível o aproveitamento do ato, observados os princípios da isonomia e do interesse público.</w:t>
      </w:r>
    </w:p>
    <w:p w14:paraId="7CF87E1B">
      <w:pPr>
        <w:pStyle w:val="83"/>
        <w:spacing w:before="288" w:beforeLines="120" w:after="288" w:afterLines="120" w:line="288" w:lineRule="auto"/>
        <w:ind w:left="0" w:firstLine="0"/>
        <w:contextualSpacing/>
        <w:rPr>
          <w:rFonts w:ascii="Times New Roman" w:hAnsi="Times New Roman" w:cs="Times New Roman"/>
          <w:sz w:val="24"/>
          <w:szCs w:val="24"/>
        </w:rPr>
      </w:pPr>
    </w:p>
    <w:p w14:paraId="640AC439">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21.9 Em caso de divergência entre disposições deste Edital e de seus anexos ou demais peças que compõem o processo, prevalecerão as deste Edital.</w:t>
      </w:r>
    </w:p>
    <w:p w14:paraId="0C16A6A3">
      <w:pPr>
        <w:pStyle w:val="83"/>
        <w:spacing w:before="288" w:beforeLines="120" w:after="288" w:afterLines="120" w:line="288" w:lineRule="auto"/>
        <w:ind w:left="0" w:firstLine="0"/>
        <w:contextualSpacing/>
        <w:rPr>
          <w:rFonts w:ascii="Times New Roman" w:hAnsi="Times New Roman" w:cs="Times New Roman"/>
          <w:sz w:val="24"/>
          <w:szCs w:val="24"/>
        </w:rPr>
      </w:pPr>
    </w:p>
    <w:p w14:paraId="5C036C37">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21.10 O Edital e seus anexos </w:t>
      </w:r>
      <w:r>
        <w:rPr>
          <w:rFonts w:ascii="Times New Roman" w:hAnsi="Times New Roman" w:cs="Times New Roman"/>
          <w:color w:val="auto"/>
          <w:sz w:val="24"/>
          <w:szCs w:val="24"/>
        </w:rPr>
        <w:t>estão disponíveis, na íntegra, no Portal Nacional de Contratações Públicas (PNCP) e endereço eletrô</w:t>
      </w:r>
      <w:r>
        <w:rPr>
          <w:rFonts w:ascii="Times New Roman" w:hAnsi="Times New Roman" w:cs="Times New Roman"/>
          <w:sz w:val="24"/>
          <w:szCs w:val="24"/>
        </w:rPr>
        <w:t xml:space="preserve">nico </w:t>
      </w:r>
      <w:r>
        <w:rPr>
          <w:rFonts w:ascii="Times New Roman" w:hAnsi="Times New Roman" w:cs="Times New Roman"/>
          <w:color w:val="auto"/>
          <w:sz w:val="24"/>
          <w:szCs w:val="24"/>
        </w:rPr>
        <w:t>www.valenca.rj.gov.br</w:t>
      </w:r>
      <w:r>
        <w:rPr>
          <w:rFonts w:ascii="Times New Roman" w:hAnsi="Times New Roman" w:cs="Times New Roman"/>
          <w:sz w:val="24"/>
          <w:szCs w:val="24"/>
        </w:rPr>
        <w:t>.</w:t>
      </w:r>
    </w:p>
    <w:p w14:paraId="0A5B723E">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Integram este Edital, para todos os fins e efeitos, os seguintes anexos:</w:t>
      </w:r>
    </w:p>
    <w:p w14:paraId="713A7C74">
      <w:pPr>
        <w:pStyle w:val="86"/>
        <w:spacing w:before="288" w:beforeLines="120" w:after="288" w:afterLines="120" w:line="288" w:lineRule="auto"/>
        <w:ind w:left="0" w:firstLine="0"/>
        <w:contextualSpacing/>
        <w:rPr>
          <w:rFonts w:ascii="Times New Roman" w:hAnsi="Times New Roman" w:cs="Times New Roman"/>
          <w:sz w:val="24"/>
          <w:szCs w:val="24"/>
        </w:rPr>
      </w:pPr>
      <w:bookmarkStart w:id="38" w:name="_Hlk154231260"/>
      <w:r>
        <w:rPr>
          <w:rFonts w:ascii="Times New Roman" w:hAnsi="Times New Roman" w:cs="Times New Roman"/>
          <w:sz w:val="24"/>
          <w:szCs w:val="24"/>
        </w:rPr>
        <w:t>Anexo I - Termo de Referência</w:t>
      </w:r>
    </w:p>
    <w:p w14:paraId="6BC5565D">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II - </w:t>
      </w:r>
      <w:r>
        <w:rPr>
          <w:rFonts w:ascii="Times New Roman" w:hAnsi="Times New Roman" w:cs="Times New Roman"/>
          <w:sz w:val="24"/>
          <w:szCs w:val="24"/>
        </w:rPr>
        <w:t>Estudo Técnico Preliminar</w:t>
      </w:r>
    </w:p>
    <w:p w14:paraId="0C8F211A">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Anexo III - Modelo de apresentação da proposta</w:t>
      </w:r>
    </w:p>
    <w:p w14:paraId="69F5AAE6">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IV - Documentação exigida para Habilitação</w:t>
      </w:r>
    </w:p>
    <w:p w14:paraId="10AA2C33">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V - Orçamento estimado/ Planilha de Custos</w:t>
      </w:r>
    </w:p>
    <w:p w14:paraId="34226646">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 - Ata de Registro de Preços</w:t>
      </w:r>
    </w:p>
    <w:p w14:paraId="401943FA">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VII - Minuta de Termo de Contrato</w:t>
      </w:r>
    </w:p>
    <w:p w14:paraId="6D4D7ECC">
      <w:pPr>
        <w:pStyle w:val="86"/>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 xml:space="preserve">Anexo VIII - </w:t>
      </w:r>
      <w:r>
        <w:rPr>
          <w:rFonts w:ascii="Times New Roman" w:hAnsi="Times New Roman" w:cs="Times New Roman"/>
          <w:color w:val="000000" w:themeColor="text1"/>
          <w:sz w:val="24"/>
          <w:szCs w:val="24"/>
          <w14:textFill>
            <w14:solidFill>
              <w14:schemeClr w14:val="tx1"/>
            </w14:solidFill>
          </w14:textFill>
        </w:rPr>
        <w:t xml:space="preserve">Declarações </w:t>
      </w:r>
      <w:bookmarkEnd w:id="38"/>
    </w:p>
    <w:p w14:paraId="09EBC195">
      <w:pPr>
        <w:pStyle w:val="86"/>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p>
    <w:p w14:paraId="02583247">
      <w:pPr>
        <w:pStyle w:val="86"/>
        <w:spacing w:before="288" w:beforeLines="120" w:after="288" w:afterLines="120" w:line="288" w:lineRule="auto"/>
        <w:ind w:left="0" w:firstLine="0"/>
        <w:contextualSpacing/>
        <w:rPr>
          <w:rFonts w:ascii="Times New Roman" w:hAnsi="Times New Roman" w:eastAsia="MS Mincho" w:cs="Times New Roman"/>
          <w:color w:val="000000" w:themeColor="text1"/>
          <w:sz w:val="24"/>
          <w:szCs w:val="24"/>
          <w14:textFill>
            <w14:solidFill>
              <w14:schemeClr w14:val="tx1"/>
            </w14:solidFill>
          </w14:textFill>
        </w:rPr>
      </w:pPr>
      <w:r>
        <w:rPr>
          <w:rFonts w:ascii="Times New Roman" w:hAnsi="Times New Roman" w:eastAsia="MS Mincho" w:cs="Times New Roman"/>
          <w:color w:val="000000" w:themeColor="text1"/>
          <w:sz w:val="24"/>
          <w:szCs w:val="24"/>
          <w14:textFill>
            <w14:solidFill>
              <w14:schemeClr w14:val="tx1"/>
            </w14:solidFill>
          </w14:textFill>
        </w:rPr>
        <w:t xml:space="preserve">                                              Valença , </w:t>
      </w:r>
      <w:r>
        <w:rPr>
          <w:rFonts w:ascii="Times New Roman" w:hAnsi="Times New Roman" w:eastAsia="MS Mincho" w:cs="Times New Roman"/>
          <w:sz w:val="24"/>
          <w:szCs w:val="24"/>
        </w:rPr>
        <w:t xml:space="preserve">......... de.......................... </w:t>
      </w:r>
      <w:r>
        <w:rPr>
          <w:rFonts w:ascii="Times New Roman" w:hAnsi="Times New Roman" w:eastAsia="MS Mincho" w:cs="Times New Roman"/>
          <w:color w:val="000000" w:themeColor="text1"/>
          <w:sz w:val="24"/>
          <w:szCs w:val="24"/>
          <w14:textFill>
            <w14:solidFill>
              <w14:schemeClr w14:val="tx1"/>
            </w14:solidFill>
          </w14:textFill>
        </w:rPr>
        <w:t>de 2025</w:t>
      </w:r>
    </w:p>
    <w:p w14:paraId="231193D7">
      <w:pPr>
        <w:spacing w:before="288" w:beforeLines="120" w:after="288" w:afterLines="120" w:line="288" w:lineRule="auto"/>
        <w:contextualSpacing/>
        <w:jc w:val="center"/>
        <w:rPr>
          <w:rFonts w:eastAsia="MS Mincho"/>
          <w:b/>
          <w:color w:val="FF0000"/>
          <w:sz w:val="24"/>
          <w:szCs w:val="24"/>
        </w:rPr>
      </w:pPr>
    </w:p>
    <w:p w14:paraId="24B0E1D0">
      <w:pPr>
        <w:spacing w:before="288" w:beforeLines="120" w:after="288" w:afterLines="120" w:line="288" w:lineRule="auto"/>
        <w:contextualSpacing/>
        <w:jc w:val="center"/>
        <w:rPr>
          <w:rFonts w:eastAsia="MS Mincho"/>
          <w:b/>
          <w:color w:val="000000" w:themeColor="text1"/>
          <w:sz w:val="24"/>
          <w:szCs w:val="24"/>
          <w14:textFill>
            <w14:solidFill>
              <w14:schemeClr w14:val="tx1"/>
            </w14:solidFill>
          </w14:textFill>
        </w:rPr>
      </w:pPr>
      <w:r>
        <w:rPr>
          <w:rFonts w:eastAsia="MS Mincho"/>
          <w:b/>
          <w:color w:val="000000" w:themeColor="text1"/>
          <w:sz w:val="24"/>
          <w:szCs w:val="24"/>
          <w14:textFill>
            <w14:solidFill>
              <w14:schemeClr w14:val="tx1"/>
            </w14:solidFill>
          </w14:textFill>
        </w:rPr>
        <w:t>Secretaria Municipal de Educação</w:t>
      </w:r>
    </w:p>
    <w:p w14:paraId="30D3A422">
      <w:pPr>
        <w:spacing w:before="288" w:beforeLines="120" w:after="288" w:afterLines="120" w:line="288" w:lineRule="auto"/>
        <w:contextualSpacing/>
        <w:jc w:val="center"/>
        <w:rPr>
          <w:rFonts w:eastAsia="MS Mincho" w:asciiTheme="minorHAnsi" w:hAnsiTheme="minorHAnsi" w:cstheme="minorHAnsi"/>
          <w:b/>
          <w:color w:val="000000" w:themeColor="text1"/>
          <w:sz w:val="24"/>
          <w:szCs w:val="24"/>
          <w14:textFill>
            <w14:solidFill>
              <w14:schemeClr w14:val="tx1"/>
            </w14:solidFill>
          </w14:textFill>
        </w:rPr>
      </w:pPr>
    </w:p>
    <w:p w14:paraId="0E365248">
      <w:pPr>
        <w:spacing w:before="288" w:beforeLines="120" w:after="288" w:afterLines="120" w:line="288" w:lineRule="auto"/>
        <w:contextualSpacing/>
        <w:jc w:val="center"/>
        <w:rPr>
          <w:rFonts w:eastAsia="MS Mincho"/>
          <w:b/>
          <w:sz w:val="24"/>
          <w:szCs w:val="24"/>
        </w:rPr>
      </w:pPr>
      <w:r>
        <w:rPr>
          <w:rFonts w:eastAsia="MS Mincho"/>
          <w:b/>
          <w:sz w:val="24"/>
          <w:szCs w:val="24"/>
        </w:rPr>
        <w:t xml:space="preserve">ANEXO I </w:t>
      </w:r>
    </w:p>
    <w:p w14:paraId="081956C7">
      <w:pPr>
        <w:spacing w:before="288" w:beforeLines="120" w:after="288" w:afterLines="120" w:line="288" w:lineRule="auto"/>
        <w:contextualSpacing/>
        <w:jc w:val="center"/>
        <w:rPr>
          <w:rFonts w:eastAsia="MS Mincho"/>
          <w:b/>
          <w:sz w:val="24"/>
          <w:szCs w:val="24"/>
        </w:rPr>
      </w:pPr>
    </w:p>
    <w:p w14:paraId="1780A58D">
      <w:pPr>
        <w:spacing w:line="368" w:lineRule="auto"/>
        <w:ind w:left="720" w:right="16"/>
        <w:rPr>
          <w:b/>
          <w:sz w:val="24"/>
          <w:szCs w:val="24"/>
          <w:u w:val="single"/>
        </w:rPr>
      </w:pPr>
      <w:r>
        <w:rPr>
          <w:b/>
          <w:sz w:val="24"/>
          <w:szCs w:val="24"/>
        </w:rPr>
        <w:t xml:space="preserve">                                   </w:t>
      </w:r>
      <w:r>
        <w:rPr>
          <w:b/>
          <w:sz w:val="24"/>
          <w:szCs w:val="24"/>
          <w:highlight w:val="yellow"/>
          <w:u w:val="single"/>
        </w:rPr>
        <w:t>TERMO DE REFERÊNCIA</w:t>
      </w:r>
    </w:p>
    <w:p w14:paraId="2604FC69">
      <w:pPr>
        <w:spacing w:line="368" w:lineRule="auto"/>
        <w:ind w:left="720" w:right="16"/>
        <w:rPr>
          <w:b/>
          <w:sz w:val="24"/>
          <w:szCs w:val="24"/>
          <w:u w:val="single"/>
        </w:rPr>
      </w:pPr>
    </w:p>
    <w:p w14:paraId="3E82EFDD">
      <w:pPr>
        <w:numPr>
          <w:ilvl w:val="0"/>
          <w:numId w:val="5"/>
        </w:numPr>
        <w:shd w:val="clear" w:color="auto" w:fill="BFBFBF"/>
        <w:spacing w:before="480"/>
        <w:jc w:val="both"/>
        <w:rPr>
          <w:color w:val="000000"/>
          <w:sz w:val="27"/>
          <w:szCs w:val="27"/>
        </w:rPr>
      </w:pPr>
      <w:r>
        <w:rPr>
          <w:b/>
          <w:bCs/>
          <w:color w:val="000000"/>
          <w:sz w:val="27"/>
          <w:szCs w:val="27"/>
        </w:rPr>
        <w:t>DEFINIÇÃO DO OBJETO (art. 6, XXIII, a, da Lei 14.133/2021)</w:t>
      </w:r>
    </w:p>
    <w:p w14:paraId="4038C98D">
      <w:pPr>
        <w:spacing w:before="240" w:after="240"/>
        <w:jc w:val="both"/>
        <w:rPr>
          <w:color w:val="000000"/>
          <w:sz w:val="27"/>
          <w:szCs w:val="27"/>
        </w:rPr>
      </w:pPr>
      <w:r>
        <w:rPr>
          <w:b/>
          <w:bCs/>
          <w:color w:val="000000"/>
          <w:sz w:val="27"/>
          <w:szCs w:val="27"/>
        </w:rPr>
        <w:t>Descrição do objeto: </w:t>
      </w:r>
      <w:r>
        <w:rPr>
          <w:color w:val="000000"/>
          <w:sz w:val="27"/>
          <w:szCs w:val="27"/>
        </w:rPr>
        <w:t> Provável e futura aq</w:t>
      </w:r>
      <w:r>
        <w:rPr>
          <w:b/>
          <w:bCs/>
          <w:color w:val="000000"/>
          <w:sz w:val="27"/>
          <w:szCs w:val="27"/>
        </w:rPr>
        <w:t>uisição de KITS DE LANCHES,  </w:t>
      </w:r>
      <w:r>
        <w:rPr>
          <w:color w:val="000000"/>
          <w:sz w:val="27"/>
          <w:szCs w:val="27"/>
        </w:rPr>
        <w:t> destinados aos participantes do</w:t>
      </w:r>
      <w:r>
        <w:rPr>
          <w:b/>
          <w:bCs/>
          <w:color w:val="000000"/>
          <w:sz w:val="27"/>
          <w:szCs w:val="27"/>
        </w:rPr>
        <w:t> DESFILE CÍVICO DO DIA 07 DE SETEMBRO DE 2026,  </w:t>
      </w:r>
      <w:r>
        <w:rPr>
          <w:color w:val="000000"/>
          <w:sz w:val="27"/>
          <w:szCs w:val="27"/>
        </w:rPr>
        <w:t>na modalidade</w:t>
      </w:r>
      <w:r>
        <w:rPr>
          <w:b/>
          <w:bCs/>
          <w:color w:val="000000"/>
          <w:sz w:val="27"/>
          <w:szCs w:val="27"/>
        </w:rPr>
        <w:t> PREGÃO ELETRÔNICO </w:t>
      </w:r>
      <w:r>
        <w:rPr>
          <w:color w:val="000000"/>
          <w:sz w:val="27"/>
          <w:szCs w:val="27"/>
        </w:rPr>
        <w:t>no sistema de</w:t>
      </w:r>
      <w:r>
        <w:rPr>
          <w:b/>
          <w:bCs/>
          <w:color w:val="000000"/>
          <w:sz w:val="27"/>
          <w:szCs w:val="27"/>
        </w:rPr>
        <w:t> </w:t>
      </w:r>
      <w:r>
        <w:rPr>
          <w:color w:val="000000"/>
          <w:sz w:val="27"/>
          <w:szCs w:val="27"/>
        </w:rPr>
        <w:t>REGISTRO DE PREÇOS,   cujas especificações mínimas do objeto e demais condições gerais para o fornecimento estão descritas no Termo de Referência, em atendimento a Secretaria Municipal de Educação.</w:t>
      </w:r>
    </w:p>
    <w:p w14:paraId="5D98FF03">
      <w:pPr>
        <w:spacing w:before="240" w:after="240"/>
        <w:jc w:val="both"/>
        <w:rPr>
          <w:color w:val="000000"/>
          <w:sz w:val="27"/>
          <w:szCs w:val="27"/>
        </w:rPr>
      </w:pPr>
      <w:r>
        <w:rPr>
          <w:color w:val="000000"/>
          <w:sz w:val="27"/>
          <w:szCs w:val="27"/>
        </w:rPr>
        <w:t>1.1- Data prevista para conclusão do processo de contratação - </w:t>
      </w:r>
      <w:r>
        <w:rPr>
          <w:b/>
          <w:bCs/>
          <w:color w:val="000000"/>
          <w:sz w:val="27"/>
          <w:szCs w:val="27"/>
        </w:rPr>
        <w:t>MAIO/2026.</w:t>
      </w:r>
    </w:p>
    <w:p w14:paraId="517BF94B">
      <w:pPr>
        <w:spacing w:after="160"/>
        <w:jc w:val="both"/>
        <w:rPr>
          <w:color w:val="000000"/>
          <w:sz w:val="27"/>
          <w:szCs w:val="27"/>
        </w:rPr>
      </w:pPr>
      <w:r>
        <w:rPr>
          <w:color w:val="000000"/>
          <w:sz w:val="27"/>
          <w:szCs w:val="27"/>
        </w:rPr>
        <w:t>-Data prevista para início e término da execução do objeto do contrato - </w:t>
      </w:r>
      <w:r>
        <w:rPr>
          <w:b/>
          <w:bCs/>
          <w:color w:val="000000"/>
          <w:sz w:val="27"/>
          <w:szCs w:val="27"/>
        </w:rPr>
        <w:t>Início: MAIO/2026 - Término: MAIO/27.</w:t>
      </w:r>
    </w:p>
    <w:p w14:paraId="1C179EF8">
      <w:pPr>
        <w:spacing w:before="120" w:after="120"/>
        <w:jc w:val="both"/>
        <w:rPr>
          <w:color w:val="000000"/>
          <w:sz w:val="27"/>
          <w:szCs w:val="27"/>
        </w:rPr>
      </w:pPr>
      <w:r>
        <w:rPr>
          <w:color w:val="000000"/>
          <w:sz w:val="27"/>
          <w:szCs w:val="27"/>
        </w:rPr>
        <w:t>1.2 - Especificação dos objetos e quantidades:</w:t>
      </w:r>
    </w:p>
    <w:p w14:paraId="513A5913">
      <w:pPr>
        <w:spacing w:before="120" w:after="120"/>
        <w:jc w:val="both"/>
        <w:rPr>
          <w:color w:val="000000"/>
          <w:sz w:val="27"/>
          <w:szCs w:val="27"/>
        </w:rPr>
      </w:pPr>
      <w:r>
        <w:rPr>
          <w:color w:val="000000"/>
          <w:sz w:val="27"/>
          <w:szCs w:val="27"/>
        </w:rPr>
        <w:t>*</w:t>
      </w:r>
      <w:r>
        <w:rPr>
          <w:color w:val="000000"/>
          <w:sz w:val="27"/>
          <w:szCs w:val="27"/>
          <w:shd w:val="clear" w:color="auto" w:fill="FFFF00"/>
        </w:rPr>
        <w:t>Havendo qualquer discordância entre a descrição e a unidade de medida do CATMAT e a do Edital, prevalecerá a descrição e a unidade de medida constante no Edital.  </w:t>
      </w:r>
    </w:p>
    <w:p w14:paraId="46780498">
      <w:pPr>
        <w:spacing w:before="120" w:after="120"/>
        <w:jc w:val="both"/>
        <w:rPr>
          <w:color w:val="000000"/>
          <w:sz w:val="27"/>
          <w:szCs w:val="27"/>
        </w:rPr>
      </w:pPr>
      <w:r>
        <w:rPr>
          <w:b/>
          <w:bCs/>
          <w:color w:val="000000"/>
          <w:sz w:val="27"/>
          <w:szCs w:val="27"/>
        </w:rPr>
        <w:t>LOTE ÚNICO</w:t>
      </w:r>
    </w:p>
    <w:p w14:paraId="05551B22">
      <w:pPr>
        <w:spacing w:before="120" w:after="120"/>
        <w:ind w:left="120" w:right="120" w:firstLine="1699"/>
        <w:jc w:val="both"/>
        <w:rPr>
          <w:color w:val="000000"/>
          <w:sz w:val="27"/>
          <w:szCs w:val="27"/>
        </w:rPr>
      </w:pPr>
      <w:r>
        <w:rPr>
          <w:color w:val="000000"/>
          <w:sz w:val="27"/>
          <w:szCs w:val="27"/>
        </w:rPr>
        <w:br w:type="textWrapping"/>
      </w:r>
      <w:r>
        <w:rPr>
          <w:color w:val="000000"/>
          <w:sz w:val="27"/>
          <w:szCs w:val="27"/>
        </w:rPr>
        <w:t> </w:t>
      </w:r>
    </w:p>
    <w:tbl>
      <w:tblPr>
        <w:tblStyle w:val="9"/>
        <w:tblW w:w="9675" w:type="dxa"/>
        <w:tblInd w:w="12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841"/>
        <w:gridCol w:w="6833"/>
        <w:gridCol w:w="874"/>
        <w:gridCol w:w="1127"/>
      </w:tblGrid>
      <w:tr w14:paraId="5024A35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14:paraId="2CFE87A6">
            <w:pPr>
              <w:jc w:val="center"/>
              <w:rPr>
                <w:sz w:val="24"/>
                <w:szCs w:val="24"/>
              </w:rPr>
            </w:pPr>
            <w:r>
              <w:rPr>
                <w:b/>
                <w:bCs/>
                <w:color w:val="000000"/>
                <w:sz w:val="24"/>
                <w:szCs w:val="24"/>
              </w:rPr>
              <w:t>ITEM</w:t>
            </w:r>
          </w:p>
        </w:tc>
        <w:tc>
          <w:tcPr>
            <w:tcW w:w="0" w:type="auto"/>
            <w:tcBorders>
              <w:top w:val="single" w:color="000000" w:sz="8" w:space="0"/>
              <w:left w:val="single" w:color="000000" w:sz="8" w:space="0"/>
              <w:bottom w:val="single" w:color="000000" w:sz="6" w:space="0"/>
              <w:right w:val="single" w:color="000000" w:sz="8" w:space="0"/>
            </w:tcBorders>
            <w:tcMar>
              <w:top w:w="100" w:type="dxa"/>
              <w:left w:w="100" w:type="dxa"/>
              <w:bottom w:w="100" w:type="dxa"/>
              <w:right w:w="100" w:type="dxa"/>
            </w:tcMar>
          </w:tcPr>
          <w:p w14:paraId="3BA6A9CC">
            <w:pPr>
              <w:jc w:val="center"/>
              <w:rPr>
                <w:sz w:val="24"/>
                <w:szCs w:val="24"/>
              </w:rPr>
            </w:pPr>
            <w:r>
              <w:rPr>
                <w:b/>
                <w:bCs/>
                <w:color w:val="000000"/>
                <w:sz w:val="24"/>
                <w:szCs w:val="24"/>
              </w:rPr>
              <w:t>ESPECIFICAÇÃO</w:t>
            </w:r>
          </w:p>
        </w:tc>
        <w:tc>
          <w:tcPr>
            <w:tcW w:w="0" w:type="auto"/>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14:paraId="03CCBD52">
            <w:pPr>
              <w:jc w:val="center"/>
              <w:rPr>
                <w:sz w:val="24"/>
                <w:szCs w:val="24"/>
              </w:rPr>
            </w:pPr>
            <w:r>
              <w:rPr>
                <w:b/>
                <w:bCs/>
                <w:color w:val="000000"/>
                <w:sz w:val="24"/>
                <w:szCs w:val="24"/>
              </w:rPr>
              <w:t>UNID.</w:t>
            </w:r>
          </w:p>
        </w:tc>
        <w:tc>
          <w:tcPr>
            <w:tcW w:w="0" w:type="auto"/>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14:paraId="6087ADD5">
            <w:pPr>
              <w:jc w:val="center"/>
              <w:rPr>
                <w:sz w:val="24"/>
                <w:szCs w:val="24"/>
              </w:rPr>
            </w:pPr>
            <w:r>
              <w:rPr>
                <w:b/>
                <w:bCs/>
                <w:color w:val="000000"/>
                <w:sz w:val="24"/>
                <w:szCs w:val="24"/>
              </w:rPr>
              <w:t>QUANT.</w:t>
            </w:r>
          </w:p>
        </w:tc>
      </w:tr>
      <w:tr w14:paraId="7FE1337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000000" w:sz="8" w:space="0"/>
              <w:left w:val="single" w:color="000000" w:sz="8" w:space="0"/>
              <w:bottom w:val="single" w:color="000000" w:sz="8" w:space="0"/>
              <w:right w:val="single" w:color="000000" w:sz="6" w:space="0"/>
            </w:tcBorders>
            <w:tcMar>
              <w:top w:w="100" w:type="dxa"/>
              <w:left w:w="100" w:type="dxa"/>
              <w:bottom w:w="100" w:type="dxa"/>
              <w:right w:w="100" w:type="dxa"/>
            </w:tcMar>
          </w:tcPr>
          <w:p w14:paraId="289A1339">
            <w:pPr>
              <w:jc w:val="center"/>
              <w:rPr>
                <w:sz w:val="24"/>
                <w:szCs w:val="24"/>
              </w:rPr>
            </w:pPr>
            <w:r>
              <w:rPr>
                <w:b/>
                <w:bCs/>
                <w:color w:val="000000"/>
                <w:sz w:val="24"/>
                <w:szCs w:val="24"/>
              </w:rPr>
              <w:t>01</w:t>
            </w:r>
          </w:p>
        </w:tc>
        <w:tc>
          <w:tcPr>
            <w:tcW w:w="0" w:type="auto"/>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39E03F69">
            <w:pPr>
              <w:spacing w:before="240"/>
              <w:jc w:val="both"/>
              <w:rPr>
                <w:sz w:val="24"/>
                <w:szCs w:val="24"/>
              </w:rPr>
            </w:pPr>
            <w:r>
              <w:rPr>
                <w:b/>
                <w:bCs/>
                <w:color w:val="000000"/>
                <w:sz w:val="24"/>
                <w:szCs w:val="24"/>
              </w:rPr>
              <w:t>KIT LANCHE</w:t>
            </w:r>
          </w:p>
          <w:p w14:paraId="6AED607B">
            <w:pPr>
              <w:spacing w:before="240"/>
              <w:jc w:val="both"/>
              <w:rPr>
                <w:sz w:val="24"/>
                <w:szCs w:val="24"/>
              </w:rPr>
            </w:pPr>
            <w:r>
              <w:rPr>
                <w:b/>
                <w:bCs/>
                <w:color w:val="000000"/>
                <w:sz w:val="24"/>
                <w:szCs w:val="24"/>
              </w:rPr>
              <w:t>Contendo :</w:t>
            </w:r>
          </w:p>
          <w:p w14:paraId="2F9B3782">
            <w:pPr>
              <w:spacing w:before="240"/>
              <w:jc w:val="both"/>
              <w:rPr>
                <w:sz w:val="24"/>
                <w:szCs w:val="24"/>
              </w:rPr>
            </w:pPr>
            <w:r>
              <w:rPr>
                <w:b/>
                <w:bCs/>
                <w:color w:val="000000"/>
                <w:sz w:val="24"/>
                <w:szCs w:val="24"/>
              </w:rPr>
              <w:t>1 (um) mini bolinho sem recheio de 40g a 45g (tipo “Bolinho Bauducco, muffin”) </w:t>
            </w:r>
            <w:r>
              <w:rPr>
                <w:color w:val="000000"/>
                <w:sz w:val="24"/>
                <w:szCs w:val="24"/>
              </w:rPr>
              <w:t>sabor baunilha, embalagem individual lacrada, com identificação do fabricante, data de fabricação e validade mínima de 60 dias a partir da entrega. </w:t>
            </w:r>
          </w:p>
          <w:p w14:paraId="70AD548F">
            <w:pPr>
              <w:spacing w:before="240"/>
              <w:jc w:val="both"/>
              <w:rPr>
                <w:sz w:val="24"/>
                <w:szCs w:val="24"/>
              </w:rPr>
            </w:pPr>
            <w:r>
              <w:rPr>
                <w:b/>
                <w:bCs/>
                <w:color w:val="000000"/>
                <w:sz w:val="24"/>
                <w:szCs w:val="24"/>
              </w:rPr>
              <w:t>1 (um) biscoito salgado de 24g, </w:t>
            </w:r>
            <w:r>
              <w:rPr>
                <w:color w:val="000000"/>
                <w:sz w:val="24"/>
                <w:szCs w:val="24"/>
              </w:rPr>
              <w:t>sabores diversos, embalado individualmente em embalagem inviolada com identificação do fabricante, data de fabricação e validade mínima de 60 dias (tipo “Club social”). </w:t>
            </w:r>
          </w:p>
          <w:p w14:paraId="4491E617">
            <w:pPr>
              <w:spacing w:before="240"/>
              <w:jc w:val="both"/>
              <w:rPr>
                <w:sz w:val="24"/>
                <w:szCs w:val="24"/>
              </w:rPr>
            </w:pPr>
            <w:r>
              <w:rPr>
                <w:b/>
                <w:bCs/>
                <w:color w:val="000000"/>
                <w:sz w:val="24"/>
                <w:szCs w:val="24"/>
              </w:rPr>
              <w:t>1 (um) suco integral (100% fruta), de 200ml, </w:t>
            </w:r>
            <w:r>
              <w:rPr>
                <w:color w:val="000000"/>
                <w:sz w:val="24"/>
                <w:szCs w:val="24"/>
              </w:rPr>
              <w:t>de caixinha em embalagem Tetra Pak com canudo acoplado, sabor uva, com validade mínima de 60 dias a partir da entrega, com 100% de fruta.</w:t>
            </w:r>
          </w:p>
          <w:p w14:paraId="2C34C8D0">
            <w:pPr>
              <w:spacing w:before="240"/>
              <w:jc w:val="both"/>
              <w:rPr>
                <w:sz w:val="24"/>
                <w:szCs w:val="24"/>
              </w:rPr>
            </w:pPr>
            <w:r>
              <w:rPr>
                <w:b/>
                <w:bCs/>
                <w:color w:val="000000"/>
                <w:sz w:val="24"/>
                <w:szCs w:val="24"/>
              </w:rPr>
              <w:t>1 (um) doce à base de amendoim, </w:t>
            </w:r>
            <w:r>
              <w:rPr>
                <w:color w:val="000000"/>
                <w:sz w:val="24"/>
                <w:szCs w:val="24"/>
              </w:rPr>
              <w:t>do tipo paçoca em formato cilíndrico ou retangular, peso unitário mínimo: 15g, embalado individualmente, com invólucro que garanta a integridade do produto, identificação do fabricante e validade mínima de 60 dias (tipo “Paçoquita”).</w:t>
            </w:r>
          </w:p>
          <w:p w14:paraId="00089FD8">
            <w:pPr>
              <w:spacing w:before="240"/>
              <w:jc w:val="both"/>
              <w:rPr>
                <w:sz w:val="24"/>
                <w:szCs w:val="24"/>
              </w:rPr>
            </w:pPr>
            <w:r>
              <w:rPr>
                <w:b/>
                <w:bCs/>
                <w:color w:val="000000"/>
                <w:sz w:val="24"/>
                <w:szCs w:val="24"/>
              </w:rPr>
              <w:t>1 (um) bebida pronta à base de leite com chocolate,</w:t>
            </w:r>
            <w:r>
              <w:rPr>
                <w:color w:val="000000"/>
                <w:sz w:val="24"/>
                <w:szCs w:val="24"/>
              </w:rPr>
              <w:t> do tipo achocolatado, de 200 ml embalagem tipo Tetra Pak, com canudo acoplado, lacrada e inviolada, validade mínima de 60 dias a partir da entrega, produto industrializado, com identificação clara do fabricante e tabela nutricional (tipo “Toddynho”). </w:t>
            </w:r>
          </w:p>
          <w:p w14:paraId="65E8D17F">
            <w:pPr>
              <w:spacing w:before="240"/>
              <w:jc w:val="both"/>
              <w:rPr>
                <w:sz w:val="24"/>
                <w:szCs w:val="24"/>
              </w:rPr>
            </w:pPr>
            <w:r>
              <w:rPr>
                <w:b/>
                <w:bCs/>
                <w:color w:val="000000"/>
                <w:sz w:val="24"/>
                <w:szCs w:val="24"/>
              </w:rPr>
              <w:t>TODOS OS ITENS DEVERÃO SER ACONDICIONADOS EM SACOS DE PAPEL KRAFT DEVIDAMENTE LACRADO..</w:t>
            </w:r>
          </w:p>
        </w:tc>
        <w:tc>
          <w:tcPr>
            <w:tcW w:w="0" w:type="auto"/>
            <w:tcBorders>
              <w:top w:val="single" w:color="000000" w:sz="8" w:space="0"/>
              <w:left w:val="single" w:color="000000" w:sz="6" w:space="0"/>
              <w:bottom w:val="single" w:color="000000" w:sz="8" w:space="0"/>
              <w:right w:val="single" w:color="000000" w:sz="8" w:space="0"/>
            </w:tcBorders>
            <w:tcMar>
              <w:top w:w="100" w:type="dxa"/>
              <w:left w:w="100" w:type="dxa"/>
              <w:bottom w:w="100" w:type="dxa"/>
              <w:right w:w="100" w:type="dxa"/>
            </w:tcMar>
          </w:tcPr>
          <w:p w14:paraId="2FB9DF8A">
            <w:pPr>
              <w:jc w:val="center"/>
              <w:rPr>
                <w:sz w:val="24"/>
                <w:szCs w:val="24"/>
              </w:rPr>
            </w:pPr>
            <w:r>
              <w:rPr>
                <w:b/>
                <w:bCs/>
                <w:color w:val="000000"/>
                <w:sz w:val="24"/>
                <w:szCs w:val="24"/>
              </w:rPr>
              <w:t>unid.</w:t>
            </w:r>
          </w:p>
        </w:tc>
        <w:tc>
          <w:tcPr>
            <w:tcW w:w="0" w:type="auto"/>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14:paraId="08C16F8D">
            <w:pPr>
              <w:jc w:val="center"/>
              <w:rPr>
                <w:sz w:val="24"/>
                <w:szCs w:val="24"/>
              </w:rPr>
            </w:pPr>
            <w:r>
              <w:rPr>
                <w:b/>
                <w:bCs/>
                <w:color w:val="000000"/>
                <w:sz w:val="24"/>
                <w:szCs w:val="24"/>
              </w:rPr>
              <w:t>4.000</w:t>
            </w:r>
          </w:p>
        </w:tc>
      </w:tr>
    </w:tbl>
    <w:p w14:paraId="7D801B64">
      <w:pPr>
        <w:spacing w:before="120" w:after="120"/>
        <w:ind w:left="120" w:right="120" w:firstLine="1699"/>
        <w:jc w:val="both"/>
        <w:rPr>
          <w:color w:val="000000"/>
          <w:sz w:val="24"/>
          <w:szCs w:val="24"/>
        </w:rPr>
      </w:pPr>
      <w:r>
        <w:rPr>
          <w:color w:val="000000"/>
          <w:sz w:val="24"/>
          <w:szCs w:val="24"/>
        </w:rPr>
        <w:t> </w:t>
      </w:r>
    </w:p>
    <w:p w14:paraId="36A7D054">
      <w:pPr>
        <w:ind w:left="60" w:right="60"/>
        <w:rPr>
          <w:color w:val="000000"/>
          <w:sz w:val="22"/>
          <w:szCs w:val="22"/>
        </w:rPr>
      </w:pPr>
      <w:r>
        <w:rPr>
          <w:color w:val="000000"/>
          <w:sz w:val="22"/>
          <w:szCs w:val="22"/>
        </w:rPr>
        <w:t>1.3</w:t>
      </w:r>
      <w:r>
        <w:rPr>
          <w:b/>
          <w:bCs/>
          <w:color w:val="000000"/>
          <w:sz w:val="22"/>
          <w:szCs w:val="22"/>
        </w:rPr>
        <w:t>Acondicionamento para Entrega dos Kits de Lanches</w:t>
      </w:r>
    </w:p>
    <w:p w14:paraId="5EEFE9E0">
      <w:pPr>
        <w:spacing w:before="240" w:after="240"/>
        <w:jc w:val="both"/>
        <w:rPr>
          <w:color w:val="000000"/>
          <w:sz w:val="27"/>
          <w:szCs w:val="27"/>
        </w:rPr>
      </w:pPr>
      <w:r>
        <w:rPr>
          <w:color w:val="000000"/>
          <w:sz w:val="27"/>
          <w:szCs w:val="27"/>
        </w:rPr>
        <w:t>Para garantir a preservação dos itens, a organização logística e a conferência eficiente da quantidade total dos 4.000 kits de lanches, o fornecedor deverá seguir os seguintes critérios de acondicionamento:</w:t>
      </w:r>
    </w:p>
    <w:p w14:paraId="34EC1B87">
      <w:pPr>
        <w:numPr>
          <w:ilvl w:val="0"/>
          <w:numId w:val="6"/>
        </w:numPr>
        <w:spacing w:before="240"/>
        <w:jc w:val="both"/>
        <w:rPr>
          <w:color w:val="000000"/>
          <w:sz w:val="27"/>
          <w:szCs w:val="27"/>
        </w:rPr>
      </w:pPr>
      <w:r>
        <w:rPr>
          <w:b/>
          <w:bCs/>
          <w:color w:val="000000"/>
          <w:sz w:val="27"/>
          <w:szCs w:val="27"/>
        </w:rPr>
        <w:t>Embalagem Individual dos Kits:</w:t>
      </w:r>
      <w:r>
        <w:rPr>
          <w:color w:val="000000"/>
          <w:sz w:val="27"/>
          <w:szCs w:val="27"/>
        </w:rPr>
        <w:br w:type="textWrapping"/>
      </w:r>
      <w:r>
        <w:rPr>
          <w:color w:val="000000"/>
          <w:sz w:val="27"/>
          <w:szCs w:val="27"/>
        </w:rPr>
        <w:t> Cada kit deverá estar acondicionado individualmente, em </w:t>
      </w:r>
      <w:r>
        <w:rPr>
          <w:b/>
          <w:bCs/>
          <w:color w:val="000000"/>
          <w:sz w:val="27"/>
          <w:szCs w:val="27"/>
        </w:rPr>
        <w:t>sacos papel kraft </w:t>
      </w:r>
      <w:r>
        <w:rPr>
          <w:color w:val="000000"/>
          <w:sz w:val="27"/>
          <w:szCs w:val="27"/>
        </w:rPr>
        <w:t>devidamente lacrado, resistentes, protegendo contra contaminações, umidade ou danos durante o transporte e o manuseio.</w:t>
      </w:r>
    </w:p>
    <w:p w14:paraId="60E8EC1F">
      <w:pPr>
        <w:numPr>
          <w:ilvl w:val="0"/>
          <w:numId w:val="6"/>
        </w:numPr>
        <w:jc w:val="both"/>
        <w:rPr>
          <w:color w:val="000000"/>
          <w:sz w:val="27"/>
          <w:szCs w:val="27"/>
        </w:rPr>
      </w:pPr>
      <w:r>
        <w:rPr>
          <w:b/>
          <w:bCs/>
          <w:color w:val="000000"/>
          <w:sz w:val="27"/>
          <w:szCs w:val="27"/>
        </w:rPr>
        <w:t>Identificação dos Kits:</w:t>
      </w:r>
      <w:r>
        <w:rPr>
          <w:color w:val="000000"/>
          <w:sz w:val="27"/>
          <w:szCs w:val="27"/>
        </w:rPr>
        <w:br w:type="textWrapping"/>
      </w:r>
      <w:r>
        <w:rPr>
          <w:color w:val="000000"/>
          <w:sz w:val="27"/>
          <w:szCs w:val="27"/>
        </w:rPr>
        <w:t> Todos os kits deverão conter etiqueta externa com a identificação do fornecedor, a descrição "Kit de Lanche – Desfile Cívico 07/09/2026", número do lote e data de validade dos produtos.</w:t>
      </w:r>
    </w:p>
    <w:p w14:paraId="62B7588C">
      <w:pPr>
        <w:numPr>
          <w:ilvl w:val="0"/>
          <w:numId w:val="6"/>
        </w:numPr>
        <w:jc w:val="both"/>
        <w:rPr>
          <w:color w:val="000000"/>
          <w:sz w:val="27"/>
          <w:szCs w:val="27"/>
        </w:rPr>
      </w:pPr>
      <w:r>
        <w:rPr>
          <w:b/>
          <w:bCs/>
          <w:color w:val="000000"/>
          <w:sz w:val="27"/>
          <w:szCs w:val="27"/>
        </w:rPr>
        <w:t>Agrupamento em Caixas ou Fardos:</w:t>
      </w:r>
      <w:r>
        <w:rPr>
          <w:color w:val="000000"/>
          <w:sz w:val="27"/>
          <w:szCs w:val="27"/>
        </w:rPr>
        <w:br w:type="textWrapping"/>
      </w:r>
      <w:r>
        <w:rPr>
          <w:color w:val="000000"/>
          <w:sz w:val="27"/>
          <w:szCs w:val="27"/>
        </w:rPr>
        <w:t> Os kits deverão ser organizados em caixas de papelão ou fardos resistentes, contendo, preferencialmente, 20 a 50 kits por volume, para facilitar o transporte, a descarga e a conferência. As caixas devem estar numeradas sequencialmente e identificadas com a quantidade de kits contidos, permitindo o rápido controle de entrada e conferência pelos responsáveis do recebimento.</w:t>
      </w:r>
    </w:p>
    <w:p w14:paraId="2ECCD34B">
      <w:pPr>
        <w:numPr>
          <w:ilvl w:val="0"/>
          <w:numId w:val="6"/>
        </w:numPr>
        <w:spacing w:after="240"/>
        <w:jc w:val="both"/>
        <w:rPr>
          <w:color w:val="000000"/>
          <w:sz w:val="27"/>
          <w:szCs w:val="27"/>
        </w:rPr>
      </w:pPr>
      <w:r>
        <w:rPr>
          <w:b/>
          <w:bCs/>
          <w:color w:val="000000"/>
          <w:sz w:val="27"/>
          <w:szCs w:val="27"/>
        </w:rPr>
        <w:t>Cuidados com Transporte e Armazenamento:</w:t>
      </w:r>
      <w:r>
        <w:rPr>
          <w:color w:val="000000"/>
          <w:sz w:val="27"/>
          <w:szCs w:val="27"/>
        </w:rPr>
        <w:br w:type="textWrapping"/>
      </w:r>
      <w:r>
        <w:rPr>
          <w:color w:val="000000"/>
          <w:sz w:val="27"/>
          <w:szCs w:val="27"/>
        </w:rPr>
        <w:t> O transporte dos kits deve ser realizado em veículos limpos e em condições adequadas de higiene e ventilação, evitando exposição ao calor excessivo, à umidade e à luz solar direta. Os produtos deverão ser entregues em local previamente indicado pela Secretaria Municipal de Educação, em data e horário previamente agendados.</w:t>
      </w:r>
    </w:p>
    <w:p w14:paraId="02D2B553">
      <w:pPr>
        <w:spacing w:before="240" w:after="240"/>
        <w:jc w:val="both"/>
        <w:rPr>
          <w:color w:val="000000"/>
          <w:sz w:val="27"/>
          <w:szCs w:val="27"/>
        </w:rPr>
      </w:pPr>
      <w:r>
        <w:rPr>
          <w:color w:val="000000"/>
          <w:sz w:val="27"/>
          <w:szCs w:val="27"/>
        </w:rPr>
        <w:t>1.4 - A descrição pormenorizada, levou em consideração todo o ciclo de vida do objeto a ser contratado, por meio de especificações técnicas e de desempenho usuais de mercado, que não sejam excessivas, irrelevantes ou desnecessárias.</w:t>
      </w:r>
    </w:p>
    <w:p w14:paraId="6882D2CB">
      <w:pPr>
        <w:spacing w:before="240" w:after="240"/>
        <w:jc w:val="both"/>
        <w:rPr>
          <w:color w:val="000000"/>
          <w:sz w:val="27"/>
          <w:szCs w:val="27"/>
        </w:rPr>
      </w:pPr>
      <w:r>
        <w:rPr>
          <w:color w:val="000000"/>
          <w:sz w:val="27"/>
          <w:szCs w:val="27"/>
        </w:rPr>
        <w:t>1.5 - Justifica-se a não utilização do Catálogo Eletrônico de Padronização nesta aquisição, uma vez que, atualmente, o Portal Nacional de Compras Públicas dispõe de itens padronizados apenas para água mineral sem gás, açúcar e pó de café. Como o objeto da presente contratação refere-se à aquisição de </w:t>
      </w:r>
      <w:r>
        <w:rPr>
          <w:i/>
          <w:iCs/>
          <w:color w:val="000000"/>
          <w:sz w:val="27"/>
          <w:szCs w:val="27"/>
        </w:rPr>
        <w:t>kits de lanches,</w:t>
      </w:r>
      <w:r>
        <w:rPr>
          <w:color w:val="000000"/>
          <w:sz w:val="27"/>
          <w:szCs w:val="27"/>
        </w:rPr>
        <w:t> inexistentes no referido catálogo, não é possível sua utilização neste processo.</w:t>
      </w:r>
    </w:p>
    <w:p w14:paraId="7DDDA4F0">
      <w:pPr>
        <w:spacing w:before="240" w:after="240"/>
        <w:jc w:val="both"/>
        <w:rPr>
          <w:color w:val="000000"/>
          <w:sz w:val="27"/>
          <w:szCs w:val="27"/>
        </w:rPr>
      </w:pPr>
      <w:r>
        <w:rPr>
          <w:color w:val="000000"/>
          <w:sz w:val="27"/>
          <w:szCs w:val="27"/>
        </w:rPr>
        <w:t>1.6 - Trata-se de fornecimento de material comum, cujos padrões de desempenho e qualidade podem ser objetivamente definidos no edital por meio de especificações usuais no mercado, nos termos da Lei 14.133/2021.</w:t>
      </w:r>
    </w:p>
    <w:p w14:paraId="3B0D914F">
      <w:pPr>
        <w:numPr>
          <w:ilvl w:val="0"/>
          <w:numId w:val="7"/>
        </w:numPr>
        <w:shd w:val="clear" w:color="auto" w:fill="BFBFBF"/>
        <w:spacing w:before="480" w:after="120"/>
        <w:jc w:val="both"/>
        <w:rPr>
          <w:color w:val="000000"/>
          <w:sz w:val="27"/>
          <w:szCs w:val="27"/>
        </w:rPr>
      </w:pPr>
      <w:r>
        <w:rPr>
          <w:b/>
          <w:bCs/>
          <w:color w:val="000000"/>
          <w:sz w:val="27"/>
          <w:szCs w:val="27"/>
        </w:rPr>
        <w:t>PRAZO DE VIGÊNCIA DO CONTRATO/PRORROGAÇÃO/REAJUSTE (art. 6, XXIII, a, da Lei 14.133/2021)</w:t>
      </w:r>
    </w:p>
    <w:p w14:paraId="128C62F0">
      <w:pPr>
        <w:jc w:val="both"/>
        <w:rPr>
          <w:color w:val="000000"/>
          <w:sz w:val="27"/>
          <w:szCs w:val="27"/>
        </w:rPr>
      </w:pPr>
      <w:r>
        <w:rPr>
          <w:b/>
          <w:bCs/>
          <w:color w:val="000000"/>
          <w:sz w:val="27"/>
          <w:szCs w:val="27"/>
        </w:rPr>
        <w:t>-</w:t>
      </w:r>
      <w:r>
        <w:rPr>
          <w:color w:val="000000"/>
          <w:sz w:val="27"/>
          <w:szCs w:val="27"/>
        </w:rPr>
        <w:t>Vigência Contratual (arts. 105 a 114 da Lei 14.133/21): O prazo de vigência contratual será de </w:t>
      </w:r>
      <w:r>
        <w:rPr>
          <w:b/>
          <w:bCs/>
          <w:color w:val="000000"/>
          <w:sz w:val="27"/>
          <w:szCs w:val="27"/>
        </w:rPr>
        <w:t>12 (doze) meses</w:t>
      </w:r>
      <w:r>
        <w:rPr>
          <w:color w:val="000000"/>
          <w:sz w:val="27"/>
          <w:szCs w:val="27"/>
        </w:rPr>
        <w:t>, contados da sua data e assinatura do Contrato.</w:t>
      </w:r>
    </w:p>
    <w:p w14:paraId="2EBC3F7F">
      <w:pPr>
        <w:jc w:val="both"/>
        <w:rPr>
          <w:color w:val="000000"/>
          <w:sz w:val="27"/>
          <w:szCs w:val="27"/>
        </w:rPr>
      </w:pPr>
      <w:r>
        <w:rPr>
          <w:color w:val="000000"/>
          <w:sz w:val="27"/>
          <w:szCs w:val="27"/>
        </w:rPr>
        <w:t>-Prorrogação do Contrato: Poderá ser prorrogado nos moldes da Lei Federal n°14133/2021.</w:t>
      </w:r>
    </w:p>
    <w:p w14:paraId="06DCA85B">
      <w:pPr>
        <w:jc w:val="both"/>
        <w:rPr>
          <w:color w:val="000000"/>
          <w:sz w:val="27"/>
          <w:szCs w:val="27"/>
        </w:rPr>
      </w:pPr>
      <w:r>
        <w:rPr>
          <w:color w:val="000000"/>
          <w:sz w:val="27"/>
          <w:szCs w:val="27"/>
        </w:rPr>
        <w:t>-Previsão de Reajuste (art. 92, § 3º da Lei 14.133/21): não há previsão de reajuste</w:t>
      </w:r>
    </w:p>
    <w:p w14:paraId="5A336DE5">
      <w:pPr>
        <w:jc w:val="both"/>
        <w:rPr>
          <w:color w:val="000000"/>
          <w:sz w:val="27"/>
          <w:szCs w:val="27"/>
        </w:rPr>
      </w:pPr>
      <w:r>
        <w:rPr>
          <w:color w:val="000000"/>
          <w:sz w:val="27"/>
          <w:szCs w:val="27"/>
        </w:rPr>
        <w:t>-Subcontratação: Não será permitida subcontratação parcial ou total dos objetos licitados.</w:t>
      </w:r>
    </w:p>
    <w:p w14:paraId="020BC4EF">
      <w:pPr>
        <w:jc w:val="both"/>
        <w:rPr>
          <w:color w:val="000000"/>
          <w:sz w:val="27"/>
          <w:szCs w:val="27"/>
        </w:rPr>
      </w:pPr>
      <w:r>
        <w:rPr>
          <w:color w:val="000000"/>
          <w:sz w:val="27"/>
          <w:szCs w:val="27"/>
        </w:rPr>
        <w:t>- Participação em Consórcio: Não será permitida a participação do certame de empresas em Consórcio.</w:t>
      </w:r>
    </w:p>
    <w:p w14:paraId="188EB707">
      <w:pPr>
        <w:spacing w:before="120" w:after="120"/>
        <w:jc w:val="both"/>
        <w:rPr>
          <w:color w:val="000000"/>
          <w:sz w:val="27"/>
          <w:szCs w:val="27"/>
        </w:rPr>
      </w:pPr>
      <w:r>
        <w:rPr>
          <w:color w:val="000000"/>
          <w:sz w:val="27"/>
          <w:szCs w:val="27"/>
        </w:rPr>
        <w:t>- Garantia e/ou assistência técnica (art. 40, § 1º, III):  Não será exigido.</w:t>
      </w:r>
    </w:p>
    <w:p w14:paraId="361055D9">
      <w:pPr>
        <w:jc w:val="both"/>
        <w:rPr>
          <w:color w:val="000000"/>
          <w:sz w:val="27"/>
          <w:szCs w:val="27"/>
        </w:rPr>
      </w:pPr>
      <w:r>
        <w:rPr>
          <w:color w:val="000000"/>
          <w:sz w:val="27"/>
          <w:szCs w:val="27"/>
        </w:rPr>
        <w:t>- Garantia de Execução do Contrato (modalidade prevista pelo § 1º, art. 96 da Lei n.º 14.133/21): A ser definido pelo edital.</w:t>
      </w:r>
    </w:p>
    <w:p w14:paraId="2BBA2932">
      <w:pPr>
        <w:numPr>
          <w:ilvl w:val="0"/>
          <w:numId w:val="8"/>
        </w:numPr>
        <w:shd w:val="clear" w:color="auto" w:fill="BFBFBF"/>
        <w:spacing w:before="480" w:after="120"/>
        <w:jc w:val="both"/>
        <w:rPr>
          <w:color w:val="000000"/>
          <w:sz w:val="27"/>
          <w:szCs w:val="27"/>
        </w:rPr>
      </w:pPr>
      <w:r>
        <w:rPr>
          <w:b/>
          <w:bCs/>
          <w:color w:val="000000"/>
          <w:sz w:val="27"/>
          <w:szCs w:val="27"/>
        </w:rPr>
        <w:t>DA JUSTIFICATIVA E OBJETIVO DA CONTRATAÇÃO</w:t>
      </w:r>
    </w:p>
    <w:p w14:paraId="1FCB21F5">
      <w:pPr>
        <w:spacing w:before="240" w:after="240"/>
        <w:jc w:val="both"/>
        <w:rPr>
          <w:color w:val="000000"/>
          <w:sz w:val="27"/>
          <w:szCs w:val="27"/>
        </w:rPr>
      </w:pPr>
      <w:r>
        <w:rPr>
          <w:color w:val="000000"/>
          <w:sz w:val="27"/>
          <w:szCs w:val="27"/>
        </w:rPr>
        <w:t>A presente contratação tem como objetivo principal assegurar o fornecimento de </w:t>
      </w:r>
      <w:r>
        <w:rPr>
          <w:b/>
          <w:bCs/>
          <w:color w:val="000000"/>
          <w:sz w:val="27"/>
          <w:szCs w:val="27"/>
        </w:rPr>
        <w:t>kits de lanches</w:t>
      </w:r>
      <w:r>
        <w:rPr>
          <w:color w:val="000000"/>
          <w:sz w:val="27"/>
          <w:szCs w:val="27"/>
        </w:rPr>
        <w:t> prontos, padronizados e embalados individualmente, destinados aos alunos da rede municipal de ensino que participarão do Desfile Cívico do dia 07 de Setembro de 2026.</w:t>
      </w:r>
    </w:p>
    <w:p w14:paraId="4EE26FB9">
      <w:pPr>
        <w:spacing w:before="240" w:after="240"/>
        <w:jc w:val="both"/>
        <w:rPr>
          <w:color w:val="000000"/>
          <w:sz w:val="27"/>
          <w:szCs w:val="27"/>
        </w:rPr>
      </w:pPr>
      <w:r>
        <w:rPr>
          <w:color w:val="000000"/>
          <w:sz w:val="27"/>
          <w:szCs w:val="27"/>
        </w:rPr>
        <w:t>A justificativa para esta contratação decorre da necessidade de garantir a alimentação adequada, segura e prática para os estudantes durante o período em que permanecerem fora das unidades escolares para ensaios, concentração, deslocamento e participação nos desfiles.</w:t>
      </w:r>
    </w:p>
    <w:p w14:paraId="5FE4DD21">
      <w:pPr>
        <w:spacing w:before="240" w:after="240"/>
        <w:jc w:val="both"/>
        <w:rPr>
          <w:color w:val="000000"/>
          <w:sz w:val="27"/>
          <w:szCs w:val="27"/>
        </w:rPr>
      </w:pPr>
      <w:r>
        <w:rPr>
          <w:color w:val="000000"/>
          <w:sz w:val="27"/>
          <w:szCs w:val="27"/>
        </w:rPr>
        <w:t>Historicamente, em eventos semelhantes, a Secretaria Municipal de Educação adquiriu gêneros alimentícios avulsos e organizou equipes de servidores para montar os kits manualmente. Essa prática revelou-se menos eficiente, gerando riscos de falhas sanitárias, falta de padronização, desperdícios e sobrecarga de tarefas para profissionais que deveriam se dedicar prioritariamente às atividades pedagógicas e de apoio administrativo.</w:t>
      </w:r>
    </w:p>
    <w:p w14:paraId="6A041B6B">
      <w:pPr>
        <w:spacing w:before="240" w:after="240"/>
        <w:jc w:val="both"/>
        <w:rPr>
          <w:color w:val="000000"/>
          <w:sz w:val="27"/>
          <w:szCs w:val="27"/>
        </w:rPr>
      </w:pPr>
      <w:r>
        <w:rPr>
          <w:color w:val="000000"/>
          <w:sz w:val="27"/>
          <w:szCs w:val="27"/>
        </w:rPr>
        <w:t>A contratação dos kits prontos resolve este problema, trazendo ganhos de eficiência, segurança alimentar e padronização, além de liberar os servidores para suas funções essenciais. O fornecimento por empresa especializada também assegura o cumprimento rigoroso das normas sanitárias vigentes, boas práticas de manipulação de alimentos (RDC nº 275/2002 ou norma posterior) e o atendimento de prazos compatíveis com a logística de distribuição.</w:t>
      </w:r>
    </w:p>
    <w:p w14:paraId="3A9CCF4F">
      <w:pPr>
        <w:spacing w:before="240" w:after="240"/>
        <w:jc w:val="both"/>
        <w:rPr>
          <w:color w:val="000000"/>
          <w:sz w:val="27"/>
          <w:szCs w:val="27"/>
        </w:rPr>
      </w:pPr>
      <w:r>
        <w:rPr>
          <w:color w:val="000000"/>
          <w:sz w:val="27"/>
          <w:szCs w:val="27"/>
        </w:rPr>
        <w:t>Além disso, a medida atende ao interesse público, garantindo que os estudantes participem dos eventos cívicos bem alimentados, com conforto, dignidade e segurança, fortalecendo o vínculo escola-comunidade e a valorização das tradições culturais do município.</w:t>
      </w:r>
    </w:p>
    <w:p w14:paraId="2CC9D1B5">
      <w:pPr>
        <w:spacing w:before="240" w:after="240"/>
        <w:jc w:val="both"/>
        <w:rPr>
          <w:color w:val="000000"/>
          <w:sz w:val="27"/>
          <w:szCs w:val="27"/>
        </w:rPr>
      </w:pPr>
      <w:r>
        <w:rPr>
          <w:color w:val="000000"/>
          <w:sz w:val="27"/>
          <w:szCs w:val="27"/>
        </w:rPr>
        <w:t>Portanto, o objetivo é adquirir kits de lanches prontos, embalados em sacos de papel kraft devidamente lacrados, contendo alimentos de qualidade, com validade adequada, entregues dentro do cronograma e conforme as exigências descritas no Termo de Referência, tudo em conformidade com a legislação vigente e com os princípios da eficiência, economicidade e interesse público.</w:t>
      </w:r>
    </w:p>
    <w:p w14:paraId="557ED595">
      <w:pPr>
        <w:spacing w:before="240" w:after="240"/>
        <w:jc w:val="both"/>
        <w:rPr>
          <w:color w:val="000000"/>
          <w:sz w:val="27"/>
          <w:szCs w:val="27"/>
        </w:rPr>
      </w:pPr>
      <w:r>
        <w:rPr>
          <w:b/>
          <w:bCs/>
          <w:color w:val="000000"/>
          <w:sz w:val="27"/>
          <w:szCs w:val="27"/>
        </w:rPr>
        <w:t>JUSTIFICATIVA DA MODALIDADE – PREGÃO ELETRÔNICO – SISTEMA DE REGISTRO DE PREÇOS (SRP)</w:t>
      </w:r>
    </w:p>
    <w:p w14:paraId="7DD4A43E">
      <w:pPr>
        <w:spacing w:before="240" w:after="240"/>
        <w:jc w:val="both"/>
        <w:rPr>
          <w:color w:val="000000"/>
          <w:sz w:val="27"/>
          <w:szCs w:val="27"/>
        </w:rPr>
      </w:pPr>
      <w:r>
        <w:rPr>
          <w:color w:val="000000"/>
          <w:sz w:val="27"/>
          <w:szCs w:val="27"/>
        </w:rPr>
        <w:t>A escolha da modalidade Pregão Eletrônico, na forma de Registro de Preços (SRP), está devidamente justificada pela natureza do objeto e pelas diretrizes da Lei Federal nº 14.133/2021 (Nova Lei de Licitações e Contratos Administrativos), bem como pela Lei nº 10.520/2002, que disciplina o pregão como modalidade preferencial para aquisição de bens e serviços comuns.</w:t>
      </w:r>
    </w:p>
    <w:p w14:paraId="61ADED09">
      <w:pPr>
        <w:spacing w:before="240" w:after="240"/>
        <w:jc w:val="both"/>
        <w:rPr>
          <w:color w:val="000000"/>
          <w:sz w:val="27"/>
          <w:szCs w:val="27"/>
        </w:rPr>
      </w:pPr>
      <w:r>
        <w:rPr>
          <w:color w:val="000000"/>
          <w:sz w:val="27"/>
          <w:szCs w:val="27"/>
        </w:rPr>
        <w:t>No caso em questão, o objeto — fornecimento de kits de lanches prontos, padronizados e embalados individualmente — caracteriza-se como bem de fornecimento comum, uma vez que envolve especificações usuais no mercado, que podem ser descritas de forma objetiva no Termo de Referência, atendendo ao princípio da padronização e permitindo a ampla competição entre fornecedores.</w:t>
      </w:r>
    </w:p>
    <w:p w14:paraId="686B5EB0">
      <w:pPr>
        <w:spacing w:before="240" w:after="240"/>
        <w:jc w:val="both"/>
        <w:rPr>
          <w:color w:val="000000"/>
          <w:sz w:val="27"/>
          <w:szCs w:val="27"/>
        </w:rPr>
      </w:pPr>
      <w:r>
        <w:rPr>
          <w:color w:val="000000"/>
          <w:sz w:val="27"/>
          <w:szCs w:val="27"/>
        </w:rPr>
        <w:t>A adoção da forma eletrônica é obrigatória para todos os órgãos da Administração Pública, conforme o art. 17, § 2º da Lei nº 14.133/2021, ressalvadas hipóteses excepcionais devidamente justificadas, o que não é o caso. Além disso, o pregão eletrônico:</w:t>
      </w:r>
    </w:p>
    <w:p w14:paraId="7A1C7FC5">
      <w:pPr>
        <w:numPr>
          <w:ilvl w:val="0"/>
          <w:numId w:val="9"/>
        </w:numPr>
        <w:spacing w:before="240"/>
        <w:jc w:val="both"/>
        <w:rPr>
          <w:color w:val="000000"/>
          <w:sz w:val="27"/>
          <w:szCs w:val="27"/>
        </w:rPr>
      </w:pPr>
      <w:r>
        <w:rPr>
          <w:color w:val="000000"/>
          <w:sz w:val="27"/>
          <w:szCs w:val="27"/>
        </w:rPr>
        <w:t>Amplia a competitividade, viabilizando a participação de fornecedores de diversas localidades;</w:t>
      </w:r>
    </w:p>
    <w:p w14:paraId="325E8FBE">
      <w:pPr>
        <w:numPr>
          <w:ilvl w:val="0"/>
          <w:numId w:val="9"/>
        </w:numPr>
        <w:jc w:val="both"/>
        <w:rPr>
          <w:color w:val="000000"/>
          <w:sz w:val="27"/>
          <w:szCs w:val="27"/>
        </w:rPr>
      </w:pPr>
      <w:r>
        <w:rPr>
          <w:color w:val="000000"/>
          <w:sz w:val="27"/>
          <w:szCs w:val="27"/>
        </w:rPr>
        <w:t>Promove maior transparência e publicidade;</w:t>
      </w:r>
    </w:p>
    <w:p w14:paraId="70BD4A81">
      <w:pPr>
        <w:numPr>
          <w:ilvl w:val="0"/>
          <w:numId w:val="9"/>
        </w:numPr>
        <w:spacing w:after="240"/>
        <w:jc w:val="both"/>
        <w:rPr>
          <w:color w:val="000000"/>
          <w:sz w:val="27"/>
          <w:szCs w:val="27"/>
        </w:rPr>
      </w:pPr>
      <w:r>
        <w:rPr>
          <w:color w:val="000000"/>
          <w:sz w:val="27"/>
          <w:szCs w:val="27"/>
        </w:rPr>
        <w:t>Reduz custos operacionais para a Administração.</w:t>
      </w:r>
    </w:p>
    <w:p w14:paraId="28E038F1">
      <w:pPr>
        <w:spacing w:before="240" w:after="240"/>
        <w:jc w:val="both"/>
        <w:rPr>
          <w:color w:val="000000"/>
          <w:sz w:val="27"/>
          <w:szCs w:val="27"/>
        </w:rPr>
      </w:pPr>
      <w:r>
        <w:rPr>
          <w:color w:val="000000"/>
          <w:sz w:val="27"/>
          <w:szCs w:val="27"/>
        </w:rPr>
        <w:t>Optou-se ainda pelo Sistema de Registro de Preços (SRP), nos termos do art. 82 da Lei nº 14.133/2021, pois este modelo se mostra mais adequado quando se trata de contratação de fornecimento eventual ou parcelado, permitindo:</w:t>
      </w:r>
    </w:p>
    <w:p w14:paraId="3CF5359D">
      <w:pPr>
        <w:numPr>
          <w:ilvl w:val="0"/>
          <w:numId w:val="10"/>
        </w:numPr>
        <w:spacing w:before="240"/>
        <w:rPr>
          <w:color w:val="000000"/>
          <w:sz w:val="27"/>
          <w:szCs w:val="27"/>
        </w:rPr>
      </w:pPr>
      <w:r>
        <w:rPr>
          <w:color w:val="000000"/>
          <w:sz w:val="27"/>
          <w:szCs w:val="27"/>
        </w:rPr>
        <w:t>Maior flexibilidade, já que a demanda pode variar em função do número de alunos inscritos ou da logística de cada evento;</w:t>
      </w:r>
    </w:p>
    <w:p w14:paraId="2616AD7D">
      <w:pPr>
        <w:numPr>
          <w:ilvl w:val="0"/>
          <w:numId w:val="10"/>
        </w:numPr>
        <w:rPr>
          <w:color w:val="000000"/>
          <w:sz w:val="27"/>
          <w:szCs w:val="27"/>
        </w:rPr>
      </w:pPr>
      <w:r>
        <w:rPr>
          <w:color w:val="000000"/>
          <w:sz w:val="27"/>
          <w:szCs w:val="27"/>
        </w:rPr>
        <w:t>Possibilidade de utilização futura da ata para aquisição de kits de lanches em outros eventos de mesma natureza, desde que respeitados os limites e prazos legais;</w:t>
      </w:r>
    </w:p>
    <w:p w14:paraId="4F0A6C00">
      <w:pPr>
        <w:numPr>
          <w:ilvl w:val="0"/>
          <w:numId w:val="10"/>
        </w:numPr>
        <w:spacing w:after="240"/>
        <w:rPr>
          <w:color w:val="000000"/>
          <w:sz w:val="27"/>
          <w:szCs w:val="27"/>
        </w:rPr>
      </w:pPr>
      <w:r>
        <w:rPr>
          <w:color w:val="000000"/>
          <w:sz w:val="27"/>
          <w:szCs w:val="27"/>
        </w:rPr>
        <w:t>Evitar compras desnecessárias e o consequente desperdício de recursos públicos.</w:t>
      </w:r>
    </w:p>
    <w:p w14:paraId="5DDE22CD">
      <w:pPr>
        <w:spacing w:before="240" w:after="240"/>
        <w:jc w:val="both"/>
        <w:rPr>
          <w:color w:val="000000"/>
          <w:sz w:val="27"/>
          <w:szCs w:val="27"/>
        </w:rPr>
      </w:pPr>
      <w:r>
        <w:rPr>
          <w:color w:val="000000"/>
          <w:sz w:val="27"/>
          <w:szCs w:val="27"/>
        </w:rPr>
        <w:t>Assim, a contratação por Pregão Eletrônico na forma de SRP atende plenamente aos princípios da competitividade, economicidade, eficiência, publicidade e vantajosidade, sendo a modalidade mais indicada para garantir a aquisição eficiente, padronizada e segura dos kits de lanches, conforme as necessidades da Secretaria Municipal de Educação.</w:t>
      </w:r>
    </w:p>
    <w:p w14:paraId="2DE9F468">
      <w:pPr>
        <w:numPr>
          <w:ilvl w:val="0"/>
          <w:numId w:val="11"/>
        </w:numPr>
        <w:shd w:val="clear" w:color="auto" w:fill="BFBFBF"/>
        <w:spacing w:before="480" w:after="120"/>
        <w:jc w:val="both"/>
        <w:rPr>
          <w:color w:val="000000"/>
          <w:sz w:val="27"/>
          <w:szCs w:val="27"/>
        </w:rPr>
      </w:pPr>
      <w:r>
        <w:rPr>
          <w:b/>
          <w:bCs/>
          <w:color w:val="000000"/>
          <w:sz w:val="27"/>
          <w:szCs w:val="27"/>
        </w:rPr>
        <w:t>FUNDAMENTAÇÃO DA CONTRATAÇÃO (art. 6, XXIII, b, da Lei 14.133/2021) </w:t>
      </w:r>
    </w:p>
    <w:p w14:paraId="0351FCC5">
      <w:pPr>
        <w:spacing w:before="120" w:after="120"/>
        <w:jc w:val="both"/>
        <w:rPr>
          <w:color w:val="000000"/>
          <w:sz w:val="27"/>
          <w:szCs w:val="27"/>
        </w:rPr>
      </w:pPr>
      <w:r>
        <w:rPr>
          <w:i/>
          <w:iCs/>
          <w:color w:val="000000"/>
          <w:sz w:val="27"/>
          <w:szCs w:val="27"/>
        </w:rPr>
        <w:t>Estudo Técnico Preliminar, Termo de Referência </w:t>
      </w:r>
      <w:r>
        <w:rPr>
          <w:color w:val="000000"/>
          <w:sz w:val="27"/>
          <w:szCs w:val="27"/>
        </w:rPr>
        <w:t>(Conforme elementos da Lei 14.133/21), Constituição Federal de 1988, Lei de Diretrizes e Bases da Educação Nacional (LDB) - Lei nº 9.394/1996 e Decretos nº 40, 41, 45 e 46, de 15 de fevereiro de 2025, da Prefeitura Municipal de Valença.</w:t>
      </w:r>
    </w:p>
    <w:p w14:paraId="7B5AD3E0">
      <w:pPr>
        <w:numPr>
          <w:ilvl w:val="0"/>
          <w:numId w:val="12"/>
        </w:numPr>
        <w:shd w:val="clear" w:color="auto" w:fill="BFBFBF"/>
        <w:spacing w:before="480" w:after="120"/>
        <w:jc w:val="both"/>
        <w:rPr>
          <w:color w:val="000000"/>
          <w:sz w:val="27"/>
          <w:szCs w:val="27"/>
        </w:rPr>
      </w:pPr>
      <w:r>
        <w:rPr>
          <w:b/>
          <w:bCs/>
          <w:color w:val="000000"/>
          <w:sz w:val="27"/>
          <w:szCs w:val="27"/>
        </w:rPr>
        <w:t>DESCRIÇÃO DA SOLUÇÃO (art. 6, XXIII, c, da Lei 14.133/2021)</w:t>
      </w:r>
    </w:p>
    <w:p w14:paraId="667F2F10">
      <w:pPr>
        <w:spacing w:before="240" w:after="240"/>
        <w:jc w:val="both"/>
        <w:rPr>
          <w:color w:val="000000"/>
          <w:sz w:val="27"/>
          <w:szCs w:val="27"/>
        </w:rPr>
      </w:pPr>
      <w:r>
        <w:rPr>
          <w:color w:val="000000"/>
          <w:sz w:val="27"/>
          <w:szCs w:val="27"/>
        </w:rPr>
        <w:t>A solução consiste na contratação, por </w:t>
      </w:r>
      <w:r>
        <w:rPr>
          <w:b/>
          <w:bCs/>
          <w:color w:val="000000"/>
          <w:sz w:val="27"/>
          <w:szCs w:val="27"/>
        </w:rPr>
        <w:t>Pregão Eletrônico na modalidade Sistema de Registro de Preços (SRP)</w:t>
      </w:r>
      <w:r>
        <w:rPr>
          <w:color w:val="000000"/>
          <w:sz w:val="27"/>
          <w:szCs w:val="27"/>
        </w:rPr>
        <w:t>, de uma empresa especializada no fornecimento de</w:t>
      </w:r>
      <w:r>
        <w:rPr>
          <w:b/>
          <w:bCs/>
          <w:color w:val="000000"/>
          <w:sz w:val="27"/>
          <w:szCs w:val="27"/>
        </w:rPr>
        <w:t> kits de lanches prontos</w:t>
      </w:r>
      <w:r>
        <w:rPr>
          <w:color w:val="000000"/>
          <w:sz w:val="27"/>
          <w:szCs w:val="27"/>
        </w:rPr>
        <w:t>, embalados individualmente em </w:t>
      </w:r>
      <w:r>
        <w:rPr>
          <w:b/>
          <w:bCs/>
          <w:color w:val="000000"/>
          <w:sz w:val="27"/>
          <w:szCs w:val="27"/>
        </w:rPr>
        <w:t>sacos de papel kraft lacrados</w:t>
      </w:r>
      <w:r>
        <w:rPr>
          <w:color w:val="000000"/>
          <w:sz w:val="27"/>
          <w:szCs w:val="27"/>
        </w:rPr>
        <w:t>, contendo alimentos industrializados com</w:t>
      </w:r>
      <w:r>
        <w:rPr>
          <w:b/>
          <w:bCs/>
          <w:color w:val="000000"/>
          <w:sz w:val="27"/>
          <w:szCs w:val="27"/>
        </w:rPr>
        <w:t> validade mínima de 02 meses</w:t>
      </w:r>
      <w:r>
        <w:rPr>
          <w:color w:val="000000"/>
          <w:sz w:val="27"/>
          <w:szCs w:val="27"/>
        </w:rPr>
        <w:t>, tudo em conformidade com as normas sanitárias vigentes. </w:t>
      </w:r>
    </w:p>
    <w:p w14:paraId="383D5EF1">
      <w:pPr>
        <w:spacing w:before="240" w:after="240"/>
        <w:jc w:val="both"/>
        <w:rPr>
          <w:color w:val="000000"/>
          <w:sz w:val="27"/>
          <w:szCs w:val="27"/>
        </w:rPr>
      </w:pPr>
      <w:r>
        <w:rPr>
          <w:color w:val="000000"/>
          <w:sz w:val="27"/>
          <w:szCs w:val="27"/>
        </w:rPr>
        <w:t>Os kits serão entregues previamente na Secretaria Municipal de Educação, em datas definidas</w:t>
      </w:r>
      <w:r>
        <w:rPr>
          <w:b/>
          <w:bCs/>
          <w:color w:val="000000"/>
          <w:sz w:val="27"/>
          <w:szCs w:val="27"/>
        </w:rPr>
        <w:t> (03 dias antes do evento)</w:t>
      </w:r>
      <w:r>
        <w:rPr>
          <w:color w:val="000000"/>
          <w:sz w:val="27"/>
          <w:szCs w:val="27"/>
        </w:rPr>
        <w:t>, organizados em </w:t>
      </w:r>
      <w:r>
        <w:rPr>
          <w:b/>
          <w:bCs/>
          <w:color w:val="000000"/>
          <w:sz w:val="27"/>
          <w:szCs w:val="27"/>
        </w:rPr>
        <w:t>caixas com no máximo 50 unidades </w:t>
      </w:r>
      <w:r>
        <w:rPr>
          <w:color w:val="000000"/>
          <w:sz w:val="27"/>
          <w:szCs w:val="27"/>
        </w:rPr>
        <w:t>para facilitar a conferência, acompanhados de planilhas descritivas, garantindo qualidade, padronização, segurança alimentar e logística prática para distribuição aos alunos participantes dos Desfiles Cívicos.</w:t>
      </w:r>
    </w:p>
    <w:p w14:paraId="25700D22">
      <w:pPr>
        <w:spacing w:before="240" w:after="240"/>
        <w:jc w:val="both"/>
        <w:rPr>
          <w:color w:val="000000"/>
          <w:sz w:val="27"/>
          <w:szCs w:val="27"/>
        </w:rPr>
      </w:pPr>
      <w:r>
        <w:rPr>
          <w:color w:val="000000"/>
          <w:sz w:val="27"/>
          <w:szCs w:val="27"/>
        </w:rPr>
        <w:t>Justificativa da Escolha da Solução </w:t>
      </w:r>
    </w:p>
    <w:p w14:paraId="56B49310">
      <w:pPr>
        <w:spacing w:before="240" w:after="240"/>
        <w:jc w:val="both"/>
        <w:rPr>
          <w:color w:val="000000"/>
          <w:sz w:val="27"/>
          <w:szCs w:val="27"/>
        </w:rPr>
      </w:pPr>
      <w:r>
        <w:rPr>
          <w:color w:val="000000"/>
          <w:sz w:val="27"/>
          <w:szCs w:val="27"/>
        </w:rPr>
        <w:t>Para atender à necessidade de fornecimento de kits de lanches destinados aos alunos participantes dos Desfiles Cívicos de 07 de Setembro de 2026, foram consideradas três alternativas viáveis, analisando suas vantagens e desvantagens:</w:t>
      </w:r>
    </w:p>
    <w:p w14:paraId="687AB21D">
      <w:pPr>
        <w:spacing w:before="240" w:after="240"/>
        <w:jc w:val="both"/>
        <w:rPr>
          <w:color w:val="000000"/>
          <w:sz w:val="27"/>
          <w:szCs w:val="27"/>
        </w:rPr>
      </w:pPr>
      <w:r>
        <w:rPr>
          <w:rFonts w:ascii="Segoe UI Symbol" w:hAnsi="Segoe UI Symbol" w:cs="Segoe UI Symbol"/>
          <w:b/>
          <w:bCs/>
          <w:color w:val="000000"/>
          <w:sz w:val="27"/>
          <w:szCs w:val="27"/>
        </w:rPr>
        <w:t>➤</w:t>
      </w:r>
      <w:r>
        <w:rPr>
          <w:b/>
          <w:bCs/>
          <w:color w:val="000000"/>
          <w:sz w:val="27"/>
          <w:szCs w:val="27"/>
        </w:rPr>
        <w:t xml:space="preserve"> Solução 1: Pregão Eletrônico – Sistema de Registro de Preços (SRP)</w:t>
      </w:r>
    </w:p>
    <w:p w14:paraId="460FF28E">
      <w:pPr>
        <w:spacing w:before="240" w:after="240"/>
        <w:jc w:val="both"/>
        <w:rPr>
          <w:color w:val="000000"/>
          <w:sz w:val="27"/>
          <w:szCs w:val="27"/>
        </w:rPr>
      </w:pPr>
      <w:r>
        <w:rPr>
          <w:color w:val="000000"/>
          <w:sz w:val="27"/>
          <w:szCs w:val="27"/>
        </w:rPr>
        <w:t>Vantagens:</w:t>
      </w:r>
    </w:p>
    <w:p w14:paraId="6CD8FA44">
      <w:pPr>
        <w:numPr>
          <w:ilvl w:val="0"/>
          <w:numId w:val="13"/>
        </w:numPr>
        <w:spacing w:before="240"/>
        <w:jc w:val="both"/>
        <w:rPr>
          <w:color w:val="000000"/>
          <w:sz w:val="27"/>
          <w:szCs w:val="27"/>
        </w:rPr>
      </w:pPr>
      <w:r>
        <w:rPr>
          <w:color w:val="000000"/>
          <w:sz w:val="27"/>
          <w:szCs w:val="27"/>
        </w:rPr>
        <w:t>Ampla competitividade, garantindo a participação de diversos fornecedores, o que pode resultar em melhores preços e condições mais vantajosas para a Administração.</w:t>
      </w:r>
    </w:p>
    <w:p w14:paraId="5B05E3E2">
      <w:pPr>
        <w:numPr>
          <w:ilvl w:val="0"/>
          <w:numId w:val="13"/>
        </w:numPr>
        <w:jc w:val="both"/>
        <w:rPr>
          <w:color w:val="000000"/>
          <w:sz w:val="27"/>
          <w:szCs w:val="27"/>
        </w:rPr>
      </w:pPr>
      <w:r>
        <w:rPr>
          <w:color w:val="000000"/>
          <w:sz w:val="27"/>
          <w:szCs w:val="27"/>
        </w:rPr>
        <w:t>Flexibilidade de uso, permitindo contratações futuras dentro da validade da ata, conforme a demanda efetiva.</w:t>
      </w:r>
    </w:p>
    <w:p w14:paraId="0C044593">
      <w:pPr>
        <w:numPr>
          <w:ilvl w:val="0"/>
          <w:numId w:val="13"/>
        </w:numPr>
        <w:jc w:val="both"/>
        <w:rPr>
          <w:color w:val="000000"/>
          <w:sz w:val="27"/>
          <w:szCs w:val="27"/>
        </w:rPr>
      </w:pPr>
      <w:r>
        <w:rPr>
          <w:color w:val="000000"/>
          <w:sz w:val="27"/>
          <w:szCs w:val="27"/>
        </w:rPr>
        <w:t>Maior planejamento e organização, já que o objeto é detalhado em edital e Termo de Referência, evitando dúvidas e improvisações.</w:t>
      </w:r>
      <w:r>
        <w:rPr>
          <w:color w:val="000000"/>
          <w:sz w:val="27"/>
          <w:szCs w:val="27"/>
        </w:rPr>
        <w:br w:type="textWrapping"/>
      </w:r>
      <w:r>
        <w:rPr>
          <w:color w:val="000000"/>
          <w:sz w:val="27"/>
          <w:szCs w:val="27"/>
        </w:rPr>
        <w:br w:type="textWrapping"/>
      </w:r>
      <w:r>
        <w:rPr>
          <w:color w:val="000000"/>
          <w:sz w:val="27"/>
          <w:szCs w:val="27"/>
        </w:rPr>
        <w:t> </w:t>
      </w:r>
    </w:p>
    <w:p w14:paraId="1AEDBE2B">
      <w:pPr>
        <w:numPr>
          <w:ilvl w:val="0"/>
          <w:numId w:val="13"/>
        </w:numPr>
        <w:jc w:val="both"/>
        <w:rPr>
          <w:color w:val="000000"/>
          <w:sz w:val="27"/>
          <w:szCs w:val="27"/>
        </w:rPr>
      </w:pPr>
      <w:r>
        <w:rPr>
          <w:color w:val="000000"/>
          <w:sz w:val="27"/>
          <w:szCs w:val="27"/>
        </w:rPr>
        <w:t>Segurança jurídica, com observância de todos os princípios da legalidade, transparência, isonomia e eficiência.</w:t>
      </w:r>
    </w:p>
    <w:p w14:paraId="2DA54014">
      <w:pPr>
        <w:numPr>
          <w:ilvl w:val="0"/>
          <w:numId w:val="13"/>
        </w:numPr>
        <w:spacing w:after="240"/>
        <w:jc w:val="both"/>
        <w:rPr>
          <w:color w:val="000000"/>
          <w:sz w:val="27"/>
          <w:szCs w:val="27"/>
        </w:rPr>
      </w:pPr>
      <w:r>
        <w:rPr>
          <w:color w:val="000000"/>
          <w:sz w:val="27"/>
          <w:szCs w:val="27"/>
        </w:rPr>
        <w:t>Padronização do fornecimento, pois a empresa vencedora se compromete a entregar kits prontos, dentro dos requisitos sanitários e de qualidade estabelecidos.</w:t>
      </w:r>
    </w:p>
    <w:p w14:paraId="37980B8B">
      <w:pPr>
        <w:spacing w:before="240" w:after="240"/>
        <w:jc w:val="both"/>
        <w:rPr>
          <w:color w:val="000000"/>
          <w:sz w:val="27"/>
          <w:szCs w:val="27"/>
        </w:rPr>
      </w:pPr>
      <w:r>
        <w:rPr>
          <w:color w:val="000000"/>
          <w:sz w:val="27"/>
          <w:szCs w:val="27"/>
        </w:rPr>
        <w:t>Desvantagens:</w:t>
      </w:r>
    </w:p>
    <w:p w14:paraId="5EFFA9E3">
      <w:pPr>
        <w:numPr>
          <w:ilvl w:val="0"/>
          <w:numId w:val="14"/>
        </w:numPr>
        <w:spacing w:before="240" w:after="240"/>
        <w:rPr>
          <w:color w:val="000000"/>
          <w:sz w:val="27"/>
          <w:szCs w:val="27"/>
        </w:rPr>
      </w:pPr>
      <w:r>
        <w:rPr>
          <w:color w:val="000000"/>
          <w:sz w:val="27"/>
          <w:szCs w:val="27"/>
        </w:rPr>
        <w:t>Prazos um pouco mais longos, em função dos trâmites necessários para a realização do procedimento licitatório.</w:t>
      </w:r>
    </w:p>
    <w:p w14:paraId="112553DE">
      <w:pPr>
        <w:spacing w:before="240" w:after="240"/>
        <w:jc w:val="both"/>
        <w:rPr>
          <w:color w:val="000000"/>
          <w:sz w:val="27"/>
          <w:szCs w:val="27"/>
        </w:rPr>
      </w:pPr>
      <w:r>
        <w:rPr>
          <w:rFonts w:ascii="Segoe UI Symbol" w:hAnsi="Segoe UI Symbol" w:cs="Segoe UI Symbol"/>
          <w:b/>
          <w:bCs/>
          <w:color w:val="000000"/>
          <w:sz w:val="27"/>
          <w:szCs w:val="27"/>
        </w:rPr>
        <w:t>➤</w:t>
      </w:r>
      <w:r>
        <w:rPr>
          <w:b/>
          <w:bCs/>
          <w:color w:val="000000"/>
          <w:sz w:val="27"/>
          <w:szCs w:val="27"/>
        </w:rPr>
        <w:t xml:space="preserve"> Solução 2: Dispensa de Licitação</w:t>
      </w:r>
    </w:p>
    <w:p w14:paraId="600F1C6D">
      <w:pPr>
        <w:spacing w:before="240" w:after="240"/>
        <w:jc w:val="both"/>
        <w:rPr>
          <w:color w:val="000000"/>
          <w:sz w:val="27"/>
          <w:szCs w:val="27"/>
        </w:rPr>
      </w:pPr>
      <w:r>
        <w:rPr>
          <w:color w:val="000000"/>
          <w:sz w:val="27"/>
          <w:szCs w:val="27"/>
        </w:rPr>
        <w:t>Vantagens:</w:t>
      </w:r>
    </w:p>
    <w:p w14:paraId="3EC264F4">
      <w:pPr>
        <w:numPr>
          <w:ilvl w:val="0"/>
          <w:numId w:val="15"/>
        </w:numPr>
        <w:spacing w:before="240"/>
        <w:rPr>
          <w:color w:val="000000"/>
          <w:sz w:val="27"/>
          <w:szCs w:val="27"/>
        </w:rPr>
      </w:pPr>
      <w:r>
        <w:rPr>
          <w:color w:val="000000"/>
          <w:sz w:val="27"/>
          <w:szCs w:val="27"/>
        </w:rPr>
        <w:t>Rapidez no processo, pois dispensa alguns trâmites formais do pregão.</w:t>
      </w:r>
    </w:p>
    <w:p w14:paraId="42A7B8EF">
      <w:pPr>
        <w:numPr>
          <w:ilvl w:val="0"/>
          <w:numId w:val="15"/>
        </w:numPr>
        <w:spacing w:after="240"/>
        <w:rPr>
          <w:color w:val="000000"/>
          <w:sz w:val="27"/>
          <w:szCs w:val="27"/>
        </w:rPr>
      </w:pPr>
      <w:r>
        <w:rPr>
          <w:color w:val="000000"/>
          <w:sz w:val="27"/>
          <w:szCs w:val="27"/>
        </w:rPr>
        <w:t>Aplicável em situações emergenciais, quando devidamente caracterizadas.</w:t>
      </w:r>
    </w:p>
    <w:p w14:paraId="376E8FED">
      <w:pPr>
        <w:spacing w:before="240" w:after="240"/>
        <w:jc w:val="both"/>
        <w:rPr>
          <w:color w:val="000000"/>
          <w:sz w:val="27"/>
          <w:szCs w:val="27"/>
        </w:rPr>
      </w:pPr>
      <w:r>
        <w:rPr>
          <w:color w:val="000000"/>
          <w:sz w:val="27"/>
          <w:szCs w:val="27"/>
        </w:rPr>
        <w:t>Desvantagens:</w:t>
      </w:r>
    </w:p>
    <w:p w14:paraId="27944E8A">
      <w:pPr>
        <w:numPr>
          <w:ilvl w:val="0"/>
          <w:numId w:val="16"/>
        </w:numPr>
        <w:spacing w:before="240"/>
        <w:jc w:val="both"/>
        <w:rPr>
          <w:color w:val="000000"/>
          <w:sz w:val="27"/>
          <w:szCs w:val="27"/>
        </w:rPr>
      </w:pPr>
      <w:r>
        <w:rPr>
          <w:color w:val="000000"/>
          <w:sz w:val="27"/>
          <w:szCs w:val="27"/>
        </w:rPr>
        <w:t>Menor competitividade, o que pode resultar em preços menos vantajosos para o erário.</w:t>
      </w:r>
    </w:p>
    <w:p w14:paraId="7F95DCFF">
      <w:pPr>
        <w:numPr>
          <w:ilvl w:val="0"/>
          <w:numId w:val="16"/>
        </w:numPr>
        <w:jc w:val="both"/>
        <w:rPr>
          <w:color w:val="000000"/>
          <w:sz w:val="27"/>
          <w:szCs w:val="27"/>
        </w:rPr>
      </w:pPr>
      <w:r>
        <w:rPr>
          <w:color w:val="000000"/>
          <w:sz w:val="27"/>
          <w:szCs w:val="27"/>
        </w:rPr>
        <w:t>Restrita a hipóteses legais, como valores limitados ou situações excepcionais, não se aplicando a uma demanda previsível e de valor estimado superior ao limite legal para dispensa.</w:t>
      </w:r>
    </w:p>
    <w:p w14:paraId="334C0CD0">
      <w:pPr>
        <w:numPr>
          <w:ilvl w:val="0"/>
          <w:numId w:val="16"/>
        </w:numPr>
        <w:jc w:val="both"/>
        <w:rPr>
          <w:color w:val="000000"/>
          <w:sz w:val="27"/>
          <w:szCs w:val="27"/>
        </w:rPr>
      </w:pPr>
      <w:r>
        <w:rPr>
          <w:color w:val="000000"/>
          <w:sz w:val="27"/>
          <w:szCs w:val="27"/>
        </w:rPr>
        <w:t>Maior risco de questionamentos, inclusive de órgãos de controle, por não adotar o rito competitivo quando cabível.</w:t>
      </w:r>
    </w:p>
    <w:p w14:paraId="079449E1">
      <w:pPr>
        <w:numPr>
          <w:ilvl w:val="0"/>
          <w:numId w:val="16"/>
        </w:numPr>
        <w:spacing w:after="240"/>
        <w:jc w:val="both"/>
        <w:rPr>
          <w:color w:val="000000"/>
          <w:sz w:val="27"/>
          <w:szCs w:val="27"/>
        </w:rPr>
      </w:pPr>
      <w:r>
        <w:rPr>
          <w:color w:val="000000"/>
          <w:sz w:val="27"/>
          <w:szCs w:val="27"/>
        </w:rPr>
        <w:t>Dificuldade de registro de preços, pois a dispensa não gera ata de registro de preços para uso futuro.</w:t>
      </w:r>
    </w:p>
    <w:p w14:paraId="5EE2E6B2">
      <w:pPr>
        <w:spacing w:before="240" w:after="240"/>
        <w:jc w:val="both"/>
        <w:rPr>
          <w:color w:val="000000"/>
          <w:sz w:val="27"/>
          <w:szCs w:val="27"/>
        </w:rPr>
      </w:pPr>
      <w:r>
        <w:rPr>
          <w:rFonts w:ascii="Segoe UI Symbol" w:hAnsi="Segoe UI Symbol" w:cs="Segoe UI Symbol"/>
          <w:b/>
          <w:bCs/>
          <w:color w:val="000000"/>
          <w:sz w:val="27"/>
          <w:szCs w:val="27"/>
        </w:rPr>
        <w:t>➤</w:t>
      </w:r>
      <w:r>
        <w:rPr>
          <w:b/>
          <w:bCs/>
          <w:color w:val="000000"/>
          <w:sz w:val="27"/>
          <w:szCs w:val="27"/>
        </w:rPr>
        <w:t xml:space="preserve"> Solução 3: Concessão de cartão ou auxílio financeiro para os responsáveis adquirirem o lanche</w:t>
      </w:r>
    </w:p>
    <w:p w14:paraId="41B93014">
      <w:pPr>
        <w:spacing w:before="240" w:after="240"/>
        <w:jc w:val="both"/>
        <w:rPr>
          <w:color w:val="000000"/>
          <w:sz w:val="27"/>
          <w:szCs w:val="27"/>
        </w:rPr>
      </w:pPr>
      <w:r>
        <w:rPr>
          <w:color w:val="000000"/>
          <w:sz w:val="27"/>
          <w:szCs w:val="27"/>
        </w:rPr>
        <w:t>Vantagens:</w:t>
      </w:r>
    </w:p>
    <w:p w14:paraId="78763AF1">
      <w:pPr>
        <w:numPr>
          <w:ilvl w:val="0"/>
          <w:numId w:val="17"/>
        </w:numPr>
        <w:spacing w:before="240"/>
        <w:jc w:val="both"/>
        <w:rPr>
          <w:color w:val="000000"/>
          <w:sz w:val="27"/>
          <w:szCs w:val="27"/>
        </w:rPr>
      </w:pPr>
      <w:r>
        <w:rPr>
          <w:color w:val="000000"/>
          <w:sz w:val="27"/>
          <w:szCs w:val="27"/>
        </w:rPr>
        <w:t>Maior autonomia para as famílias, que poderiam escolher onde comprar o lanche.</w:t>
      </w:r>
    </w:p>
    <w:p w14:paraId="6AC01AEC">
      <w:pPr>
        <w:numPr>
          <w:ilvl w:val="0"/>
          <w:numId w:val="17"/>
        </w:numPr>
        <w:spacing w:after="240"/>
        <w:jc w:val="both"/>
        <w:rPr>
          <w:color w:val="000000"/>
          <w:sz w:val="27"/>
          <w:szCs w:val="27"/>
        </w:rPr>
      </w:pPr>
      <w:r>
        <w:rPr>
          <w:color w:val="000000"/>
          <w:sz w:val="27"/>
          <w:szCs w:val="27"/>
        </w:rPr>
        <w:t>Descentralização, evitando logística de transporte e distribuição pela Administração.</w:t>
      </w:r>
    </w:p>
    <w:p w14:paraId="66D5B4D0">
      <w:pPr>
        <w:spacing w:before="240" w:after="240"/>
        <w:jc w:val="both"/>
        <w:rPr>
          <w:color w:val="000000"/>
          <w:sz w:val="27"/>
          <w:szCs w:val="27"/>
        </w:rPr>
      </w:pPr>
      <w:r>
        <w:rPr>
          <w:color w:val="000000"/>
          <w:sz w:val="27"/>
          <w:szCs w:val="27"/>
        </w:rPr>
        <w:t>Desvantagens:</w:t>
      </w:r>
    </w:p>
    <w:p w14:paraId="2F866AAD">
      <w:pPr>
        <w:numPr>
          <w:ilvl w:val="0"/>
          <w:numId w:val="18"/>
        </w:numPr>
        <w:spacing w:before="240"/>
        <w:jc w:val="both"/>
        <w:rPr>
          <w:color w:val="000000"/>
          <w:sz w:val="27"/>
          <w:szCs w:val="27"/>
        </w:rPr>
      </w:pPr>
      <w:r>
        <w:rPr>
          <w:color w:val="000000"/>
          <w:sz w:val="27"/>
          <w:szCs w:val="27"/>
        </w:rPr>
        <w:t>Impossibilidade legal e operacional, uma vez que não há previsão normativa para transferência direta de recursos com essa finalidade específica, salvo programas já regulamentados como alimentação escolar (PNAE), com diretrizes próprias.</w:t>
      </w:r>
    </w:p>
    <w:p w14:paraId="52B743E4">
      <w:pPr>
        <w:numPr>
          <w:ilvl w:val="0"/>
          <w:numId w:val="18"/>
        </w:numPr>
        <w:jc w:val="both"/>
        <w:rPr>
          <w:color w:val="000000"/>
          <w:sz w:val="27"/>
          <w:szCs w:val="27"/>
        </w:rPr>
      </w:pPr>
      <w:r>
        <w:rPr>
          <w:color w:val="000000"/>
          <w:sz w:val="27"/>
          <w:szCs w:val="27"/>
        </w:rPr>
        <w:t>Risco de uso inadequado dos recursos, não garantindo que o valor seja efetivamente utilizado para a compra de um lanche nutritivo e seguro.</w:t>
      </w:r>
    </w:p>
    <w:p w14:paraId="5BB461E3">
      <w:pPr>
        <w:numPr>
          <w:ilvl w:val="0"/>
          <w:numId w:val="18"/>
        </w:numPr>
        <w:jc w:val="both"/>
        <w:rPr>
          <w:color w:val="000000"/>
          <w:sz w:val="27"/>
          <w:szCs w:val="27"/>
        </w:rPr>
      </w:pPr>
      <w:r>
        <w:rPr>
          <w:color w:val="000000"/>
          <w:sz w:val="27"/>
          <w:szCs w:val="27"/>
        </w:rPr>
        <w:t>Ausência de padronização, podendo gerar desigualdades entre alunos.</w:t>
      </w:r>
    </w:p>
    <w:p w14:paraId="321C160F">
      <w:pPr>
        <w:numPr>
          <w:ilvl w:val="0"/>
          <w:numId w:val="18"/>
        </w:numPr>
        <w:spacing w:after="240"/>
        <w:jc w:val="both"/>
        <w:rPr>
          <w:color w:val="000000"/>
          <w:sz w:val="27"/>
          <w:szCs w:val="27"/>
        </w:rPr>
      </w:pPr>
      <w:r>
        <w:rPr>
          <w:color w:val="000000"/>
          <w:sz w:val="27"/>
          <w:szCs w:val="27"/>
        </w:rPr>
        <w:t>Maior dificuldade de fiscalização, controle e prestação de contas.</w:t>
      </w:r>
      <w:r>
        <w:rPr>
          <w:color w:val="000000"/>
          <w:sz w:val="27"/>
          <w:szCs w:val="27"/>
        </w:rPr>
        <w:br w:type="textWrapping"/>
      </w:r>
      <w:r>
        <w:rPr>
          <w:color w:val="000000"/>
          <w:sz w:val="27"/>
          <w:szCs w:val="27"/>
        </w:rPr>
        <w:br w:type="textWrapping"/>
      </w:r>
      <w:r>
        <w:rPr>
          <w:color w:val="000000"/>
          <w:sz w:val="27"/>
          <w:szCs w:val="27"/>
        </w:rPr>
        <w:t> </w:t>
      </w:r>
    </w:p>
    <w:p w14:paraId="7A871A0F">
      <w:pPr>
        <w:spacing w:before="240" w:after="240"/>
        <w:jc w:val="both"/>
        <w:rPr>
          <w:color w:val="000000"/>
          <w:sz w:val="27"/>
          <w:szCs w:val="27"/>
        </w:rPr>
      </w:pPr>
      <w:r>
        <w:rPr>
          <w:rFonts w:ascii="Segoe UI Symbol" w:hAnsi="Segoe UI Symbol" w:cs="Segoe UI Symbol"/>
          <w:b/>
          <w:bCs/>
          <w:color w:val="000000"/>
          <w:sz w:val="27"/>
          <w:szCs w:val="27"/>
        </w:rPr>
        <w:t>➤</w:t>
      </w:r>
      <w:r>
        <w:rPr>
          <w:b/>
          <w:bCs/>
          <w:color w:val="000000"/>
          <w:sz w:val="27"/>
          <w:szCs w:val="27"/>
        </w:rPr>
        <w:t xml:space="preserve"> Solução escolhida: Pregão Eletrônico – Sistema de Registro de Preços (SRP)</w:t>
      </w:r>
    </w:p>
    <w:p w14:paraId="2BFF9EC5">
      <w:pPr>
        <w:spacing w:before="240" w:after="240"/>
        <w:jc w:val="both"/>
        <w:rPr>
          <w:color w:val="000000"/>
          <w:sz w:val="27"/>
          <w:szCs w:val="27"/>
        </w:rPr>
      </w:pPr>
      <w:r>
        <w:rPr>
          <w:b/>
          <w:bCs/>
          <w:color w:val="000000"/>
          <w:sz w:val="27"/>
          <w:szCs w:val="27"/>
        </w:rPr>
        <w:t>Diante da análise comparativa, a Solução 1 – Pregão Eletrônico, no sistema de Registro de Preços,</w:t>
      </w:r>
      <w:r>
        <w:rPr>
          <w:color w:val="000000"/>
          <w:sz w:val="27"/>
          <w:szCs w:val="27"/>
        </w:rPr>
        <w:t> mostra-se a mais adequada, eficiente e vantajosa, por garantir ampla competitividade, preços mais favoráveis, padronização da qualidade dos kits de lanches, segurança alimentar e jurídica, além de possibilitar aquisições futuras dentro da vigência da ata.</w:t>
      </w:r>
    </w:p>
    <w:p w14:paraId="087AC602">
      <w:pPr>
        <w:spacing w:before="240" w:after="240"/>
        <w:jc w:val="both"/>
        <w:rPr>
          <w:color w:val="000000"/>
          <w:sz w:val="27"/>
          <w:szCs w:val="27"/>
        </w:rPr>
      </w:pPr>
      <w:r>
        <w:rPr>
          <w:color w:val="000000"/>
          <w:sz w:val="27"/>
          <w:szCs w:val="27"/>
        </w:rPr>
        <w:t>Essa forma de contratação permite à Secretaria Municipal de Educação atender a uma demanda previsível e periódica, observando os princípios constitucionais da legalidade, impessoalidade, moralidade, publicidade, eficiência e economicidade, além de estar em consonância com a Lei Federal nº 14.133/2021 (Nova Lei de Licitações e Contratos Administrativos) e demais normativos pertinentes.</w:t>
      </w:r>
    </w:p>
    <w:p w14:paraId="690AF76B">
      <w:pPr>
        <w:ind w:left="60" w:right="60"/>
        <w:rPr>
          <w:color w:val="000000"/>
          <w:sz w:val="22"/>
          <w:szCs w:val="22"/>
        </w:rPr>
      </w:pPr>
      <w:r>
        <w:rPr>
          <w:b/>
          <w:bCs/>
          <w:color w:val="000000"/>
          <w:sz w:val="22"/>
          <w:szCs w:val="22"/>
        </w:rPr>
        <w:t>Aquisição em Lote Único</w:t>
      </w:r>
    </w:p>
    <w:p w14:paraId="64C2A2A7">
      <w:pPr>
        <w:spacing w:before="240" w:after="240"/>
        <w:jc w:val="both"/>
        <w:rPr>
          <w:color w:val="000000"/>
          <w:sz w:val="27"/>
          <w:szCs w:val="27"/>
        </w:rPr>
      </w:pPr>
      <w:r>
        <w:rPr>
          <w:color w:val="000000"/>
          <w:sz w:val="27"/>
          <w:szCs w:val="27"/>
        </w:rPr>
        <w:t>A contratação será realizada em lote único, considerando que o objeto — fornecimento de kits de lanches prontos — é indivisível em sua natureza, pois cada kit deve conter todos os itens especificados, embalados de forma padronizada, pronta para consumo e entrega.</w:t>
      </w:r>
    </w:p>
    <w:p w14:paraId="19E6D842">
      <w:pPr>
        <w:spacing w:before="240" w:after="240"/>
        <w:jc w:val="both"/>
        <w:rPr>
          <w:color w:val="000000"/>
          <w:sz w:val="27"/>
          <w:szCs w:val="27"/>
        </w:rPr>
      </w:pPr>
      <w:r>
        <w:rPr>
          <w:color w:val="000000"/>
          <w:sz w:val="27"/>
          <w:szCs w:val="27"/>
        </w:rPr>
        <w:t>A fragmentação do objeto em lotes separados para cada item (alimentos e embalagens) exigiria montagem manual pela Administração, gerando riscos operacionais, maior complexidade logística, perda de padronização e elevação de custos indiretos.</w:t>
      </w:r>
    </w:p>
    <w:p w14:paraId="48030B8E">
      <w:pPr>
        <w:spacing w:before="240" w:after="240"/>
        <w:jc w:val="both"/>
        <w:rPr>
          <w:color w:val="000000"/>
          <w:sz w:val="27"/>
          <w:szCs w:val="27"/>
        </w:rPr>
      </w:pPr>
      <w:r>
        <w:rPr>
          <w:color w:val="000000"/>
          <w:sz w:val="27"/>
          <w:szCs w:val="27"/>
        </w:rPr>
        <w:t>Assim, a aquisição em lote único é mais eficiente, segura e vantajosa, atendendo ao interesse público, em conformidade com o art. 23, § 1º da Lei nº 14.133/2021.</w:t>
      </w:r>
    </w:p>
    <w:p w14:paraId="37DF2D8A">
      <w:pPr>
        <w:numPr>
          <w:ilvl w:val="0"/>
          <w:numId w:val="19"/>
        </w:numPr>
        <w:shd w:val="clear" w:color="auto" w:fill="BFBFBF"/>
        <w:spacing w:before="480" w:after="120"/>
        <w:jc w:val="both"/>
        <w:rPr>
          <w:color w:val="000000"/>
          <w:sz w:val="27"/>
          <w:szCs w:val="27"/>
        </w:rPr>
      </w:pPr>
      <w:r>
        <w:rPr>
          <w:b/>
          <w:bCs/>
          <w:color w:val="000000"/>
          <w:sz w:val="27"/>
          <w:szCs w:val="27"/>
        </w:rPr>
        <w:t>REQUISITOS DA CONTRATAÇÃO (art. 6, XXIII, d, da Lei 14.133/2021)</w:t>
      </w:r>
    </w:p>
    <w:p w14:paraId="07E2D0A4">
      <w:pPr>
        <w:spacing w:before="240" w:after="240"/>
        <w:jc w:val="both"/>
        <w:rPr>
          <w:color w:val="000000"/>
          <w:sz w:val="27"/>
          <w:szCs w:val="27"/>
        </w:rPr>
      </w:pPr>
      <w:r>
        <w:rPr>
          <w:color w:val="000000"/>
          <w:sz w:val="27"/>
          <w:szCs w:val="27"/>
        </w:rPr>
        <w:t>6. Habilitação (art. 62 ao 70, Lei nº 14.133/2021)</w:t>
      </w:r>
    </w:p>
    <w:p w14:paraId="236ADE53">
      <w:pPr>
        <w:jc w:val="both"/>
        <w:rPr>
          <w:color w:val="000000"/>
          <w:sz w:val="27"/>
          <w:szCs w:val="27"/>
        </w:rPr>
      </w:pPr>
      <w:r>
        <w:rPr>
          <w:color w:val="000000"/>
          <w:sz w:val="27"/>
          <w:szCs w:val="27"/>
        </w:rPr>
        <w:t>6.1.      Habilitação Jurídica</w:t>
      </w:r>
    </w:p>
    <w:p w14:paraId="55DFD936">
      <w:pPr>
        <w:spacing w:before="240" w:after="240"/>
        <w:jc w:val="both"/>
        <w:rPr>
          <w:color w:val="000000"/>
          <w:sz w:val="27"/>
          <w:szCs w:val="27"/>
        </w:rPr>
      </w:pPr>
      <w:r>
        <w:rPr>
          <w:color w:val="000000"/>
          <w:sz w:val="27"/>
          <w:szCs w:val="27"/>
        </w:rPr>
        <w:t>6.2.      Habilitação Técnica</w:t>
      </w:r>
    </w:p>
    <w:p w14:paraId="079CDC44">
      <w:pPr>
        <w:spacing w:before="240" w:after="240"/>
        <w:jc w:val="both"/>
        <w:rPr>
          <w:color w:val="000000"/>
          <w:sz w:val="27"/>
          <w:szCs w:val="27"/>
        </w:rPr>
      </w:pPr>
      <w:r>
        <w:rPr>
          <w:color w:val="000000"/>
          <w:sz w:val="27"/>
          <w:szCs w:val="27"/>
        </w:rPr>
        <w:t> 6.3.      Fiscal, social e trabalhista;</w:t>
      </w:r>
    </w:p>
    <w:p w14:paraId="27BAC28B">
      <w:pPr>
        <w:spacing w:before="240"/>
        <w:jc w:val="both"/>
        <w:rPr>
          <w:color w:val="000000"/>
          <w:sz w:val="27"/>
          <w:szCs w:val="27"/>
        </w:rPr>
      </w:pPr>
      <w:r>
        <w:rPr>
          <w:color w:val="000000"/>
          <w:sz w:val="27"/>
          <w:szCs w:val="27"/>
        </w:rPr>
        <w:t> 6.4.      Qualificação econômico-financeira</w:t>
      </w:r>
    </w:p>
    <w:p w14:paraId="42C61DEC">
      <w:pPr>
        <w:jc w:val="both"/>
        <w:rPr>
          <w:color w:val="000000"/>
          <w:sz w:val="27"/>
          <w:szCs w:val="27"/>
        </w:rPr>
      </w:pPr>
      <w:r>
        <w:rPr>
          <w:color w:val="000000"/>
          <w:sz w:val="27"/>
          <w:szCs w:val="27"/>
        </w:rPr>
        <w:t>-Qualificação Técnica (conforme art. 67, Lei 14.133/2021): Não será exigido.</w:t>
      </w:r>
    </w:p>
    <w:p w14:paraId="4576AEE4">
      <w:pPr>
        <w:spacing w:before="120" w:after="120"/>
        <w:jc w:val="both"/>
        <w:rPr>
          <w:color w:val="000000"/>
          <w:sz w:val="27"/>
          <w:szCs w:val="27"/>
        </w:rPr>
      </w:pPr>
      <w:r>
        <w:rPr>
          <w:color w:val="000000"/>
          <w:sz w:val="27"/>
          <w:szCs w:val="27"/>
        </w:rPr>
        <w:t>-Vistoria Prévia (observado os §§§ 2º, 3º e 4º do art. 63, Lei 14.133/2021): Não será necessária a vistoria prévia.</w:t>
      </w:r>
    </w:p>
    <w:p w14:paraId="75203798">
      <w:pPr>
        <w:spacing w:before="120" w:after="120"/>
        <w:jc w:val="both"/>
        <w:rPr>
          <w:color w:val="000000"/>
          <w:sz w:val="27"/>
          <w:szCs w:val="27"/>
        </w:rPr>
      </w:pPr>
      <w:r>
        <w:rPr>
          <w:color w:val="000000"/>
          <w:sz w:val="27"/>
          <w:szCs w:val="27"/>
        </w:rPr>
        <w:t>-Habilitação Jurídica (art. 62 ao 70, Lei nº 14.133/2021):  Habilitação Técnica Fiscal, social e trabalhista; Qualificação econômico-financeira.</w:t>
      </w:r>
    </w:p>
    <w:p w14:paraId="7001A918">
      <w:pPr>
        <w:spacing w:before="240" w:after="240"/>
        <w:jc w:val="both"/>
        <w:rPr>
          <w:color w:val="000000"/>
          <w:sz w:val="27"/>
          <w:szCs w:val="27"/>
        </w:rPr>
      </w:pPr>
      <w:r>
        <w:rPr>
          <w:b/>
          <w:bCs/>
          <w:color w:val="000000"/>
          <w:sz w:val="27"/>
          <w:szCs w:val="27"/>
        </w:rPr>
        <w:t>Amostras:</w:t>
      </w:r>
      <w:r>
        <w:rPr>
          <w:color w:val="000000"/>
          <w:sz w:val="27"/>
          <w:szCs w:val="27"/>
        </w:rPr>
        <w:t> A empresa provisoriamente vencedora, classificada em 1º lugar, deverá encaminhar, no prazo máximo de 01 (um) dia útil após o encerramento do certame, com a intenção de garantir a qualidade e a conformidade dos itens a serem fornecidos, amostra do kit de lanche completo, contendo todos os componentes descritos no Termo de Referência. A amostra deverá ser entregue previamente à contratação, para avaliação pela equipe técnica da Secretaria Municipal de Educação, que verificará aspectos como apresentação, validade, acondicionamento e padrão de qualidade dos produtos. A aprovação da amostra será condição indispensável para a formalização da contratação.</w:t>
      </w:r>
    </w:p>
    <w:p w14:paraId="0AC0E6B2">
      <w:pPr>
        <w:spacing w:before="240" w:after="240"/>
        <w:jc w:val="both"/>
        <w:rPr>
          <w:color w:val="000000"/>
          <w:sz w:val="27"/>
          <w:szCs w:val="27"/>
        </w:rPr>
      </w:pPr>
      <w:r>
        <w:rPr>
          <w:color w:val="000000"/>
          <w:sz w:val="27"/>
          <w:szCs w:val="27"/>
        </w:rPr>
        <w:t>O kit será analisado pela equipe técnica da contratante, que terá o prazo de até 02 (dois) dias úteis para se posicionar quanto ao aceite ou recusa do modelo apresentado, com base na conformidade com as exigências estabelecidas no Termo de Referência.</w:t>
      </w:r>
    </w:p>
    <w:p w14:paraId="255F0093">
      <w:pPr>
        <w:spacing w:before="240" w:after="240"/>
        <w:jc w:val="both"/>
        <w:rPr>
          <w:color w:val="000000"/>
          <w:sz w:val="27"/>
          <w:szCs w:val="27"/>
        </w:rPr>
      </w:pPr>
      <w:r>
        <w:rPr>
          <w:color w:val="000000"/>
          <w:sz w:val="27"/>
          <w:szCs w:val="27"/>
        </w:rPr>
        <w:t>Endereço para entrega da amostra: Avenida Nilo Peçanha, nº 506 - Centro - Valença/RJ - De segunda a sexta, das 8h às 16h, no setor de Nutrição Escolar.</w:t>
      </w:r>
    </w:p>
    <w:p w14:paraId="48A5CCF0">
      <w:pPr>
        <w:numPr>
          <w:ilvl w:val="0"/>
          <w:numId w:val="20"/>
        </w:numPr>
        <w:shd w:val="clear" w:color="auto" w:fill="BFBFBF"/>
        <w:spacing w:before="480" w:after="120"/>
        <w:jc w:val="both"/>
        <w:rPr>
          <w:color w:val="000000"/>
          <w:sz w:val="27"/>
          <w:szCs w:val="27"/>
        </w:rPr>
      </w:pPr>
      <w:r>
        <w:rPr>
          <w:b/>
          <w:bCs/>
          <w:color w:val="000000"/>
          <w:sz w:val="27"/>
          <w:szCs w:val="27"/>
        </w:rPr>
        <w:t>ENTREGA E CRITÉRIOS DE ACEITAÇÃO DO OBJETO (art. 40, § 1º, II da Lei 14.133/2021)</w:t>
      </w:r>
    </w:p>
    <w:p w14:paraId="1BB3DC3F">
      <w:pPr>
        <w:spacing w:before="120" w:after="120"/>
        <w:ind w:left="120" w:right="120" w:firstLine="1699"/>
        <w:jc w:val="both"/>
        <w:rPr>
          <w:color w:val="000000"/>
          <w:sz w:val="27"/>
          <w:szCs w:val="27"/>
        </w:rPr>
      </w:pPr>
      <w:r>
        <w:rPr>
          <w:color w:val="000000"/>
          <w:sz w:val="27"/>
          <w:szCs w:val="27"/>
        </w:rPr>
        <w:br w:type="textWrapping"/>
      </w:r>
      <w:r>
        <w:rPr>
          <w:color w:val="000000"/>
          <w:sz w:val="27"/>
          <w:szCs w:val="27"/>
        </w:rPr>
        <w:t> </w:t>
      </w:r>
    </w:p>
    <w:p w14:paraId="5E15142F">
      <w:pPr>
        <w:jc w:val="both"/>
        <w:rPr>
          <w:color w:val="000000"/>
          <w:sz w:val="27"/>
          <w:szCs w:val="27"/>
        </w:rPr>
      </w:pPr>
      <w:r>
        <w:rPr>
          <w:color w:val="000000"/>
          <w:sz w:val="27"/>
          <w:szCs w:val="27"/>
        </w:rPr>
        <w:t>-A entrega poderá eventualmente ser suspensas ou alteradas, a critério da contratante;</w:t>
      </w:r>
    </w:p>
    <w:p w14:paraId="69B42ADC">
      <w:pPr>
        <w:spacing w:before="120" w:after="120"/>
        <w:jc w:val="both"/>
        <w:rPr>
          <w:color w:val="000000"/>
          <w:sz w:val="27"/>
          <w:szCs w:val="27"/>
        </w:rPr>
      </w:pPr>
      <w:r>
        <w:rPr>
          <w:color w:val="000000"/>
          <w:sz w:val="27"/>
          <w:szCs w:val="27"/>
        </w:rPr>
        <w:t>-A CONTRATANTE designará FISCAL DE CONTRATO e SUBSTITUTOS, os quais deverão acompanhar a execução do contrato, sob os aspectos qualitativos e quantitativos, anotando em registro próprio as falhas detectadas e comunicando à CONTRATADA as ocorrências de quaisquer fatos que, a seu critério, exijam medidas corretivas por parte da mesma; </w:t>
      </w:r>
    </w:p>
    <w:p w14:paraId="3FDD2751">
      <w:pPr>
        <w:jc w:val="both"/>
        <w:rPr>
          <w:color w:val="000000"/>
          <w:sz w:val="27"/>
          <w:szCs w:val="27"/>
        </w:rPr>
      </w:pPr>
      <w:r>
        <w:rPr>
          <w:color w:val="000000"/>
          <w:sz w:val="27"/>
          <w:szCs w:val="27"/>
        </w:rPr>
        <w:t>-O objeto deverá obedecer às exigências legais, normas e padrões de qualidade e especificações técnicas exigidas neste Termo de Referência;</w:t>
      </w:r>
    </w:p>
    <w:p w14:paraId="223A2FC3">
      <w:pPr>
        <w:spacing w:before="120" w:after="120"/>
        <w:jc w:val="both"/>
        <w:rPr>
          <w:color w:val="000000"/>
          <w:sz w:val="27"/>
          <w:szCs w:val="27"/>
        </w:rPr>
      </w:pPr>
      <w:r>
        <w:rPr>
          <w:color w:val="000000"/>
          <w:sz w:val="27"/>
          <w:szCs w:val="27"/>
        </w:rPr>
        <w:t>-A aceitação do objeto será realizada pelo órgão responsável pelos atos de controle e gestão do contrato decorrente do Pregão Eletrônico, por meio de servidores formalmente designados como fiscais de contrato, nos termos da legislação vigente. </w:t>
      </w:r>
    </w:p>
    <w:p w14:paraId="2D46FD72">
      <w:pPr>
        <w:spacing w:before="120" w:after="120"/>
        <w:jc w:val="both"/>
        <w:rPr>
          <w:color w:val="000000"/>
          <w:sz w:val="27"/>
          <w:szCs w:val="27"/>
        </w:rPr>
      </w:pPr>
      <w:r>
        <w:rPr>
          <w:color w:val="000000"/>
          <w:sz w:val="27"/>
          <w:szCs w:val="27"/>
        </w:rPr>
        <w:t>-A aceitação do objeto está condicionada ao atendimento das especificações mínimas constantes deste Termo de Referência e à proposta da licitante;</w:t>
      </w:r>
    </w:p>
    <w:p w14:paraId="1775BB55">
      <w:pPr>
        <w:spacing w:before="120" w:after="120"/>
        <w:jc w:val="both"/>
        <w:rPr>
          <w:color w:val="000000"/>
          <w:sz w:val="27"/>
          <w:szCs w:val="27"/>
        </w:rPr>
      </w:pPr>
      <w:r>
        <w:rPr>
          <w:b/>
          <w:bCs/>
          <w:color w:val="000000"/>
          <w:sz w:val="27"/>
          <w:szCs w:val="27"/>
          <w:shd w:val="clear" w:color="auto" w:fill="FFFF00"/>
        </w:rPr>
        <w:t>-Os produtos deverão ser entregues, conforme solicitação de entrega previamente liberada pelo Setor de Coordenação de Nutrição Escolar, a ser enviada por e-mail fornecido pela CONTRATADA,  sendo entregue no seguinte endereço: Avenida Nilo Peçanha, nº 506 - Centro - Valença/RJ;</w:t>
      </w:r>
    </w:p>
    <w:p w14:paraId="1AA07935">
      <w:pPr>
        <w:spacing w:before="120" w:after="120"/>
        <w:jc w:val="both"/>
        <w:rPr>
          <w:color w:val="000000"/>
          <w:sz w:val="27"/>
          <w:szCs w:val="27"/>
        </w:rPr>
      </w:pPr>
      <w:r>
        <w:rPr>
          <w:color w:val="000000"/>
          <w:sz w:val="27"/>
          <w:szCs w:val="27"/>
        </w:rPr>
        <w:t>-Os entregadores deverão estar adequadamente vestidos e calçados com sapatos fechados e deverão também esperar a conferência dos produtos no local de entrega;</w:t>
      </w:r>
    </w:p>
    <w:p w14:paraId="1956AB1E">
      <w:pPr>
        <w:spacing w:before="120" w:after="120"/>
        <w:jc w:val="both"/>
        <w:rPr>
          <w:color w:val="000000"/>
          <w:sz w:val="27"/>
          <w:szCs w:val="27"/>
        </w:rPr>
      </w:pPr>
      <w:r>
        <w:rPr>
          <w:color w:val="000000"/>
          <w:sz w:val="27"/>
          <w:szCs w:val="27"/>
        </w:rPr>
        <w:t>-As mercadorias serão devolvidas no ato da entrega se não corresponderem à qualidade exigida no edital e deverão ser repostas no prazo máximo de 24h;</w:t>
      </w:r>
    </w:p>
    <w:p w14:paraId="2CEF4E9A">
      <w:pPr>
        <w:spacing w:before="120" w:after="120"/>
        <w:jc w:val="both"/>
        <w:rPr>
          <w:color w:val="000000"/>
          <w:sz w:val="27"/>
          <w:szCs w:val="27"/>
        </w:rPr>
      </w:pPr>
      <w:r>
        <w:rPr>
          <w:color w:val="000000"/>
          <w:sz w:val="27"/>
          <w:szCs w:val="27"/>
        </w:rPr>
        <w:t>Critério adicionais</w:t>
      </w:r>
    </w:p>
    <w:p w14:paraId="73A74654">
      <w:pPr>
        <w:spacing w:before="240" w:after="240"/>
        <w:jc w:val="both"/>
        <w:rPr>
          <w:color w:val="000000"/>
          <w:sz w:val="27"/>
          <w:szCs w:val="27"/>
        </w:rPr>
      </w:pPr>
      <w:r>
        <w:rPr>
          <w:color w:val="000000"/>
          <w:sz w:val="27"/>
          <w:szCs w:val="27"/>
        </w:rPr>
        <w:t>A entrega dos kits de lanches deverá obedecer rigorosamente às condições e prazos estabelecidos pela Secretaria Municipal de Educação, garantindo segurança alimentar, qualidade e logística eficiente para distribuição aos alunos.</w:t>
      </w:r>
    </w:p>
    <w:p w14:paraId="7342034B">
      <w:pPr>
        <w:spacing w:before="240" w:after="240"/>
        <w:jc w:val="both"/>
        <w:rPr>
          <w:color w:val="000000"/>
          <w:sz w:val="27"/>
          <w:szCs w:val="27"/>
        </w:rPr>
      </w:pPr>
      <w:r>
        <w:rPr>
          <w:b/>
          <w:bCs/>
          <w:color w:val="000000"/>
          <w:sz w:val="27"/>
          <w:szCs w:val="27"/>
        </w:rPr>
        <w:t>1. Local, datas e horários de entrega:</w:t>
      </w:r>
    </w:p>
    <w:p w14:paraId="46853AF9">
      <w:pPr>
        <w:numPr>
          <w:ilvl w:val="0"/>
          <w:numId w:val="21"/>
        </w:numPr>
        <w:spacing w:before="240"/>
        <w:rPr>
          <w:color w:val="000000"/>
          <w:sz w:val="27"/>
          <w:szCs w:val="27"/>
        </w:rPr>
      </w:pPr>
      <w:r>
        <w:rPr>
          <w:color w:val="000000"/>
          <w:sz w:val="27"/>
          <w:szCs w:val="27"/>
        </w:rPr>
        <w:t>A entrega deverá ocorrer na Secretaria Municipal de Educação (SME), das 8h às 15h, em datas definidas como segue:</w:t>
      </w:r>
      <w:r>
        <w:rPr>
          <w:color w:val="000000"/>
          <w:sz w:val="27"/>
          <w:szCs w:val="27"/>
        </w:rPr>
        <w:br w:type="textWrapping"/>
      </w:r>
      <w:r>
        <w:rPr>
          <w:color w:val="000000"/>
          <w:sz w:val="27"/>
          <w:szCs w:val="27"/>
        </w:rPr>
        <w:br w:type="textWrapping"/>
      </w:r>
      <w:r>
        <w:rPr>
          <w:color w:val="000000"/>
          <w:sz w:val="27"/>
          <w:szCs w:val="27"/>
        </w:rPr>
        <w:t> Para o Desfile Cívico de 07 de Setembro, os kits deverão ser entregues no dia </w:t>
      </w:r>
      <w:r>
        <w:rPr>
          <w:b/>
          <w:bCs/>
          <w:color w:val="000000"/>
          <w:sz w:val="27"/>
          <w:szCs w:val="27"/>
        </w:rPr>
        <w:t>04/09/2026.</w:t>
      </w:r>
    </w:p>
    <w:p w14:paraId="00343D80">
      <w:pPr>
        <w:numPr>
          <w:ilvl w:val="0"/>
          <w:numId w:val="21"/>
        </w:numPr>
        <w:spacing w:after="240"/>
        <w:rPr>
          <w:color w:val="000000"/>
          <w:sz w:val="27"/>
          <w:szCs w:val="27"/>
        </w:rPr>
      </w:pPr>
      <w:r>
        <w:rPr>
          <w:color w:val="000000"/>
          <w:sz w:val="27"/>
          <w:szCs w:val="27"/>
        </w:rPr>
        <w:t>A empresa contratada deverá aguardar a conferência integral dos kits no ato do recebimento.</w:t>
      </w:r>
    </w:p>
    <w:p w14:paraId="6F27FF36">
      <w:pPr>
        <w:spacing w:before="240" w:after="240"/>
        <w:jc w:val="both"/>
        <w:rPr>
          <w:color w:val="000000"/>
          <w:sz w:val="27"/>
          <w:szCs w:val="27"/>
        </w:rPr>
      </w:pPr>
      <w:r>
        <w:rPr>
          <w:b/>
          <w:bCs/>
          <w:color w:val="000000"/>
          <w:sz w:val="27"/>
          <w:szCs w:val="27"/>
        </w:rPr>
        <w:t>2. Acondicionamento e organização para conferência:</w:t>
      </w:r>
    </w:p>
    <w:p w14:paraId="6C769ECC">
      <w:pPr>
        <w:numPr>
          <w:ilvl w:val="0"/>
          <w:numId w:val="22"/>
        </w:numPr>
        <w:spacing w:before="240"/>
        <w:rPr>
          <w:color w:val="000000"/>
          <w:sz w:val="27"/>
          <w:szCs w:val="27"/>
        </w:rPr>
      </w:pPr>
      <w:r>
        <w:rPr>
          <w:color w:val="000000"/>
          <w:sz w:val="27"/>
          <w:szCs w:val="27"/>
        </w:rPr>
        <w:t>Os kits deverão ser entregues embalados individualmente em sacos de papel kraft devidamente lacrados.</w:t>
      </w:r>
    </w:p>
    <w:p w14:paraId="1DB6DACB">
      <w:pPr>
        <w:numPr>
          <w:ilvl w:val="0"/>
          <w:numId w:val="22"/>
        </w:numPr>
        <w:rPr>
          <w:color w:val="000000"/>
          <w:sz w:val="27"/>
          <w:szCs w:val="27"/>
        </w:rPr>
      </w:pPr>
      <w:r>
        <w:rPr>
          <w:color w:val="000000"/>
          <w:sz w:val="27"/>
          <w:szCs w:val="27"/>
        </w:rPr>
        <w:t>As embalagens deverão ser organizadas em caixas com, no máximo, 50 kits cada, para facilitar a conferência, o transporte interno e evitar danos aos alimentos.</w:t>
      </w:r>
    </w:p>
    <w:p w14:paraId="0AF459C4">
      <w:pPr>
        <w:numPr>
          <w:ilvl w:val="0"/>
          <w:numId w:val="22"/>
        </w:numPr>
        <w:spacing w:after="240"/>
        <w:rPr>
          <w:color w:val="000000"/>
          <w:sz w:val="27"/>
          <w:szCs w:val="27"/>
        </w:rPr>
      </w:pPr>
      <w:r>
        <w:rPr>
          <w:color w:val="000000"/>
          <w:sz w:val="27"/>
          <w:szCs w:val="27"/>
        </w:rPr>
        <w:t>A cada entrega, deverá ser apresentada planilha detalhada com a descrição dos alimentos, quantidade, lote de produção e data de validade.</w:t>
      </w:r>
    </w:p>
    <w:p w14:paraId="5B247AA2">
      <w:pPr>
        <w:spacing w:before="240" w:after="240"/>
        <w:jc w:val="both"/>
        <w:rPr>
          <w:color w:val="000000"/>
          <w:sz w:val="27"/>
          <w:szCs w:val="27"/>
        </w:rPr>
      </w:pPr>
      <w:r>
        <w:rPr>
          <w:b/>
          <w:bCs/>
          <w:color w:val="000000"/>
          <w:sz w:val="27"/>
          <w:szCs w:val="27"/>
        </w:rPr>
        <w:t>3. Padrões de qualidade e validade:</w:t>
      </w:r>
    </w:p>
    <w:p w14:paraId="21818F2A">
      <w:pPr>
        <w:numPr>
          <w:ilvl w:val="0"/>
          <w:numId w:val="23"/>
        </w:numPr>
        <w:spacing w:before="240"/>
        <w:rPr>
          <w:color w:val="000000"/>
          <w:sz w:val="27"/>
          <w:szCs w:val="27"/>
        </w:rPr>
      </w:pPr>
      <w:r>
        <w:rPr>
          <w:color w:val="000000"/>
          <w:sz w:val="27"/>
          <w:szCs w:val="27"/>
        </w:rPr>
        <w:t>Todos os itens industrializados deverão possuir validade mínima de 02 (dois) meses a contar da data de entrega.</w:t>
      </w:r>
    </w:p>
    <w:p w14:paraId="025E10D5">
      <w:pPr>
        <w:numPr>
          <w:ilvl w:val="0"/>
          <w:numId w:val="23"/>
        </w:numPr>
        <w:spacing w:after="240"/>
        <w:rPr>
          <w:color w:val="000000"/>
          <w:sz w:val="27"/>
          <w:szCs w:val="27"/>
        </w:rPr>
      </w:pPr>
      <w:r>
        <w:rPr>
          <w:color w:val="000000"/>
          <w:sz w:val="27"/>
          <w:szCs w:val="27"/>
        </w:rPr>
        <w:t>Todos os itens deverão cumprir integralmente as normas da ANVISA e as boas práticas de manipulação de alimentos (RDC nº 275/2002 ou norma vigente).</w:t>
      </w:r>
      <w:r>
        <w:rPr>
          <w:color w:val="000000"/>
          <w:sz w:val="27"/>
          <w:szCs w:val="27"/>
        </w:rPr>
        <w:br w:type="textWrapping"/>
      </w:r>
      <w:r>
        <w:rPr>
          <w:color w:val="000000"/>
          <w:sz w:val="27"/>
          <w:szCs w:val="27"/>
        </w:rPr>
        <w:br w:type="textWrapping"/>
      </w:r>
      <w:r>
        <w:rPr>
          <w:color w:val="000000"/>
          <w:sz w:val="27"/>
          <w:szCs w:val="27"/>
        </w:rPr>
        <w:t> </w:t>
      </w:r>
    </w:p>
    <w:p w14:paraId="6DB8754C">
      <w:pPr>
        <w:spacing w:before="240" w:after="240"/>
        <w:jc w:val="both"/>
        <w:rPr>
          <w:color w:val="000000"/>
          <w:sz w:val="27"/>
          <w:szCs w:val="27"/>
        </w:rPr>
      </w:pPr>
      <w:r>
        <w:rPr>
          <w:b/>
          <w:bCs/>
          <w:color w:val="000000"/>
          <w:sz w:val="27"/>
          <w:szCs w:val="27"/>
        </w:rPr>
        <w:t>4. Critérios de aceitação:</w:t>
      </w:r>
    </w:p>
    <w:p w14:paraId="5878CE1C">
      <w:pPr>
        <w:numPr>
          <w:ilvl w:val="0"/>
          <w:numId w:val="24"/>
        </w:numPr>
        <w:spacing w:before="240"/>
        <w:rPr>
          <w:color w:val="000000"/>
          <w:sz w:val="27"/>
          <w:szCs w:val="27"/>
        </w:rPr>
      </w:pPr>
      <w:r>
        <w:rPr>
          <w:color w:val="000000"/>
          <w:sz w:val="27"/>
          <w:szCs w:val="27"/>
        </w:rPr>
        <w:t>Somente serão aceitos kits em perfeito estado de conservação, dentro das especificações de composição, validade, acondicionamento e higiene previstas no Termo de Referência.</w:t>
      </w:r>
      <w:r>
        <w:rPr>
          <w:color w:val="000000"/>
          <w:sz w:val="27"/>
          <w:szCs w:val="27"/>
        </w:rPr>
        <w:br w:type="textWrapping"/>
      </w:r>
      <w:r>
        <w:rPr>
          <w:color w:val="000000"/>
          <w:sz w:val="27"/>
          <w:szCs w:val="27"/>
        </w:rPr>
        <w:br w:type="textWrapping"/>
      </w:r>
      <w:r>
        <w:rPr>
          <w:color w:val="000000"/>
          <w:sz w:val="27"/>
          <w:szCs w:val="27"/>
        </w:rPr>
        <w:t> </w:t>
      </w:r>
    </w:p>
    <w:p w14:paraId="2D87EF80">
      <w:pPr>
        <w:numPr>
          <w:ilvl w:val="0"/>
          <w:numId w:val="24"/>
        </w:numPr>
        <w:rPr>
          <w:color w:val="000000"/>
          <w:sz w:val="27"/>
          <w:szCs w:val="27"/>
        </w:rPr>
      </w:pPr>
      <w:r>
        <w:rPr>
          <w:color w:val="000000"/>
          <w:sz w:val="27"/>
          <w:szCs w:val="27"/>
        </w:rPr>
        <w:t>A equipe designada pela SME realizará a inspeção amostral e conferência total, podendo recusar parcial ou totalmente a entrega em caso de não conformidades, como embalagens danificadas, produtos fora do prazo ou em desacordo com as especificações.</w:t>
      </w:r>
      <w:r>
        <w:rPr>
          <w:color w:val="000000"/>
          <w:sz w:val="27"/>
          <w:szCs w:val="27"/>
        </w:rPr>
        <w:br w:type="textWrapping"/>
      </w:r>
      <w:r>
        <w:rPr>
          <w:color w:val="000000"/>
          <w:sz w:val="27"/>
          <w:szCs w:val="27"/>
        </w:rPr>
        <w:br w:type="textWrapping"/>
      </w:r>
      <w:r>
        <w:rPr>
          <w:color w:val="000000"/>
          <w:sz w:val="27"/>
          <w:szCs w:val="27"/>
        </w:rPr>
        <w:t> </w:t>
      </w:r>
    </w:p>
    <w:p w14:paraId="52FBC77B">
      <w:pPr>
        <w:numPr>
          <w:ilvl w:val="0"/>
          <w:numId w:val="24"/>
        </w:numPr>
        <w:spacing w:after="240"/>
        <w:rPr>
          <w:color w:val="000000"/>
          <w:sz w:val="27"/>
          <w:szCs w:val="27"/>
        </w:rPr>
      </w:pPr>
      <w:r>
        <w:rPr>
          <w:color w:val="000000"/>
          <w:sz w:val="27"/>
          <w:szCs w:val="27"/>
        </w:rPr>
        <w:t>Em caso de recusa, a empresa deverá providenciar a substituição imediata dos itens ou kits rejeitados, sob pena de aplicação das sanções contratuais cabíveis.</w:t>
      </w:r>
    </w:p>
    <w:p w14:paraId="2020AC8D">
      <w:pPr>
        <w:spacing w:before="240" w:after="240"/>
        <w:jc w:val="both"/>
        <w:rPr>
          <w:color w:val="000000"/>
          <w:sz w:val="27"/>
          <w:szCs w:val="27"/>
        </w:rPr>
      </w:pPr>
      <w:r>
        <w:rPr>
          <w:color w:val="000000"/>
          <w:sz w:val="27"/>
          <w:szCs w:val="27"/>
        </w:rPr>
        <w:t>Esses critérios visam garantir a segurança alimentar, a padronização dos kits e a qualidade do serviço prestado, assegurando o pleno atendimento dos alunos durante os eventos cívicos.</w:t>
      </w:r>
    </w:p>
    <w:p w14:paraId="20886229">
      <w:pPr>
        <w:spacing w:before="240" w:after="240"/>
        <w:jc w:val="both"/>
        <w:rPr>
          <w:color w:val="000000"/>
          <w:sz w:val="27"/>
          <w:szCs w:val="27"/>
        </w:rPr>
      </w:pPr>
      <w:r>
        <w:rPr>
          <w:b/>
          <w:bCs/>
          <w:color w:val="000000"/>
          <w:sz w:val="27"/>
          <w:szCs w:val="27"/>
        </w:rPr>
        <w:t>REGRAS PARA O RECEBIMENTO PROVISÓRIO E DEFINITIVO</w:t>
      </w:r>
      <w:r>
        <w:rPr>
          <w:color w:val="000000"/>
          <w:sz w:val="27"/>
          <w:szCs w:val="27"/>
        </w:rPr>
        <w:br w:type="textWrapping"/>
      </w:r>
      <w:r>
        <w:rPr>
          <w:b/>
          <w:bCs/>
          <w:color w:val="000000"/>
          <w:sz w:val="27"/>
          <w:szCs w:val="27"/>
        </w:rPr>
        <w:t> A</w:t>
      </w:r>
      <w:r>
        <w:rPr>
          <w:color w:val="000000"/>
          <w:sz w:val="27"/>
          <w:szCs w:val="27"/>
        </w:rPr>
        <w:t>pós a entrega dos kits de lanches prontos na Secretaria Municipal de Educação, a equipe de fiscalização designada procederá ao recebimento provisório, mediante verificação imediata das seguintes condições:</w:t>
      </w:r>
    </w:p>
    <w:p w14:paraId="2B2A7691">
      <w:pPr>
        <w:numPr>
          <w:ilvl w:val="0"/>
          <w:numId w:val="25"/>
        </w:numPr>
        <w:spacing w:before="240"/>
        <w:jc w:val="both"/>
        <w:rPr>
          <w:color w:val="000000"/>
          <w:sz w:val="27"/>
          <w:szCs w:val="27"/>
        </w:rPr>
      </w:pPr>
      <w:r>
        <w:rPr>
          <w:color w:val="000000"/>
          <w:sz w:val="27"/>
          <w:szCs w:val="27"/>
        </w:rPr>
        <w:t>Conferência da quantidade de kits entregue em relação à Nota Fiscal e ao Termo de Referência;</w:t>
      </w:r>
    </w:p>
    <w:p w14:paraId="171370F2">
      <w:pPr>
        <w:numPr>
          <w:ilvl w:val="0"/>
          <w:numId w:val="25"/>
        </w:numPr>
        <w:jc w:val="both"/>
        <w:rPr>
          <w:color w:val="000000"/>
          <w:sz w:val="27"/>
          <w:szCs w:val="27"/>
        </w:rPr>
      </w:pPr>
      <w:r>
        <w:rPr>
          <w:color w:val="000000"/>
          <w:sz w:val="27"/>
          <w:szCs w:val="27"/>
        </w:rPr>
        <w:t>Inspeção amostral para verificação da integridade das embalagens, validade dos produtos, e atendimento das especificações contratuais;</w:t>
      </w:r>
      <w:r>
        <w:rPr>
          <w:color w:val="000000"/>
          <w:sz w:val="27"/>
          <w:szCs w:val="27"/>
        </w:rPr>
        <w:br w:type="textWrapping"/>
      </w:r>
      <w:r>
        <w:rPr>
          <w:color w:val="000000"/>
          <w:sz w:val="27"/>
          <w:szCs w:val="27"/>
        </w:rPr>
        <w:br w:type="textWrapping"/>
      </w:r>
      <w:r>
        <w:rPr>
          <w:color w:val="000000"/>
          <w:sz w:val="27"/>
          <w:szCs w:val="27"/>
        </w:rPr>
        <w:t> </w:t>
      </w:r>
    </w:p>
    <w:p w14:paraId="5FE0A657">
      <w:pPr>
        <w:numPr>
          <w:ilvl w:val="0"/>
          <w:numId w:val="25"/>
        </w:numPr>
        <w:spacing w:after="240"/>
        <w:jc w:val="both"/>
        <w:rPr>
          <w:color w:val="000000"/>
          <w:sz w:val="27"/>
          <w:szCs w:val="27"/>
        </w:rPr>
      </w:pPr>
      <w:r>
        <w:rPr>
          <w:color w:val="000000"/>
          <w:sz w:val="27"/>
          <w:szCs w:val="27"/>
        </w:rPr>
        <w:t>Conferência das planilhas descritivas apresentadas pelo fornecedor, que deverão detalhar os itens, lotes, datas de validade e quantidade entregue.</w:t>
      </w:r>
    </w:p>
    <w:p w14:paraId="485A3ACF">
      <w:pPr>
        <w:spacing w:before="240" w:after="240"/>
        <w:jc w:val="both"/>
        <w:rPr>
          <w:color w:val="000000"/>
          <w:sz w:val="27"/>
          <w:szCs w:val="27"/>
        </w:rPr>
      </w:pPr>
      <w:r>
        <w:rPr>
          <w:color w:val="000000"/>
          <w:sz w:val="27"/>
          <w:szCs w:val="27"/>
        </w:rPr>
        <w:t>Durante o recebimento provisório, caso sejam identificadas não conformidades, os itens poderão ser total ou parcialmente recusados, sendo o fornecedor obrigado a realizar a substituição imediata ou o ajuste necessário, sem prejuízo da aplicação das sanções cabíveis.</w:t>
      </w:r>
    </w:p>
    <w:p w14:paraId="488F03EC">
      <w:pPr>
        <w:spacing w:before="240" w:after="240"/>
        <w:jc w:val="both"/>
        <w:rPr>
          <w:color w:val="000000"/>
          <w:sz w:val="27"/>
          <w:szCs w:val="27"/>
        </w:rPr>
      </w:pPr>
      <w:r>
        <w:rPr>
          <w:color w:val="000000"/>
          <w:sz w:val="27"/>
          <w:szCs w:val="27"/>
        </w:rPr>
        <w:t>Recebimento Definitivo:</w:t>
      </w:r>
      <w:r>
        <w:rPr>
          <w:color w:val="000000"/>
          <w:sz w:val="27"/>
          <w:szCs w:val="27"/>
        </w:rPr>
        <w:br w:type="textWrapping"/>
      </w:r>
      <w:r>
        <w:rPr>
          <w:color w:val="000000"/>
          <w:sz w:val="27"/>
          <w:szCs w:val="27"/>
        </w:rPr>
        <w:t> Após a conferência inicial, não constatadas pendências ou após regularizadas eventuais não conformidades dentro do prazo estipulado, a equipe responsável formaliza o recebimento definitivo, mediante emissão do Termo de Recebimento Definitivo, nos termos do art. 140, § 3º da Lei nº 14.133/2021.</w:t>
      </w:r>
    </w:p>
    <w:p w14:paraId="31963DB7">
      <w:pPr>
        <w:spacing w:before="240" w:after="240"/>
        <w:jc w:val="both"/>
        <w:rPr>
          <w:color w:val="000000"/>
          <w:sz w:val="27"/>
          <w:szCs w:val="27"/>
        </w:rPr>
      </w:pPr>
      <w:r>
        <w:rPr>
          <w:b/>
          <w:bCs/>
          <w:color w:val="000000"/>
          <w:sz w:val="27"/>
          <w:szCs w:val="27"/>
        </w:rPr>
        <w:t>O recebimento definitivo somente será efetuado quando estiver comprovado que todos os kits entregues:</w:t>
      </w:r>
    </w:p>
    <w:p w14:paraId="6BCA6C2C">
      <w:pPr>
        <w:numPr>
          <w:ilvl w:val="0"/>
          <w:numId w:val="26"/>
        </w:numPr>
        <w:spacing w:before="240"/>
        <w:jc w:val="both"/>
        <w:rPr>
          <w:color w:val="000000"/>
          <w:sz w:val="27"/>
          <w:szCs w:val="27"/>
        </w:rPr>
      </w:pPr>
      <w:r>
        <w:rPr>
          <w:color w:val="000000"/>
          <w:sz w:val="27"/>
          <w:szCs w:val="27"/>
        </w:rPr>
        <w:t>Atendem integralmente às especificações técnicas, sanitárias e de qualidade previstas;</w:t>
      </w:r>
    </w:p>
    <w:p w14:paraId="4FA4B3E4">
      <w:pPr>
        <w:numPr>
          <w:ilvl w:val="0"/>
          <w:numId w:val="26"/>
        </w:numPr>
        <w:jc w:val="both"/>
        <w:rPr>
          <w:color w:val="000000"/>
          <w:sz w:val="27"/>
          <w:szCs w:val="27"/>
        </w:rPr>
      </w:pPr>
      <w:r>
        <w:rPr>
          <w:color w:val="000000"/>
          <w:sz w:val="27"/>
          <w:szCs w:val="27"/>
        </w:rPr>
        <w:t>Foram conferidos quanto à quantidade, validade, acondicionamento e apresentação;</w:t>
      </w:r>
    </w:p>
    <w:p w14:paraId="7C961ED8">
      <w:pPr>
        <w:numPr>
          <w:ilvl w:val="0"/>
          <w:numId w:val="26"/>
        </w:numPr>
        <w:spacing w:after="240"/>
        <w:jc w:val="both"/>
        <w:rPr>
          <w:color w:val="000000"/>
          <w:sz w:val="27"/>
          <w:szCs w:val="27"/>
        </w:rPr>
      </w:pPr>
      <w:r>
        <w:rPr>
          <w:color w:val="000000"/>
          <w:sz w:val="27"/>
          <w:szCs w:val="27"/>
        </w:rPr>
        <w:t>Foram aceitos sem restrições ou com eventuais ajustes concluídos dentro do prazo e padrão exigidos.</w:t>
      </w:r>
    </w:p>
    <w:p w14:paraId="262A4FB0">
      <w:pPr>
        <w:spacing w:before="240" w:after="240"/>
        <w:jc w:val="both"/>
        <w:rPr>
          <w:color w:val="000000"/>
          <w:sz w:val="27"/>
          <w:szCs w:val="27"/>
        </w:rPr>
      </w:pPr>
      <w:r>
        <w:rPr>
          <w:color w:val="000000"/>
          <w:sz w:val="27"/>
          <w:szCs w:val="27"/>
        </w:rPr>
        <w:t>O Termo de Recebimento Definitivo será assinado pelo fiscal do contrato e, quando necessário, por servidor de apoio técnico responsável, sendo documento indispensável para a liberação do pagamento à contratada.</w:t>
      </w:r>
    </w:p>
    <w:p w14:paraId="403FD94C">
      <w:pPr>
        <w:spacing w:before="240" w:after="240"/>
        <w:jc w:val="both"/>
        <w:rPr>
          <w:color w:val="000000"/>
          <w:sz w:val="27"/>
          <w:szCs w:val="27"/>
        </w:rPr>
      </w:pPr>
      <w:r>
        <w:rPr>
          <w:color w:val="000000"/>
          <w:sz w:val="27"/>
          <w:szCs w:val="27"/>
        </w:rPr>
        <w:t>Disposição Final:</w:t>
      </w:r>
      <w:r>
        <w:rPr>
          <w:color w:val="000000"/>
          <w:sz w:val="27"/>
          <w:szCs w:val="27"/>
        </w:rPr>
        <w:br w:type="textWrapping"/>
      </w:r>
      <w:r>
        <w:rPr>
          <w:color w:val="000000"/>
          <w:sz w:val="27"/>
          <w:szCs w:val="27"/>
        </w:rPr>
        <w:t> Essas regras visam garantir o controle de qualidade, o cumprimento fiel do objeto contratado e o atendimento dos princípios da legalidade, eficiência, economicidade e segurança alimentar, conforme previsto na legislação vigente.</w:t>
      </w:r>
    </w:p>
    <w:p w14:paraId="6C800196">
      <w:pPr>
        <w:spacing w:before="120" w:after="120"/>
        <w:ind w:left="120" w:right="120" w:firstLine="1699"/>
        <w:jc w:val="both"/>
        <w:rPr>
          <w:color w:val="000000"/>
          <w:sz w:val="27"/>
          <w:szCs w:val="27"/>
        </w:rPr>
      </w:pPr>
      <w:r>
        <w:rPr>
          <w:color w:val="000000"/>
          <w:sz w:val="27"/>
          <w:szCs w:val="27"/>
        </w:rPr>
        <w:br w:type="textWrapping"/>
      </w:r>
      <w:r>
        <w:rPr>
          <w:color w:val="000000"/>
          <w:sz w:val="27"/>
          <w:szCs w:val="27"/>
        </w:rPr>
        <w:br w:type="textWrapping"/>
      </w:r>
      <w:r>
        <w:rPr>
          <w:color w:val="000000"/>
          <w:sz w:val="27"/>
          <w:szCs w:val="27"/>
        </w:rPr>
        <w:t> </w:t>
      </w:r>
    </w:p>
    <w:p w14:paraId="05C9D48D">
      <w:pPr>
        <w:ind w:left="60" w:right="60"/>
        <w:rPr>
          <w:color w:val="000000"/>
          <w:sz w:val="22"/>
          <w:szCs w:val="22"/>
        </w:rPr>
      </w:pPr>
      <w:r>
        <w:rPr>
          <w:b/>
          <w:bCs/>
          <w:color w:val="000000"/>
          <w:sz w:val="22"/>
          <w:szCs w:val="22"/>
        </w:rPr>
        <w:t>Metodologia de Avaliação da Qualidade e Aceite </w:t>
      </w:r>
    </w:p>
    <w:p w14:paraId="2AEBDED8">
      <w:pPr>
        <w:spacing w:before="240" w:after="240"/>
        <w:jc w:val="both"/>
        <w:rPr>
          <w:color w:val="000000"/>
          <w:sz w:val="27"/>
          <w:szCs w:val="27"/>
        </w:rPr>
      </w:pPr>
      <w:r>
        <w:rPr>
          <w:color w:val="000000"/>
          <w:sz w:val="27"/>
          <w:szCs w:val="27"/>
        </w:rPr>
        <w:t>Para assegurar o cumprimento integral das especificações e garantir a qualidade dos kits de lanches prontos, a Administração Municipal, por meio da Secretaria Municipal de Educação, adotará uma metodologia estruturada de avaliação da qualidade e aceite, em conformidade com os princípios da Lei nº 14.133/2021, com foco na eficiência, segurança alimentar e no interesse público.</w:t>
      </w:r>
    </w:p>
    <w:p w14:paraId="35D0D218">
      <w:pPr>
        <w:spacing w:before="240" w:after="240"/>
        <w:jc w:val="both"/>
        <w:rPr>
          <w:color w:val="000000"/>
          <w:sz w:val="27"/>
          <w:szCs w:val="27"/>
        </w:rPr>
      </w:pPr>
      <w:r>
        <w:rPr>
          <w:b/>
          <w:bCs/>
          <w:color w:val="000000"/>
          <w:sz w:val="27"/>
          <w:szCs w:val="27"/>
        </w:rPr>
        <w:t>1. Conferência quantitativa e qualitativa no ato da entrega (Recebimento Provisório):</w:t>
      </w:r>
    </w:p>
    <w:p w14:paraId="2718C374">
      <w:pPr>
        <w:numPr>
          <w:ilvl w:val="0"/>
          <w:numId w:val="27"/>
        </w:numPr>
        <w:spacing w:before="240"/>
        <w:jc w:val="both"/>
        <w:rPr>
          <w:color w:val="000000"/>
          <w:sz w:val="27"/>
          <w:szCs w:val="27"/>
        </w:rPr>
      </w:pPr>
      <w:r>
        <w:rPr>
          <w:color w:val="000000"/>
          <w:sz w:val="27"/>
          <w:szCs w:val="27"/>
        </w:rPr>
        <w:t>No momento da entrega, a equipe de fiscalização designada procederá à verificação da quantidade total dos kits, comparando com a Nota Fiscal, planilhas descritivas e o Termo de Referência.</w:t>
      </w:r>
    </w:p>
    <w:p w14:paraId="7C0EFFB8">
      <w:pPr>
        <w:numPr>
          <w:ilvl w:val="0"/>
          <w:numId w:val="27"/>
        </w:numPr>
        <w:jc w:val="both"/>
        <w:rPr>
          <w:color w:val="000000"/>
          <w:sz w:val="27"/>
          <w:szCs w:val="27"/>
        </w:rPr>
      </w:pPr>
      <w:r>
        <w:rPr>
          <w:color w:val="000000"/>
          <w:sz w:val="27"/>
          <w:szCs w:val="27"/>
        </w:rPr>
        <w:t>Será realizada inspeção amostral, verificando-se a integridade das embalagens, a validade mínima exigida dos produtos (mínimo de 2 meses), e as demais especificações técnicas.</w:t>
      </w:r>
    </w:p>
    <w:p w14:paraId="66753A17">
      <w:pPr>
        <w:numPr>
          <w:ilvl w:val="0"/>
          <w:numId w:val="27"/>
        </w:numPr>
        <w:spacing w:after="240"/>
        <w:jc w:val="both"/>
        <w:rPr>
          <w:color w:val="000000"/>
          <w:sz w:val="27"/>
          <w:szCs w:val="27"/>
        </w:rPr>
      </w:pPr>
      <w:r>
        <w:rPr>
          <w:color w:val="000000"/>
          <w:sz w:val="27"/>
          <w:szCs w:val="27"/>
        </w:rPr>
        <w:t>Serão conferidos também os aspectos de organização logística, tais como: kits embalados em caixas com no máximo 50 unidades, acondicionamento adequado, lacre dos sacos de papel kraft e apresentação de planilhas detalhadas.</w:t>
      </w:r>
    </w:p>
    <w:p w14:paraId="3A427520">
      <w:pPr>
        <w:spacing w:before="240" w:after="240"/>
        <w:jc w:val="both"/>
        <w:rPr>
          <w:color w:val="000000"/>
          <w:sz w:val="27"/>
          <w:szCs w:val="27"/>
        </w:rPr>
      </w:pPr>
      <w:r>
        <w:rPr>
          <w:b/>
          <w:bCs/>
          <w:color w:val="000000"/>
          <w:sz w:val="27"/>
          <w:szCs w:val="27"/>
        </w:rPr>
        <w:t>2. Critérios de aceitação:</w:t>
      </w:r>
    </w:p>
    <w:p w14:paraId="22940E44">
      <w:pPr>
        <w:numPr>
          <w:ilvl w:val="0"/>
          <w:numId w:val="28"/>
        </w:numPr>
        <w:spacing w:before="240"/>
        <w:jc w:val="both"/>
        <w:rPr>
          <w:color w:val="000000"/>
          <w:sz w:val="27"/>
          <w:szCs w:val="27"/>
        </w:rPr>
      </w:pPr>
      <w:r>
        <w:rPr>
          <w:color w:val="000000"/>
          <w:sz w:val="27"/>
          <w:szCs w:val="27"/>
        </w:rPr>
        <w:t>Serão considerados aceitos os kits que cumprirem integralmente as especificações de qualidade, validade, acondicionamento, higienização e padronização, conforme previsto no Termo de Referência.</w:t>
      </w:r>
    </w:p>
    <w:p w14:paraId="24F3FEAD">
      <w:pPr>
        <w:numPr>
          <w:ilvl w:val="0"/>
          <w:numId w:val="28"/>
        </w:numPr>
        <w:spacing w:after="240"/>
        <w:jc w:val="both"/>
        <w:rPr>
          <w:color w:val="000000"/>
          <w:sz w:val="27"/>
          <w:szCs w:val="27"/>
        </w:rPr>
      </w:pPr>
      <w:r>
        <w:rPr>
          <w:color w:val="000000"/>
          <w:sz w:val="27"/>
          <w:szCs w:val="27"/>
        </w:rPr>
        <w:t>Qualquer não conformidade identificada implicará a recusa parcial ou total do lote, com notificação imediata da empresa contratada para substituição ou correção no prazo estabelecido.</w:t>
      </w:r>
    </w:p>
    <w:p w14:paraId="3F7E00A0">
      <w:pPr>
        <w:spacing w:before="240" w:after="240"/>
        <w:jc w:val="both"/>
        <w:rPr>
          <w:color w:val="000000"/>
          <w:sz w:val="27"/>
          <w:szCs w:val="27"/>
        </w:rPr>
      </w:pPr>
      <w:r>
        <w:rPr>
          <w:b/>
          <w:bCs/>
          <w:color w:val="000000"/>
          <w:sz w:val="27"/>
          <w:szCs w:val="27"/>
        </w:rPr>
        <w:t>3. Fiscalização documental e sanitária:</w:t>
      </w:r>
    </w:p>
    <w:p w14:paraId="5FEAC26E">
      <w:pPr>
        <w:numPr>
          <w:ilvl w:val="0"/>
          <w:numId w:val="29"/>
        </w:numPr>
        <w:spacing w:before="240"/>
        <w:jc w:val="both"/>
        <w:rPr>
          <w:color w:val="000000"/>
          <w:sz w:val="27"/>
          <w:szCs w:val="27"/>
        </w:rPr>
      </w:pPr>
      <w:r>
        <w:rPr>
          <w:color w:val="000000"/>
          <w:sz w:val="27"/>
          <w:szCs w:val="27"/>
        </w:rPr>
        <w:t>Além da conferência física, serão verificados os documentos de controle de qualidade, planilhas de lotes, certificados de conformidade, notas fiscais e comprovação de licenças sanitárias vigentes do fornecedor.</w:t>
      </w:r>
    </w:p>
    <w:p w14:paraId="4C31DAAA">
      <w:pPr>
        <w:spacing w:before="240" w:after="240"/>
        <w:jc w:val="both"/>
        <w:rPr>
          <w:color w:val="000000"/>
          <w:sz w:val="27"/>
          <w:szCs w:val="27"/>
        </w:rPr>
      </w:pPr>
      <w:r>
        <w:rPr>
          <w:b/>
          <w:bCs/>
          <w:color w:val="000000"/>
          <w:sz w:val="27"/>
          <w:szCs w:val="27"/>
        </w:rPr>
        <w:t>4. Recebimento definitivo:</w:t>
      </w:r>
    </w:p>
    <w:p w14:paraId="2F9E8A65">
      <w:pPr>
        <w:numPr>
          <w:ilvl w:val="0"/>
          <w:numId w:val="30"/>
        </w:numPr>
        <w:spacing w:before="240"/>
        <w:jc w:val="both"/>
        <w:rPr>
          <w:color w:val="000000"/>
          <w:sz w:val="27"/>
          <w:szCs w:val="27"/>
        </w:rPr>
      </w:pPr>
      <w:r>
        <w:rPr>
          <w:color w:val="000000"/>
          <w:sz w:val="27"/>
          <w:szCs w:val="27"/>
        </w:rPr>
        <w:t>Após sanadas eventuais não conformidades, o fiscal do contrato emitirá o Termo de Recebimento Definitivo, formalizando o aceite dos kits. Esse termo será condição obrigatória para liberação do pagamento.</w:t>
      </w:r>
    </w:p>
    <w:p w14:paraId="703007F9">
      <w:pPr>
        <w:numPr>
          <w:ilvl w:val="0"/>
          <w:numId w:val="30"/>
        </w:numPr>
        <w:spacing w:after="240"/>
        <w:jc w:val="both"/>
        <w:rPr>
          <w:color w:val="000000"/>
          <w:sz w:val="27"/>
          <w:szCs w:val="27"/>
        </w:rPr>
      </w:pPr>
      <w:r>
        <w:rPr>
          <w:color w:val="000000"/>
          <w:sz w:val="27"/>
          <w:szCs w:val="27"/>
        </w:rPr>
        <w:t>O aceite definitivo pressupõe que os kits tenham sido entregues no prazo, em perfeitas condições, e estejam aptos para distribuição aos alunos sem riscos à segurança alimentar.</w:t>
      </w:r>
    </w:p>
    <w:p w14:paraId="7DAEE000">
      <w:pPr>
        <w:spacing w:before="240" w:after="240"/>
        <w:jc w:val="both"/>
        <w:rPr>
          <w:color w:val="000000"/>
          <w:sz w:val="27"/>
          <w:szCs w:val="27"/>
        </w:rPr>
      </w:pPr>
      <w:r>
        <w:rPr>
          <w:b/>
          <w:bCs/>
          <w:color w:val="000000"/>
          <w:sz w:val="27"/>
          <w:szCs w:val="27"/>
        </w:rPr>
        <w:t>5. Indicadores de qualidade e monitoramento:</w:t>
      </w:r>
    </w:p>
    <w:p w14:paraId="38D46CA4">
      <w:pPr>
        <w:numPr>
          <w:ilvl w:val="0"/>
          <w:numId w:val="31"/>
        </w:numPr>
        <w:spacing w:before="240"/>
        <w:jc w:val="both"/>
        <w:rPr>
          <w:color w:val="000000"/>
          <w:sz w:val="27"/>
          <w:szCs w:val="27"/>
        </w:rPr>
      </w:pPr>
      <w:r>
        <w:rPr>
          <w:color w:val="000000"/>
          <w:sz w:val="27"/>
          <w:szCs w:val="27"/>
        </w:rPr>
        <w:t>Durante todo o processo, a equipe de fiscalização acompanhará indicadores como: percentual de kits conformes, ocorrência de atrasos, adequação das embalagens e cumprimento das condições sanitárias.</w:t>
      </w:r>
    </w:p>
    <w:p w14:paraId="4858A72B">
      <w:pPr>
        <w:numPr>
          <w:ilvl w:val="0"/>
          <w:numId w:val="31"/>
        </w:numPr>
        <w:spacing w:after="240"/>
        <w:jc w:val="both"/>
        <w:rPr>
          <w:color w:val="000000"/>
          <w:sz w:val="27"/>
          <w:szCs w:val="27"/>
        </w:rPr>
      </w:pPr>
      <w:r>
        <w:rPr>
          <w:color w:val="000000"/>
          <w:sz w:val="27"/>
          <w:szCs w:val="27"/>
        </w:rPr>
        <w:t>Esses indicadores servirão para ativar medidas corretivas ou aplicação de penalidades previstas contratualmente, caso necessário.</w:t>
      </w:r>
    </w:p>
    <w:p w14:paraId="0C12036D">
      <w:pPr>
        <w:spacing w:before="240" w:after="240"/>
        <w:jc w:val="both"/>
        <w:rPr>
          <w:color w:val="000000"/>
          <w:sz w:val="27"/>
          <w:szCs w:val="27"/>
        </w:rPr>
      </w:pPr>
      <w:r>
        <w:rPr>
          <w:b/>
          <w:bCs/>
          <w:color w:val="000000"/>
          <w:sz w:val="27"/>
          <w:szCs w:val="27"/>
        </w:rPr>
        <w:t>6. Registros e rastreabilidade:</w:t>
      </w:r>
    </w:p>
    <w:p w14:paraId="2A1A282B">
      <w:pPr>
        <w:numPr>
          <w:ilvl w:val="0"/>
          <w:numId w:val="32"/>
        </w:numPr>
        <w:spacing w:before="240" w:after="240"/>
        <w:jc w:val="both"/>
        <w:rPr>
          <w:color w:val="000000"/>
          <w:sz w:val="27"/>
          <w:szCs w:val="27"/>
        </w:rPr>
      </w:pPr>
      <w:r>
        <w:rPr>
          <w:color w:val="000000"/>
          <w:sz w:val="27"/>
          <w:szCs w:val="27"/>
        </w:rPr>
        <w:t>Todas as etapas de conferência e aceite deverão ser registradas em relatórios, assinados pelos responsáveis, garantindo rastreabilidade, transparência e controle efetivo da execução contratual.</w:t>
      </w:r>
      <w:r>
        <w:rPr>
          <w:color w:val="000000"/>
          <w:sz w:val="27"/>
          <w:szCs w:val="27"/>
        </w:rPr>
        <w:br w:type="textWrapping"/>
      </w:r>
      <w:r>
        <w:rPr>
          <w:color w:val="000000"/>
          <w:sz w:val="27"/>
          <w:szCs w:val="27"/>
        </w:rPr>
        <w:br w:type="textWrapping"/>
      </w:r>
      <w:r>
        <w:rPr>
          <w:color w:val="000000"/>
          <w:sz w:val="27"/>
          <w:szCs w:val="27"/>
        </w:rPr>
        <w:t> </w:t>
      </w:r>
    </w:p>
    <w:p w14:paraId="4883BC9B">
      <w:pPr>
        <w:spacing w:before="240" w:after="240"/>
        <w:jc w:val="both"/>
        <w:rPr>
          <w:color w:val="000000"/>
          <w:sz w:val="27"/>
          <w:szCs w:val="27"/>
        </w:rPr>
      </w:pPr>
      <w:r>
        <w:rPr>
          <w:color w:val="000000"/>
          <w:sz w:val="27"/>
          <w:szCs w:val="27"/>
        </w:rPr>
        <w:t>Essa metodologia visa garantir que a Administração receba kits de lanches de qualidade, padronizados, seguros para o consumo dos alunos e em conformidade com as exigências legais e técnicas estabelecidas no processo licitatório.</w:t>
      </w:r>
    </w:p>
    <w:p w14:paraId="00E76EFD">
      <w:pPr>
        <w:numPr>
          <w:ilvl w:val="0"/>
          <w:numId w:val="33"/>
        </w:numPr>
        <w:shd w:val="clear" w:color="auto" w:fill="BFBFBF"/>
        <w:spacing w:before="480" w:after="120"/>
        <w:jc w:val="both"/>
        <w:rPr>
          <w:color w:val="000000"/>
          <w:sz w:val="27"/>
          <w:szCs w:val="27"/>
        </w:rPr>
      </w:pPr>
      <w:r>
        <w:rPr>
          <w:b/>
          <w:bCs/>
          <w:color w:val="000000"/>
          <w:sz w:val="27"/>
          <w:szCs w:val="27"/>
        </w:rPr>
        <w:t>MODELO DE EXECUÇÃO DO OBJETO (art. 6, XXIII, e, da Lei 14.133/2021)  </w:t>
      </w:r>
    </w:p>
    <w:p w14:paraId="499989DF">
      <w:pPr>
        <w:spacing w:before="120" w:after="120"/>
        <w:jc w:val="both"/>
        <w:rPr>
          <w:color w:val="000000"/>
          <w:sz w:val="27"/>
          <w:szCs w:val="27"/>
        </w:rPr>
      </w:pPr>
      <w:r>
        <w:rPr>
          <w:color w:val="000000"/>
          <w:sz w:val="27"/>
          <w:szCs w:val="27"/>
        </w:rPr>
        <w:t>- O contrato deverá ser executado fielmente pelas partes, de acordo com as cláusulas avençadas nos termos do instrumento convocatório, do Termo de Referência, da legislação vigente, e cada parte responderá pelas consequências de sua inexecução total ou parcial, conforme art. 115, Lei 14.133/2021;</w:t>
      </w:r>
    </w:p>
    <w:p w14:paraId="224AFF10">
      <w:pPr>
        <w:spacing w:before="120" w:after="120"/>
        <w:jc w:val="both"/>
        <w:rPr>
          <w:color w:val="000000"/>
          <w:sz w:val="27"/>
          <w:szCs w:val="27"/>
        </w:rPr>
      </w:pPr>
      <w:r>
        <w:rPr>
          <w:color w:val="000000"/>
          <w:sz w:val="27"/>
          <w:szCs w:val="27"/>
        </w:rPr>
        <w:t>-Em caso de impedimento, ordem de paralisação ou suspensão do contrato, o cronograma de execução será prorrogado automaticamente pelo tempo correspondente, anotadas tais circunstâncias mediante simples apostila, conforme § 5º do art. 115, da Lei 14.133/2021;</w:t>
      </w:r>
    </w:p>
    <w:p w14:paraId="3227DFF5">
      <w:pPr>
        <w:spacing w:before="120" w:after="120"/>
        <w:jc w:val="both"/>
        <w:rPr>
          <w:color w:val="000000"/>
          <w:sz w:val="27"/>
          <w:szCs w:val="27"/>
        </w:rPr>
      </w:pPr>
      <w:r>
        <w:rPr>
          <w:color w:val="000000"/>
          <w:sz w:val="27"/>
          <w:szCs w:val="27"/>
        </w:rPr>
        <w:t>-A execução do contrato deverá produzir os efeitos de execução total do serviço requisitado mediante solicitação desta Secretaria.</w:t>
      </w:r>
    </w:p>
    <w:p w14:paraId="3EC776FF">
      <w:pPr>
        <w:numPr>
          <w:ilvl w:val="0"/>
          <w:numId w:val="34"/>
        </w:numPr>
        <w:shd w:val="clear" w:color="auto" w:fill="BFBFBF"/>
        <w:spacing w:before="480" w:after="120"/>
        <w:jc w:val="both"/>
        <w:rPr>
          <w:color w:val="000000"/>
          <w:sz w:val="27"/>
          <w:szCs w:val="27"/>
        </w:rPr>
      </w:pPr>
      <w:r>
        <w:rPr>
          <w:b/>
          <w:bCs/>
          <w:color w:val="000000"/>
          <w:sz w:val="27"/>
          <w:szCs w:val="27"/>
        </w:rPr>
        <w:t>DA GESTÃO E FISCALIZAÇÃO DO CONTRATO (art. 6, XXIII, i, da Lei 14.133/2021)</w:t>
      </w:r>
    </w:p>
    <w:p w14:paraId="052CE8EF">
      <w:pPr>
        <w:spacing w:before="120" w:after="120"/>
        <w:jc w:val="both"/>
        <w:rPr>
          <w:color w:val="000000"/>
          <w:sz w:val="27"/>
          <w:szCs w:val="27"/>
        </w:rPr>
      </w:pPr>
      <w:r>
        <w:rPr>
          <w:color w:val="000000"/>
          <w:sz w:val="27"/>
          <w:szCs w:val="27"/>
        </w:rPr>
        <w:t>-Nos termos do art. 117 da Lei nº 14.133, de 2021, será designado representantes da Administração para acompanhar e fiscalizar a entrega dos bens/serviços, anotando em registro próprio todas as ocorrências relacionadas com a execução e determinando o que for necessário à regularização de faltas ou defeitos observados.</w:t>
      </w:r>
    </w:p>
    <w:p w14:paraId="26F0D990">
      <w:pPr>
        <w:spacing w:before="120" w:after="120"/>
        <w:jc w:val="both"/>
        <w:rPr>
          <w:color w:val="000000"/>
          <w:sz w:val="27"/>
          <w:szCs w:val="27"/>
        </w:rPr>
      </w:pPr>
      <w:r>
        <w:rPr>
          <w:color w:val="000000"/>
          <w:sz w:val="27"/>
          <w:szCs w:val="27"/>
        </w:rPr>
        <w:t>-A fiscalização de que trata este item não exclui nem reduz a responsabilidade da Contratada, inclusive perante terceiros, pelos danos causados diretamente à administração ou a terceiros em razão da execução do contrato, de conformidade com o art. 120 da Lei nº 14.133, de 2021.</w:t>
      </w:r>
    </w:p>
    <w:p w14:paraId="00D740C2">
      <w:pPr>
        <w:spacing w:before="120" w:after="120"/>
        <w:jc w:val="both"/>
        <w:rPr>
          <w:color w:val="000000"/>
          <w:sz w:val="27"/>
          <w:szCs w:val="27"/>
        </w:rPr>
      </w:pPr>
      <w:r>
        <w:rPr>
          <w:b/>
          <w:bCs/>
          <w:color w:val="000000"/>
          <w:sz w:val="27"/>
          <w:szCs w:val="27"/>
        </w:rPr>
        <w:t>-Ficam indicados como fiscal e fiscal substituto do contrato, os seguintes servidores: </w:t>
      </w:r>
    </w:p>
    <w:p w14:paraId="5CDC04FA">
      <w:pPr>
        <w:spacing w:before="120" w:after="120"/>
        <w:jc w:val="both"/>
        <w:rPr>
          <w:color w:val="000000"/>
          <w:sz w:val="27"/>
          <w:szCs w:val="27"/>
        </w:rPr>
      </w:pPr>
      <w:r>
        <w:rPr>
          <w:color w:val="000000"/>
          <w:sz w:val="27"/>
          <w:szCs w:val="27"/>
        </w:rPr>
        <w:t>Marianne Elena da Silva – Matrícula: 140.180 -Gestor do Contrato </w:t>
      </w:r>
    </w:p>
    <w:p w14:paraId="7FB7D4FE">
      <w:pPr>
        <w:spacing w:before="120" w:after="120"/>
        <w:jc w:val="both"/>
        <w:rPr>
          <w:color w:val="000000"/>
          <w:sz w:val="27"/>
          <w:szCs w:val="27"/>
        </w:rPr>
      </w:pPr>
      <w:r>
        <w:rPr>
          <w:color w:val="000000"/>
          <w:sz w:val="27"/>
          <w:szCs w:val="27"/>
        </w:rPr>
        <w:t>Maria Eduarda Damasceno Maia - Matrícula 211.761  - Gestora do Contrato Suplente </w:t>
      </w:r>
    </w:p>
    <w:p w14:paraId="4A730856">
      <w:pPr>
        <w:spacing w:before="120" w:after="120"/>
        <w:jc w:val="both"/>
        <w:rPr>
          <w:color w:val="000000"/>
          <w:sz w:val="27"/>
          <w:szCs w:val="27"/>
        </w:rPr>
      </w:pPr>
      <w:r>
        <w:rPr>
          <w:color w:val="000000"/>
          <w:sz w:val="27"/>
          <w:szCs w:val="27"/>
        </w:rPr>
        <w:t>Maraci da Silva Corrêa do Natal - Matrícula: 126.276-  -  Fiscal Técnico</w:t>
      </w:r>
    </w:p>
    <w:p w14:paraId="3A13B305">
      <w:pPr>
        <w:spacing w:before="120" w:after="120"/>
        <w:jc w:val="both"/>
        <w:rPr>
          <w:color w:val="000000"/>
          <w:sz w:val="27"/>
          <w:szCs w:val="27"/>
        </w:rPr>
      </w:pPr>
      <w:r>
        <w:rPr>
          <w:color w:val="000000"/>
          <w:sz w:val="27"/>
          <w:szCs w:val="27"/>
        </w:rPr>
        <w:t>Silvia Souza Maria - Matrícula: 138.630  - Fiscal Setorial</w:t>
      </w:r>
    </w:p>
    <w:p w14:paraId="20C79040">
      <w:pPr>
        <w:spacing w:before="120" w:after="120"/>
        <w:jc w:val="both"/>
        <w:rPr>
          <w:color w:val="000000"/>
          <w:sz w:val="27"/>
          <w:szCs w:val="27"/>
        </w:rPr>
      </w:pPr>
      <w:r>
        <w:rPr>
          <w:color w:val="000000"/>
          <w:sz w:val="27"/>
          <w:szCs w:val="27"/>
        </w:rPr>
        <w:t>Thaianne Miguel Ferreira - Matrícula: 144.219- Fiscal  Administrativo</w:t>
      </w:r>
    </w:p>
    <w:p w14:paraId="22F59B07">
      <w:pPr>
        <w:numPr>
          <w:ilvl w:val="0"/>
          <w:numId w:val="35"/>
        </w:numPr>
        <w:shd w:val="clear" w:color="auto" w:fill="BFBFBF"/>
        <w:spacing w:before="480" w:after="120"/>
        <w:jc w:val="both"/>
        <w:rPr>
          <w:color w:val="000000"/>
          <w:sz w:val="27"/>
          <w:szCs w:val="27"/>
        </w:rPr>
      </w:pPr>
      <w:r>
        <w:rPr>
          <w:b/>
          <w:bCs/>
          <w:color w:val="000000"/>
          <w:sz w:val="27"/>
          <w:szCs w:val="27"/>
        </w:rPr>
        <w:t>DOS CRITÉRIOS DE MEDIÇÃO E PAGAMENTO (art. 6, XXIII, g, da Lei 14.133/2021)</w:t>
      </w:r>
    </w:p>
    <w:p w14:paraId="434922BA">
      <w:pPr>
        <w:spacing w:before="120"/>
        <w:jc w:val="both"/>
        <w:rPr>
          <w:color w:val="000000"/>
          <w:sz w:val="27"/>
          <w:szCs w:val="27"/>
        </w:rPr>
      </w:pPr>
      <w:r>
        <w:rPr>
          <w:color w:val="000000"/>
          <w:sz w:val="27"/>
          <w:szCs w:val="27"/>
        </w:rPr>
        <w:t>-O pagamento será realizado no prazo de até 30 (trinta) dias, contados a partir do recebimento da Nota Fiscal ou Fatura, observando-se a ordem cronológica para cada fonte diferenciada de recursos, em função do cumprimento do art. 141 da Lei 14.133/2021. E somente será efetivada depois de verificada a regularidade fiscal da contratada, ficando a mesma ciente de que as certidões apresentadas no ato da contratação deverão ser renovadas no prazo de seus vencimentos;</w:t>
      </w:r>
    </w:p>
    <w:p w14:paraId="67C60279">
      <w:pPr>
        <w:jc w:val="both"/>
        <w:rPr>
          <w:color w:val="000000"/>
          <w:sz w:val="27"/>
          <w:szCs w:val="27"/>
        </w:rPr>
      </w:pPr>
      <w:r>
        <w:rPr>
          <w:color w:val="000000"/>
          <w:sz w:val="27"/>
          <w:szCs w:val="27"/>
        </w:rPr>
        <w:t>-Sendo: Considera-se ocorrido o recebimento da nota fiscal ou fatura no momento em que o órgão contratante emitir a Nota de Liquidação;</w:t>
      </w:r>
    </w:p>
    <w:p w14:paraId="3259D20C">
      <w:pPr>
        <w:spacing w:after="120"/>
        <w:jc w:val="both"/>
        <w:rPr>
          <w:color w:val="000000"/>
          <w:sz w:val="27"/>
          <w:szCs w:val="27"/>
        </w:rPr>
      </w:pPr>
      <w:r>
        <w:rPr>
          <w:color w:val="000000"/>
          <w:sz w:val="27"/>
          <w:szCs w:val="27"/>
        </w:rPr>
        <w:t>-A Contratada deverá apresentar a Nota Fiscal/Fatura com descrição dos serviços e quantidade discriminada logo após a execução do objeto deste Termo.</w:t>
      </w:r>
    </w:p>
    <w:p w14:paraId="3ADBD407">
      <w:pPr>
        <w:numPr>
          <w:ilvl w:val="0"/>
          <w:numId w:val="36"/>
        </w:numPr>
        <w:shd w:val="clear" w:color="auto" w:fill="BFBFBF"/>
        <w:spacing w:before="480" w:after="120"/>
        <w:jc w:val="both"/>
        <w:rPr>
          <w:color w:val="000000"/>
          <w:sz w:val="27"/>
          <w:szCs w:val="27"/>
        </w:rPr>
      </w:pPr>
      <w:r>
        <w:rPr>
          <w:b/>
          <w:bCs/>
          <w:color w:val="000000"/>
          <w:sz w:val="27"/>
          <w:szCs w:val="27"/>
        </w:rPr>
        <w:t>FORMA E CRITÉRIOS DE SELEÇÃO DO FORNECEDOR (art. 6, XXIII, h, da Lei 14.133/2021)</w:t>
      </w:r>
    </w:p>
    <w:p w14:paraId="1E61D6D4">
      <w:pPr>
        <w:spacing w:before="120" w:after="120"/>
        <w:jc w:val="both"/>
        <w:rPr>
          <w:color w:val="000000"/>
          <w:sz w:val="27"/>
          <w:szCs w:val="27"/>
        </w:rPr>
      </w:pPr>
      <w:r>
        <w:rPr>
          <w:color w:val="000000"/>
          <w:sz w:val="27"/>
          <w:szCs w:val="27"/>
        </w:rPr>
        <w:t>-A aquisição do objeto/a prestação dos serviços será realizada através de Sistema de Registro de Preços?    (x ) sim   ou   (  ) não</w:t>
      </w:r>
    </w:p>
    <w:p w14:paraId="2A7B4507">
      <w:pPr>
        <w:spacing w:before="120" w:after="120"/>
        <w:jc w:val="both"/>
        <w:rPr>
          <w:color w:val="000000"/>
          <w:sz w:val="27"/>
          <w:szCs w:val="27"/>
        </w:rPr>
      </w:pPr>
      <w:r>
        <w:rPr>
          <w:color w:val="000000"/>
          <w:sz w:val="27"/>
          <w:szCs w:val="27"/>
        </w:rPr>
        <w:t>-Qual critério de julgamento será utilizado? Menor Preço por um LOTE ÚNICO.</w:t>
      </w:r>
    </w:p>
    <w:p w14:paraId="5613F85B">
      <w:pPr>
        <w:spacing w:before="120" w:after="120"/>
        <w:jc w:val="both"/>
        <w:rPr>
          <w:color w:val="000000"/>
          <w:sz w:val="27"/>
          <w:szCs w:val="27"/>
        </w:rPr>
      </w:pPr>
      <w:r>
        <w:rPr>
          <w:color w:val="000000"/>
          <w:sz w:val="27"/>
          <w:szCs w:val="27"/>
        </w:rPr>
        <w:t> - Modo de disputa: ABERTO E FECHADO</w:t>
      </w:r>
    </w:p>
    <w:p w14:paraId="572B9A97">
      <w:pPr>
        <w:spacing w:before="120" w:after="120"/>
        <w:jc w:val="both"/>
        <w:rPr>
          <w:color w:val="000000"/>
          <w:sz w:val="27"/>
          <w:szCs w:val="27"/>
        </w:rPr>
      </w:pPr>
      <w:r>
        <w:rPr>
          <w:color w:val="000000"/>
          <w:sz w:val="27"/>
          <w:szCs w:val="27"/>
        </w:rPr>
        <w:t>- Modalidade: PREGÃO ELETRÔNICO, na forma de REGISTRO DE PREÇOS.</w:t>
      </w:r>
    </w:p>
    <w:p w14:paraId="3ED68366">
      <w:pPr>
        <w:spacing w:before="120" w:after="120"/>
        <w:jc w:val="both"/>
        <w:rPr>
          <w:color w:val="000000"/>
          <w:sz w:val="27"/>
          <w:szCs w:val="27"/>
        </w:rPr>
      </w:pPr>
      <w:r>
        <w:rPr>
          <w:color w:val="000000"/>
          <w:sz w:val="27"/>
          <w:szCs w:val="27"/>
        </w:rPr>
        <w:t>- A adjudicação será GLOBAL</w:t>
      </w:r>
    </w:p>
    <w:p w14:paraId="467BB326">
      <w:pPr>
        <w:spacing w:before="93"/>
        <w:ind w:right="165"/>
        <w:jc w:val="both"/>
        <w:rPr>
          <w:color w:val="000000"/>
          <w:sz w:val="27"/>
          <w:szCs w:val="27"/>
        </w:rPr>
      </w:pPr>
      <w:r>
        <w:rPr>
          <w:color w:val="000000"/>
          <w:sz w:val="27"/>
          <w:szCs w:val="27"/>
        </w:rPr>
        <w:t>O objeto possui padrões de desempenho e qualidade que podem ser objetivamente definidos pelo edital, por meio de especificações usuais de mercado. (art. 6º, XLI c/c art. 29 da Lei nº 14.133/21).</w:t>
      </w:r>
    </w:p>
    <w:p w14:paraId="1294A381">
      <w:pPr>
        <w:ind w:left="60" w:right="60"/>
        <w:rPr>
          <w:color w:val="000000"/>
          <w:sz w:val="22"/>
          <w:szCs w:val="22"/>
        </w:rPr>
      </w:pPr>
      <w:r>
        <w:rPr>
          <w:color w:val="000000"/>
          <w:sz w:val="22"/>
          <w:szCs w:val="22"/>
        </w:rPr>
        <w:t> </w:t>
      </w:r>
    </w:p>
    <w:p w14:paraId="6B515883">
      <w:pPr>
        <w:ind w:left="60" w:right="60"/>
        <w:rPr>
          <w:color w:val="000000"/>
          <w:sz w:val="22"/>
          <w:szCs w:val="22"/>
        </w:rPr>
      </w:pPr>
      <w:r>
        <w:rPr>
          <w:b/>
          <w:bCs/>
          <w:color w:val="000000"/>
          <w:sz w:val="22"/>
          <w:szCs w:val="22"/>
        </w:rPr>
        <w:t>Justificativa da Adequação e Eficiência da Combinação dos Parâmetros da Contratação</w:t>
      </w:r>
    </w:p>
    <w:p w14:paraId="2ABD92D3">
      <w:pPr>
        <w:spacing w:before="240" w:after="240"/>
        <w:jc w:val="both"/>
        <w:rPr>
          <w:color w:val="000000"/>
          <w:sz w:val="27"/>
          <w:szCs w:val="27"/>
        </w:rPr>
      </w:pPr>
      <w:r>
        <w:rPr>
          <w:color w:val="000000"/>
          <w:sz w:val="27"/>
          <w:szCs w:val="27"/>
        </w:rPr>
        <w:t>A definição dos parâmetros de contratação foi estabelecida de forma a assegurar eficiência, transparência, economia e seleção da proposta mais vantajosa para a Administração, em consonância com os princípios e diretrizes da Lei nº 14.133/2021, da Lei nº 10.520/2002 e do Decreto Municipal nº 45/2025.</w:t>
      </w:r>
    </w:p>
    <w:p w14:paraId="45B67E98">
      <w:pPr>
        <w:numPr>
          <w:ilvl w:val="0"/>
          <w:numId w:val="37"/>
        </w:numPr>
        <w:spacing w:before="240"/>
        <w:jc w:val="both"/>
        <w:rPr>
          <w:color w:val="000000"/>
          <w:sz w:val="27"/>
          <w:szCs w:val="27"/>
        </w:rPr>
      </w:pPr>
      <w:r>
        <w:rPr>
          <w:b/>
          <w:bCs/>
          <w:color w:val="000000"/>
          <w:sz w:val="27"/>
          <w:szCs w:val="27"/>
        </w:rPr>
        <w:t>Critério de Julgamento</w:t>
      </w:r>
      <w:r>
        <w:rPr>
          <w:color w:val="000000"/>
          <w:sz w:val="27"/>
          <w:szCs w:val="27"/>
        </w:rPr>
        <w:t> – Menor Preço por Lote Único:</w:t>
      </w:r>
      <w:r>
        <w:rPr>
          <w:color w:val="000000"/>
          <w:sz w:val="27"/>
          <w:szCs w:val="27"/>
        </w:rPr>
        <w:br w:type="textWrapping"/>
      </w:r>
      <w:r>
        <w:rPr>
          <w:color w:val="000000"/>
          <w:sz w:val="27"/>
          <w:szCs w:val="27"/>
        </w:rPr>
        <w:t> O critério de julgamento adotado será o menor preço global por lote único, tendo em vista que o objeto — fornecimento de kits de lanches prontos, padronizados e embalados — é indivisível em sua natureza, pois cada kit deve conter todos os itens especificados para garantir padronização, qualidade e eficiência logística. A divisão em vários lotes comprometeria a operacionalização, acarretando riscos de falhas na montagem, perda de padronização e elevação de custos indiretos.</w:t>
      </w:r>
      <w:r>
        <w:rPr>
          <w:color w:val="000000"/>
          <w:sz w:val="27"/>
          <w:szCs w:val="27"/>
        </w:rPr>
        <w:br w:type="textWrapping"/>
      </w:r>
      <w:r>
        <w:rPr>
          <w:color w:val="000000"/>
          <w:sz w:val="27"/>
          <w:szCs w:val="27"/>
        </w:rPr>
        <w:br w:type="textWrapping"/>
      </w:r>
      <w:r>
        <w:rPr>
          <w:color w:val="000000"/>
          <w:sz w:val="27"/>
          <w:szCs w:val="27"/>
        </w:rPr>
        <w:t> </w:t>
      </w:r>
    </w:p>
    <w:p w14:paraId="0523742D">
      <w:pPr>
        <w:numPr>
          <w:ilvl w:val="0"/>
          <w:numId w:val="37"/>
        </w:numPr>
        <w:jc w:val="both"/>
        <w:rPr>
          <w:color w:val="000000"/>
          <w:sz w:val="27"/>
          <w:szCs w:val="27"/>
        </w:rPr>
      </w:pPr>
      <w:r>
        <w:rPr>
          <w:b/>
          <w:bCs/>
          <w:color w:val="000000"/>
          <w:sz w:val="27"/>
          <w:szCs w:val="27"/>
        </w:rPr>
        <w:t>Modo de Disputa</w:t>
      </w:r>
      <w:r>
        <w:rPr>
          <w:color w:val="000000"/>
          <w:sz w:val="27"/>
          <w:szCs w:val="27"/>
        </w:rPr>
        <w:t> – Aberto e Fechado:</w:t>
      </w:r>
    </w:p>
    <w:p w14:paraId="3C2C857D">
      <w:pPr>
        <w:jc w:val="both"/>
        <w:rPr>
          <w:color w:val="000000"/>
          <w:sz w:val="27"/>
          <w:szCs w:val="27"/>
        </w:rPr>
      </w:pPr>
      <w:r>
        <w:rPr>
          <w:color w:val="000000"/>
          <w:sz w:val="27"/>
          <w:szCs w:val="27"/>
        </w:rPr>
        <w:t>Será adotado o modo de disputa aberto e fechado, conforme previsto no art. 31, §2º, da Lei nº 14.133/2021. Inicialmente, os licitantes apresentarão lances sucessivos e públicos (fase aberta), promovendo ampla competitividade e transparência. Em seguida, haverá fase fechada, na qual os licitantes mais bem classificados poderão apresentar lance final sigiloso, o que potencializa a obtenção de proposta mais vantajosa para a Administração, ao estimular maior competitividade estratégica entre os participantes. </w:t>
      </w:r>
    </w:p>
    <w:p w14:paraId="1309ED85">
      <w:pPr>
        <w:spacing w:before="120" w:after="120"/>
        <w:ind w:left="120" w:right="120" w:firstLine="1699"/>
        <w:jc w:val="both"/>
        <w:rPr>
          <w:color w:val="000000"/>
          <w:sz w:val="27"/>
          <w:szCs w:val="27"/>
        </w:rPr>
      </w:pPr>
      <w:r>
        <w:rPr>
          <w:color w:val="000000"/>
          <w:sz w:val="27"/>
          <w:szCs w:val="27"/>
        </w:rPr>
        <w:br w:type="textWrapping"/>
      </w:r>
      <w:r>
        <w:rPr>
          <w:color w:val="000000"/>
          <w:sz w:val="27"/>
          <w:szCs w:val="27"/>
        </w:rPr>
        <w:t> </w:t>
      </w:r>
    </w:p>
    <w:p w14:paraId="7EE9CA60">
      <w:pPr>
        <w:numPr>
          <w:ilvl w:val="0"/>
          <w:numId w:val="38"/>
        </w:numPr>
        <w:jc w:val="both"/>
        <w:rPr>
          <w:color w:val="000000"/>
          <w:sz w:val="27"/>
          <w:szCs w:val="27"/>
        </w:rPr>
      </w:pPr>
      <w:r>
        <w:rPr>
          <w:b/>
          <w:bCs/>
          <w:color w:val="000000"/>
          <w:sz w:val="27"/>
          <w:szCs w:val="27"/>
        </w:rPr>
        <w:t>Modalidade</w:t>
      </w:r>
      <w:r>
        <w:rPr>
          <w:color w:val="000000"/>
          <w:sz w:val="27"/>
          <w:szCs w:val="27"/>
        </w:rPr>
        <w:t> – Pregão Eletrônico (Registro de Preços):</w:t>
      </w:r>
      <w:r>
        <w:rPr>
          <w:color w:val="000000"/>
          <w:sz w:val="27"/>
          <w:szCs w:val="27"/>
        </w:rPr>
        <w:br w:type="textWrapping"/>
      </w:r>
      <w:r>
        <w:rPr>
          <w:color w:val="000000"/>
          <w:sz w:val="27"/>
          <w:szCs w:val="27"/>
        </w:rPr>
        <w:t> A utilização do Pregão Eletrônico na forma de Sistema de Registro de Preços (SRP) justifica-se pela necessidade de atender demandas futuras e eventuais de forma planejada, ágil e vantajosa, conforme art. 82 da Lei nº 14.133/2021. O SRP permitirá que o fornecimento seja ajustado de acordo com as datas e quantidades necessárias, evitando desperdícios e garantindo o abastecimento de forma economicamente eficiente.</w:t>
      </w:r>
      <w:r>
        <w:rPr>
          <w:color w:val="000000"/>
          <w:sz w:val="27"/>
          <w:szCs w:val="27"/>
        </w:rPr>
        <w:br w:type="textWrapping"/>
      </w:r>
      <w:r>
        <w:rPr>
          <w:color w:val="000000"/>
          <w:sz w:val="27"/>
          <w:szCs w:val="27"/>
        </w:rPr>
        <w:br w:type="textWrapping"/>
      </w:r>
      <w:r>
        <w:rPr>
          <w:color w:val="000000"/>
          <w:sz w:val="27"/>
          <w:szCs w:val="27"/>
        </w:rPr>
        <w:t> </w:t>
      </w:r>
    </w:p>
    <w:p w14:paraId="6A05B484">
      <w:pPr>
        <w:numPr>
          <w:ilvl w:val="0"/>
          <w:numId w:val="38"/>
        </w:numPr>
        <w:spacing w:after="240"/>
        <w:jc w:val="both"/>
        <w:rPr>
          <w:color w:val="000000"/>
          <w:sz w:val="27"/>
          <w:szCs w:val="27"/>
        </w:rPr>
      </w:pPr>
      <w:r>
        <w:rPr>
          <w:b/>
          <w:bCs/>
          <w:color w:val="000000"/>
          <w:sz w:val="27"/>
          <w:szCs w:val="27"/>
        </w:rPr>
        <w:t>Adjudicação Global:</w:t>
      </w:r>
      <w:r>
        <w:rPr>
          <w:color w:val="000000"/>
          <w:sz w:val="27"/>
          <w:szCs w:val="27"/>
        </w:rPr>
        <w:br w:type="textWrapping"/>
      </w:r>
      <w:r>
        <w:rPr>
          <w:color w:val="000000"/>
          <w:sz w:val="27"/>
          <w:szCs w:val="27"/>
        </w:rPr>
        <w:t> A adjudicação será realizada de forma global, ou seja, o mesmo fornecedor será responsável por entregar todos os kits contratados. Essa opção garante padronização de qualidade, regularidade no fornecimento, simplificação da gestão contratual e maior controle sobre a execução, minimizando riscos operacionais e logísticos.</w:t>
      </w:r>
      <w:r>
        <w:rPr>
          <w:color w:val="000000"/>
          <w:sz w:val="27"/>
          <w:szCs w:val="27"/>
        </w:rPr>
        <w:br w:type="textWrapping"/>
      </w:r>
      <w:r>
        <w:rPr>
          <w:color w:val="000000"/>
          <w:sz w:val="27"/>
          <w:szCs w:val="27"/>
        </w:rPr>
        <w:br w:type="textWrapping"/>
      </w:r>
      <w:r>
        <w:rPr>
          <w:color w:val="000000"/>
          <w:sz w:val="27"/>
          <w:szCs w:val="27"/>
        </w:rPr>
        <w:t> </w:t>
      </w:r>
    </w:p>
    <w:p w14:paraId="77EB1EAA">
      <w:pPr>
        <w:spacing w:before="240" w:after="240"/>
        <w:jc w:val="both"/>
        <w:rPr>
          <w:color w:val="000000"/>
          <w:sz w:val="27"/>
          <w:szCs w:val="27"/>
        </w:rPr>
      </w:pPr>
      <w:r>
        <w:rPr>
          <w:color w:val="000000"/>
          <w:sz w:val="27"/>
          <w:szCs w:val="27"/>
        </w:rPr>
        <w:t>Portanto, a combinação desses parâmetros — menor preço por lote único, modo de disputa aberto e fechado, pregão eletrônico na forma de registro de preços e adjudicação global — é tecnicamente adequada, eficiente e vantajosa, assegurando o atendimento do interesse público, a economicidade e a segurança alimentar dos alunos beneficiários.</w:t>
      </w:r>
    </w:p>
    <w:p w14:paraId="1204637C">
      <w:pPr>
        <w:spacing w:before="240" w:after="240"/>
        <w:jc w:val="both"/>
        <w:rPr>
          <w:color w:val="000000"/>
          <w:sz w:val="27"/>
          <w:szCs w:val="27"/>
        </w:rPr>
      </w:pPr>
      <w:r>
        <w:rPr>
          <w:color w:val="000000"/>
          <w:sz w:val="27"/>
          <w:szCs w:val="27"/>
        </w:rPr>
        <w:t>Previsão de Inclusão de Mão de Obra Socialmente Vulnerável</w:t>
      </w:r>
    </w:p>
    <w:p w14:paraId="4D694C1C">
      <w:pPr>
        <w:spacing w:before="240" w:after="240"/>
        <w:jc w:val="both"/>
        <w:rPr>
          <w:color w:val="000000"/>
          <w:sz w:val="27"/>
          <w:szCs w:val="27"/>
        </w:rPr>
      </w:pPr>
      <w:r>
        <w:rPr>
          <w:color w:val="000000"/>
          <w:sz w:val="27"/>
          <w:szCs w:val="27"/>
        </w:rPr>
        <w:t>Nos termos do art. 25, inciso I, da Lei nº 14.133/2021, a Administração Pública pode prever, sempre que compatível com o objeto da contratação, a inclusão de mão de obra oriunda de segmentos sociais vulneráveis, como forma de promoção da inclusão social, desenvolvimento local e incentivo à cidadania.</w:t>
      </w:r>
    </w:p>
    <w:p w14:paraId="5B99B3A0">
      <w:pPr>
        <w:spacing w:before="240" w:after="240"/>
        <w:jc w:val="both"/>
        <w:rPr>
          <w:color w:val="000000"/>
          <w:sz w:val="27"/>
          <w:szCs w:val="27"/>
        </w:rPr>
      </w:pPr>
      <w:r>
        <w:rPr>
          <w:color w:val="000000"/>
          <w:sz w:val="27"/>
          <w:szCs w:val="27"/>
        </w:rPr>
        <w:t>No entanto, considerando a natureza do objeto da presente contratação – fornecimento emergencial de kits de lanches prontos para consumo, com entrega imediata e logística específica, não será possível a exigência direta de inclusão de mão de obra socialmente vulnerável nesta contratação específica, em razão da limitação temporal, do caráter emergencial e da estrutura logística necessária.</w:t>
      </w:r>
    </w:p>
    <w:p w14:paraId="328CD8B8">
      <w:pPr>
        <w:spacing w:before="240" w:after="240"/>
        <w:jc w:val="both"/>
        <w:rPr>
          <w:color w:val="000000"/>
          <w:sz w:val="27"/>
          <w:szCs w:val="27"/>
        </w:rPr>
      </w:pPr>
      <w:r>
        <w:rPr>
          <w:color w:val="000000"/>
          <w:sz w:val="27"/>
          <w:szCs w:val="27"/>
        </w:rPr>
        <w:t>Ainda assim, recomenda-se que, quando possível, o fornecedor priorize a contratação de pessoas em situação de vulnerabilidade social, como forma de atender aos princípios da responsabilidade social e da função social da contratação pública, especialmente em ações futuras que envolvam prestação de serviços com maior previsibilidade e duração.</w:t>
      </w:r>
    </w:p>
    <w:p w14:paraId="6062CB48">
      <w:pPr>
        <w:spacing w:before="240" w:after="240"/>
        <w:jc w:val="both"/>
        <w:rPr>
          <w:color w:val="000000"/>
          <w:sz w:val="27"/>
          <w:szCs w:val="27"/>
        </w:rPr>
      </w:pPr>
      <w:r>
        <w:rPr>
          <w:color w:val="000000"/>
          <w:sz w:val="27"/>
          <w:szCs w:val="27"/>
        </w:rPr>
        <w:t>Forma de Seleção, Critério de Julgamento, Prazo de Validade da Proposta e Critérios de Desempate</w:t>
      </w:r>
    </w:p>
    <w:p w14:paraId="491D6B16">
      <w:pPr>
        <w:spacing w:before="240" w:after="240"/>
        <w:jc w:val="both"/>
        <w:rPr>
          <w:color w:val="000000"/>
          <w:sz w:val="27"/>
          <w:szCs w:val="27"/>
        </w:rPr>
      </w:pPr>
      <w:r>
        <w:rPr>
          <w:color w:val="000000"/>
          <w:sz w:val="27"/>
          <w:szCs w:val="27"/>
        </w:rPr>
        <w:t>Nos termos da Lei nº 14.133/2021 e do Decreto Municipal nº 45/2025, a forma de seleção adotada será o Pregão Eletrônico, com critério de julgamento de menor preço por lote único (global), em modo de disputa aberta e fechado, conforme devidamente justificado neste processo.</w:t>
      </w:r>
    </w:p>
    <w:p w14:paraId="08A21458">
      <w:pPr>
        <w:spacing w:before="240" w:after="240"/>
        <w:jc w:val="both"/>
        <w:rPr>
          <w:color w:val="000000"/>
          <w:sz w:val="27"/>
          <w:szCs w:val="27"/>
        </w:rPr>
      </w:pPr>
      <w:r>
        <w:rPr>
          <w:color w:val="000000"/>
          <w:sz w:val="27"/>
          <w:szCs w:val="27"/>
        </w:rPr>
        <w:t>A proposta apresentada pelo licitante deverá contemplar, de forma clara e completa, todos os requisitos estabelecidos no Termo de Referência, e terá prazo de validade mínima de 60 (sessenta) dias, contados da data de sua apresentação, salvo se houver indicação de prazo superior, desde que aceito pela Administração.</w:t>
      </w:r>
    </w:p>
    <w:p w14:paraId="4CF33648">
      <w:pPr>
        <w:spacing w:before="120" w:after="120"/>
        <w:ind w:left="120" w:right="120" w:firstLine="1699"/>
        <w:jc w:val="both"/>
        <w:rPr>
          <w:color w:val="000000"/>
          <w:sz w:val="27"/>
          <w:szCs w:val="27"/>
        </w:rPr>
      </w:pPr>
      <w:r>
        <w:rPr>
          <w:b/>
          <w:bCs/>
          <w:color w:val="000000"/>
          <w:sz w:val="27"/>
          <w:szCs w:val="27"/>
        </w:rPr>
        <w:t>Critérios de Desempate</w:t>
      </w:r>
    </w:p>
    <w:p w14:paraId="2976387B">
      <w:pPr>
        <w:spacing w:before="240" w:after="240"/>
        <w:jc w:val="both"/>
        <w:rPr>
          <w:color w:val="000000"/>
          <w:sz w:val="27"/>
          <w:szCs w:val="27"/>
        </w:rPr>
      </w:pPr>
      <w:r>
        <w:rPr>
          <w:color w:val="000000"/>
          <w:sz w:val="27"/>
          <w:szCs w:val="27"/>
        </w:rPr>
        <w:t>Em caso de empate entre duas ou mais propostas, serão adotados os critérios previstos no art. 60 da Lei nº 14.133/2021, observando-se a seguinte ordem de preferência:</w:t>
      </w:r>
    </w:p>
    <w:p w14:paraId="376195BC">
      <w:pPr>
        <w:spacing w:before="240" w:after="240"/>
        <w:jc w:val="both"/>
        <w:rPr>
          <w:color w:val="000000"/>
          <w:sz w:val="27"/>
          <w:szCs w:val="27"/>
        </w:rPr>
      </w:pPr>
      <w:r>
        <w:rPr>
          <w:color w:val="000000"/>
          <w:sz w:val="27"/>
          <w:szCs w:val="27"/>
        </w:rPr>
        <w:t>I – Disputa final, hipótese em que os licitantes empatados poderão apresentar nova proposta em ato contínuo à classificação;</w:t>
      </w:r>
    </w:p>
    <w:p w14:paraId="35BA18FA">
      <w:pPr>
        <w:spacing w:before="240" w:after="240"/>
        <w:jc w:val="both"/>
        <w:rPr>
          <w:color w:val="000000"/>
          <w:sz w:val="27"/>
          <w:szCs w:val="27"/>
        </w:rPr>
      </w:pPr>
      <w:r>
        <w:rPr>
          <w:color w:val="000000"/>
          <w:sz w:val="27"/>
          <w:szCs w:val="27"/>
        </w:rPr>
        <w:t>II – Avaliação do desempenho contratual prévio dos licitantes, quando houver registros formais disponíveis;</w:t>
      </w:r>
    </w:p>
    <w:p w14:paraId="3F5CF3D4">
      <w:pPr>
        <w:spacing w:before="240" w:after="240"/>
        <w:jc w:val="both"/>
        <w:rPr>
          <w:color w:val="000000"/>
          <w:sz w:val="27"/>
          <w:szCs w:val="27"/>
        </w:rPr>
      </w:pPr>
      <w:r>
        <w:rPr>
          <w:color w:val="000000"/>
          <w:sz w:val="27"/>
          <w:szCs w:val="27"/>
        </w:rPr>
        <w:t>III – Desenvolvimento pelo licitante de ações de equidade entre homens e mulheres no ambiente de trabalho, conforme regulamento;</w:t>
      </w:r>
    </w:p>
    <w:p w14:paraId="6C02F104">
      <w:pPr>
        <w:spacing w:before="240" w:after="240"/>
        <w:jc w:val="both"/>
        <w:rPr>
          <w:color w:val="000000"/>
          <w:sz w:val="27"/>
          <w:szCs w:val="27"/>
        </w:rPr>
      </w:pPr>
      <w:r>
        <w:rPr>
          <w:color w:val="000000"/>
          <w:sz w:val="27"/>
          <w:szCs w:val="27"/>
        </w:rPr>
        <w:t>IV – Desenvolvimento de programa de integridade (compliance), conforme orientações dos órgãos de controle;</w:t>
      </w:r>
    </w:p>
    <w:p w14:paraId="47E520F6">
      <w:pPr>
        <w:spacing w:before="240" w:after="240"/>
        <w:jc w:val="both"/>
        <w:rPr>
          <w:color w:val="000000"/>
          <w:sz w:val="27"/>
          <w:szCs w:val="27"/>
        </w:rPr>
      </w:pPr>
      <w:r>
        <w:rPr>
          <w:color w:val="000000"/>
          <w:sz w:val="27"/>
          <w:szCs w:val="27"/>
        </w:rPr>
        <w:t>V – Persistindo o empate, será realizado sorteio em ato público, com a devida publicidade e transparência.</w:t>
      </w:r>
    </w:p>
    <w:p w14:paraId="3C2E569B">
      <w:pPr>
        <w:spacing w:before="120" w:after="120"/>
        <w:ind w:left="120" w:right="120" w:firstLine="1699"/>
        <w:jc w:val="both"/>
        <w:rPr>
          <w:color w:val="000000"/>
          <w:sz w:val="27"/>
          <w:szCs w:val="27"/>
        </w:rPr>
      </w:pPr>
      <w:r>
        <w:rPr>
          <w:color w:val="000000"/>
          <w:sz w:val="27"/>
          <w:szCs w:val="27"/>
        </w:rPr>
        <w:br w:type="textWrapping"/>
      </w:r>
      <w:r>
        <w:rPr>
          <w:color w:val="000000"/>
          <w:sz w:val="27"/>
          <w:szCs w:val="27"/>
        </w:rPr>
        <w:t> </w:t>
      </w:r>
    </w:p>
    <w:p w14:paraId="58BD5EF6">
      <w:pPr>
        <w:spacing w:before="240" w:after="240"/>
        <w:jc w:val="both"/>
        <w:rPr>
          <w:color w:val="000000"/>
          <w:sz w:val="27"/>
          <w:szCs w:val="27"/>
        </w:rPr>
      </w:pPr>
      <w:r>
        <w:rPr>
          <w:color w:val="000000"/>
          <w:sz w:val="27"/>
          <w:szCs w:val="27"/>
        </w:rPr>
        <w:t>Dessa forma, os critérios estabelecidos asseguram a condução do certame com observância aos princípios da isonomia, transparência, competitividade e seleção da proposta mais vantajosa para a Administração Pública.</w:t>
      </w:r>
    </w:p>
    <w:p w14:paraId="73F0D75C">
      <w:pPr>
        <w:spacing w:before="120" w:after="120"/>
        <w:ind w:left="120" w:right="120" w:firstLine="1699"/>
        <w:jc w:val="both"/>
        <w:rPr>
          <w:color w:val="000000"/>
          <w:sz w:val="27"/>
          <w:szCs w:val="27"/>
        </w:rPr>
      </w:pPr>
      <w:r>
        <w:rPr>
          <w:color w:val="000000"/>
          <w:sz w:val="27"/>
          <w:szCs w:val="27"/>
        </w:rPr>
        <w:br w:type="textWrapping"/>
      </w:r>
      <w:r>
        <w:rPr>
          <w:color w:val="000000"/>
          <w:sz w:val="27"/>
          <w:szCs w:val="27"/>
        </w:rPr>
        <w:br w:type="textWrapping"/>
      </w:r>
      <w:r>
        <w:rPr>
          <w:color w:val="000000"/>
          <w:sz w:val="27"/>
          <w:szCs w:val="27"/>
        </w:rPr>
        <w:t> </w:t>
      </w:r>
    </w:p>
    <w:p w14:paraId="7982D603">
      <w:pPr>
        <w:numPr>
          <w:ilvl w:val="0"/>
          <w:numId w:val="39"/>
        </w:numPr>
        <w:shd w:val="clear" w:color="auto" w:fill="BFBFBF"/>
        <w:spacing w:before="480" w:after="120"/>
        <w:jc w:val="both"/>
        <w:rPr>
          <w:color w:val="000000"/>
          <w:sz w:val="27"/>
          <w:szCs w:val="27"/>
        </w:rPr>
      </w:pPr>
      <w:r>
        <w:rPr>
          <w:b/>
          <w:bCs/>
          <w:color w:val="000000"/>
          <w:sz w:val="27"/>
          <w:szCs w:val="27"/>
        </w:rPr>
        <w:t>ESTIMATIVAS DO VALOR DA CONTRATAÇÃO (art. 6, XXIII, i, da Lei 14.133/2021)</w:t>
      </w:r>
    </w:p>
    <w:p w14:paraId="2B591904">
      <w:pPr>
        <w:spacing w:before="120" w:after="120"/>
        <w:ind w:left="120" w:right="120" w:firstLine="1699"/>
        <w:jc w:val="both"/>
        <w:rPr>
          <w:color w:val="000000"/>
          <w:sz w:val="27"/>
          <w:szCs w:val="27"/>
        </w:rPr>
      </w:pPr>
      <w:r>
        <w:rPr>
          <w:color w:val="000000"/>
          <w:sz w:val="27"/>
          <w:szCs w:val="27"/>
        </w:rPr>
        <w:br w:type="textWrapping"/>
      </w:r>
      <w:r>
        <w:rPr>
          <w:color w:val="000000"/>
          <w:sz w:val="27"/>
          <w:szCs w:val="27"/>
        </w:rPr>
        <w:t> </w:t>
      </w:r>
    </w:p>
    <w:p w14:paraId="142185E6">
      <w:pPr>
        <w:spacing w:before="120" w:after="120"/>
        <w:jc w:val="both"/>
        <w:rPr>
          <w:color w:val="000000"/>
          <w:sz w:val="27"/>
          <w:szCs w:val="27"/>
        </w:rPr>
      </w:pPr>
      <w:r>
        <w:rPr>
          <w:b/>
          <w:bCs/>
          <w:color w:val="000000"/>
          <w:sz w:val="27"/>
          <w:szCs w:val="27"/>
        </w:rPr>
        <w:t>O valor estimado preliminar da contratação é de </w:t>
      </w:r>
      <w:r>
        <w:rPr>
          <w:color w:val="000000"/>
          <w:sz w:val="27"/>
          <w:szCs w:val="27"/>
        </w:rPr>
        <w:t>R$72.000,00 (setenta e dois mil reais).</w:t>
      </w:r>
    </w:p>
    <w:p w14:paraId="651A7B0E">
      <w:pPr>
        <w:spacing w:before="120" w:after="120"/>
        <w:ind w:left="120" w:right="120" w:firstLine="1699"/>
        <w:jc w:val="both"/>
        <w:rPr>
          <w:color w:val="000000"/>
          <w:sz w:val="27"/>
          <w:szCs w:val="27"/>
        </w:rPr>
      </w:pPr>
      <w:r>
        <w:rPr>
          <w:color w:val="000000"/>
          <w:sz w:val="27"/>
          <w:szCs w:val="27"/>
        </w:rPr>
        <w:br w:type="textWrapping"/>
      </w:r>
      <w:r>
        <w:rPr>
          <w:color w:val="000000"/>
          <w:sz w:val="27"/>
          <w:szCs w:val="27"/>
        </w:rPr>
        <w:t> </w:t>
      </w:r>
    </w:p>
    <w:tbl>
      <w:tblPr>
        <w:tblStyle w:val="9"/>
        <w:tblW w:w="9857" w:type="dxa"/>
        <w:tblInd w:w="12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841"/>
        <w:gridCol w:w="4343"/>
        <w:gridCol w:w="874"/>
        <w:gridCol w:w="1127"/>
        <w:gridCol w:w="1133"/>
        <w:gridCol w:w="1539"/>
      </w:tblGrid>
      <w:tr w14:paraId="2A23DDD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14:paraId="43EFB242">
            <w:pPr>
              <w:jc w:val="center"/>
              <w:rPr>
                <w:sz w:val="24"/>
                <w:szCs w:val="24"/>
              </w:rPr>
            </w:pPr>
            <w:r>
              <w:rPr>
                <w:b/>
                <w:bCs/>
                <w:color w:val="000000"/>
                <w:sz w:val="24"/>
                <w:szCs w:val="24"/>
              </w:rPr>
              <w:t>ITEM</w:t>
            </w:r>
          </w:p>
        </w:tc>
        <w:tc>
          <w:tcPr>
            <w:tcW w:w="0" w:type="auto"/>
            <w:tcBorders>
              <w:top w:val="single" w:color="000000" w:sz="8" w:space="0"/>
              <w:left w:val="single" w:color="000000" w:sz="8" w:space="0"/>
              <w:bottom w:val="single" w:color="000000" w:sz="6" w:space="0"/>
              <w:right w:val="single" w:color="000000" w:sz="8" w:space="0"/>
            </w:tcBorders>
            <w:tcMar>
              <w:top w:w="100" w:type="dxa"/>
              <w:left w:w="100" w:type="dxa"/>
              <w:bottom w:w="100" w:type="dxa"/>
              <w:right w:w="100" w:type="dxa"/>
            </w:tcMar>
          </w:tcPr>
          <w:p w14:paraId="5D967693">
            <w:pPr>
              <w:jc w:val="center"/>
              <w:rPr>
                <w:sz w:val="24"/>
                <w:szCs w:val="24"/>
              </w:rPr>
            </w:pPr>
            <w:r>
              <w:rPr>
                <w:b/>
                <w:bCs/>
                <w:color w:val="000000"/>
                <w:sz w:val="24"/>
                <w:szCs w:val="24"/>
              </w:rPr>
              <w:t>ESPECIFICAÇÃO</w:t>
            </w:r>
          </w:p>
        </w:tc>
        <w:tc>
          <w:tcPr>
            <w:tcW w:w="0" w:type="auto"/>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14:paraId="704FD51E">
            <w:pPr>
              <w:jc w:val="center"/>
              <w:rPr>
                <w:sz w:val="24"/>
                <w:szCs w:val="24"/>
              </w:rPr>
            </w:pPr>
            <w:r>
              <w:rPr>
                <w:b/>
                <w:bCs/>
                <w:color w:val="000000"/>
                <w:sz w:val="24"/>
                <w:szCs w:val="24"/>
              </w:rPr>
              <w:t>UNID.</w:t>
            </w:r>
          </w:p>
        </w:tc>
        <w:tc>
          <w:tcPr>
            <w:tcW w:w="0" w:type="auto"/>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14:paraId="41AFD96F">
            <w:pPr>
              <w:jc w:val="center"/>
              <w:rPr>
                <w:sz w:val="24"/>
                <w:szCs w:val="24"/>
              </w:rPr>
            </w:pPr>
            <w:r>
              <w:rPr>
                <w:b/>
                <w:bCs/>
                <w:color w:val="000000"/>
                <w:sz w:val="24"/>
                <w:szCs w:val="24"/>
              </w:rPr>
              <w:t>QUANT.</w:t>
            </w:r>
          </w:p>
        </w:tc>
        <w:tc>
          <w:tcPr>
            <w:tcW w:w="0" w:type="auto"/>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14:paraId="123542C8">
            <w:pPr>
              <w:jc w:val="center"/>
              <w:rPr>
                <w:sz w:val="24"/>
                <w:szCs w:val="24"/>
              </w:rPr>
            </w:pPr>
            <w:r>
              <w:rPr>
                <w:b/>
                <w:bCs/>
                <w:color w:val="000000"/>
                <w:sz w:val="24"/>
                <w:szCs w:val="24"/>
              </w:rPr>
              <w:t>PREÇO UNIT.</w:t>
            </w:r>
          </w:p>
        </w:tc>
        <w:tc>
          <w:tcPr>
            <w:tcW w:w="0" w:type="auto"/>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14:paraId="204FA2C3">
            <w:pPr>
              <w:jc w:val="center"/>
              <w:rPr>
                <w:sz w:val="24"/>
                <w:szCs w:val="24"/>
              </w:rPr>
            </w:pPr>
            <w:r>
              <w:rPr>
                <w:b/>
                <w:bCs/>
                <w:color w:val="000000"/>
                <w:sz w:val="24"/>
                <w:szCs w:val="24"/>
              </w:rPr>
              <w:t>PREÇO TOTAL</w:t>
            </w:r>
          </w:p>
        </w:tc>
      </w:tr>
      <w:tr w14:paraId="1B045DE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000000" w:sz="8" w:space="0"/>
              <w:left w:val="single" w:color="000000" w:sz="8" w:space="0"/>
              <w:bottom w:val="single" w:color="000000" w:sz="8" w:space="0"/>
              <w:right w:val="single" w:color="000000" w:sz="6" w:space="0"/>
            </w:tcBorders>
            <w:tcMar>
              <w:top w:w="100" w:type="dxa"/>
              <w:left w:w="100" w:type="dxa"/>
              <w:bottom w:w="100" w:type="dxa"/>
              <w:right w:w="100" w:type="dxa"/>
            </w:tcMar>
          </w:tcPr>
          <w:p w14:paraId="3D027A7D">
            <w:pPr>
              <w:jc w:val="center"/>
              <w:rPr>
                <w:sz w:val="24"/>
                <w:szCs w:val="24"/>
              </w:rPr>
            </w:pPr>
            <w:r>
              <w:rPr>
                <w:b/>
                <w:bCs/>
                <w:color w:val="000000"/>
                <w:sz w:val="24"/>
                <w:szCs w:val="24"/>
              </w:rPr>
              <w:t>01</w:t>
            </w:r>
          </w:p>
        </w:tc>
        <w:tc>
          <w:tcPr>
            <w:tcW w:w="0" w:type="auto"/>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2321F124">
            <w:pPr>
              <w:spacing w:before="240"/>
              <w:jc w:val="both"/>
              <w:rPr>
                <w:sz w:val="24"/>
                <w:szCs w:val="24"/>
              </w:rPr>
            </w:pPr>
            <w:r>
              <w:rPr>
                <w:b/>
                <w:bCs/>
                <w:color w:val="000000"/>
                <w:sz w:val="24"/>
                <w:szCs w:val="24"/>
              </w:rPr>
              <w:t>KIT LANCHE</w:t>
            </w:r>
          </w:p>
          <w:p w14:paraId="682CC2D9">
            <w:pPr>
              <w:spacing w:before="240"/>
              <w:jc w:val="both"/>
              <w:rPr>
                <w:sz w:val="24"/>
                <w:szCs w:val="24"/>
              </w:rPr>
            </w:pPr>
            <w:r>
              <w:rPr>
                <w:b/>
                <w:bCs/>
                <w:color w:val="000000"/>
                <w:sz w:val="24"/>
                <w:szCs w:val="24"/>
              </w:rPr>
              <w:t>Contendo :</w:t>
            </w:r>
          </w:p>
          <w:p w14:paraId="183BF7B2">
            <w:pPr>
              <w:spacing w:before="240"/>
              <w:jc w:val="both"/>
              <w:rPr>
                <w:sz w:val="24"/>
                <w:szCs w:val="24"/>
              </w:rPr>
            </w:pPr>
            <w:r>
              <w:rPr>
                <w:b/>
                <w:bCs/>
                <w:color w:val="000000"/>
                <w:sz w:val="24"/>
                <w:szCs w:val="24"/>
              </w:rPr>
              <w:t>1 (um) mini bolinho sem recheio de 40g a 45g (tipo “Bolinho Bauducco,muffin”) </w:t>
            </w:r>
            <w:r>
              <w:rPr>
                <w:color w:val="000000"/>
                <w:sz w:val="24"/>
                <w:szCs w:val="24"/>
              </w:rPr>
              <w:t>sabor baunilha, embalagem individual lacrada, com identificação do fabricante, data de fabricação e validade mínima de 60 dias a partir da entrega. </w:t>
            </w:r>
          </w:p>
          <w:p w14:paraId="4F9A1A9D">
            <w:pPr>
              <w:spacing w:before="240"/>
              <w:jc w:val="both"/>
              <w:rPr>
                <w:sz w:val="24"/>
                <w:szCs w:val="24"/>
              </w:rPr>
            </w:pPr>
            <w:r>
              <w:rPr>
                <w:b/>
                <w:bCs/>
                <w:color w:val="000000"/>
                <w:sz w:val="24"/>
                <w:szCs w:val="24"/>
              </w:rPr>
              <w:t>1 (um) biscoito salgado de 24g, </w:t>
            </w:r>
            <w:r>
              <w:rPr>
                <w:color w:val="000000"/>
                <w:sz w:val="24"/>
                <w:szCs w:val="24"/>
              </w:rPr>
              <w:t>sabores diversos, embalado individualmente em embalagem inviolada com identificação do fabricante, data de fabricação e validade mínima de 60 dias (tipo “Club social”). </w:t>
            </w:r>
          </w:p>
          <w:p w14:paraId="65FBE6A7">
            <w:pPr>
              <w:spacing w:before="240"/>
              <w:jc w:val="both"/>
              <w:rPr>
                <w:sz w:val="24"/>
                <w:szCs w:val="24"/>
              </w:rPr>
            </w:pPr>
            <w:r>
              <w:rPr>
                <w:b/>
                <w:bCs/>
                <w:color w:val="000000"/>
                <w:sz w:val="24"/>
                <w:szCs w:val="24"/>
              </w:rPr>
              <w:t>1 (um) suco integral (100% fruta), de 200ml, </w:t>
            </w:r>
            <w:r>
              <w:rPr>
                <w:color w:val="000000"/>
                <w:sz w:val="24"/>
                <w:szCs w:val="24"/>
              </w:rPr>
              <w:t>de caixinha em embalagem Tetra Pak com canudo acoplado, sabor uva, com validade mínima de 60 dias a partir da entrega, com 100% de fruta.</w:t>
            </w:r>
          </w:p>
          <w:p w14:paraId="0BCC8AE9">
            <w:pPr>
              <w:spacing w:before="240"/>
              <w:jc w:val="both"/>
              <w:rPr>
                <w:sz w:val="24"/>
                <w:szCs w:val="24"/>
              </w:rPr>
            </w:pPr>
            <w:r>
              <w:rPr>
                <w:b/>
                <w:bCs/>
                <w:color w:val="000000"/>
                <w:sz w:val="24"/>
                <w:szCs w:val="24"/>
              </w:rPr>
              <w:t>1 (um) doce à base de amendoim, </w:t>
            </w:r>
            <w:r>
              <w:rPr>
                <w:color w:val="000000"/>
                <w:sz w:val="24"/>
                <w:szCs w:val="24"/>
              </w:rPr>
              <w:t>do tipo paçoca em formato cilíndrico ou retangular, peso unitário mínimo: 15g, embalado individualmente, com invólucro que garanta a integridade do produto, identificação do fabricante e validade mínima de 60 dias (tipo “Paçoquita”).</w:t>
            </w:r>
          </w:p>
          <w:p w14:paraId="40F9B1E2">
            <w:pPr>
              <w:spacing w:before="240"/>
              <w:jc w:val="both"/>
              <w:rPr>
                <w:sz w:val="24"/>
                <w:szCs w:val="24"/>
              </w:rPr>
            </w:pPr>
            <w:r>
              <w:rPr>
                <w:b/>
                <w:bCs/>
                <w:color w:val="000000"/>
                <w:sz w:val="24"/>
                <w:szCs w:val="24"/>
              </w:rPr>
              <w:t>1 (um) bebida pronta à base de leite com chocolate, do tipo achocolatado, de 200 ml </w:t>
            </w:r>
            <w:r>
              <w:rPr>
                <w:color w:val="000000"/>
                <w:sz w:val="24"/>
                <w:szCs w:val="24"/>
              </w:rPr>
              <w:t>embalagem tipo Tetra Pak, com canudo acoplado, lacrada e inviolada, validade mínima de 60 dias a partir da entrega, produto industrializado, com identificação clara do fabricante e tabela nutricional (tipo “Toddynho”). </w:t>
            </w:r>
          </w:p>
          <w:p w14:paraId="462A0F81">
            <w:pPr>
              <w:spacing w:before="240"/>
              <w:jc w:val="both"/>
              <w:rPr>
                <w:sz w:val="24"/>
                <w:szCs w:val="24"/>
              </w:rPr>
            </w:pPr>
            <w:r>
              <w:rPr>
                <w:b/>
                <w:bCs/>
                <w:color w:val="000000"/>
                <w:sz w:val="24"/>
                <w:szCs w:val="24"/>
              </w:rPr>
              <w:t>TODOS OS ITENS DEVERÃO SER ACONDICIONADOS EM SACOS DE PAPEL KRAFT DEVIDAMENTE LACRADO.</w:t>
            </w:r>
          </w:p>
        </w:tc>
        <w:tc>
          <w:tcPr>
            <w:tcW w:w="0" w:type="auto"/>
            <w:tcBorders>
              <w:top w:val="single" w:color="000000" w:sz="8" w:space="0"/>
              <w:left w:val="single" w:color="000000" w:sz="6" w:space="0"/>
              <w:bottom w:val="single" w:color="000000" w:sz="8" w:space="0"/>
              <w:right w:val="single" w:color="000000" w:sz="8" w:space="0"/>
            </w:tcBorders>
            <w:tcMar>
              <w:top w:w="100" w:type="dxa"/>
              <w:left w:w="100" w:type="dxa"/>
              <w:bottom w:w="100" w:type="dxa"/>
              <w:right w:w="100" w:type="dxa"/>
            </w:tcMar>
          </w:tcPr>
          <w:p w14:paraId="56A1B0FD">
            <w:pPr>
              <w:jc w:val="center"/>
              <w:rPr>
                <w:sz w:val="24"/>
                <w:szCs w:val="24"/>
              </w:rPr>
            </w:pPr>
            <w:r>
              <w:rPr>
                <w:b/>
                <w:bCs/>
                <w:color w:val="000000"/>
                <w:sz w:val="24"/>
                <w:szCs w:val="24"/>
              </w:rPr>
              <w:t>unid.</w:t>
            </w:r>
          </w:p>
        </w:tc>
        <w:tc>
          <w:tcPr>
            <w:tcW w:w="0" w:type="auto"/>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14:paraId="140FADAF">
            <w:pPr>
              <w:jc w:val="center"/>
              <w:rPr>
                <w:sz w:val="24"/>
                <w:szCs w:val="24"/>
              </w:rPr>
            </w:pPr>
            <w:r>
              <w:rPr>
                <w:b/>
                <w:bCs/>
                <w:color w:val="000000"/>
                <w:sz w:val="24"/>
                <w:szCs w:val="24"/>
              </w:rPr>
              <w:t>4.000</w:t>
            </w:r>
          </w:p>
        </w:tc>
        <w:tc>
          <w:tcPr>
            <w:tcW w:w="0" w:type="auto"/>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14:paraId="3886C8E6">
            <w:pPr>
              <w:jc w:val="center"/>
              <w:rPr>
                <w:sz w:val="24"/>
                <w:szCs w:val="24"/>
              </w:rPr>
            </w:pPr>
            <w:r>
              <w:rPr>
                <w:b/>
                <w:bCs/>
                <w:color w:val="000000"/>
                <w:sz w:val="24"/>
                <w:szCs w:val="24"/>
              </w:rPr>
              <w:t>R$ 18,00</w:t>
            </w:r>
          </w:p>
        </w:tc>
        <w:tc>
          <w:tcPr>
            <w:tcW w:w="0" w:type="auto"/>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14:paraId="25D5ED7B">
            <w:pPr>
              <w:jc w:val="center"/>
              <w:rPr>
                <w:sz w:val="24"/>
                <w:szCs w:val="24"/>
              </w:rPr>
            </w:pPr>
            <w:r>
              <w:rPr>
                <w:b/>
                <w:bCs/>
                <w:color w:val="000000"/>
                <w:sz w:val="24"/>
                <w:szCs w:val="24"/>
              </w:rPr>
              <w:t>R$ 72.000,00</w:t>
            </w:r>
          </w:p>
        </w:tc>
      </w:tr>
    </w:tbl>
    <w:p w14:paraId="11942990">
      <w:pPr>
        <w:spacing w:before="120" w:after="120"/>
        <w:ind w:left="120" w:right="120" w:firstLine="1699"/>
        <w:jc w:val="both"/>
        <w:rPr>
          <w:color w:val="000000"/>
          <w:sz w:val="27"/>
          <w:szCs w:val="27"/>
        </w:rPr>
      </w:pPr>
      <w:r>
        <w:rPr>
          <w:color w:val="000000"/>
          <w:sz w:val="27"/>
          <w:szCs w:val="27"/>
        </w:rPr>
        <w:br w:type="textWrapping"/>
      </w:r>
      <w:r>
        <w:rPr>
          <w:color w:val="000000"/>
          <w:sz w:val="27"/>
          <w:szCs w:val="27"/>
        </w:rPr>
        <w:t> </w:t>
      </w:r>
    </w:p>
    <w:p w14:paraId="7C0B3254">
      <w:pPr>
        <w:jc w:val="both"/>
        <w:rPr>
          <w:color w:val="000000"/>
          <w:sz w:val="27"/>
          <w:szCs w:val="27"/>
        </w:rPr>
      </w:pPr>
      <w:r>
        <w:rPr>
          <w:color w:val="000000"/>
          <w:sz w:val="27"/>
          <w:szCs w:val="27"/>
        </w:rPr>
        <w:t>A estimativa do valor da contratação para o fornecimento de kits de lanche destinados ao evento de 7 de setembro foi elaborada pela Secretaria Municipal de Educação, em conformidade com as diretrizes da Lei nº 14.133/2021.</w:t>
      </w:r>
    </w:p>
    <w:p w14:paraId="5496C97C">
      <w:pPr>
        <w:jc w:val="both"/>
        <w:rPr>
          <w:color w:val="000000"/>
          <w:sz w:val="27"/>
          <w:szCs w:val="27"/>
        </w:rPr>
      </w:pPr>
      <w:r>
        <w:rPr>
          <w:color w:val="000000"/>
          <w:sz w:val="27"/>
          <w:szCs w:val="27"/>
        </w:rPr>
        <w:t>A formação do preço estimado observou os parâmetros estabelecidos na Instrução Normativa SEGES/ME nº 65/2021, mediante levantamento de preços praticados no mercado, bem como a aplicação dos critérios previstos no art. 29 do Decreto nº 45/2025.</w:t>
      </w:r>
    </w:p>
    <w:p w14:paraId="37BC7563">
      <w:pPr>
        <w:jc w:val="both"/>
        <w:rPr>
          <w:color w:val="000000"/>
          <w:sz w:val="27"/>
          <w:szCs w:val="27"/>
        </w:rPr>
      </w:pPr>
      <w:r>
        <w:rPr>
          <w:color w:val="000000"/>
          <w:sz w:val="27"/>
          <w:szCs w:val="27"/>
        </w:rPr>
        <w:t>Para a definição dos valores de referência, adotou-se metodologia baseada em análise comparativa de viabilidade econômica, considerando:</w:t>
      </w:r>
    </w:p>
    <w:p w14:paraId="53F01A8D">
      <w:pPr>
        <w:jc w:val="both"/>
        <w:rPr>
          <w:color w:val="000000"/>
          <w:sz w:val="27"/>
          <w:szCs w:val="27"/>
        </w:rPr>
      </w:pPr>
      <w:r>
        <w:rPr>
          <w:color w:val="000000"/>
          <w:sz w:val="27"/>
          <w:szCs w:val="27"/>
        </w:rPr>
        <w:t>I – Composição de custos unitários:</w:t>
      </w:r>
      <w:r>
        <w:rPr>
          <w:color w:val="000000"/>
          <w:sz w:val="27"/>
          <w:szCs w:val="27"/>
        </w:rPr>
        <w:br w:type="textWrapping"/>
      </w:r>
      <w:r>
        <w:rPr>
          <w:color w:val="000000"/>
          <w:sz w:val="27"/>
          <w:szCs w:val="27"/>
        </w:rPr>
        <w:t> Foram considerados os custos dos itens que compõem os kits de lanche (tais como bebidas, biscoitos e bolos), além das despesas relacionadas ao acondicionamento, embalagem individual, logística e distribuição, de modo a refletir as condições reais de fornecimento e assegurar a qualidade e padronização exigidas.</w:t>
      </w:r>
    </w:p>
    <w:p w14:paraId="3D3766EB">
      <w:pPr>
        <w:jc w:val="both"/>
        <w:rPr>
          <w:color w:val="000000"/>
          <w:sz w:val="27"/>
          <w:szCs w:val="27"/>
        </w:rPr>
      </w:pPr>
      <w:r>
        <w:rPr>
          <w:color w:val="000000"/>
          <w:sz w:val="27"/>
          <w:szCs w:val="27"/>
        </w:rPr>
        <w:t>II – Contratações similares anteriores:</w:t>
      </w:r>
      <w:r>
        <w:rPr>
          <w:color w:val="000000"/>
          <w:sz w:val="27"/>
          <w:szCs w:val="27"/>
        </w:rPr>
        <w:br w:type="textWrapping"/>
      </w:r>
      <w:r>
        <w:rPr>
          <w:color w:val="000000"/>
          <w:sz w:val="27"/>
          <w:szCs w:val="27"/>
        </w:rPr>
        <w:t> Foram analisadas contratações anteriores desta e de outras Administrações Públicas, envolvendo objetos semelhantes, com vistas à verificação da compatibilidade e razoabilidade dos preços praticados no mercado.</w:t>
      </w:r>
    </w:p>
    <w:p w14:paraId="11741B18">
      <w:pPr>
        <w:jc w:val="both"/>
        <w:rPr>
          <w:color w:val="000000"/>
          <w:sz w:val="27"/>
          <w:szCs w:val="27"/>
        </w:rPr>
      </w:pPr>
      <w:r>
        <w:rPr>
          <w:color w:val="000000"/>
          <w:sz w:val="27"/>
          <w:szCs w:val="27"/>
        </w:rPr>
        <w:t>A estimativa resultante representa valor de referência adequado e compatível com os preços de mercado, servindo de base para a contratação pretendida, em observância aos princípios da economicidade, eficiência e transparência que regem a Administração Pública.</w:t>
      </w:r>
    </w:p>
    <w:p w14:paraId="2E401367">
      <w:pPr>
        <w:spacing w:after="240"/>
        <w:jc w:val="both"/>
        <w:rPr>
          <w:color w:val="000000"/>
          <w:sz w:val="27"/>
          <w:szCs w:val="27"/>
        </w:rPr>
      </w:pPr>
      <w:r>
        <w:rPr>
          <w:color w:val="000000"/>
          <w:sz w:val="27"/>
          <w:szCs w:val="27"/>
        </w:rPr>
        <w:t> </w:t>
      </w:r>
    </w:p>
    <w:p w14:paraId="6B352C49">
      <w:pPr>
        <w:shd w:val="clear" w:color="auto" w:fill="BFBFBF"/>
        <w:spacing w:before="480"/>
        <w:jc w:val="both"/>
        <w:rPr>
          <w:color w:val="000000"/>
          <w:sz w:val="27"/>
          <w:szCs w:val="27"/>
        </w:rPr>
      </w:pPr>
      <w:r>
        <w:rPr>
          <w:b/>
          <w:bCs/>
          <w:color w:val="000000"/>
          <w:sz w:val="27"/>
          <w:szCs w:val="27"/>
        </w:rPr>
        <w:t>13) DAS OBRIGAÇÕES DA CONTRATADA </w:t>
      </w:r>
    </w:p>
    <w:p w14:paraId="71F0CC80">
      <w:pPr>
        <w:spacing w:before="120" w:after="120"/>
        <w:ind w:left="120" w:right="120" w:firstLine="1699"/>
        <w:jc w:val="both"/>
        <w:rPr>
          <w:color w:val="000000"/>
          <w:sz w:val="27"/>
          <w:szCs w:val="27"/>
        </w:rPr>
      </w:pPr>
      <w:r>
        <w:rPr>
          <w:color w:val="000000"/>
          <w:sz w:val="27"/>
          <w:szCs w:val="27"/>
        </w:rPr>
        <w:br w:type="textWrapping"/>
      </w:r>
      <w:r>
        <w:rPr>
          <w:color w:val="000000"/>
          <w:sz w:val="27"/>
          <w:szCs w:val="27"/>
        </w:rPr>
        <w:t> </w:t>
      </w:r>
    </w:p>
    <w:p w14:paraId="3DE23E90">
      <w:pPr>
        <w:numPr>
          <w:ilvl w:val="0"/>
          <w:numId w:val="40"/>
        </w:numPr>
        <w:jc w:val="both"/>
        <w:rPr>
          <w:color w:val="000000"/>
          <w:sz w:val="27"/>
          <w:szCs w:val="27"/>
        </w:rPr>
      </w:pPr>
      <w:r>
        <w:rPr>
          <w:color w:val="000000"/>
          <w:sz w:val="27"/>
          <w:szCs w:val="27"/>
        </w:rPr>
        <w:t>Os preços cotados incluem as despesas de custo, como: encargos fiscais, comerciais, sociais e trabalhistas, transportes ou de qualquer outra natureza;</w:t>
      </w:r>
    </w:p>
    <w:p w14:paraId="2B870217">
      <w:pPr>
        <w:numPr>
          <w:ilvl w:val="0"/>
          <w:numId w:val="40"/>
        </w:numPr>
        <w:jc w:val="both"/>
        <w:rPr>
          <w:color w:val="000000"/>
          <w:sz w:val="27"/>
          <w:szCs w:val="27"/>
        </w:rPr>
      </w:pPr>
      <w:r>
        <w:rPr>
          <w:color w:val="000000"/>
          <w:sz w:val="27"/>
          <w:szCs w:val="27"/>
        </w:rPr>
        <w:t>Durante a Vigência do contrato ou outro instrumento substitutivo, a CONTRATADA deverá atender prontamente às requisições e especificações deste TERMO DE REFERÊNCIA, a partir da solicitação através de ordem de serviço do setor solicitante;</w:t>
      </w:r>
    </w:p>
    <w:p w14:paraId="7567F5C8">
      <w:pPr>
        <w:numPr>
          <w:ilvl w:val="0"/>
          <w:numId w:val="40"/>
        </w:numPr>
        <w:jc w:val="both"/>
        <w:rPr>
          <w:color w:val="000000"/>
          <w:sz w:val="27"/>
          <w:szCs w:val="27"/>
        </w:rPr>
      </w:pPr>
      <w:r>
        <w:rPr>
          <w:color w:val="000000"/>
          <w:sz w:val="27"/>
          <w:szCs w:val="27"/>
        </w:rPr>
        <w:t>Responsabilizar-se pela saúde dos funcionários, encargos trabalhistas, previdenciários, comerciais, fiscais, quer municipais, estaduais ou federais, bem como pelo seguro para garantia de pessoas e equipamentos sob sua responsabilidade, devendo apresentar, de imediato, quando solicitados, todos e quaisquer comprovantes de pagamento e quitação; </w:t>
      </w:r>
    </w:p>
    <w:p w14:paraId="304CFA29">
      <w:pPr>
        <w:numPr>
          <w:ilvl w:val="0"/>
          <w:numId w:val="40"/>
        </w:numPr>
        <w:jc w:val="both"/>
        <w:rPr>
          <w:color w:val="000000"/>
          <w:sz w:val="27"/>
          <w:szCs w:val="27"/>
        </w:rPr>
      </w:pPr>
      <w:r>
        <w:rPr>
          <w:color w:val="000000"/>
          <w:sz w:val="27"/>
          <w:szCs w:val="27"/>
        </w:rPr>
        <w:t>Responder integralmente pelas obrigações contratuais, nos termos do art. 70 do Código de Processo Civil, no caso de, em qualquer hipótese, os empregados da CONTRATADA intentar reclamações trabalhistas contra a Contratante;</w:t>
      </w:r>
    </w:p>
    <w:p w14:paraId="1425BE28">
      <w:pPr>
        <w:numPr>
          <w:ilvl w:val="0"/>
          <w:numId w:val="40"/>
        </w:numPr>
        <w:jc w:val="both"/>
        <w:rPr>
          <w:color w:val="000000"/>
          <w:sz w:val="27"/>
          <w:szCs w:val="27"/>
        </w:rPr>
      </w:pPr>
      <w:r>
        <w:rPr>
          <w:color w:val="000000"/>
          <w:sz w:val="27"/>
          <w:szCs w:val="27"/>
        </w:rPr>
        <w:t>Responsabilizar-se por qualquer acidente do qual possam ser vítimas seus empregados, no desempenho dos serviços objeto do presente Contrato;</w:t>
      </w:r>
    </w:p>
    <w:p w14:paraId="06FCAE0C">
      <w:pPr>
        <w:numPr>
          <w:ilvl w:val="0"/>
          <w:numId w:val="40"/>
        </w:numPr>
        <w:jc w:val="both"/>
        <w:rPr>
          <w:color w:val="000000"/>
          <w:sz w:val="27"/>
          <w:szCs w:val="27"/>
        </w:rPr>
      </w:pPr>
      <w:r>
        <w:rPr>
          <w:color w:val="000000"/>
          <w:sz w:val="27"/>
          <w:szCs w:val="27"/>
        </w:rPr>
        <w:t>Indenizar quaisquer danos ou prejuízos causados à Prefeitura ou a terceiros, por ação ou omissão no fornecimento do presente contrato;</w:t>
      </w:r>
    </w:p>
    <w:p w14:paraId="26ADA79A">
      <w:pPr>
        <w:numPr>
          <w:ilvl w:val="0"/>
          <w:numId w:val="40"/>
        </w:numPr>
        <w:jc w:val="both"/>
        <w:rPr>
          <w:color w:val="000000"/>
          <w:sz w:val="27"/>
          <w:szCs w:val="27"/>
        </w:rPr>
      </w:pPr>
      <w:r>
        <w:rPr>
          <w:color w:val="000000"/>
          <w:sz w:val="27"/>
          <w:szCs w:val="27"/>
        </w:rPr>
        <w:t>Prestar as informações e esclarecimentos sempre que solicitados pela contratante;</w:t>
      </w:r>
    </w:p>
    <w:p w14:paraId="6F037CFC">
      <w:pPr>
        <w:numPr>
          <w:ilvl w:val="0"/>
          <w:numId w:val="40"/>
        </w:numPr>
        <w:jc w:val="both"/>
        <w:rPr>
          <w:color w:val="000000"/>
          <w:sz w:val="27"/>
          <w:szCs w:val="27"/>
        </w:rPr>
      </w:pPr>
      <w:r>
        <w:rPr>
          <w:color w:val="000000"/>
          <w:sz w:val="27"/>
          <w:szCs w:val="27"/>
        </w:rPr>
        <w:t>A execução dos serviços deverá ocorrer em conformidade com as necessidades da Secretaria Municipal de Educação, que será definido no ato da emissão da ORDEM DE ENTREGA;</w:t>
      </w:r>
    </w:p>
    <w:p w14:paraId="73DEB8AB">
      <w:pPr>
        <w:numPr>
          <w:ilvl w:val="0"/>
          <w:numId w:val="40"/>
        </w:numPr>
        <w:spacing w:after="120"/>
        <w:jc w:val="both"/>
        <w:rPr>
          <w:color w:val="000000"/>
          <w:sz w:val="27"/>
          <w:szCs w:val="27"/>
        </w:rPr>
      </w:pPr>
      <w:r>
        <w:rPr>
          <w:color w:val="000000"/>
          <w:sz w:val="27"/>
          <w:szCs w:val="27"/>
        </w:rPr>
        <w:t> O descumprimento, injustificado do prazo fixado, no item anterior para execução dos serviços, acarretará em multa pecuniária diária, nos termos do Edital e Contrato a ser firmado, ficando o(s) Contratado(s) sujeito(s) às penalidades previstas na Lei 14.133/2021.</w:t>
      </w:r>
    </w:p>
    <w:p w14:paraId="425F7254">
      <w:pPr>
        <w:numPr>
          <w:ilvl w:val="0"/>
          <w:numId w:val="40"/>
        </w:numPr>
        <w:spacing w:after="120"/>
        <w:jc w:val="both"/>
        <w:rPr>
          <w:color w:val="000000"/>
          <w:sz w:val="27"/>
          <w:szCs w:val="27"/>
        </w:rPr>
      </w:pPr>
      <w:r>
        <w:rPr>
          <w:color w:val="000000"/>
          <w:sz w:val="27"/>
          <w:szCs w:val="27"/>
        </w:rPr>
        <w:t>Manter, durante toda a vigência do contrato, as obrigações fiscais e trabalhistas, bem como a aplicação das obrigações relativas ao FGTS, ao INSS e ao seguro de acidentes de trabalho, sob pena de rescisão contratual, facultando à contratante solicitar tais informações a qualquer tempo, conforme artigo 56 §2º da Lei 14.133/2021.</w:t>
      </w:r>
    </w:p>
    <w:p w14:paraId="62B1E43E">
      <w:pPr>
        <w:shd w:val="clear" w:color="auto" w:fill="BFBFBF"/>
        <w:spacing w:before="480" w:after="120"/>
        <w:ind w:left="720"/>
        <w:jc w:val="both"/>
        <w:rPr>
          <w:color w:val="000000"/>
          <w:sz w:val="27"/>
          <w:szCs w:val="27"/>
        </w:rPr>
      </w:pPr>
      <w:r>
        <w:rPr>
          <w:b/>
          <w:bCs/>
          <w:color w:val="000000"/>
          <w:sz w:val="27"/>
          <w:szCs w:val="27"/>
        </w:rPr>
        <w:t>14) DAS OBRIGAÇÕES DO CONTRATANTE</w:t>
      </w:r>
    </w:p>
    <w:p w14:paraId="5D8E15A8">
      <w:pPr>
        <w:spacing w:before="120" w:after="120"/>
        <w:ind w:left="720"/>
        <w:jc w:val="both"/>
        <w:rPr>
          <w:color w:val="000000"/>
          <w:sz w:val="24"/>
          <w:szCs w:val="24"/>
        </w:rPr>
      </w:pPr>
      <w:r>
        <w:rPr>
          <w:color w:val="000000"/>
          <w:sz w:val="24"/>
          <w:szCs w:val="24"/>
        </w:rPr>
        <w:t>1)</w:t>
      </w:r>
      <w:r>
        <w:rPr>
          <w:b/>
          <w:bCs/>
          <w:color w:val="000000"/>
          <w:sz w:val="24"/>
          <w:szCs w:val="24"/>
        </w:rPr>
        <w:t> </w:t>
      </w:r>
      <w:r>
        <w:rPr>
          <w:color w:val="000000"/>
          <w:sz w:val="24"/>
          <w:szCs w:val="24"/>
        </w:rPr>
        <w:t>Responsabilizar-se pela lavratura do contrato ou outro instrumento substitutivo se for o caso, com base nas disposições da Lei 14.133/2021 e suas alterações;</w:t>
      </w:r>
    </w:p>
    <w:p w14:paraId="2EE1C6E4">
      <w:pPr>
        <w:ind w:left="720"/>
        <w:jc w:val="both"/>
        <w:rPr>
          <w:color w:val="000000"/>
          <w:sz w:val="27"/>
          <w:szCs w:val="27"/>
        </w:rPr>
      </w:pPr>
      <w:r>
        <w:rPr>
          <w:color w:val="000000"/>
          <w:sz w:val="27"/>
          <w:szCs w:val="27"/>
        </w:rPr>
        <w:t>2) Assegurar os recursos orçamentários e financeiros para custear a prestação; </w:t>
      </w:r>
    </w:p>
    <w:p w14:paraId="2697F225">
      <w:pPr>
        <w:spacing w:after="120"/>
        <w:ind w:left="720"/>
        <w:jc w:val="both"/>
        <w:rPr>
          <w:color w:val="000000"/>
          <w:sz w:val="27"/>
          <w:szCs w:val="27"/>
        </w:rPr>
      </w:pPr>
      <w:r>
        <w:rPr>
          <w:color w:val="000000"/>
          <w:sz w:val="27"/>
          <w:szCs w:val="27"/>
        </w:rPr>
        <w:t>3) Acompanhar, controlar e avaliar a prestação do serviço e dos equipamentos, através da unidade responsável por esta atribuição; </w:t>
      </w:r>
    </w:p>
    <w:p w14:paraId="2E313CB3">
      <w:pPr>
        <w:spacing w:before="120"/>
        <w:ind w:left="720"/>
        <w:jc w:val="both"/>
        <w:rPr>
          <w:color w:val="000000"/>
          <w:sz w:val="27"/>
          <w:szCs w:val="27"/>
        </w:rPr>
      </w:pPr>
      <w:r>
        <w:rPr>
          <w:color w:val="000000"/>
          <w:sz w:val="27"/>
          <w:szCs w:val="27"/>
        </w:rPr>
        <w:t>4) Zelar para que durante a vigência do contrato, sejam cumpridas as obrigações assumidas com a Contratada, bem como sejam mantidas todas as condições de habilitação e qualificação exigidas na prestação;</w:t>
      </w:r>
    </w:p>
    <w:p w14:paraId="31F26EE7">
      <w:pPr>
        <w:spacing w:after="120"/>
        <w:ind w:left="720"/>
        <w:jc w:val="both"/>
        <w:rPr>
          <w:color w:val="000000"/>
          <w:sz w:val="27"/>
          <w:szCs w:val="27"/>
        </w:rPr>
      </w:pPr>
      <w:r>
        <w:rPr>
          <w:color w:val="000000"/>
          <w:sz w:val="27"/>
          <w:szCs w:val="27"/>
        </w:rPr>
        <w:t>5) Serão considerados para efeito de pagamento os produtos efetivamente entregues pela Contratada e aprovados pelo setor responsável pelo recebimento.15)</w:t>
      </w:r>
    </w:p>
    <w:p w14:paraId="3C955F85">
      <w:pPr>
        <w:shd w:val="clear" w:color="auto" w:fill="BFBFBF"/>
        <w:spacing w:before="480" w:after="120"/>
        <w:ind w:left="720"/>
        <w:jc w:val="both"/>
        <w:rPr>
          <w:color w:val="000000"/>
          <w:sz w:val="27"/>
          <w:szCs w:val="27"/>
        </w:rPr>
      </w:pPr>
      <w:r>
        <w:rPr>
          <w:b/>
          <w:bCs/>
          <w:color w:val="000000"/>
          <w:sz w:val="27"/>
          <w:szCs w:val="27"/>
        </w:rPr>
        <w:t>15) DOS RECURSOS     </w:t>
      </w:r>
    </w:p>
    <w:p w14:paraId="497E55B8">
      <w:pPr>
        <w:spacing w:before="120" w:after="120"/>
        <w:jc w:val="both"/>
        <w:rPr>
          <w:color w:val="000000"/>
          <w:sz w:val="27"/>
          <w:szCs w:val="27"/>
        </w:rPr>
      </w:pPr>
      <w:r>
        <w:rPr>
          <w:b/>
          <w:bCs/>
          <w:color w:val="000000"/>
          <w:sz w:val="27"/>
          <w:szCs w:val="27"/>
        </w:rPr>
        <w:t>-O recurso financeiro para suportar a eficácia do presente objeto, será:  Recurso próprio/Royalties</w:t>
      </w:r>
    </w:p>
    <w:p w14:paraId="0EAB5CF9">
      <w:pPr>
        <w:numPr>
          <w:ilvl w:val="0"/>
          <w:numId w:val="41"/>
        </w:numPr>
        <w:shd w:val="clear" w:color="auto" w:fill="BFBFBF"/>
        <w:spacing w:before="480" w:after="120"/>
        <w:jc w:val="both"/>
        <w:rPr>
          <w:color w:val="000000"/>
          <w:sz w:val="27"/>
          <w:szCs w:val="27"/>
        </w:rPr>
      </w:pPr>
      <w:r>
        <w:rPr>
          <w:b/>
          <w:bCs/>
          <w:color w:val="000000"/>
          <w:sz w:val="27"/>
          <w:szCs w:val="27"/>
        </w:rPr>
        <w:t>ADEQUAÇÃO ORÇAMENTÁRIA (art. 6, XXIII, j, da Lei 14.133/2021)</w:t>
      </w:r>
    </w:p>
    <w:p w14:paraId="5F1A69DD">
      <w:pPr>
        <w:spacing w:before="120" w:after="120"/>
        <w:jc w:val="both"/>
        <w:rPr>
          <w:color w:val="000000"/>
          <w:sz w:val="27"/>
          <w:szCs w:val="27"/>
        </w:rPr>
      </w:pPr>
      <w:r>
        <w:rPr>
          <w:color w:val="000000"/>
          <w:sz w:val="27"/>
          <w:szCs w:val="27"/>
        </w:rPr>
        <w:t>-A(s) dotação(ões) orçamentária(s) por onde correrá a despesa é(são):</w:t>
      </w:r>
    </w:p>
    <w:tbl>
      <w:tblPr>
        <w:tblStyle w:val="9"/>
        <w:tblW w:w="11341" w:type="dxa"/>
        <w:tblInd w:w="-1426"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1670"/>
        <w:gridCol w:w="9919"/>
      </w:tblGrid>
      <w:tr w14:paraId="2E1FEDD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888" w:hRule="atLeast"/>
        </w:trPr>
        <w:tc>
          <w:tcPr>
            <w:tcW w:w="1670" w:type="dxa"/>
            <w:tcBorders>
              <w:top w:val="single" w:color="000000" w:sz="6" w:space="0"/>
              <w:left w:val="single" w:color="000000" w:sz="6" w:space="0"/>
              <w:bottom w:val="single" w:color="000000" w:sz="6" w:space="0"/>
              <w:right w:val="single" w:color="000000" w:sz="6" w:space="0"/>
            </w:tcBorders>
            <w:shd w:val="clear" w:color="auto" w:fill="BEBEBE"/>
            <w:tcMar>
              <w:top w:w="48" w:type="dxa"/>
              <w:left w:w="48" w:type="dxa"/>
              <w:bottom w:w="48" w:type="dxa"/>
              <w:right w:w="48" w:type="dxa"/>
            </w:tcMar>
          </w:tcPr>
          <w:p w14:paraId="135C1FF9">
            <w:pPr>
              <w:spacing w:after="100" w:afterAutospacing="1"/>
              <w:rPr>
                <w:sz w:val="24"/>
                <w:szCs w:val="24"/>
              </w:rPr>
            </w:pPr>
            <w:r>
              <w:rPr>
                <w:sz w:val="24"/>
                <w:szCs w:val="24"/>
              </w:rPr>
              <w:br w:type="textWrapping"/>
            </w:r>
            <w:r>
              <w:rPr>
                <w:sz w:val="24"/>
                <w:szCs w:val="24"/>
              </w:rPr>
              <w:t> </w:t>
            </w:r>
          </w:p>
          <w:p w14:paraId="50436162">
            <w:pPr>
              <w:jc w:val="center"/>
              <w:rPr>
                <w:sz w:val="24"/>
                <w:szCs w:val="24"/>
              </w:rPr>
            </w:pPr>
            <w:r>
              <w:rPr>
                <w:b/>
                <w:bCs/>
                <w:color w:val="000000"/>
                <w:sz w:val="24"/>
                <w:szCs w:val="24"/>
              </w:rPr>
              <w:t>SECRETARIA</w:t>
            </w:r>
          </w:p>
        </w:tc>
        <w:tc>
          <w:tcPr>
            <w:tcW w:w="9671" w:type="dxa"/>
            <w:tcBorders>
              <w:top w:val="single" w:color="000000" w:sz="6" w:space="0"/>
              <w:left w:val="single" w:color="000000" w:sz="6" w:space="0"/>
              <w:bottom w:val="single" w:color="000000" w:sz="6" w:space="0"/>
              <w:right w:val="single" w:color="000000" w:sz="6" w:space="0"/>
            </w:tcBorders>
            <w:shd w:val="clear" w:color="auto" w:fill="BEBEBE"/>
            <w:tcMar>
              <w:top w:w="48" w:type="dxa"/>
              <w:left w:w="48" w:type="dxa"/>
              <w:bottom w:w="48" w:type="dxa"/>
              <w:right w:w="48" w:type="dxa"/>
            </w:tcMar>
          </w:tcPr>
          <w:p w14:paraId="43FBC2D8">
            <w:pPr>
              <w:spacing w:after="100" w:afterAutospacing="1"/>
              <w:rPr>
                <w:sz w:val="24"/>
                <w:szCs w:val="24"/>
              </w:rPr>
            </w:pPr>
            <w:r>
              <w:rPr>
                <w:sz w:val="24"/>
                <w:szCs w:val="24"/>
              </w:rPr>
              <w:br w:type="textWrapping"/>
            </w:r>
            <w:r>
              <w:rPr>
                <w:sz w:val="24"/>
                <w:szCs w:val="24"/>
              </w:rPr>
              <w:t> </w:t>
            </w:r>
          </w:p>
          <w:p w14:paraId="2C6EB4EF">
            <w:pPr>
              <w:jc w:val="center"/>
              <w:rPr>
                <w:sz w:val="24"/>
                <w:szCs w:val="24"/>
              </w:rPr>
            </w:pPr>
            <w:r>
              <w:rPr>
                <w:b/>
                <w:bCs/>
                <w:color w:val="000000"/>
                <w:sz w:val="24"/>
                <w:szCs w:val="24"/>
              </w:rPr>
              <w:t>RECURSO</w:t>
            </w:r>
          </w:p>
        </w:tc>
      </w:tr>
      <w:tr w14:paraId="717631D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480" w:hRule="atLeast"/>
        </w:trPr>
        <w:tc>
          <w:tcPr>
            <w:tcW w:w="1670"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19F45A14">
            <w:pPr>
              <w:jc w:val="center"/>
              <w:rPr>
                <w:sz w:val="24"/>
                <w:szCs w:val="24"/>
              </w:rPr>
            </w:pPr>
            <w:r>
              <w:rPr>
                <w:b/>
                <w:bCs/>
                <w:color w:val="000000"/>
                <w:sz w:val="24"/>
                <w:szCs w:val="24"/>
              </w:rPr>
              <w:t> SME</w:t>
            </w:r>
          </w:p>
        </w:tc>
        <w:tc>
          <w:tcPr>
            <w:tcW w:w="9671"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tcPr>
          <w:p w14:paraId="4E30663D">
            <w:pPr>
              <w:ind w:left="142"/>
              <w:rPr>
                <w:sz w:val="24"/>
                <w:szCs w:val="24"/>
              </w:rPr>
            </w:pPr>
            <w:r>
              <w:rPr>
                <w:b/>
                <w:bCs/>
                <w:color w:val="000000"/>
                <w:sz w:val="24"/>
                <w:szCs w:val="24"/>
              </w:rPr>
              <w:t>02.08.12.361.0002.2.073/02.08.12.361.0015.2082/02.08.12.365.0015.2094/02.08.12.365.0015.2463 </w:t>
            </w:r>
          </w:p>
          <w:p w14:paraId="31CF1C1C">
            <w:pPr>
              <w:spacing w:before="100" w:beforeAutospacing="1"/>
              <w:rPr>
                <w:sz w:val="24"/>
                <w:szCs w:val="24"/>
              </w:rPr>
            </w:pPr>
            <w:r>
              <w:rPr>
                <w:b/>
                <w:bCs/>
                <w:color w:val="000000"/>
                <w:sz w:val="24"/>
                <w:szCs w:val="24"/>
              </w:rPr>
              <w:t> 3339030000000  (1500) (1573) Recurso Próprio/Royalties</w:t>
            </w:r>
          </w:p>
        </w:tc>
      </w:tr>
    </w:tbl>
    <w:p w14:paraId="5E63E75D">
      <w:pPr>
        <w:ind w:left="120" w:right="120" w:firstLine="1699"/>
        <w:jc w:val="both"/>
        <w:rPr>
          <w:color w:val="000000"/>
          <w:sz w:val="27"/>
          <w:szCs w:val="27"/>
        </w:rPr>
      </w:pPr>
      <w:r>
        <w:rPr>
          <w:b/>
          <w:bCs/>
          <w:color w:val="000000"/>
          <w:sz w:val="27"/>
          <w:szCs w:val="27"/>
        </w:rPr>
        <w:t> </w:t>
      </w:r>
    </w:p>
    <w:p w14:paraId="39AFD332">
      <w:pPr>
        <w:numPr>
          <w:ilvl w:val="0"/>
          <w:numId w:val="42"/>
        </w:numPr>
        <w:shd w:val="clear" w:color="auto" w:fill="BFBFBF"/>
        <w:spacing w:before="480" w:after="120"/>
        <w:jc w:val="both"/>
        <w:rPr>
          <w:color w:val="000000"/>
          <w:sz w:val="27"/>
          <w:szCs w:val="27"/>
        </w:rPr>
      </w:pPr>
      <w:r>
        <w:rPr>
          <w:b/>
          <w:bCs/>
          <w:color w:val="000000"/>
          <w:sz w:val="27"/>
          <w:szCs w:val="27"/>
        </w:rPr>
        <w:t>MATRIZ DE RISCOS</w:t>
      </w:r>
    </w:p>
    <w:p w14:paraId="2945FB09">
      <w:pPr>
        <w:spacing w:before="240" w:after="240"/>
        <w:jc w:val="both"/>
        <w:rPr>
          <w:color w:val="000000"/>
          <w:sz w:val="27"/>
          <w:szCs w:val="27"/>
        </w:rPr>
      </w:pPr>
      <w:r>
        <w:rPr>
          <w:color w:val="000000"/>
          <w:sz w:val="27"/>
          <w:szCs w:val="27"/>
        </w:rPr>
        <w:t>A presente Matriz de Riscos tem como objetivo identificar, alocar e mitigar os riscos relacionados à execução do contrato para o fornecimento de kits de lanches prontos, garantindo o equilíbrio econômico-financeiro, a previsibilidade contratual e o alcance dos resultados esperados, conforme exigências legais.</w:t>
      </w:r>
    </w:p>
    <w:p w14:paraId="7CBC41E3">
      <w:pPr>
        <w:spacing w:before="240" w:after="240"/>
        <w:jc w:val="both"/>
        <w:rPr>
          <w:color w:val="000000"/>
          <w:sz w:val="27"/>
          <w:szCs w:val="27"/>
        </w:rPr>
      </w:pPr>
      <w:r>
        <w:rPr>
          <w:color w:val="000000"/>
          <w:sz w:val="27"/>
          <w:szCs w:val="27"/>
        </w:rPr>
        <w:t>a) Identificação de Situações Futuras e Medidas de Tratamento</w:t>
      </w:r>
    </w:p>
    <w:p w14:paraId="5D389574">
      <w:pPr>
        <w:spacing w:before="240" w:after="240"/>
        <w:jc w:val="both"/>
        <w:rPr>
          <w:color w:val="000000"/>
          <w:sz w:val="27"/>
          <w:szCs w:val="27"/>
        </w:rPr>
      </w:pPr>
      <w:r>
        <w:rPr>
          <w:color w:val="000000"/>
          <w:sz w:val="27"/>
          <w:szCs w:val="27"/>
        </w:rPr>
        <w:t>Foram identificadas situações prováveis que podem impactar o equilíbrio econômico-financeiro do contrato e o sucesso da entrega, entre as quais se destacam:</w:t>
      </w:r>
    </w:p>
    <w:p w14:paraId="5ECA63DF">
      <w:pPr>
        <w:numPr>
          <w:ilvl w:val="0"/>
          <w:numId w:val="43"/>
        </w:numPr>
        <w:spacing w:before="240"/>
        <w:jc w:val="both"/>
        <w:rPr>
          <w:color w:val="000000"/>
          <w:sz w:val="27"/>
          <w:szCs w:val="27"/>
        </w:rPr>
      </w:pPr>
      <w:r>
        <w:rPr>
          <w:color w:val="000000"/>
          <w:sz w:val="27"/>
          <w:szCs w:val="27"/>
        </w:rPr>
        <w:t>Risco de oscilação de preços de insumos alimentícios: Embora o contrato seja por preço registrado, variações de mercado podem ocorrer durante a vigência da ata. A mitigação ocorrerá por meio da definição de preços de referência realistas, obtidos por pesquisa de mercado junto a fornecedores locais, e pela atualização periódica quando houver prorrogação, conforme regras da Lei nº 14.133/2021.</w:t>
      </w:r>
      <w:r>
        <w:rPr>
          <w:color w:val="000000"/>
          <w:sz w:val="27"/>
          <w:szCs w:val="27"/>
        </w:rPr>
        <w:br w:type="textWrapping"/>
      </w:r>
      <w:r>
        <w:rPr>
          <w:color w:val="000000"/>
          <w:sz w:val="27"/>
          <w:szCs w:val="27"/>
        </w:rPr>
        <w:br w:type="textWrapping"/>
      </w:r>
      <w:r>
        <w:rPr>
          <w:color w:val="000000"/>
          <w:sz w:val="27"/>
          <w:szCs w:val="27"/>
        </w:rPr>
        <w:t> </w:t>
      </w:r>
    </w:p>
    <w:p w14:paraId="15664EF6">
      <w:pPr>
        <w:numPr>
          <w:ilvl w:val="0"/>
          <w:numId w:val="43"/>
        </w:numPr>
        <w:jc w:val="both"/>
        <w:rPr>
          <w:color w:val="000000"/>
          <w:sz w:val="27"/>
          <w:szCs w:val="27"/>
        </w:rPr>
      </w:pPr>
      <w:r>
        <w:rPr>
          <w:color w:val="000000"/>
          <w:sz w:val="27"/>
          <w:szCs w:val="27"/>
        </w:rPr>
        <w:t>Risco de não atendimento aos padrões de qualidade e validade dos alimentos: O fornecedor deverá adotar controle rigoroso de fornecedores de matéria-prima, boas práticas de manipulação e armazenagem, bem como garantir que os itens sejam entregues com validade mínima de 2 meses. A Administração realizará conferência amostral e poderá rejeitar produtos fora dos padrões, sem ônus adicional.</w:t>
      </w:r>
      <w:r>
        <w:rPr>
          <w:color w:val="000000"/>
          <w:sz w:val="27"/>
          <w:szCs w:val="27"/>
        </w:rPr>
        <w:br w:type="textWrapping"/>
      </w:r>
      <w:r>
        <w:rPr>
          <w:color w:val="000000"/>
          <w:sz w:val="27"/>
          <w:szCs w:val="27"/>
        </w:rPr>
        <w:br w:type="textWrapping"/>
      </w:r>
      <w:r>
        <w:rPr>
          <w:color w:val="000000"/>
          <w:sz w:val="27"/>
          <w:szCs w:val="27"/>
        </w:rPr>
        <w:t> </w:t>
      </w:r>
    </w:p>
    <w:p w14:paraId="10EFEAE4">
      <w:pPr>
        <w:numPr>
          <w:ilvl w:val="0"/>
          <w:numId w:val="43"/>
        </w:numPr>
        <w:jc w:val="both"/>
        <w:rPr>
          <w:color w:val="000000"/>
          <w:sz w:val="27"/>
          <w:szCs w:val="27"/>
        </w:rPr>
      </w:pPr>
      <w:r>
        <w:rPr>
          <w:color w:val="000000"/>
          <w:sz w:val="27"/>
          <w:szCs w:val="27"/>
        </w:rPr>
        <w:t>Risco logístico de atraso na entrega: O transporte e a pontualidade são de responsabilidade exclusiva do contratado, que deverá planejar rotas, frota e pessoal adequados. Como medida de mitigação, os prazos de entrega foram definidos com margem de segurança (03 dias antes evento) e o Termo de Referência estabelece penalidades para atrasos injustificados.</w:t>
      </w:r>
      <w:r>
        <w:rPr>
          <w:color w:val="000000"/>
          <w:sz w:val="27"/>
          <w:szCs w:val="27"/>
        </w:rPr>
        <w:br w:type="textWrapping"/>
      </w:r>
      <w:r>
        <w:rPr>
          <w:color w:val="000000"/>
          <w:sz w:val="27"/>
          <w:szCs w:val="27"/>
        </w:rPr>
        <w:br w:type="textWrapping"/>
      </w:r>
      <w:r>
        <w:rPr>
          <w:color w:val="000000"/>
          <w:sz w:val="27"/>
          <w:szCs w:val="27"/>
        </w:rPr>
        <w:t> </w:t>
      </w:r>
    </w:p>
    <w:p w14:paraId="5F12F728">
      <w:pPr>
        <w:numPr>
          <w:ilvl w:val="0"/>
          <w:numId w:val="43"/>
        </w:numPr>
        <w:spacing w:after="240"/>
        <w:jc w:val="both"/>
        <w:rPr>
          <w:color w:val="000000"/>
          <w:sz w:val="27"/>
          <w:szCs w:val="27"/>
        </w:rPr>
      </w:pPr>
      <w:r>
        <w:rPr>
          <w:color w:val="000000"/>
          <w:sz w:val="27"/>
          <w:szCs w:val="27"/>
        </w:rPr>
        <w:t>Risco sanitário: Existe a possibilidade de contaminação ou deterioração dos produtos. Para mitigar, exigem-se certificações sanitárias, cumprimento das normas da ANVISA (RDC nº 275/2002 ou norma vigente) e inspeção rigorosa pela equipe fiscal, que poderá determinar a substituição imediata de lotes não conformes.</w:t>
      </w:r>
    </w:p>
    <w:p w14:paraId="75A09A8F">
      <w:pPr>
        <w:spacing w:before="240" w:after="240"/>
        <w:jc w:val="both"/>
        <w:rPr>
          <w:color w:val="000000"/>
          <w:sz w:val="27"/>
          <w:szCs w:val="27"/>
        </w:rPr>
      </w:pPr>
      <w:r>
        <w:rPr>
          <w:color w:val="000000"/>
          <w:sz w:val="27"/>
          <w:szCs w:val="27"/>
        </w:rPr>
        <w:t>b) Alocação Eficiente de Riscos e Definição de Responsabilidades</w:t>
      </w:r>
    </w:p>
    <w:p w14:paraId="2D5668C5">
      <w:pPr>
        <w:spacing w:before="240" w:after="240"/>
        <w:jc w:val="both"/>
        <w:rPr>
          <w:color w:val="000000"/>
          <w:sz w:val="27"/>
          <w:szCs w:val="27"/>
        </w:rPr>
      </w:pPr>
      <w:r>
        <w:rPr>
          <w:color w:val="000000"/>
          <w:sz w:val="27"/>
          <w:szCs w:val="27"/>
        </w:rPr>
        <w:t>Os riscos identificados foram alocados de forma a garantir equilíbrio contratual:</w:t>
      </w:r>
    </w:p>
    <w:p w14:paraId="66FE1B1D">
      <w:pPr>
        <w:numPr>
          <w:ilvl w:val="0"/>
          <w:numId w:val="44"/>
        </w:numPr>
        <w:spacing w:before="240"/>
        <w:jc w:val="both"/>
        <w:rPr>
          <w:color w:val="000000"/>
          <w:sz w:val="27"/>
          <w:szCs w:val="27"/>
        </w:rPr>
      </w:pPr>
      <w:r>
        <w:rPr>
          <w:color w:val="000000"/>
          <w:sz w:val="27"/>
          <w:szCs w:val="27"/>
        </w:rPr>
        <w:t>Riscos controláveis pelo contratado: Insumos, qualidade dos produtos, validade, transporte, embalagem, higienização e pontualidade de entrega. O contratado assume total responsabilidade por esses elementos, devendo adotar medidas preventivas, corretivas e compensatórias.</w:t>
      </w:r>
    </w:p>
    <w:p w14:paraId="3D6327AA">
      <w:pPr>
        <w:numPr>
          <w:ilvl w:val="0"/>
          <w:numId w:val="44"/>
        </w:numPr>
        <w:jc w:val="both"/>
        <w:rPr>
          <w:color w:val="000000"/>
          <w:sz w:val="27"/>
          <w:szCs w:val="27"/>
        </w:rPr>
      </w:pPr>
      <w:r>
        <w:rPr>
          <w:color w:val="000000"/>
          <w:sz w:val="27"/>
          <w:szCs w:val="27"/>
        </w:rPr>
        <w:t>Riscos de responsabilidade da Administração: Erros materiais na especificação do objeto, alterações de cronograma por motivos administrativos e falhas no processo de conferência quando não imputáveis ao fornecedor. Nesses casos, cabe à Administração promover ajustes, informar tempestivamente e garantir condições adequadas para o recebimento.</w:t>
      </w:r>
      <w:r>
        <w:rPr>
          <w:color w:val="000000"/>
          <w:sz w:val="27"/>
          <w:szCs w:val="27"/>
        </w:rPr>
        <w:br w:type="textWrapping"/>
      </w:r>
      <w:r>
        <w:rPr>
          <w:color w:val="000000"/>
          <w:sz w:val="27"/>
          <w:szCs w:val="27"/>
        </w:rPr>
        <w:br w:type="textWrapping"/>
      </w:r>
      <w:r>
        <w:rPr>
          <w:color w:val="000000"/>
          <w:sz w:val="27"/>
          <w:szCs w:val="27"/>
        </w:rPr>
        <w:t> </w:t>
      </w:r>
    </w:p>
    <w:p w14:paraId="1FF56F77">
      <w:pPr>
        <w:numPr>
          <w:ilvl w:val="0"/>
          <w:numId w:val="44"/>
        </w:numPr>
        <w:jc w:val="both"/>
        <w:rPr>
          <w:color w:val="000000"/>
          <w:sz w:val="27"/>
          <w:szCs w:val="27"/>
        </w:rPr>
      </w:pPr>
      <w:r>
        <w:rPr>
          <w:color w:val="000000"/>
          <w:sz w:val="27"/>
          <w:szCs w:val="27"/>
        </w:rPr>
        <w:t>Para todos os riscos, foram estabelecidos mecanismos de prevenção, como exigências documentais, conferência amostral, previsão de penalidades por descumprimento e cláusulas de substituição imediata de produtos reprovados.</w:t>
      </w:r>
      <w:r>
        <w:rPr>
          <w:color w:val="000000"/>
          <w:sz w:val="27"/>
          <w:szCs w:val="27"/>
        </w:rPr>
        <w:br w:type="textWrapping"/>
      </w:r>
      <w:r>
        <w:rPr>
          <w:color w:val="000000"/>
          <w:sz w:val="27"/>
          <w:szCs w:val="27"/>
        </w:rPr>
        <w:br w:type="textWrapping"/>
      </w:r>
      <w:r>
        <w:rPr>
          <w:color w:val="000000"/>
          <w:sz w:val="27"/>
          <w:szCs w:val="27"/>
        </w:rPr>
        <w:t> </w:t>
      </w:r>
    </w:p>
    <w:p w14:paraId="25C1DF61">
      <w:pPr>
        <w:numPr>
          <w:ilvl w:val="0"/>
          <w:numId w:val="44"/>
        </w:numPr>
        <w:spacing w:after="240"/>
        <w:jc w:val="both"/>
        <w:rPr>
          <w:color w:val="000000"/>
          <w:sz w:val="27"/>
          <w:szCs w:val="27"/>
        </w:rPr>
      </w:pPr>
      <w:r>
        <w:rPr>
          <w:color w:val="000000"/>
          <w:sz w:val="27"/>
          <w:szCs w:val="27"/>
        </w:rPr>
        <w:t>Havendo concretização de evento que gere impacto econômico-financeiro extraordinário, caberá reequilíbrio contratual, desde que comprovado o nexo causal, nos termos dos arts. 124 e 125 da Lei nº 14.133/2021.</w:t>
      </w:r>
    </w:p>
    <w:p w14:paraId="19A35A17">
      <w:pPr>
        <w:spacing w:before="240" w:after="240"/>
        <w:jc w:val="both"/>
        <w:rPr>
          <w:color w:val="000000"/>
          <w:sz w:val="27"/>
          <w:szCs w:val="27"/>
        </w:rPr>
      </w:pPr>
      <w:r>
        <w:rPr>
          <w:color w:val="000000"/>
          <w:sz w:val="27"/>
          <w:szCs w:val="27"/>
        </w:rPr>
        <w:t>c) Observação quanto à Obrigatoriedade e Abrangência</w:t>
      </w:r>
    </w:p>
    <w:p w14:paraId="2AC3F3A2">
      <w:pPr>
        <w:spacing w:before="240" w:after="240"/>
        <w:jc w:val="both"/>
        <w:rPr>
          <w:color w:val="000000"/>
          <w:sz w:val="27"/>
          <w:szCs w:val="27"/>
        </w:rPr>
      </w:pPr>
      <w:r>
        <w:rPr>
          <w:color w:val="000000"/>
          <w:sz w:val="27"/>
          <w:szCs w:val="27"/>
        </w:rPr>
        <w:t>Embora o fornecimento de kits de lanches não se enquadre como obra ou serviço de grande vulto, nem como regime de contratação integrada ou semi-integrada, a Administração opta por elaborar esta Matriz de Riscos para garantir clareza na alocação das responsabilidades, redução de incertezas e prevenção de litígios, em observância às boas práticas de planejamento contratual.</w:t>
      </w:r>
    </w:p>
    <w:p w14:paraId="3A664812">
      <w:pPr>
        <w:spacing w:before="240" w:after="240"/>
        <w:jc w:val="both"/>
        <w:rPr>
          <w:color w:val="000000"/>
          <w:sz w:val="27"/>
          <w:szCs w:val="27"/>
        </w:rPr>
      </w:pPr>
      <w:r>
        <w:rPr>
          <w:b/>
          <w:bCs/>
          <w:color w:val="000000"/>
          <w:sz w:val="27"/>
          <w:szCs w:val="27"/>
        </w:rPr>
        <w:t>Demais Condições Necessárias</w:t>
      </w:r>
    </w:p>
    <w:p w14:paraId="00E7B98D">
      <w:pPr>
        <w:spacing w:before="240" w:after="240"/>
        <w:jc w:val="both"/>
        <w:rPr>
          <w:color w:val="000000"/>
          <w:sz w:val="27"/>
          <w:szCs w:val="27"/>
        </w:rPr>
      </w:pPr>
      <w:r>
        <w:rPr>
          <w:color w:val="000000"/>
          <w:sz w:val="27"/>
          <w:szCs w:val="27"/>
        </w:rPr>
        <w:t>Para o efetivo cumprimento da matriz, todos os riscos deverão ser monitorados pelo fiscal do contrato, que fará registros sistemáticos, notificará as partes em caso de inconformidades e recomendará medidas corretivas ou aplicação de penalidades, quando cabíveis. Além disso, toda atualização ou situação que possa impactar o equilíbrio contratual deverá ser comunicada e registrada formalmente.</w:t>
      </w:r>
    </w:p>
    <w:p w14:paraId="54C615FC">
      <w:pPr>
        <w:shd w:val="clear" w:color="auto" w:fill="BFBFBF"/>
        <w:jc w:val="both"/>
        <w:rPr>
          <w:color w:val="000000"/>
          <w:sz w:val="27"/>
          <w:szCs w:val="27"/>
        </w:rPr>
      </w:pPr>
      <w:r>
        <w:rPr>
          <w:b/>
          <w:bCs/>
          <w:color w:val="000000"/>
          <w:sz w:val="27"/>
          <w:szCs w:val="27"/>
        </w:rPr>
        <w:t>18) RESPONSÁVEIS PELA CONTRATAÇÃO</w:t>
      </w:r>
    </w:p>
    <w:p w14:paraId="4E46547E">
      <w:pPr>
        <w:spacing w:after="160"/>
        <w:ind w:left="120" w:right="120" w:firstLine="1699"/>
        <w:jc w:val="both"/>
        <w:rPr>
          <w:color w:val="000000"/>
          <w:sz w:val="27"/>
          <w:szCs w:val="27"/>
        </w:rPr>
      </w:pPr>
      <w:r>
        <w:rPr>
          <w:b/>
          <w:bCs/>
          <w:color w:val="000000"/>
          <w:sz w:val="27"/>
          <w:szCs w:val="27"/>
        </w:rPr>
        <w:t>               </w:t>
      </w:r>
    </w:p>
    <w:p w14:paraId="7B2432F2">
      <w:pPr>
        <w:spacing w:after="160"/>
        <w:jc w:val="both"/>
        <w:rPr>
          <w:color w:val="000000"/>
          <w:sz w:val="27"/>
          <w:szCs w:val="27"/>
        </w:rPr>
      </w:pPr>
      <w:r>
        <w:rPr>
          <w:color w:val="000000"/>
          <w:sz w:val="27"/>
          <w:szCs w:val="27"/>
        </w:rPr>
        <w:t>Marianne Elena da Silva - Matrícula 140.180 - Gestora do Contrato</w:t>
      </w:r>
    </w:p>
    <w:p w14:paraId="36C37190">
      <w:pPr>
        <w:spacing w:after="160"/>
        <w:jc w:val="both"/>
        <w:rPr>
          <w:color w:val="000000"/>
          <w:sz w:val="27"/>
          <w:szCs w:val="27"/>
        </w:rPr>
      </w:pPr>
      <w:r>
        <w:rPr>
          <w:color w:val="000000"/>
          <w:sz w:val="27"/>
          <w:szCs w:val="27"/>
        </w:rPr>
        <w:t>Maria Eduarda Damasceno Maia - Matrícula 211.761  - Gestora do Contrato Suplente      </w:t>
      </w:r>
    </w:p>
    <w:p w14:paraId="02E880B3">
      <w:pPr>
        <w:spacing w:before="240" w:after="240"/>
        <w:jc w:val="both"/>
        <w:rPr>
          <w:color w:val="000000"/>
          <w:sz w:val="27"/>
          <w:szCs w:val="27"/>
        </w:rPr>
      </w:pPr>
      <w:r>
        <w:rPr>
          <w:color w:val="000000"/>
          <w:sz w:val="27"/>
          <w:szCs w:val="27"/>
        </w:rPr>
        <w:t>Maraci da Silva Corrêa do Natal - Matrícula: 126.276-  Fiscal Técnico</w:t>
      </w:r>
    </w:p>
    <w:p w14:paraId="2C9E0F45">
      <w:pPr>
        <w:spacing w:before="240" w:after="240"/>
        <w:jc w:val="both"/>
        <w:rPr>
          <w:color w:val="000000"/>
          <w:sz w:val="27"/>
          <w:szCs w:val="27"/>
        </w:rPr>
      </w:pPr>
      <w:r>
        <w:rPr>
          <w:color w:val="000000"/>
          <w:sz w:val="27"/>
          <w:szCs w:val="27"/>
        </w:rPr>
        <w:t>Silvia Souza Maria - Matrícula: 138.630 - Fiscal Setorial</w:t>
      </w:r>
    </w:p>
    <w:p w14:paraId="46BCA568">
      <w:pPr>
        <w:spacing w:before="240" w:after="240"/>
        <w:jc w:val="both"/>
        <w:rPr>
          <w:color w:val="000000"/>
          <w:sz w:val="27"/>
          <w:szCs w:val="27"/>
        </w:rPr>
      </w:pPr>
      <w:r>
        <w:rPr>
          <w:color w:val="000000"/>
          <w:sz w:val="27"/>
          <w:szCs w:val="27"/>
        </w:rPr>
        <w:t>Thaianne Miguel Ferreira - Matrícula: 144.219 - Fiscal Administrativo e  responsável pela elaboração do EPT e do Termo de Referência.</w:t>
      </w:r>
    </w:p>
    <w:p w14:paraId="4E22615E">
      <w:pPr>
        <w:spacing w:before="120" w:after="120"/>
        <w:ind w:left="120" w:right="120" w:firstLine="1699"/>
        <w:jc w:val="both"/>
        <w:rPr>
          <w:color w:val="000000"/>
          <w:sz w:val="27"/>
          <w:szCs w:val="27"/>
        </w:rPr>
      </w:pPr>
      <w:r>
        <w:rPr>
          <w:color w:val="000000"/>
          <w:sz w:val="27"/>
          <w:szCs w:val="27"/>
        </w:rPr>
        <w:br w:type="textWrapping"/>
      </w:r>
      <w:r>
        <w:rPr>
          <w:color w:val="000000"/>
          <w:sz w:val="27"/>
          <w:szCs w:val="27"/>
        </w:rPr>
        <w:t> </w:t>
      </w:r>
    </w:p>
    <w:p w14:paraId="17FE4425">
      <w:pPr>
        <w:spacing w:before="240"/>
        <w:jc w:val="both"/>
        <w:rPr>
          <w:color w:val="000000"/>
          <w:sz w:val="27"/>
          <w:szCs w:val="27"/>
        </w:rPr>
      </w:pPr>
      <w:r>
        <w:rPr>
          <w:color w:val="000000"/>
          <w:sz w:val="27"/>
          <w:szCs w:val="27"/>
        </w:rPr>
        <w:t>Em conformidade com a legislação que rege o tema, encaminhe-se à autoridade competente para análise de conveniência e oportunidade para a contratação e demais providências cabíveis.</w:t>
      </w:r>
    </w:p>
    <w:p w14:paraId="1088EFA0">
      <w:pPr>
        <w:spacing w:before="120" w:after="120"/>
        <w:ind w:left="120" w:right="120" w:firstLine="1699"/>
        <w:jc w:val="both"/>
        <w:rPr>
          <w:color w:val="000000"/>
          <w:sz w:val="27"/>
          <w:szCs w:val="27"/>
        </w:rPr>
      </w:pPr>
      <w:r>
        <w:rPr>
          <w:color w:val="000000"/>
          <w:sz w:val="27"/>
          <w:szCs w:val="27"/>
        </w:rPr>
        <w:t> </w:t>
      </w:r>
    </w:p>
    <w:p w14:paraId="705D78BB">
      <w:pPr>
        <w:spacing w:before="120" w:after="120"/>
        <w:ind w:left="120" w:right="120" w:firstLine="1699"/>
        <w:jc w:val="both"/>
        <w:rPr>
          <w:color w:val="000000"/>
          <w:sz w:val="27"/>
          <w:szCs w:val="27"/>
        </w:rPr>
      </w:pPr>
      <w:r>
        <w:rPr>
          <w:color w:val="000000"/>
          <w:sz w:val="27"/>
          <w:szCs w:val="27"/>
        </w:rPr>
        <w:t> </w:t>
      </w:r>
    </w:p>
    <w:p w14:paraId="4CED9332">
      <w:pPr>
        <w:ind w:left="60" w:right="60"/>
        <w:jc w:val="both"/>
        <w:rPr>
          <w:color w:val="000000"/>
          <w:sz w:val="22"/>
          <w:szCs w:val="22"/>
        </w:rPr>
      </w:pPr>
      <w:r>
        <w:rPr>
          <w:color w:val="000000"/>
          <w:sz w:val="22"/>
          <w:szCs w:val="22"/>
        </w:rPr>
        <w:t>                                                                                                                                                                                          Valença, 08 de junho de 2026.</w:t>
      </w:r>
    </w:p>
    <w:p w14:paraId="5134C958">
      <w:pPr>
        <w:spacing w:before="120" w:after="120"/>
        <w:ind w:left="120" w:right="120" w:firstLine="1699"/>
        <w:jc w:val="both"/>
        <w:rPr>
          <w:color w:val="000000"/>
          <w:sz w:val="27"/>
          <w:szCs w:val="27"/>
        </w:rPr>
      </w:pPr>
      <w:r>
        <w:rPr>
          <w:color w:val="000000"/>
          <w:sz w:val="27"/>
          <w:szCs w:val="27"/>
        </w:rPr>
        <w:br w:type="textWrapping"/>
      </w:r>
      <w:r>
        <w:rPr>
          <w:color w:val="000000"/>
          <w:sz w:val="27"/>
          <w:szCs w:val="27"/>
        </w:rPr>
        <w:t> </w:t>
      </w:r>
    </w:p>
    <w:p w14:paraId="711D092F">
      <w:pPr>
        <w:ind w:left="120" w:right="120" w:firstLine="1699"/>
        <w:jc w:val="both"/>
        <w:rPr>
          <w:color w:val="000000"/>
          <w:sz w:val="27"/>
          <w:szCs w:val="27"/>
        </w:rPr>
      </w:pPr>
      <w:r>
        <w:rPr>
          <w:b/>
          <w:bCs/>
          <w:color w:val="000000"/>
          <w:sz w:val="27"/>
          <w:szCs w:val="27"/>
        </w:rPr>
        <w:t> </w:t>
      </w:r>
    </w:p>
    <w:p w14:paraId="01F65693">
      <w:pPr>
        <w:jc w:val="center"/>
        <w:rPr>
          <w:color w:val="000000"/>
          <w:sz w:val="27"/>
          <w:szCs w:val="27"/>
        </w:rPr>
      </w:pPr>
      <w:r>
        <w:rPr>
          <w:b/>
          <w:bCs/>
          <w:color w:val="000000"/>
          <w:sz w:val="27"/>
          <w:szCs w:val="27"/>
        </w:rPr>
        <w:t>_________________________________________________________</w:t>
      </w:r>
    </w:p>
    <w:p w14:paraId="6263FAAD">
      <w:pPr>
        <w:ind w:left="60" w:right="60"/>
        <w:jc w:val="center"/>
        <w:rPr>
          <w:color w:val="000000"/>
          <w:sz w:val="22"/>
          <w:szCs w:val="22"/>
        </w:rPr>
      </w:pPr>
      <w:r>
        <w:rPr>
          <w:b/>
          <w:bCs/>
          <w:color w:val="000000"/>
          <w:sz w:val="22"/>
          <w:szCs w:val="22"/>
        </w:rPr>
        <w:t>Renata Andrade Leite</w:t>
      </w:r>
    </w:p>
    <w:p w14:paraId="30949E4F">
      <w:pPr>
        <w:ind w:left="60" w:right="60"/>
        <w:jc w:val="center"/>
        <w:rPr>
          <w:color w:val="000000"/>
          <w:sz w:val="22"/>
          <w:szCs w:val="22"/>
        </w:rPr>
      </w:pPr>
      <w:r>
        <w:rPr>
          <w:b/>
          <w:bCs/>
          <w:color w:val="000000"/>
          <w:sz w:val="22"/>
          <w:szCs w:val="22"/>
        </w:rPr>
        <w:t>Secretária Municipal de Educação</w:t>
      </w:r>
    </w:p>
    <w:p w14:paraId="508A16EA">
      <w:pPr>
        <w:jc w:val="center"/>
        <w:rPr>
          <w:color w:val="000000"/>
          <w:sz w:val="27"/>
          <w:szCs w:val="27"/>
        </w:rPr>
      </w:pPr>
      <w:r>
        <w:rPr>
          <w:b/>
          <w:bCs/>
          <w:color w:val="000000"/>
          <w:sz w:val="27"/>
          <w:szCs w:val="27"/>
        </w:rPr>
        <w:t>         Matrícula: 211.688 </w:t>
      </w:r>
    </w:p>
    <w:p w14:paraId="62D48BBB">
      <w:pPr>
        <w:pStyle w:val="19"/>
        <w:spacing w:before="0" w:beforeAutospacing="0" w:after="0" w:afterAutospacing="0"/>
        <w:jc w:val="center"/>
        <w:rPr>
          <w:color w:val="000000"/>
          <w:sz w:val="27"/>
          <w:szCs w:val="27"/>
        </w:rPr>
      </w:pPr>
    </w:p>
    <w:p w14:paraId="38637CEC">
      <w:pPr>
        <w:spacing w:before="288" w:beforeLines="120" w:after="288" w:afterLines="120" w:line="288" w:lineRule="auto"/>
        <w:contextualSpacing/>
        <w:jc w:val="center"/>
        <w:rPr>
          <w:rFonts w:eastAsia="MS Mincho" w:asciiTheme="minorHAnsi" w:hAnsiTheme="minorHAnsi" w:cstheme="minorHAnsi"/>
          <w:b/>
          <w:sz w:val="24"/>
          <w:szCs w:val="24"/>
        </w:rPr>
      </w:pPr>
    </w:p>
    <w:p w14:paraId="3B7EF6BD">
      <w:pPr>
        <w:spacing w:before="288" w:beforeLines="120" w:after="288" w:afterLines="120" w:line="288" w:lineRule="auto"/>
        <w:contextualSpacing/>
        <w:jc w:val="center"/>
        <w:rPr>
          <w:rFonts w:eastAsia="MS Mincho"/>
          <w:b/>
          <w:sz w:val="24"/>
          <w:szCs w:val="24"/>
        </w:rPr>
      </w:pPr>
      <w:r>
        <w:rPr>
          <w:rFonts w:eastAsia="MS Mincho"/>
          <w:b/>
          <w:sz w:val="24"/>
          <w:szCs w:val="24"/>
        </w:rPr>
        <w:t xml:space="preserve">ANEXO II </w:t>
      </w:r>
    </w:p>
    <w:p w14:paraId="78183181">
      <w:pPr>
        <w:spacing w:before="288" w:beforeLines="120" w:after="288" w:afterLines="120" w:line="288" w:lineRule="auto"/>
        <w:contextualSpacing/>
        <w:jc w:val="center"/>
        <w:rPr>
          <w:rFonts w:eastAsia="MS Mincho" w:asciiTheme="minorHAnsi" w:hAnsiTheme="minorHAnsi" w:cstheme="minorHAnsi"/>
          <w:b/>
          <w:sz w:val="24"/>
          <w:szCs w:val="24"/>
        </w:rPr>
      </w:pPr>
    </w:p>
    <w:p w14:paraId="1F4FC2AD">
      <w:pPr>
        <w:spacing w:before="288" w:beforeLines="120" w:after="288" w:afterLines="120" w:line="288" w:lineRule="auto"/>
        <w:contextualSpacing/>
        <w:jc w:val="center"/>
        <w:rPr>
          <w:rFonts w:eastAsia="MS Mincho"/>
          <w:b/>
          <w:sz w:val="24"/>
          <w:szCs w:val="24"/>
          <w:u w:val="single"/>
        </w:rPr>
      </w:pPr>
      <w:r>
        <w:rPr>
          <w:rFonts w:eastAsia="MS Mincho"/>
          <w:b/>
          <w:sz w:val="24"/>
          <w:szCs w:val="24"/>
          <w:highlight w:val="yellow"/>
          <w:u w:val="single"/>
        </w:rPr>
        <w:t>ESTUDO TÉCNICO PRELIMINAR</w:t>
      </w:r>
    </w:p>
    <w:p w14:paraId="2F265DD1">
      <w:pPr>
        <w:spacing w:before="288" w:beforeLines="120" w:after="288" w:afterLines="120" w:line="288" w:lineRule="auto"/>
        <w:contextualSpacing/>
        <w:jc w:val="center"/>
        <w:rPr>
          <w:rFonts w:eastAsia="MS Mincho"/>
          <w:b/>
          <w:sz w:val="24"/>
          <w:szCs w:val="24"/>
          <w:u w:val="single"/>
        </w:rPr>
      </w:pPr>
    </w:p>
    <w:p w14:paraId="5773BE63">
      <w:pPr>
        <w:spacing w:before="288" w:beforeLines="120" w:after="288" w:afterLines="120" w:line="288" w:lineRule="auto"/>
        <w:contextualSpacing/>
        <w:jc w:val="center"/>
        <w:rPr>
          <w:rFonts w:eastAsia="MS Mincho"/>
          <w:b/>
          <w:sz w:val="24"/>
          <w:szCs w:val="24"/>
          <w:u w:val="single"/>
        </w:rPr>
      </w:pPr>
    </w:p>
    <w:p w14:paraId="2CE10D46">
      <w:pPr>
        <w:spacing w:before="288" w:beforeLines="120" w:after="288" w:afterLines="120" w:line="288" w:lineRule="auto"/>
        <w:contextualSpacing/>
        <w:jc w:val="center"/>
        <w:rPr>
          <w:rFonts w:eastAsia="MS Mincho"/>
          <w:b/>
          <w:sz w:val="24"/>
          <w:szCs w:val="24"/>
          <w:u w:val="single"/>
        </w:rPr>
      </w:pPr>
    </w:p>
    <w:p w14:paraId="66610FD3">
      <w:pPr>
        <w:numPr>
          <w:ilvl w:val="0"/>
          <w:numId w:val="45"/>
        </w:numPr>
        <w:rPr>
          <w:color w:val="000000"/>
          <w:sz w:val="27"/>
          <w:szCs w:val="27"/>
        </w:rPr>
      </w:pPr>
      <w:r>
        <w:rPr>
          <w:b/>
          <w:bCs/>
          <w:color w:val="000000"/>
          <w:sz w:val="27"/>
          <w:szCs w:val="27"/>
          <w:shd w:val="clear" w:color="auto" w:fill="D9D9D9"/>
        </w:rPr>
        <w:t>INTRODUÇÃO</w:t>
      </w:r>
    </w:p>
    <w:p w14:paraId="34A8F336">
      <w:pPr>
        <w:ind w:left="120" w:right="120"/>
        <w:rPr>
          <w:color w:val="000000"/>
          <w:sz w:val="27"/>
          <w:szCs w:val="27"/>
        </w:rPr>
      </w:pPr>
      <w:r>
        <w:rPr>
          <w:b/>
          <w:bCs/>
          <w:color w:val="000000"/>
          <w:sz w:val="27"/>
          <w:szCs w:val="27"/>
        </w:rPr>
        <w:t>  </w:t>
      </w:r>
    </w:p>
    <w:p w14:paraId="50872520">
      <w:pPr>
        <w:jc w:val="both"/>
        <w:rPr>
          <w:color w:val="000000"/>
          <w:sz w:val="27"/>
          <w:szCs w:val="27"/>
        </w:rPr>
      </w:pPr>
      <w:r>
        <w:rPr>
          <w:b/>
          <w:bCs/>
          <w:color w:val="000000"/>
          <w:sz w:val="27"/>
          <w:szCs w:val="27"/>
        </w:rPr>
        <w:t>   </w:t>
      </w:r>
      <w:r>
        <w:rPr>
          <w:color w:val="000000"/>
          <w:sz w:val="27"/>
          <w:szCs w:val="27"/>
        </w:rPr>
        <w:t> O presente Estudo Técnico Preliminar (ETP) tem como objetivo fundamentar a</w:t>
      </w:r>
      <w:r>
        <w:rPr>
          <w:b/>
          <w:bCs/>
          <w:color w:val="000000"/>
          <w:sz w:val="27"/>
          <w:szCs w:val="27"/>
        </w:rPr>
        <w:t> provável e futura aquisição de kits de lanches destinados aos participantes do Desfile Cívico de 07 de Setembro de 2026</w:t>
      </w:r>
      <w:r>
        <w:rPr>
          <w:color w:val="000000"/>
          <w:sz w:val="27"/>
          <w:szCs w:val="27"/>
        </w:rPr>
        <w:t>, em comemoração à Independência do Brasil, evento de relevante valor cultural, histórico e educacional para a comunidade local.</w:t>
      </w:r>
    </w:p>
    <w:p w14:paraId="6BA8138A">
      <w:pPr>
        <w:spacing w:before="240" w:after="240"/>
        <w:jc w:val="both"/>
        <w:rPr>
          <w:color w:val="000000"/>
          <w:sz w:val="27"/>
          <w:szCs w:val="27"/>
        </w:rPr>
      </w:pPr>
      <w:r>
        <w:rPr>
          <w:color w:val="000000"/>
          <w:sz w:val="27"/>
          <w:szCs w:val="27"/>
        </w:rPr>
        <w:t>A contratação será realizada na </w:t>
      </w:r>
      <w:r>
        <w:rPr>
          <w:b/>
          <w:bCs/>
          <w:color w:val="000000"/>
          <w:sz w:val="27"/>
          <w:szCs w:val="27"/>
        </w:rPr>
        <w:t>modalidade Pregão Eletrônico, no sistema de Registro de Preços</w:t>
      </w:r>
      <w:r>
        <w:rPr>
          <w:color w:val="000000"/>
          <w:sz w:val="27"/>
          <w:szCs w:val="27"/>
        </w:rPr>
        <w:t>, em conformidade com a legislação vigente, visando atender às necessidades da Secretaria Municipal de Educação.</w:t>
      </w:r>
    </w:p>
    <w:p w14:paraId="2A0289F3">
      <w:pPr>
        <w:spacing w:before="240" w:after="240"/>
        <w:jc w:val="both"/>
        <w:rPr>
          <w:color w:val="000000"/>
          <w:sz w:val="27"/>
          <w:szCs w:val="27"/>
        </w:rPr>
      </w:pPr>
      <w:r>
        <w:rPr>
          <w:color w:val="000000"/>
          <w:sz w:val="27"/>
          <w:szCs w:val="27"/>
        </w:rPr>
        <w:t>As especificações mínimas do objeto, bem como as condições gerais para o fornecimento, encontram-se detalhadas no Termo de Referência, garantindo a adequada definição dos requisitos necessários para a prestação do serviço com qualidade, segurança alimentar e atendimento às normas sanitárias vigentes.</w:t>
      </w:r>
    </w:p>
    <w:p w14:paraId="3E72E9A6">
      <w:pPr>
        <w:spacing w:before="240" w:after="240"/>
        <w:jc w:val="both"/>
        <w:rPr>
          <w:color w:val="000000"/>
          <w:sz w:val="27"/>
          <w:szCs w:val="27"/>
        </w:rPr>
      </w:pPr>
      <w:r>
        <w:rPr>
          <w:color w:val="000000"/>
          <w:sz w:val="27"/>
          <w:szCs w:val="27"/>
        </w:rPr>
        <w:t>Este ETP visa, ainda, demonstrar a viabilidade técnica e a pertinência da contratação, além de subsidiar a tomada de decisão da Administração Pública quanto à melhor forma de atendimento à demanda, em observância aos princípios da economicidade, eficiência, isonomia e interesse público.</w:t>
      </w:r>
    </w:p>
    <w:p w14:paraId="597A4BE3">
      <w:pPr>
        <w:spacing w:before="240" w:after="240"/>
        <w:jc w:val="both"/>
        <w:rPr>
          <w:color w:val="000000"/>
          <w:sz w:val="27"/>
          <w:szCs w:val="27"/>
        </w:rPr>
      </w:pPr>
      <w:r>
        <w:rPr>
          <w:color w:val="000000"/>
          <w:sz w:val="27"/>
          <w:szCs w:val="27"/>
        </w:rPr>
        <w:t>Além disso, esse Estudo Técnico Preliminar (ETP) visa justificar e detalhar a necessidade da contratação, abordando as especificidades do pregão eletrônico, os critérios de escolha da empresa fornecedora e os objetivos da contratação, sempre em conformidade com a Lei nº 14.133/2021, que rege as licitações e contratos administrativos no Brasil e em consonância com o Decreto nº 40, de 15 de fevereiro de 2025, o  Decreto nº 41, de 15 de fevereiro de 2025, o  Decreto nº 45, de 15 de fevereiro de 2025 e  o  Decreto nº 46, de 15 de fevereiro de 2025, da Prefeitura Municipal de Valença.  Com isso, busca-se garantir que os recursos públicos sejam utilizados de forma eficiente e transparente, promovendo a saúde, a segurança alimentar e a inclusão dos alunos com necessidades alimentares especiais no sistema educacional.</w:t>
      </w:r>
    </w:p>
    <w:p w14:paraId="43BE215A">
      <w:pPr>
        <w:spacing w:before="240" w:after="240"/>
        <w:ind w:firstLine="700"/>
        <w:jc w:val="both"/>
        <w:rPr>
          <w:color w:val="000000"/>
          <w:sz w:val="27"/>
          <w:szCs w:val="27"/>
        </w:rPr>
      </w:pPr>
      <w:r>
        <w:rPr>
          <w:b/>
          <w:bCs/>
          <w:color w:val="000000"/>
          <w:sz w:val="27"/>
          <w:szCs w:val="27"/>
        </w:rPr>
        <w:t>Público alvo : </w:t>
      </w:r>
      <w:r>
        <w:rPr>
          <w:color w:val="000000"/>
          <w:sz w:val="27"/>
          <w:szCs w:val="27"/>
        </w:rPr>
        <w:t>alunos da rede municipal de ensino de Valença/RJ.</w:t>
      </w:r>
    </w:p>
    <w:p w14:paraId="70124406">
      <w:pPr>
        <w:spacing w:before="120" w:after="120"/>
        <w:ind w:left="120" w:right="120" w:firstLine="1699"/>
        <w:jc w:val="both"/>
        <w:rPr>
          <w:color w:val="000000"/>
          <w:sz w:val="27"/>
          <w:szCs w:val="27"/>
        </w:rPr>
      </w:pPr>
      <w:r>
        <w:rPr>
          <w:color w:val="000000"/>
          <w:sz w:val="27"/>
          <w:szCs w:val="27"/>
        </w:rPr>
        <w:br w:type="textWrapping"/>
      </w:r>
      <w:r>
        <w:rPr>
          <w:color w:val="000000"/>
          <w:sz w:val="27"/>
          <w:szCs w:val="27"/>
        </w:rPr>
        <w:t> </w:t>
      </w:r>
    </w:p>
    <w:p w14:paraId="07C87B37">
      <w:pPr>
        <w:numPr>
          <w:ilvl w:val="0"/>
          <w:numId w:val="46"/>
        </w:numPr>
        <w:rPr>
          <w:color w:val="000000"/>
          <w:sz w:val="27"/>
          <w:szCs w:val="27"/>
        </w:rPr>
      </w:pPr>
      <w:r>
        <w:rPr>
          <w:b/>
          <w:bCs/>
          <w:color w:val="000000"/>
          <w:sz w:val="27"/>
          <w:szCs w:val="27"/>
          <w:shd w:val="clear" w:color="auto" w:fill="D9D9D9"/>
        </w:rPr>
        <w:t>DESCRIÇÃO DA NECESSIDADE DE CONTRATAÇÃO (Art.18, §1º, inciso I,da Lei 14.133/2021)</w:t>
      </w:r>
    </w:p>
    <w:p w14:paraId="312BA926">
      <w:pPr>
        <w:spacing w:before="120" w:after="120"/>
        <w:ind w:left="120" w:right="120" w:firstLine="1699"/>
        <w:jc w:val="both"/>
        <w:rPr>
          <w:color w:val="000000"/>
          <w:sz w:val="27"/>
          <w:szCs w:val="27"/>
        </w:rPr>
      </w:pPr>
      <w:r>
        <w:rPr>
          <w:color w:val="000000"/>
          <w:sz w:val="27"/>
          <w:szCs w:val="27"/>
        </w:rPr>
        <w:br w:type="textWrapping"/>
      </w:r>
      <w:r>
        <w:rPr>
          <w:color w:val="000000"/>
          <w:sz w:val="27"/>
          <w:szCs w:val="27"/>
        </w:rPr>
        <w:t> </w:t>
      </w:r>
    </w:p>
    <w:p w14:paraId="7304EB2C">
      <w:pPr>
        <w:spacing w:before="240" w:after="240"/>
        <w:jc w:val="both"/>
        <w:rPr>
          <w:color w:val="000000"/>
          <w:sz w:val="27"/>
          <w:szCs w:val="27"/>
        </w:rPr>
      </w:pPr>
      <w:r>
        <w:rPr>
          <w:color w:val="000000"/>
          <w:sz w:val="27"/>
          <w:szCs w:val="27"/>
        </w:rPr>
        <w:t>A presente contratação tem como finalidade atender à necessidade de fornecimento de </w:t>
      </w:r>
      <w:r>
        <w:rPr>
          <w:b/>
          <w:bCs/>
          <w:color w:val="000000"/>
          <w:sz w:val="27"/>
          <w:szCs w:val="27"/>
        </w:rPr>
        <w:t>kits de lanches</w:t>
      </w:r>
      <w:r>
        <w:rPr>
          <w:color w:val="000000"/>
          <w:sz w:val="27"/>
          <w:szCs w:val="27"/>
        </w:rPr>
        <w:t> destinados aos alunos da rede municipal de ensino que participarão ativamente do Desfile Cívico de 07 de Setembro de 2026, em comemoração à Independência do Brasil. Esse evento é de grande importância no calendário escolar e cultural do município, promovendo a valorização do civismo, da cidadania e do sentimento de pertencimento entre os estudantes, suas famílias e toda a comunidade local.</w:t>
      </w:r>
    </w:p>
    <w:p w14:paraId="1EBEE50E">
      <w:pPr>
        <w:spacing w:before="240" w:after="240"/>
        <w:jc w:val="both"/>
        <w:rPr>
          <w:color w:val="000000"/>
          <w:sz w:val="27"/>
          <w:szCs w:val="27"/>
        </w:rPr>
      </w:pPr>
      <w:r>
        <w:rPr>
          <w:color w:val="000000"/>
          <w:sz w:val="27"/>
          <w:szCs w:val="27"/>
        </w:rPr>
        <w:t>Considerando o tempo de concentração, organização e deslocamento dos alunos até os locais dos desfiles, assim como o esforço físico envolvido em ensaios e apresentações, torna-se imprescindível garantir o fornecimento de alimentação adequada, de forma prática, higiênica e segura, visando preservar o bem-estar, a saúde e o conforto das crianças e adolescentes.</w:t>
      </w:r>
    </w:p>
    <w:p w14:paraId="1C661D7C">
      <w:pPr>
        <w:spacing w:before="240" w:after="240"/>
        <w:jc w:val="both"/>
        <w:rPr>
          <w:color w:val="000000"/>
          <w:sz w:val="27"/>
          <w:szCs w:val="27"/>
        </w:rPr>
      </w:pPr>
      <w:r>
        <w:rPr>
          <w:color w:val="000000"/>
          <w:sz w:val="27"/>
          <w:szCs w:val="27"/>
        </w:rPr>
        <w:t>A disponibilização dos kits de lanches assegura que os estudantes estejam bem alimentados durante todo o período das atividades, evitando situações de desconforto, queda de rendimento ou problemas de saúde decorrentes de longos períodos em jejum.</w:t>
      </w:r>
    </w:p>
    <w:p w14:paraId="1485D7E5">
      <w:pPr>
        <w:spacing w:before="240" w:after="240"/>
        <w:jc w:val="both"/>
        <w:rPr>
          <w:color w:val="000000"/>
          <w:sz w:val="27"/>
          <w:szCs w:val="27"/>
        </w:rPr>
      </w:pPr>
      <w:r>
        <w:rPr>
          <w:color w:val="000000"/>
          <w:sz w:val="27"/>
          <w:szCs w:val="27"/>
        </w:rPr>
        <w:t>Assim, a contratação de empresa especializada para o preparo, acondicionamento e fornecimento dos kits de lanches é fundamental para atender às normas de segurança alimentar e às exigências sanitárias, garantindo qualidade, pontualidade na entrega e organização logística compatível com o porte dos eventos.</w:t>
      </w:r>
    </w:p>
    <w:p w14:paraId="6DB8285B">
      <w:pPr>
        <w:spacing w:before="240" w:after="240"/>
        <w:jc w:val="both"/>
        <w:rPr>
          <w:color w:val="000000"/>
          <w:sz w:val="27"/>
          <w:szCs w:val="27"/>
        </w:rPr>
      </w:pPr>
      <w:r>
        <w:rPr>
          <w:color w:val="000000"/>
          <w:sz w:val="27"/>
          <w:szCs w:val="27"/>
        </w:rPr>
        <w:t>Portanto, a aquisição dos kits de lanches configura-se como uma medida necessária para o pleno êxito da realização dos desfiles, evidenciando o compromisso da Secretaria Municipal de Educação em assegurar condições adequadas de participação e cuidado aos seus alunos.</w:t>
      </w:r>
    </w:p>
    <w:p w14:paraId="4CF125CA">
      <w:pPr>
        <w:spacing w:before="240" w:after="240"/>
        <w:jc w:val="both"/>
        <w:rPr>
          <w:color w:val="000000"/>
          <w:sz w:val="27"/>
          <w:szCs w:val="27"/>
        </w:rPr>
      </w:pPr>
      <w:r>
        <w:rPr>
          <w:b/>
          <w:bCs/>
          <w:color w:val="000000"/>
          <w:sz w:val="27"/>
          <w:szCs w:val="27"/>
        </w:rPr>
        <w:t>I- Interesse Público na Contratação</w:t>
      </w:r>
    </w:p>
    <w:p w14:paraId="5A43A49A">
      <w:pPr>
        <w:spacing w:before="240" w:after="240"/>
        <w:jc w:val="both"/>
        <w:rPr>
          <w:color w:val="000000"/>
          <w:sz w:val="27"/>
          <w:szCs w:val="27"/>
        </w:rPr>
      </w:pPr>
      <w:r>
        <w:rPr>
          <w:color w:val="000000"/>
          <w:sz w:val="27"/>
          <w:szCs w:val="27"/>
        </w:rPr>
        <w:t>A aquisição de kits de lanches destinados aos alunos participantes dos desfiles cívicos de 07 de Setembro de 2026 do Município representa uma ação diretamente vinculada ao interesse público, especialmente no que tange à promoção da cidadania, valorização das tradições cívicas e fortalecimento da identidade cultural local.</w:t>
      </w:r>
    </w:p>
    <w:p w14:paraId="700E8933">
      <w:pPr>
        <w:spacing w:before="240" w:after="240"/>
        <w:jc w:val="both"/>
        <w:rPr>
          <w:color w:val="000000"/>
          <w:sz w:val="27"/>
          <w:szCs w:val="27"/>
        </w:rPr>
      </w:pPr>
      <w:r>
        <w:rPr>
          <w:color w:val="000000"/>
          <w:sz w:val="27"/>
          <w:szCs w:val="27"/>
        </w:rPr>
        <w:t>Os desfiles são eventos que integram o calendário oficial da educação municipal e têm como objetivo promover o envolvimento dos estudantes em atividades extracurriculares significativas, reforçando valores como respeito, civismo, patriotismo, disciplina e cooperação. A participação dos alunos nesses eventos contribui para sua formação integral, conforme os princípios estabelecidos pela Base Nacional Comum Curricular (BNCC) e pelas Diretrizes Curriculares Nacionais da Educação Básica.</w:t>
      </w:r>
    </w:p>
    <w:p w14:paraId="78B260E3">
      <w:pPr>
        <w:spacing w:before="240" w:after="240"/>
        <w:jc w:val="both"/>
        <w:rPr>
          <w:color w:val="000000"/>
          <w:sz w:val="27"/>
          <w:szCs w:val="27"/>
        </w:rPr>
      </w:pPr>
      <w:r>
        <w:rPr>
          <w:color w:val="000000"/>
          <w:sz w:val="27"/>
          <w:szCs w:val="27"/>
        </w:rPr>
        <w:t>Garantir o fornecimento de lanches adequados aos alunos participantes é, portanto, uma ação de apoio à permanência e participação ativa dos estudantes nesses eventos, resguardando suas condições físicas e de saúde, e demonstrando o cuidado do poder público com o bem-estar infantil.</w:t>
      </w:r>
    </w:p>
    <w:p w14:paraId="6E3BCBF0">
      <w:pPr>
        <w:spacing w:before="240" w:after="240"/>
        <w:jc w:val="both"/>
        <w:rPr>
          <w:color w:val="000000"/>
          <w:sz w:val="27"/>
          <w:szCs w:val="27"/>
        </w:rPr>
      </w:pPr>
      <w:r>
        <w:rPr>
          <w:color w:val="000000"/>
          <w:sz w:val="27"/>
          <w:szCs w:val="27"/>
        </w:rPr>
        <w:t>Além disso, a medida contribui para a organização e o bom andamento das festividades, evitando improvisações e assegurando uma logística eficiente e planejada. A contratação atende ainda aos princípios da administração pública, especialmente os da eficiência, economicidade e supremacia do interesse público, sendo fundamental para o êxito das ações promovidas pela Secretaria Municipal de Educação.</w:t>
      </w:r>
    </w:p>
    <w:p w14:paraId="070BB08D">
      <w:pPr>
        <w:spacing w:before="120" w:after="120"/>
        <w:ind w:left="120" w:right="120" w:firstLine="1699"/>
        <w:jc w:val="both"/>
        <w:rPr>
          <w:color w:val="000000"/>
          <w:sz w:val="27"/>
          <w:szCs w:val="27"/>
        </w:rPr>
      </w:pPr>
      <w:r>
        <w:rPr>
          <w:color w:val="000000"/>
          <w:sz w:val="27"/>
          <w:szCs w:val="27"/>
        </w:rPr>
        <w:br w:type="textWrapping"/>
      </w:r>
      <w:r>
        <w:rPr>
          <w:color w:val="000000"/>
          <w:sz w:val="27"/>
          <w:szCs w:val="27"/>
        </w:rPr>
        <w:t> </w:t>
      </w:r>
    </w:p>
    <w:p w14:paraId="6680B629">
      <w:pPr>
        <w:spacing w:before="240" w:after="240"/>
        <w:jc w:val="both"/>
        <w:rPr>
          <w:color w:val="000000"/>
          <w:sz w:val="27"/>
          <w:szCs w:val="27"/>
        </w:rPr>
      </w:pPr>
      <w:r>
        <w:rPr>
          <w:b/>
          <w:bCs/>
          <w:color w:val="000000"/>
          <w:sz w:val="27"/>
          <w:szCs w:val="27"/>
        </w:rPr>
        <w:t>II - Problema a Ser Resolvido</w:t>
      </w:r>
    </w:p>
    <w:p w14:paraId="72D931C9">
      <w:pPr>
        <w:spacing w:before="240" w:after="240"/>
        <w:jc w:val="both"/>
        <w:rPr>
          <w:color w:val="000000"/>
          <w:sz w:val="27"/>
          <w:szCs w:val="27"/>
        </w:rPr>
      </w:pPr>
      <w:r>
        <w:rPr>
          <w:color w:val="000000"/>
          <w:sz w:val="27"/>
          <w:szCs w:val="27"/>
        </w:rPr>
        <w:t>O problema identificado refere-se à necessidade de garantir a adequada alimentação dos alunos da rede municipal de ensino que irão participar dos Desfiles Cívicos de 07 de Setembro de 2026.</w:t>
      </w:r>
    </w:p>
    <w:p w14:paraId="1157E5A2">
      <w:pPr>
        <w:spacing w:before="240" w:after="240"/>
        <w:jc w:val="both"/>
        <w:rPr>
          <w:color w:val="000000"/>
          <w:sz w:val="27"/>
          <w:szCs w:val="27"/>
        </w:rPr>
      </w:pPr>
      <w:r>
        <w:rPr>
          <w:color w:val="000000"/>
          <w:sz w:val="27"/>
          <w:szCs w:val="27"/>
        </w:rPr>
        <w:t>Durante esses eventos, os estudantes permanecem por longos períodos fora das unidades escolares, deslocando-se até os locais de concentração, aguardando a formação dos pelotões e desfilando pelas ruas da cidade. Esse tempo prolongado de participação, aliado ao esforço físico exigido, pode ocasionar desconforto, cansaço, queda de rendimento e até problemas de saúde, caso não seja assegurada uma alimentação mínima, nutritiva, prática e segura.</w:t>
      </w:r>
    </w:p>
    <w:p w14:paraId="741123D5">
      <w:pPr>
        <w:spacing w:before="240" w:after="240"/>
        <w:jc w:val="both"/>
        <w:rPr>
          <w:color w:val="000000"/>
          <w:sz w:val="27"/>
          <w:szCs w:val="27"/>
        </w:rPr>
      </w:pPr>
      <w:r>
        <w:rPr>
          <w:color w:val="000000"/>
          <w:sz w:val="27"/>
          <w:szCs w:val="27"/>
        </w:rPr>
        <w:t>Atualmente, a Secretaria Municipal de Educação não dispõe de estrutura própria para preparar, acondicionar e distribuir lanches em larga escala, de forma a atender todos os alunos de forma padronizada, com qualidade e em conformidade com as normas de segurança alimentar e vigilância sanitária.</w:t>
      </w:r>
    </w:p>
    <w:p w14:paraId="5098941F">
      <w:pPr>
        <w:spacing w:before="240" w:after="240"/>
        <w:jc w:val="both"/>
        <w:rPr>
          <w:color w:val="000000"/>
          <w:sz w:val="27"/>
          <w:szCs w:val="27"/>
        </w:rPr>
      </w:pPr>
      <w:r>
        <w:rPr>
          <w:color w:val="000000"/>
          <w:sz w:val="27"/>
          <w:szCs w:val="27"/>
        </w:rPr>
        <w:t>Assim, o problema a ser resolvido é justamente suprir essa lacuna logística e operacional, garantindo que os estudantes recebam, no momento oportuno, um kit de lanche individual, adequado às suas necessidades nutricionais e devidamente acondicionado para consumo seguro, sem comprometer a organização dos eventos.</w:t>
      </w:r>
    </w:p>
    <w:p w14:paraId="087738EA">
      <w:pPr>
        <w:spacing w:before="240" w:after="240"/>
        <w:jc w:val="both"/>
        <w:rPr>
          <w:color w:val="000000"/>
          <w:sz w:val="27"/>
          <w:szCs w:val="27"/>
        </w:rPr>
      </w:pPr>
      <w:r>
        <w:rPr>
          <w:color w:val="000000"/>
          <w:sz w:val="27"/>
          <w:szCs w:val="27"/>
        </w:rPr>
        <w:t>A contratação de empresa especializada por meio de Pregão Eletrônico, no sistema de Registro de Preços, visa mitigar riscos operacionais, evitar soluções improvisadas e garantir que a Secretaria Municipal de Educação possa oferecer as condições básicas para a participação dos alunos, assegurando seu bem-estar e a qualidade das comemorações cívicas.</w:t>
      </w:r>
    </w:p>
    <w:p w14:paraId="60CF1FB4">
      <w:pPr>
        <w:spacing w:before="240" w:after="240"/>
        <w:jc w:val="both"/>
        <w:rPr>
          <w:color w:val="000000"/>
          <w:sz w:val="27"/>
          <w:szCs w:val="27"/>
        </w:rPr>
      </w:pPr>
      <w:r>
        <w:rPr>
          <w:b/>
          <w:bCs/>
          <w:color w:val="000000"/>
          <w:sz w:val="27"/>
          <w:szCs w:val="27"/>
        </w:rPr>
        <w:t>III - Relato Descritivo das Contratações Anteriores Semelhantes da Secretaria Municipal de Educação </w:t>
      </w:r>
    </w:p>
    <w:p w14:paraId="05002D29">
      <w:pPr>
        <w:spacing w:before="240" w:after="240"/>
        <w:jc w:val="both"/>
        <w:rPr>
          <w:color w:val="000000"/>
          <w:sz w:val="27"/>
          <w:szCs w:val="27"/>
        </w:rPr>
      </w:pPr>
      <w:r>
        <w:rPr>
          <w:color w:val="000000"/>
          <w:sz w:val="27"/>
          <w:szCs w:val="27"/>
        </w:rPr>
        <w:t>Em exercícios anteriores, para atender à demanda de alimentação dos alunos participantes dos Desfiles Cívicos de 07 de Setembro do Município, a Secretaria Municipal de Educação (SME) realizava licitações na forma de fornecimento de coffee-break, adquirindo os itens de forma avulsa (como pães, sucos, bolos, frutas, entre outros). Após o recebimento dos produtos, as equipes de servidores municipais se encarregaram de fazer a montagem manual dos kits, organizando item por item, embalando e distribuindo aos estudantes no local dos eventos.</w:t>
      </w:r>
    </w:p>
    <w:p w14:paraId="72D13F87">
      <w:pPr>
        <w:spacing w:before="240" w:after="240"/>
        <w:jc w:val="both"/>
        <w:rPr>
          <w:color w:val="000000"/>
          <w:sz w:val="27"/>
          <w:szCs w:val="27"/>
        </w:rPr>
      </w:pPr>
      <w:r>
        <w:rPr>
          <w:color w:val="000000"/>
          <w:sz w:val="27"/>
          <w:szCs w:val="27"/>
        </w:rPr>
        <w:t>Essa prática, embora tenha atendido as necessidades básicas em sua época, apresentou diversos desafios operacionais, como:</w:t>
      </w:r>
    </w:p>
    <w:p w14:paraId="607F22BD">
      <w:pPr>
        <w:numPr>
          <w:ilvl w:val="0"/>
          <w:numId w:val="47"/>
        </w:numPr>
        <w:spacing w:before="240"/>
        <w:jc w:val="both"/>
        <w:rPr>
          <w:color w:val="000000"/>
          <w:sz w:val="27"/>
          <w:szCs w:val="27"/>
        </w:rPr>
      </w:pPr>
      <w:r>
        <w:rPr>
          <w:color w:val="000000"/>
          <w:sz w:val="27"/>
          <w:szCs w:val="27"/>
        </w:rPr>
        <w:t>Excesso de tempo demandado dos servidores, desviando-os de suas atividades pedagógicas e administrativas principais;</w:t>
      </w:r>
    </w:p>
    <w:p w14:paraId="0864A0E1">
      <w:pPr>
        <w:numPr>
          <w:ilvl w:val="0"/>
          <w:numId w:val="47"/>
        </w:numPr>
        <w:jc w:val="both"/>
        <w:rPr>
          <w:color w:val="000000"/>
          <w:sz w:val="27"/>
          <w:szCs w:val="27"/>
        </w:rPr>
      </w:pPr>
      <w:r>
        <w:rPr>
          <w:color w:val="000000"/>
          <w:sz w:val="27"/>
          <w:szCs w:val="27"/>
        </w:rPr>
        <w:t>Risco de contaminação cruzada, pois a montagem artesanal não garantia o mesmo nível de controle sanitário que uma empresa especializada;</w:t>
      </w:r>
    </w:p>
    <w:p w14:paraId="177C80A7">
      <w:pPr>
        <w:numPr>
          <w:ilvl w:val="0"/>
          <w:numId w:val="47"/>
        </w:numPr>
        <w:jc w:val="both"/>
        <w:rPr>
          <w:color w:val="000000"/>
          <w:sz w:val="27"/>
          <w:szCs w:val="27"/>
        </w:rPr>
      </w:pPr>
      <w:r>
        <w:rPr>
          <w:color w:val="000000"/>
          <w:sz w:val="27"/>
          <w:szCs w:val="27"/>
        </w:rPr>
        <w:t>Dificuldade de padronização, gerando kits com quantidades ou qualidade desiguais;</w:t>
      </w:r>
    </w:p>
    <w:p w14:paraId="1E6040E4">
      <w:pPr>
        <w:numPr>
          <w:ilvl w:val="0"/>
          <w:numId w:val="47"/>
        </w:numPr>
        <w:jc w:val="both"/>
        <w:rPr>
          <w:color w:val="000000"/>
          <w:sz w:val="27"/>
          <w:szCs w:val="27"/>
        </w:rPr>
      </w:pPr>
      <w:r>
        <w:rPr>
          <w:color w:val="000000"/>
          <w:sz w:val="27"/>
          <w:szCs w:val="27"/>
        </w:rPr>
        <w:t>Problemas logísticos, devido à necessidade de transporte e armazenamento dos itens fracionados antes da montagem;</w:t>
      </w:r>
    </w:p>
    <w:p w14:paraId="6DA62379">
      <w:pPr>
        <w:numPr>
          <w:ilvl w:val="0"/>
          <w:numId w:val="47"/>
        </w:numPr>
        <w:spacing w:after="240"/>
        <w:jc w:val="both"/>
        <w:rPr>
          <w:color w:val="000000"/>
          <w:sz w:val="27"/>
          <w:szCs w:val="27"/>
        </w:rPr>
      </w:pPr>
      <w:r>
        <w:rPr>
          <w:color w:val="000000"/>
          <w:sz w:val="27"/>
          <w:szCs w:val="27"/>
        </w:rPr>
        <w:t>Maior risco de desperdício de alimentos, uma vez que itens soltos podem ser mal acondicionados ou danificados durante o processo.</w:t>
      </w:r>
    </w:p>
    <w:p w14:paraId="19ABBF16">
      <w:pPr>
        <w:spacing w:before="240" w:after="240"/>
        <w:jc w:val="both"/>
        <w:rPr>
          <w:color w:val="000000"/>
          <w:sz w:val="27"/>
          <w:szCs w:val="27"/>
        </w:rPr>
      </w:pPr>
      <w:r>
        <w:rPr>
          <w:color w:val="000000"/>
          <w:sz w:val="27"/>
          <w:szCs w:val="27"/>
        </w:rPr>
        <w:t>Diante desses problemas, verificou-se a necessidade de evolução do modelo de fornecimento, buscando soluções mais eficientes, seguras e alinhadas às boas práticas de manipulação de alimentos, de forma a garantir a integridade e a qualidade nutricional dos lanches.</w:t>
      </w:r>
    </w:p>
    <w:p w14:paraId="6CCE78A5">
      <w:pPr>
        <w:spacing w:before="240" w:after="240"/>
        <w:jc w:val="both"/>
        <w:rPr>
          <w:color w:val="000000"/>
          <w:sz w:val="27"/>
          <w:szCs w:val="27"/>
        </w:rPr>
      </w:pPr>
      <w:r>
        <w:rPr>
          <w:color w:val="000000"/>
          <w:sz w:val="27"/>
          <w:szCs w:val="27"/>
        </w:rPr>
        <w:t>Assim, a opção por adquirir kits de lanches prontos, já montados e embalados por empresa especializada, apresenta vantagens significativas, tais como:</w:t>
      </w:r>
    </w:p>
    <w:p w14:paraId="47F740FC">
      <w:pPr>
        <w:numPr>
          <w:ilvl w:val="0"/>
          <w:numId w:val="48"/>
        </w:numPr>
        <w:spacing w:before="240"/>
        <w:jc w:val="both"/>
        <w:rPr>
          <w:color w:val="000000"/>
          <w:sz w:val="27"/>
          <w:szCs w:val="27"/>
        </w:rPr>
      </w:pPr>
      <w:r>
        <w:rPr>
          <w:color w:val="000000"/>
          <w:sz w:val="27"/>
          <w:szCs w:val="27"/>
        </w:rPr>
        <w:t>Maior segurança alimentar, uma vez que os produtos são preparados e embalados em ambiente controlado, em conformidade com as normas da vigilância sanitária;</w:t>
      </w:r>
    </w:p>
    <w:p w14:paraId="7384E4E0">
      <w:pPr>
        <w:numPr>
          <w:ilvl w:val="0"/>
          <w:numId w:val="48"/>
        </w:numPr>
        <w:jc w:val="both"/>
        <w:rPr>
          <w:color w:val="000000"/>
          <w:sz w:val="27"/>
          <w:szCs w:val="27"/>
        </w:rPr>
      </w:pPr>
      <w:r>
        <w:rPr>
          <w:color w:val="000000"/>
          <w:sz w:val="27"/>
          <w:szCs w:val="27"/>
        </w:rPr>
        <w:t>Economia de tempo e de recursos humanos, liberando os servidores para suas funções principais, evitando atividades operacionais que fogem de sua rotina institucional;</w:t>
      </w:r>
    </w:p>
    <w:p w14:paraId="4C4D63B4">
      <w:pPr>
        <w:numPr>
          <w:ilvl w:val="0"/>
          <w:numId w:val="48"/>
        </w:numPr>
        <w:jc w:val="both"/>
        <w:rPr>
          <w:color w:val="000000"/>
          <w:sz w:val="27"/>
          <w:szCs w:val="27"/>
        </w:rPr>
      </w:pPr>
      <w:r>
        <w:rPr>
          <w:color w:val="000000"/>
          <w:sz w:val="27"/>
          <w:szCs w:val="27"/>
        </w:rPr>
        <w:t>Padronização e qualidade uniforme, garantindo que todos os alunos recebam o mesmo kit, sem falhas na montagem;</w:t>
      </w:r>
    </w:p>
    <w:p w14:paraId="4FF6D3D2">
      <w:pPr>
        <w:numPr>
          <w:ilvl w:val="0"/>
          <w:numId w:val="48"/>
        </w:numPr>
        <w:jc w:val="both"/>
        <w:rPr>
          <w:color w:val="000000"/>
          <w:sz w:val="27"/>
          <w:szCs w:val="27"/>
        </w:rPr>
      </w:pPr>
      <w:r>
        <w:rPr>
          <w:color w:val="000000"/>
          <w:sz w:val="27"/>
          <w:szCs w:val="27"/>
        </w:rPr>
        <w:t>Facilidade de transporte e distribuição, pois os kits já estarão acondicionados de forma prática, otimizando o manuseio e a entrega no local dos desfiles;</w:t>
      </w:r>
    </w:p>
    <w:p w14:paraId="4B28FA8D">
      <w:pPr>
        <w:numPr>
          <w:ilvl w:val="0"/>
          <w:numId w:val="48"/>
        </w:numPr>
        <w:spacing w:after="240"/>
        <w:jc w:val="both"/>
        <w:rPr>
          <w:color w:val="000000"/>
          <w:sz w:val="27"/>
          <w:szCs w:val="27"/>
        </w:rPr>
      </w:pPr>
      <w:r>
        <w:rPr>
          <w:color w:val="000000"/>
          <w:sz w:val="27"/>
          <w:szCs w:val="27"/>
        </w:rPr>
        <w:t>Redução de riscos logísticos, uma vez que o fornecedor se responsabiliza por entregar os kits prontos, dentro dos prazos e condições estabelecidos em contrato.</w:t>
      </w:r>
    </w:p>
    <w:p w14:paraId="7E20D633">
      <w:pPr>
        <w:spacing w:before="240" w:after="240"/>
        <w:jc w:val="both"/>
        <w:rPr>
          <w:color w:val="000000"/>
          <w:sz w:val="27"/>
          <w:szCs w:val="27"/>
        </w:rPr>
      </w:pPr>
      <w:r>
        <w:rPr>
          <w:color w:val="000000"/>
          <w:sz w:val="27"/>
          <w:szCs w:val="27"/>
        </w:rPr>
        <w:t>Portanto, essa mudança de estratégia visa aprimorar o atendimento às necessidades dos alunos, garantir a realização dos eventos com maior organização e qualidade, e demonstrar o comprometimento da Administração Pública com a melhoria contínua de seus processos, em benefício do interesse público.</w:t>
      </w:r>
    </w:p>
    <w:p w14:paraId="4CC660B5">
      <w:pPr>
        <w:jc w:val="both"/>
        <w:rPr>
          <w:color w:val="000000"/>
          <w:sz w:val="27"/>
          <w:szCs w:val="27"/>
        </w:rPr>
      </w:pPr>
      <w:r>
        <w:rPr>
          <w:color w:val="000000"/>
          <w:sz w:val="27"/>
          <w:szCs w:val="27"/>
        </w:rPr>
        <w:t>  Trata-se de fornecimento de material comum, cujos padrões de desempenho e qualidade podem ser objetivamente definidos no edital por meio de especificações usuais no mercado, nos termos da Lei 14.133/2021.</w:t>
      </w:r>
    </w:p>
    <w:p w14:paraId="7178D518">
      <w:pPr>
        <w:spacing w:before="120" w:after="120"/>
        <w:ind w:left="120" w:right="120" w:firstLine="1699"/>
        <w:jc w:val="both"/>
        <w:rPr>
          <w:color w:val="000000"/>
          <w:sz w:val="27"/>
          <w:szCs w:val="27"/>
        </w:rPr>
      </w:pPr>
      <w:r>
        <w:rPr>
          <w:color w:val="000000"/>
          <w:sz w:val="27"/>
          <w:szCs w:val="27"/>
        </w:rPr>
        <w:br w:type="textWrapping"/>
      </w:r>
      <w:r>
        <w:rPr>
          <w:color w:val="000000"/>
          <w:sz w:val="27"/>
          <w:szCs w:val="27"/>
        </w:rPr>
        <w:br w:type="textWrapping"/>
      </w:r>
      <w:r>
        <w:rPr>
          <w:color w:val="000000"/>
          <w:sz w:val="27"/>
          <w:szCs w:val="27"/>
        </w:rPr>
        <w:t> </w:t>
      </w:r>
    </w:p>
    <w:p w14:paraId="4393F5A6">
      <w:pPr>
        <w:numPr>
          <w:ilvl w:val="0"/>
          <w:numId w:val="49"/>
        </w:numPr>
        <w:rPr>
          <w:color w:val="000000"/>
          <w:sz w:val="27"/>
          <w:szCs w:val="27"/>
        </w:rPr>
      </w:pPr>
      <w:r>
        <w:rPr>
          <w:b/>
          <w:bCs/>
          <w:color w:val="000000"/>
          <w:sz w:val="27"/>
          <w:szCs w:val="27"/>
          <w:shd w:val="clear" w:color="auto" w:fill="D9D9D9"/>
        </w:rPr>
        <w:t>PREVISÃO NO PLANO DE CONTRATAÇÕES ANUAL</w:t>
      </w:r>
    </w:p>
    <w:p w14:paraId="1E43CBEE">
      <w:pPr>
        <w:spacing w:before="120" w:after="120"/>
        <w:ind w:left="120" w:right="120" w:firstLine="1699"/>
        <w:jc w:val="both"/>
        <w:rPr>
          <w:color w:val="000000"/>
          <w:sz w:val="27"/>
          <w:szCs w:val="27"/>
        </w:rPr>
      </w:pPr>
      <w:r>
        <w:rPr>
          <w:color w:val="000000"/>
          <w:sz w:val="27"/>
          <w:szCs w:val="27"/>
        </w:rPr>
        <w:br w:type="textWrapping"/>
      </w:r>
      <w:r>
        <w:rPr>
          <w:color w:val="000000"/>
          <w:sz w:val="27"/>
          <w:szCs w:val="27"/>
        </w:rPr>
        <w:t> </w:t>
      </w:r>
    </w:p>
    <w:p w14:paraId="29F32F25">
      <w:pPr>
        <w:ind w:left="120" w:right="120" w:firstLine="426"/>
        <w:jc w:val="both"/>
        <w:rPr>
          <w:color w:val="000000"/>
          <w:sz w:val="27"/>
          <w:szCs w:val="27"/>
        </w:rPr>
      </w:pPr>
      <w:r>
        <w:rPr>
          <w:color w:val="000000"/>
          <w:sz w:val="27"/>
          <w:szCs w:val="27"/>
        </w:rPr>
        <w:t>  Há previsão desta contratação no Plano de Contratações Anuais - PCA (2026)?</w:t>
      </w:r>
    </w:p>
    <w:p w14:paraId="7164756E">
      <w:pPr>
        <w:ind w:left="120" w:right="120" w:firstLine="426"/>
        <w:jc w:val="both"/>
        <w:rPr>
          <w:color w:val="000000"/>
          <w:sz w:val="27"/>
          <w:szCs w:val="27"/>
        </w:rPr>
      </w:pPr>
      <w:r>
        <w:rPr>
          <w:color w:val="000000"/>
          <w:sz w:val="27"/>
          <w:szCs w:val="27"/>
        </w:rPr>
        <w:t> </w:t>
      </w:r>
    </w:p>
    <w:p w14:paraId="35F9F8BE">
      <w:pPr>
        <w:ind w:left="120" w:right="120"/>
        <w:rPr>
          <w:color w:val="000000"/>
          <w:sz w:val="27"/>
          <w:szCs w:val="27"/>
        </w:rPr>
      </w:pPr>
      <w:r>
        <w:rPr>
          <w:b/>
          <w:bCs/>
          <w:color w:val="000000"/>
          <w:sz w:val="27"/>
          <w:szCs w:val="27"/>
        </w:rPr>
        <w:t>(  X ) SIM (  ) NÃO</w:t>
      </w:r>
    </w:p>
    <w:p w14:paraId="51C86D8F">
      <w:pPr>
        <w:spacing w:before="240" w:after="120"/>
        <w:jc w:val="both"/>
        <w:rPr>
          <w:color w:val="000000"/>
          <w:sz w:val="27"/>
          <w:szCs w:val="27"/>
        </w:rPr>
      </w:pPr>
      <w:r>
        <w:rPr>
          <w:color w:val="000000"/>
          <w:sz w:val="27"/>
          <w:szCs w:val="27"/>
        </w:rPr>
        <w:t>Nos termos do inciso II, § 1º, art. 18 da Lei nº 14.133/2021 e na Lei Orçamentária Anual – LOA, em conformidade com o Planejamento Estratégico da Prefeitura do Município de Valença que visa assegurar a adequada administração e suporte necessário às necessidades da população.</w:t>
      </w:r>
    </w:p>
    <w:p w14:paraId="111FED4E">
      <w:pPr>
        <w:spacing w:before="120" w:after="120"/>
        <w:ind w:left="120" w:right="120" w:firstLine="1699"/>
        <w:jc w:val="both"/>
        <w:rPr>
          <w:color w:val="000000"/>
          <w:sz w:val="27"/>
          <w:szCs w:val="27"/>
        </w:rPr>
      </w:pPr>
      <w:r>
        <w:rPr>
          <w:color w:val="000000"/>
          <w:sz w:val="27"/>
          <w:szCs w:val="27"/>
        </w:rPr>
        <w:br w:type="textWrapping"/>
      </w:r>
      <w:r>
        <w:rPr>
          <w:color w:val="000000"/>
          <w:sz w:val="27"/>
          <w:szCs w:val="27"/>
        </w:rPr>
        <w:br w:type="textWrapping"/>
      </w:r>
      <w:r>
        <w:rPr>
          <w:color w:val="000000"/>
          <w:sz w:val="27"/>
          <w:szCs w:val="27"/>
        </w:rPr>
        <w:br w:type="textWrapping"/>
      </w:r>
      <w:r>
        <w:rPr>
          <w:color w:val="000000"/>
          <w:sz w:val="27"/>
          <w:szCs w:val="27"/>
        </w:rPr>
        <w:t> </w:t>
      </w:r>
    </w:p>
    <w:p w14:paraId="10DF8176">
      <w:pPr>
        <w:numPr>
          <w:ilvl w:val="0"/>
          <w:numId w:val="50"/>
        </w:numPr>
        <w:rPr>
          <w:color w:val="000000"/>
          <w:sz w:val="27"/>
          <w:szCs w:val="27"/>
        </w:rPr>
      </w:pPr>
      <w:r>
        <w:rPr>
          <w:b/>
          <w:bCs/>
          <w:color w:val="000000"/>
          <w:sz w:val="27"/>
          <w:szCs w:val="27"/>
          <w:shd w:val="clear" w:color="auto" w:fill="D9D9D9"/>
        </w:rPr>
        <w:t>REQUISITOS MÍNIMOS DA CONTRATAÇÃO (Art. 18, §1º, inciso III, da Lei 14.133/2021)</w:t>
      </w:r>
    </w:p>
    <w:p w14:paraId="69764137">
      <w:pPr>
        <w:spacing w:before="120" w:after="120"/>
        <w:ind w:left="120" w:right="120" w:firstLine="1699"/>
        <w:jc w:val="both"/>
        <w:rPr>
          <w:color w:val="000000"/>
          <w:sz w:val="27"/>
          <w:szCs w:val="27"/>
        </w:rPr>
      </w:pPr>
      <w:r>
        <w:rPr>
          <w:color w:val="000000"/>
          <w:sz w:val="27"/>
          <w:szCs w:val="27"/>
        </w:rPr>
        <w:br w:type="textWrapping"/>
      </w:r>
      <w:r>
        <w:rPr>
          <w:color w:val="000000"/>
          <w:sz w:val="27"/>
          <w:szCs w:val="27"/>
        </w:rPr>
        <w:t> </w:t>
      </w:r>
    </w:p>
    <w:p w14:paraId="78B0C168">
      <w:pPr>
        <w:spacing w:before="120"/>
        <w:jc w:val="both"/>
        <w:rPr>
          <w:color w:val="000000"/>
          <w:sz w:val="27"/>
          <w:szCs w:val="27"/>
        </w:rPr>
      </w:pPr>
      <w:r>
        <w:rPr>
          <w:b/>
          <w:bCs/>
          <w:color w:val="000000"/>
          <w:sz w:val="27"/>
          <w:szCs w:val="27"/>
        </w:rPr>
        <w:t>  </w:t>
      </w:r>
      <w:r>
        <w:rPr>
          <w:color w:val="000000"/>
          <w:sz w:val="27"/>
          <w:szCs w:val="27"/>
        </w:rPr>
        <w:t>  A aquisição far-se-á pelo por PREGÃO ELETRÔNICO, cujo critério de julgamento será o  MENOR PREÇO POR UM LOTE ÚNICO do item por caixa,  litro, frasco, lata ou outra unidade determinada por nutricionista, respectivo ao alimento a ser licitado; </w:t>
      </w:r>
    </w:p>
    <w:p w14:paraId="2FF8983C">
      <w:pPr>
        <w:jc w:val="both"/>
        <w:rPr>
          <w:color w:val="000000"/>
          <w:sz w:val="27"/>
          <w:szCs w:val="27"/>
        </w:rPr>
      </w:pPr>
      <w:r>
        <w:rPr>
          <w:color w:val="000000"/>
          <w:sz w:val="27"/>
          <w:szCs w:val="27"/>
        </w:rPr>
        <w:t>   Aspectos técnicos e sanitários da área de alimentação e Programa de Alimentação Escolar. </w:t>
      </w:r>
    </w:p>
    <w:p w14:paraId="6EF50D89">
      <w:pPr>
        <w:jc w:val="both"/>
        <w:rPr>
          <w:color w:val="000000"/>
          <w:sz w:val="27"/>
          <w:szCs w:val="27"/>
        </w:rPr>
      </w:pPr>
      <w:r>
        <w:rPr>
          <w:color w:val="000000"/>
          <w:sz w:val="27"/>
          <w:szCs w:val="27"/>
        </w:rPr>
        <w:t> Por se tratar de aquisição de alimentos, deverá ser considerada as condições necessárias previstas em legislações vigentes, além das relacionadas aos processos de licitações, os aspectos sanitários, as considerações do Programa de Alimentação Escolar, previstas por órgãos reguladores, quais sejam, Ministério da Saúde e Ministério da Agricultura e Pecuária, Ministério da Educação;</w:t>
      </w:r>
    </w:p>
    <w:p w14:paraId="4A153582">
      <w:pPr>
        <w:jc w:val="both"/>
        <w:rPr>
          <w:color w:val="000000"/>
          <w:sz w:val="27"/>
          <w:szCs w:val="27"/>
        </w:rPr>
      </w:pPr>
      <w:r>
        <w:rPr>
          <w:color w:val="000000"/>
          <w:sz w:val="27"/>
          <w:szCs w:val="27"/>
        </w:rPr>
        <w:t>Considerando, a necessidade de alinhar as contratações ao Planejamento Estratégico, à Lei Orçamentária Anual – LOA e ao Plano de Contratação Anual – PCA de 2026 deste município, sendo o setor requisitante a Coordenação de Nutrição Escolar </w:t>
      </w:r>
      <w:r>
        <w:rPr>
          <w:i/>
          <w:iCs/>
          <w:color w:val="000000"/>
          <w:sz w:val="27"/>
          <w:szCs w:val="27"/>
        </w:rPr>
        <w:t>(“</w:t>
      </w:r>
      <w:r>
        <w:rPr>
          <w:i/>
          <w:iCs/>
          <w:color w:val="040C28"/>
          <w:sz w:val="27"/>
          <w:szCs w:val="27"/>
        </w:rPr>
        <w:t>Entende-se por alimentação escolar todo alimento oferecido no ambiente escolar, independentemente de sua origem, durante o período letivo</w:t>
      </w:r>
      <w:r>
        <w:rPr>
          <w:i/>
          <w:iCs/>
          <w:color w:val="1F1F1F"/>
          <w:sz w:val="27"/>
          <w:szCs w:val="27"/>
          <w:shd w:val="clear" w:color="auto" w:fill="FFFFFF"/>
        </w:rPr>
        <w:t>.</w:t>
      </w:r>
      <w:r>
        <w:rPr>
          <w:i/>
          <w:iCs/>
          <w:color w:val="000000"/>
          <w:sz w:val="27"/>
          <w:szCs w:val="27"/>
        </w:rPr>
        <w:t>” – art. 1º, Lei nº 11.947/2009);</w:t>
      </w:r>
      <w:r>
        <w:rPr>
          <w:color w:val="000000"/>
          <w:sz w:val="27"/>
          <w:szCs w:val="27"/>
        </w:rPr>
        <w:t> </w:t>
      </w:r>
    </w:p>
    <w:p w14:paraId="2AB29611">
      <w:pPr>
        <w:jc w:val="both"/>
        <w:rPr>
          <w:color w:val="000000"/>
          <w:sz w:val="27"/>
          <w:szCs w:val="27"/>
        </w:rPr>
      </w:pPr>
      <w:r>
        <w:rPr>
          <w:color w:val="000000"/>
          <w:sz w:val="27"/>
          <w:szCs w:val="27"/>
        </w:rPr>
        <w:t>  É dever do Estado garantir que a oferta da alimentação escolar em conformidade com as necessidades nutricionais dos alunos, durante o período letivo, observando as diretrizes estabelecidas em Lei, bem como o disposto no inciso</w:t>
      </w:r>
    </w:p>
    <w:p w14:paraId="2033DBDA">
      <w:pPr>
        <w:jc w:val="both"/>
        <w:rPr>
          <w:color w:val="000000"/>
          <w:sz w:val="27"/>
          <w:szCs w:val="27"/>
        </w:rPr>
      </w:pPr>
      <w:r>
        <w:rPr>
          <w:color w:val="000000"/>
          <w:sz w:val="27"/>
          <w:szCs w:val="27"/>
        </w:rPr>
        <w:t>VII do art. 208 da Constituição Federal (art. 2º, art. 3º, inciso I, art. 6º, Lei nº 11.947/2009); </w:t>
      </w:r>
    </w:p>
    <w:p w14:paraId="0085ED3A">
      <w:pPr>
        <w:jc w:val="both"/>
        <w:rPr>
          <w:color w:val="000000"/>
          <w:sz w:val="27"/>
          <w:szCs w:val="27"/>
        </w:rPr>
      </w:pPr>
      <w:r>
        <w:rPr>
          <w:color w:val="000000"/>
          <w:sz w:val="27"/>
          <w:szCs w:val="27"/>
        </w:rPr>
        <w:t> Nos termos da Lei nº 11.947/2009, a alimentação servida ao aluno tem entre suas diretrizes contribuir “</w:t>
      </w:r>
      <w:r>
        <w:rPr>
          <w:i/>
          <w:iCs/>
          <w:color w:val="000000"/>
          <w:sz w:val="27"/>
          <w:szCs w:val="27"/>
        </w:rPr>
        <w:t>para o crescimento e o desenvolvimento dos alunos e para a melhoria do rendimento escolar, em conformidade com a sua faixa etária e seu estado de saúde, inclusive dos que necessitam de atenção específica</w:t>
      </w:r>
      <w:r>
        <w:rPr>
          <w:color w:val="000000"/>
          <w:sz w:val="27"/>
          <w:szCs w:val="27"/>
        </w:rPr>
        <w:t>”;</w:t>
      </w:r>
    </w:p>
    <w:p w14:paraId="2CEA71EF">
      <w:pPr>
        <w:jc w:val="both"/>
        <w:rPr>
          <w:color w:val="000000"/>
          <w:sz w:val="27"/>
          <w:szCs w:val="27"/>
        </w:rPr>
      </w:pPr>
      <w:r>
        <w:rPr>
          <w:color w:val="000000"/>
          <w:sz w:val="27"/>
          <w:szCs w:val="27"/>
        </w:rPr>
        <w:t>  Os alimentos constantes neste ETP estão com os respectivos regulamentos técnicos de identidade e qualidade estabelecidos pela Agência de Vigilância Sanitária – ANVISA e pelo Ministério da Agricultura e Pecuária – MAPA, tanto quanto as legislações sanitárias estabelecidas para a área alimentícia que devem ser cumpridas visando a manutenção da boa saúde dos alunos. O descumprimento a essas determinações legais constitui infração sanitária nos termos da Lei nº 6.437/1977, da Lei nº 8.078/1990 e da Portaria MS 1428/1993, que indicam sanções conforme o nível da infração, considerando ainda, as determinações do art. 156 da Lei nº 14.133/2021; </w:t>
      </w:r>
    </w:p>
    <w:p w14:paraId="3921A994">
      <w:pPr>
        <w:jc w:val="both"/>
        <w:rPr>
          <w:color w:val="000000"/>
          <w:sz w:val="27"/>
          <w:szCs w:val="27"/>
        </w:rPr>
      </w:pPr>
      <w:r>
        <w:rPr>
          <w:color w:val="000000"/>
          <w:sz w:val="27"/>
          <w:szCs w:val="27"/>
        </w:rPr>
        <w:t>Assim, a escolha dos alimentos será baseada no regulamento técnico de identidade  qualidade – RTIQ (ANVISA e MAPA), nas características nutricionais dos alimentos (Lei nº 11.947/2009, Resolução FNDE nº 06/2020, guias alimentares brasileiros), o tipo de embalagem primária, secundária e terciária (ANVISA e MAPA); a proporção de cada uma; comprovantes de registros do alimento e da rotulagem correspondentes a cada alimento de origem animal no Serviço de Inspeção; registros das polpas, sucos (MAPA) e das fórmulas infantis (ANVISA), requisitos dos veículos de entrega; comportamento dos entregadores dentro das</w:t>
      </w:r>
    </w:p>
    <w:p w14:paraId="5B736A3E">
      <w:pPr>
        <w:jc w:val="both"/>
        <w:rPr>
          <w:color w:val="000000"/>
          <w:sz w:val="27"/>
          <w:szCs w:val="27"/>
        </w:rPr>
      </w:pPr>
      <w:r>
        <w:rPr>
          <w:color w:val="000000"/>
          <w:sz w:val="27"/>
          <w:szCs w:val="27"/>
        </w:rPr>
        <w:t>boas práticas de manipulação dos alimentos (Lei nº 8.078/1990 – Código Sanitário; Portaria MS 1.428/1993; Portaria MS 326/1997; Portaria MAPA 368/1997; Resolução RDC-ANVISA 275/2002; Resolução RDC-ANVISA 216/2004) e outras exigências necessárias para a oferta dos alimentos conforme a descrição de cada um, tradicionalmente encontrados nos mercados locais; </w:t>
      </w:r>
    </w:p>
    <w:p w14:paraId="75BFBC04">
      <w:pPr>
        <w:jc w:val="both"/>
        <w:rPr>
          <w:color w:val="000000"/>
          <w:sz w:val="27"/>
          <w:szCs w:val="27"/>
        </w:rPr>
      </w:pPr>
      <w:r>
        <w:rPr>
          <w:color w:val="000000"/>
          <w:sz w:val="27"/>
          <w:szCs w:val="27"/>
        </w:rPr>
        <w:t>  Requisitos mínimos para a contratação (art. 4º; alínea “d”, art. 5º; inciso XXIII, art. 6º; inciso IV, art. 11; inciso III, § 1º, art. 18, art. 90 da Lei nº 14.133/2021).</w:t>
      </w:r>
    </w:p>
    <w:p w14:paraId="579CCA15">
      <w:pPr>
        <w:jc w:val="both"/>
        <w:rPr>
          <w:color w:val="000000"/>
          <w:sz w:val="27"/>
          <w:szCs w:val="27"/>
        </w:rPr>
      </w:pPr>
      <w:r>
        <w:rPr>
          <w:color w:val="000000"/>
          <w:sz w:val="27"/>
          <w:szCs w:val="27"/>
        </w:rPr>
        <w:t>  Atendimento à qualidade nutricional e sanitária dos alimentos e procedimentos às boas práticas na manipulação dos alimentos, conforme a legislação sanitária e especificações que seguem;</w:t>
      </w:r>
    </w:p>
    <w:p w14:paraId="35015F5F">
      <w:pPr>
        <w:jc w:val="both"/>
        <w:rPr>
          <w:color w:val="000000"/>
          <w:sz w:val="27"/>
          <w:szCs w:val="27"/>
        </w:rPr>
      </w:pPr>
      <w:r>
        <w:rPr>
          <w:color w:val="000000"/>
          <w:sz w:val="27"/>
          <w:szCs w:val="27"/>
        </w:rPr>
        <w:t>Preços compatíveis aos de mercado e às condições aqui descritas, favorecendo o cumprimento integral dos cardápios previstos para o no ano letivo de 2026 (resultado pretendido), a partir dos valores orçamentários pactuados na Lei Orçamentária Anual de 2026 para o Programa de Alimentação Escolar.</w:t>
      </w:r>
    </w:p>
    <w:p w14:paraId="10B48DE4">
      <w:pPr>
        <w:jc w:val="both"/>
        <w:rPr>
          <w:color w:val="000000"/>
          <w:sz w:val="27"/>
          <w:szCs w:val="27"/>
        </w:rPr>
      </w:pPr>
      <w:r>
        <w:rPr>
          <w:color w:val="000000"/>
          <w:sz w:val="27"/>
          <w:szCs w:val="27"/>
        </w:rPr>
        <w:t>Mantenha em prática a preservação do desenvolvimento nacional sustentável, combatam a degradação ambiental, ou seja, que promovam a regeneração dos sistemas produtivos;</w:t>
      </w:r>
    </w:p>
    <w:p w14:paraId="79B41727">
      <w:pPr>
        <w:jc w:val="both"/>
        <w:rPr>
          <w:color w:val="000000"/>
          <w:sz w:val="27"/>
          <w:szCs w:val="27"/>
        </w:rPr>
      </w:pPr>
      <w:r>
        <w:rPr>
          <w:color w:val="000000"/>
          <w:sz w:val="27"/>
          <w:szCs w:val="27"/>
        </w:rPr>
        <w:t>Ainda considerando o desenvolvimento nacional sustentável, sejam priorizadas as empresas que não estejam instaladas de forma ilegal em locais de preservação e de comunidades ribeirinhas e tradicionais;</w:t>
      </w:r>
    </w:p>
    <w:p w14:paraId="0CE91D45">
      <w:pPr>
        <w:jc w:val="both"/>
        <w:rPr>
          <w:color w:val="000000"/>
          <w:sz w:val="27"/>
          <w:szCs w:val="27"/>
        </w:rPr>
      </w:pPr>
      <w:r>
        <w:rPr>
          <w:color w:val="000000"/>
          <w:sz w:val="27"/>
          <w:szCs w:val="27"/>
        </w:rPr>
        <w:t>Demais condições a serem estabelecidas pela equipe de licitações e do jurídico.</w:t>
      </w:r>
    </w:p>
    <w:p w14:paraId="66149B55">
      <w:pPr>
        <w:spacing w:before="240" w:after="120"/>
        <w:jc w:val="both"/>
        <w:rPr>
          <w:color w:val="000000"/>
          <w:sz w:val="27"/>
          <w:szCs w:val="27"/>
        </w:rPr>
      </w:pPr>
      <w:r>
        <w:rPr>
          <w:b/>
          <w:bCs/>
          <w:color w:val="000000"/>
          <w:sz w:val="27"/>
          <w:szCs w:val="27"/>
        </w:rPr>
        <w:t>     Requisitos legais</w:t>
      </w:r>
    </w:p>
    <w:p w14:paraId="3F97FFB8">
      <w:pPr>
        <w:spacing w:before="120"/>
        <w:jc w:val="both"/>
        <w:rPr>
          <w:color w:val="000000"/>
          <w:sz w:val="27"/>
          <w:szCs w:val="27"/>
        </w:rPr>
      </w:pPr>
      <w:r>
        <w:rPr>
          <w:b/>
          <w:bCs/>
          <w:color w:val="000000"/>
          <w:sz w:val="27"/>
          <w:szCs w:val="27"/>
        </w:rPr>
        <w:t>   </w:t>
      </w:r>
      <w:r>
        <w:rPr>
          <w:color w:val="000000"/>
          <w:sz w:val="27"/>
          <w:szCs w:val="27"/>
        </w:rPr>
        <w:t>   - Possuir entre os objetivos sociais disposto no ato constitutivo, estatuto ou contrato social em vigor, a execução de atividades de comunicação social ou atividade compatível;</w:t>
      </w:r>
    </w:p>
    <w:p w14:paraId="453A08A4">
      <w:pPr>
        <w:spacing w:before="120"/>
        <w:jc w:val="both"/>
        <w:rPr>
          <w:color w:val="000000"/>
          <w:sz w:val="27"/>
          <w:szCs w:val="27"/>
        </w:rPr>
      </w:pPr>
      <w:r>
        <w:rPr>
          <w:color w:val="000000"/>
          <w:sz w:val="27"/>
          <w:szCs w:val="27"/>
        </w:rPr>
        <w:t>     - Declarar que tem pleno conhecimento das condições necessárias para a prestação do serviço;</w:t>
      </w:r>
    </w:p>
    <w:p w14:paraId="5E6A4A67">
      <w:pPr>
        <w:spacing w:before="120"/>
        <w:jc w:val="both"/>
        <w:rPr>
          <w:color w:val="000000"/>
          <w:sz w:val="27"/>
          <w:szCs w:val="27"/>
        </w:rPr>
      </w:pPr>
      <w:r>
        <w:rPr>
          <w:color w:val="000000"/>
          <w:sz w:val="27"/>
          <w:szCs w:val="27"/>
        </w:rPr>
        <w:t>     - Quando convocada, deve promover o cadastramento e a assinatura dos documentos como termo de contrato, termos aditivos e demais documentos.</w:t>
      </w:r>
    </w:p>
    <w:p w14:paraId="2EB52E8E">
      <w:pPr>
        <w:spacing w:before="120"/>
        <w:jc w:val="both"/>
        <w:rPr>
          <w:color w:val="000000"/>
          <w:sz w:val="27"/>
          <w:szCs w:val="27"/>
        </w:rPr>
      </w:pPr>
      <w:r>
        <w:rPr>
          <w:color w:val="000000"/>
          <w:sz w:val="27"/>
          <w:szCs w:val="27"/>
        </w:rPr>
        <w:t>    </w:t>
      </w:r>
      <w:r>
        <w:rPr>
          <w:b/>
          <w:bCs/>
          <w:color w:val="000000"/>
          <w:sz w:val="27"/>
          <w:szCs w:val="27"/>
        </w:rPr>
        <w:t>Natureza do serviço</w:t>
      </w:r>
    </w:p>
    <w:p w14:paraId="77C7CEF4">
      <w:pPr>
        <w:jc w:val="both"/>
        <w:rPr>
          <w:color w:val="000000"/>
          <w:sz w:val="27"/>
          <w:szCs w:val="27"/>
        </w:rPr>
      </w:pPr>
      <w:r>
        <w:rPr>
          <w:color w:val="000000"/>
          <w:sz w:val="27"/>
          <w:szCs w:val="27"/>
        </w:rPr>
        <w:t>    Os serviços a serem contratados enquadram-se em fornecimento de bens comuns em nível institucional, podendo ser divisível;</w:t>
      </w:r>
    </w:p>
    <w:p w14:paraId="475B70E2">
      <w:pPr>
        <w:spacing w:before="240"/>
        <w:jc w:val="both"/>
        <w:rPr>
          <w:color w:val="000000"/>
          <w:sz w:val="27"/>
          <w:szCs w:val="27"/>
        </w:rPr>
      </w:pPr>
      <w:r>
        <w:rPr>
          <w:b/>
          <w:bCs/>
          <w:color w:val="000000"/>
          <w:sz w:val="27"/>
          <w:szCs w:val="27"/>
        </w:rPr>
        <w:t>    Requisitos de sustentabilidade</w:t>
      </w:r>
    </w:p>
    <w:p w14:paraId="1A066CE3">
      <w:pPr>
        <w:spacing w:before="240"/>
        <w:jc w:val="both"/>
        <w:rPr>
          <w:color w:val="000000"/>
          <w:sz w:val="27"/>
          <w:szCs w:val="27"/>
        </w:rPr>
      </w:pPr>
      <w:r>
        <w:rPr>
          <w:color w:val="000000"/>
          <w:sz w:val="27"/>
          <w:szCs w:val="27"/>
        </w:rPr>
        <w:t> Todo o processo para o fornecimento dos alimentos deverá respeitar as normas e os princípios ambientais, minimizando os efeitos dos danos ao meio ambiente, utilizando serviços, materiais e tecnologias ecologicamente corretas, devendo adotar “boas práticas de sustentabilidade, de otimização de recursos, de redução de desperdícios e de redução da poluição, conforme disposto no art. 144 da Lei nº 14.133/21”;</w:t>
      </w:r>
    </w:p>
    <w:p w14:paraId="038C11B1">
      <w:pPr>
        <w:jc w:val="both"/>
        <w:rPr>
          <w:color w:val="000000"/>
          <w:sz w:val="27"/>
          <w:szCs w:val="27"/>
        </w:rPr>
      </w:pPr>
      <w:r>
        <w:rPr>
          <w:color w:val="000000"/>
          <w:sz w:val="27"/>
          <w:szCs w:val="27"/>
        </w:rPr>
        <w:t>Adotar medidas para evitar o desperdício de água tratada e para a preservação dos recursos hídricos, nos termos da Lei nº 9.433/1997 e da legislação vigente, considerando a política socioambiental do Brasil;</w:t>
      </w:r>
    </w:p>
    <w:p w14:paraId="2F8F62E2">
      <w:pPr>
        <w:jc w:val="both"/>
        <w:rPr>
          <w:color w:val="000000"/>
          <w:sz w:val="27"/>
          <w:szCs w:val="27"/>
        </w:rPr>
      </w:pPr>
      <w:r>
        <w:rPr>
          <w:color w:val="000000"/>
          <w:sz w:val="27"/>
          <w:szCs w:val="27"/>
        </w:rPr>
        <w:t>Realizar programa interno de capacitação de seus empregados visando à adoção de práticas para redução de consumo de energia elétrica, de consumo de água, redução de produção de resíduos sólidos e coleta seletiva, observadas as normas ambientais vigentes; Utilizar papéis que sejam de produção originária de áreas de reflorestamento para reprodução de documentos; Observar a não utilização de produtos que contenham substâncias agressivas à camada de ozônio na atmosfera, conforme Resolução CONAMA 267/2000.</w:t>
      </w:r>
    </w:p>
    <w:p w14:paraId="2AD138B1">
      <w:pPr>
        <w:spacing w:before="240" w:after="240"/>
        <w:jc w:val="both"/>
        <w:rPr>
          <w:color w:val="000000"/>
          <w:sz w:val="27"/>
          <w:szCs w:val="27"/>
        </w:rPr>
      </w:pPr>
      <w:r>
        <w:rPr>
          <w:b/>
          <w:bCs/>
          <w:color w:val="000000"/>
          <w:sz w:val="27"/>
          <w:szCs w:val="27"/>
        </w:rPr>
        <w:t> </w:t>
      </w:r>
      <w:r>
        <w:rPr>
          <w:color w:val="000000"/>
          <w:sz w:val="27"/>
          <w:szCs w:val="27"/>
        </w:rPr>
        <w:t>   Habilitação (art. 62 ao 70, Lei nº 14.133/2021)</w:t>
      </w:r>
    </w:p>
    <w:p w14:paraId="3778A7CE">
      <w:pPr>
        <w:jc w:val="both"/>
        <w:rPr>
          <w:color w:val="000000"/>
          <w:sz w:val="27"/>
          <w:szCs w:val="27"/>
        </w:rPr>
      </w:pPr>
      <w:r>
        <w:rPr>
          <w:color w:val="000000"/>
          <w:sz w:val="27"/>
          <w:szCs w:val="27"/>
        </w:rPr>
        <w:t>      Habilitação Jurídica</w:t>
      </w:r>
    </w:p>
    <w:p w14:paraId="2ACA6AF2">
      <w:pPr>
        <w:spacing w:before="240" w:after="240"/>
        <w:jc w:val="both"/>
        <w:rPr>
          <w:color w:val="000000"/>
          <w:sz w:val="27"/>
          <w:szCs w:val="27"/>
        </w:rPr>
      </w:pPr>
      <w:r>
        <w:rPr>
          <w:color w:val="000000"/>
          <w:sz w:val="27"/>
          <w:szCs w:val="27"/>
        </w:rPr>
        <w:t>      Habilitação Técnica</w:t>
      </w:r>
    </w:p>
    <w:p w14:paraId="327588FA">
      <w:pPr>
        <w:spacing w:before="240" w:after="240"/>
        <w:jc w:val="both"/>
        <w:rPr>
          <w:color w:val="000000"/>
          <w:sz w:val="27"/>
          <w:szCs w:val="27"/>
        </w:rPr>
      </w:pPr>
      <w:r>
        <w:rPr>
          <w:color w:val="000000"/>
          <w:sz w:val="27"/>
          <w:szCs w:val="27"/>
        </w:rPr>
        <w:t>      Fiscal, social e trabalhista;</w:t>
      </w:r>
    </w:p>
    <w:p w14:paraId="6214A819">
      <w:pPr>
        <w:spacing w:before="240"/>
        <w:jc w:val="both"/>
        <w:rPr>
          <w:color w:val="000000"/>
          <w:sz w:val="27"/>
          <w:szCs w:val="27"/>
        </w:rPr>
      </w:pPr>
      <w:r>
        <w:rPr>
          <w:color w:val="000000"/>
          <w:sz w:val="27"/>
          <w:szCs w:val="27"/>
        </w:rPr>
        <w:t>     Qualificação econômico-financeira</w:t>
      </w:r>
    </w:p>
    <w:p w14:paraId="4D81B9A6">
      <w:pPr>
        <w:spacing w:before="120" w:after="120"/>
        <w:ind w:left="120" w:right="120" w:firstLine="1699"/>
        <w:jc w:val="both"/>
        <w:rPr>
          <w:color w:val="000000"/>
          <w:sz w:val="27"/>
          <w:szCs w:val="27"/>
        </w:rPr>
      </w:pPr>
      <w:r>
        <w:rPr>
          <w:color w:val="000000"/>
          <w:sz w:val="27"/>
          <w:szCs w:val="27"/>
        </w:rPr>
        <w:br w:type="textWrapping"/>
      </w:r>
      <w:r>
        <w:rPr>
          <w:color w:val="000000"/>
          <w:sz w:val="27"/>
          <w:szCs w:val="27"/>
        </w:rPr>
        <w:t> </w:t>
      </w:r>
    </w:p>
    <w:p w14:paraId="04BBE4BC">
      <w:pPr>
        <w:numPr>
          <w:ilvl w:val="0"/>
          <w:numId w:val="51"/>
        </w:numPr>
        <w:rPr>
          <w:color w:val="000000"/>
          <w:sz w:val="27"/>
          <w:szCs w:val="27"/>
        </w:rPr>
      </w:pPr>
      <w:r>
        <w:rPr>
          <w:b/>
          <w:bCs/>
          <w:color w:val="000000"/>
          <w:sz w:val="27"/>
          <w:szCs w:val="27"/>
          <w:shd w:val="clear" w:color="auto" w:fill="D9D9D9"/>
        </w:rPr>
        <w:t>ESTIMATIVA DAS QUANTIDADES PARA A CONTRATAÇÃO</w:t>
      </w:r>
    </w:p>
    <w:p w14:paraId="3742A217">
      <w:pPr>
        <w:spacing w:before="240" w:after="240"/>
        <w:jc w:val="both"/>
        <w:rPr>
          <w:color w:val="000000"/>
          <w:sz w:val="27"/>
          <w:szCs w:val="27"/>
        </w:rPr>
      </w:pPr>
      <w:r>
        <w:rPr>
          <w:color w:val="000000"/>
          <w:sz w:val="27"/>
          <w:szCs w:val="27"/>
        </w:rPr>
        <w:t>A Secretaria Municipal de Educação visa à aquisição de 4.000 (quatro mil) kits de lanche individual para atendimento a 2.000 (dois mil) alunos da rede pública municipal de ensino, participantes do Desfile Cívico promovido no âmbito das comemorações alusivas à independência do Brasil .</w:t>
      </w:r>
    </w:p>
    <w:p w14:paraId="12512320">
      <w:pPr>
        <w:spacing w:before="240" w:after="240"/>
        <w:jc w:val="both"/>
        <w:rPr>
          <w:color w:val="000000"/>
          <w:sz w:val="27"/>
          <w:szCs w:val="27"/>
        </w:rPr>
      </w:pPr>
      <w:r>
        <w:rPr>
          <w:color w:val="000000"/>
          <w:sz w:val="27"/>
          <w:szCs w:val="27"/>
        </w:rPr>
        <w:t>Considerando que os alunos participantes permanecerão por período prolongado fora do ambiente escolar – incluindo tempo de deslocamento, concentração, preparação e participação nas atividades do desfile – faz-se necessária a distribuição de 2 (dois) kits por aluno, de forma a garantir sua adequada nutrição e bem-estar durante o evento.</w:t>
      </w:r>
    </w:p>
    <w:p w14:paraId="4DBD4323">
      <w:pPr>
        <w:spacing w:before="120" w:after="120"/>
        <w:ind w:left="120" w:right="120" w:firstLine="1699"/>
        <w:jc w:val="both"/>
        <w:rPr>
          <w:color w:val="000000"/>
          <w:sz w:val="27"/>
          <w:szCs w:val="27"/>
        </w:rPr>
      </w:pPr>
      <w:r>
        <w:rPr>
          <w:color w:val="000000"/>
          <w:sz w:val="27"/>
          <w:szCs w:val="27"/>
        </w:rPr>
        <w:br w:type="textWrapping"/>
      </w:r>
      <w:r>
        <w:rPr>
          <w:color w:val="000000"/>
          <w:sz w:val="27"/>
          <w:szCs w:val="27"/>
        </w:rPr>
        <w:br w:type="textWrapping"/>
      </w:r>
      <w:r>
        <w:rPr>
          <w:color w:val="000000"/>
          <w:sz w:val="27"/>
          <w:szCs w:val="27"/>
        </w:rPr>
        <w:br w:type="textWrapping"/>
      </w:r>
      <w:r>
        <w:rPr>
          <w:color w:val="000000"/>
          <w:sz w:val="27"/>
          <w:szCs w:val="27"/>
        </w:rPr>
        <w:br w:type="textWrapping"/>
      </w:r>
      <w:r>
        <w:rPr>
          <w:color w:val="000000"/>
          <w:sz w:val="27"/>
          <w:szCs w:val="27"/>
        </w:rPr>
        <w:br w:type="textWrapping"/>
      </w:r>
      <w:r>
        <w:rPr>
          <w:color w:val="000000"/>
          <w:sz w:val="27"/>
          <w:szCs w:val="27"/>
        </w:rPr>
        <w:br w:type="textWrapping"/>
      </w:r>
      <w:r>
        <w:rPr>
          <w:color w:val="000000"/>
          <w:sz w:val="27"/>
          <w:szCs w:val="27"/>
        </w:rPr>
        <w:t> </w:t>
      </w:r>
    </w:p>
    <w:tbl>
      <w:tblPr>
        <w:tblStyle w:val="9"/>
        <w:tblW w:w="7754" w:type="dxa"/>
        <w:tblInd w:w="12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841"/>
        <w:gridCol w:w="4912"/>
        <w:gridCol w:w="874"/>
        <w:gridCol w:w="1127"/>
      </w:tblGrid>
      <w:tr w14:paraId="4CB606B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14:paraId="70C57E9D">
            <w:pPr>
              <w:jc w:val="center"/>
              <w:rPr>
                <w:sz w:val="24"/>
                <w:szCs w:val="24"/>
              </w:rPr>
            </w:pPr>
            <w:r>
              <w:rPr>
                <w:b/>
                <w:bCs/>
                <w:color w:val="000000"/>
                <w:sz w:val="24"/>
                <w:szCs w:val="24"/>
              </w:rPr>
              <w:t>ITEM</w:t>
            </w:r>
          </w:p>
        </w:tc>
        <w:tc>
          <w:tcPr>
            <w:tcW w:w="0" w:type="auto"/>
            <w:tcBorders>
              <w:top w:val="single" w:color="000000" w:sz="8" w:space="0"/>
              <w:left w:val="single" w:color="000000" w:sz="8" w:space="0"/>
              <w:bottom w:val="single" w:color="000000" w:sz="6" w:space="0"/>
              <w:right w:val="single" w:color="000000" w:sz="8" w:space="0"/>
            </w:tcBorders>
            <w:tcMar>
              <w:top w:w="100" w:type="dxa"/>
              <w:left w:w="100" w:type="dxa"/>
              <w:bottom w:w="100" w:type="dxa"/>
              <w:right w:w="100" w:type="dxa"/>
            </w:tcMar>
          </w:tcPr>
          <w:p w14:paraId="63973243">
            <w:pPr>
              <w:jc w:val="center"/>
              <w:rPr>
                <w:sz w:val="24"/>
                <w:szCs w:val="24"/>
              </w:rPr>
            </w:pPr>
            <w:r>
              <w:rPr>
                <w:b/>
                <w:bCs/>
                <w:color w:val="000000"/>
                <w:sz w:val="24"/>
                <w:szCs w:val="24"/>
              </w:rPr>
              <w:t>ESPECIFICAÇÃO</w:t>
            </w:r>
          </w:p>
        </w:tc>
        <w:tc>
          <w:tcPr>
            <w:tcW w:w="0" w:type="auto"/>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14:paraId="3A701D77">
            <w:pPr>
              <w:jc w:val="center"/>
              <w:rPr>
                <w:sz w:val="24"/>
                <w:szCs w:val="24"/>
              </w:rPr>
            </w:pPr>
            <w:r>
              <w:rPr>
                <w:b/>
                <w:bCs/>
                <w:color w:val="000000"/>
                <w:sz w:val="24"/>
                <w:szCs w:val="24"/>
              </w:rPr>
              <w:t>UNID.</w:t>
            </w:r>
          </w:p>
        </w:tc>
        <w:tc>
          <w:tcPr>
            <w:tcW w:w="0" w:type="auto"/>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14:paraId="7A2731FF">
            <w:pPr>
              <w:jc w:val="center"/>
              <w:rPr>
                <w:sz w:val="24"/>
                <w:szCs w:val="24"/>
              </w:rPr>
            </w:pPr>
            <w:r>
              <w:rPr>
                <w:b/>
                <w:bCs/>
                <w:color w:val="000000"/>
                <w:sz w:val="24"/>
                <w:szCs w:val="24"/>
              </w:rPr>
              <w:t>QUANT.</w:t>
            </w:r>
          </w:p>
        </w:tc>
      </w:tr>
      <w:tr w14:paraId="66374F5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000000" w:sz="8" w:space="0"/>
              <w:left w:val="single" w:color="000000" w:sz="8" w:space="0"/>
              <w:bottom w:val="single" w:color="000000" w:sz="8" w:space="0"/>
              <w:right w:val="single" w:color="000000" w:sz="6" w:space="0"/>
            </w:tcBorders>
            <w:tcMar>
              <w:top w:w="100" w:type="dxa"/>
              <w:left w:w="100" w:type="dxa"/>
              <w:bottom w:w="100" w:type="dxa"/>
              <w:right w:w="100" w:type="dxa"/>
            </w:tcMar>
          </w:tcPr>
          <w:p w14:paraId="7E2B5BEF">
            <w:pPr>
              <w:jc w:val="center"/>
              <w:rPr>
                <w:sz w:val="24"/>
                <w:szCs w:val="24"/>
              </w:rPr>
            </w:pPr>
            <w:r>
              <w:rPr>
                <w:b/>
                <w:bCs/>
                <w:color w:val="000000"/>
                <w:sz w:val="24"/>
                <w:szCs w:val="24"/>
              </w:rPr>
              <w:t>01</w:t>
            </w:r>
          </w:p>
        </w:tc>
        <w:tc>
          <w:tcPr>
            <w:tcW w:w="0" w:type="auto"/>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6072E366">
            <w:pPr>
              <w:spacing w:before="240"/>
              <w:jc w:val="both"/>
              <w:rPr>
                <w:sz w:val="24"/>
                <w:szCs w:val="24"/>
              </w:rPr>
            </w:pPr>
            <w:r>
              <w:rPr>
                <w:b/>
                <w:bCs/>
                <w:color w:val="000000"/>
                <w:sz w:val="24"/>
                <w:szCs w:val="24"/>
              </w:rPr>
              <w:t>KIT LANCHE</w:t>
            </w:r>
          </w:p>
          <w:p w14:paraId="328A9865">
            <w:pPr>
              <w:spacing w:before="240"/>
              <w:jc w:val="both"/>
              <w:rPr>
                <w:sz w:val="24"/>
                <w:szCs w:val="24"/>
              </w:rPr>
            </w:pPr>
            <w:r>
              <w:rPr>
                <w:b/>
                <w:bCs/>
                <w:color w:val="000000"/>
                <w:sz w:val="24"/>
                <w:szCs w:val="24"/>
              </w:rPr>
              <w:t>Contendo :</w:t>
            </w:r>
          </w:p>
          <w:p w14:paraId="0A053A74">
            <w:pPr>
              <w:spacing w:before="240"/>
              <w:jc w:val="both"/>
              <w:rPr>
                <w:sz w:val="24"/>
                <w:szCs w:val="24"/>
              </w:rPr>
            </w:pPr>
            <w:r>
              <w:rPr>
                <w:b/>
                <w:bCs/>
                <w:color w:val="000000"/>
                <w:sz w:val="24"/>
                <w:szCs w:val="24"/>
              </w:rPr>
              <w:t>1 (um) mini bolinho sem recheio de 40g a 45g (tipo “Bolinho Bauducco, muffin”) </w:t>
            </w:r>
            <w:r>
              <w:rPr>
                <w:color w:val="000000"/>
                <w:sz w:val="24"/>
                <w:szCs w:val="24"/>
              </w:rPr>
              <w:t>sabor baunilha, embalagem individual lacrada, com identificação do fabricante, data de fabricação e validade mínima de 60 dias a partir da entrega. </w:t>
            </w:r>
          </w:p>
          <w:p w14:paraId="05A02CDD">
            <w:pPr>
              <w:spacing w:before="240"/>
              <w:jc w:val="both"/>
              <w:rPr>
                <w:sz w:val="24"/>
                <w:szCs w:val="24"/>
              </w:rPr>
            </w:pPr>
            <w:r>
              <w:rPr>
                <w:b/>
                <w:bCs/>
                <w:color w:val="000000"/>
                <w:sz w:val="24"/>
                <w:szCs w:val="24"/>
              </w:rPr>
              <w:t>1 (um) biscoito salgado de 24g, </w:t>
            </w:r>
            <w:r>
              <w:rPr>
                <w:color w:val="000000"/>
                <w:sz w:val="24"/>
                <w:szCs w:val="24"/>
              </w:rPr>
              <w:t>sabores diversos, embalado individualmente em embalagem inviolada com identificação do fabricante, data de fabricação e validade mínima de 60 dias (tipo “Club social”). </w:t>
            </w:r>
          </w:p>
          <w:p w14:paraId="6CE5E104">
            <w:pPr>
              <w:spacing w:before="240"/>
              <w:jc w:val="both"/>
              <w:rPr>
                <w:sz w:val="24"/>
                <w:szCs w:val="24"/>
              </w:rPr>
            </w:pPr>
            <w:r>
              <w:rPr>
                <w:b/>
                <w:bCs/>
                <w:color w:val="000000"/>
                <w:sz w:val="24"/>
                <w:szCs w:val="24"/>
              </w:rPr>
              <w:t>1 (um) suco integral (100% fruta), de 200ml, </w:t>
            </w:r>
            <w:r>
              <w:rPr>
                <w:color w:val="000000"/>
                <w:sz w:val="24"/>
                <w:szCs w:val="24"/>
              </w:rPr>
              <w:t>de caixinha em embalagem Tetra Pak com canudo acoplado, sabor uva, com validade mínima de 60 dias a partir da entrega, com 100% de fruta.</w:t>
            </w:r>
          </w:p>
          <w:p w14:paraId="49F64246">
            <w:pPr>
              <w:spacing w:before="240"/>
              <w:jc w:val="both"/>
              <w:rPr>
                <w:sz w:val="24"/>
                <w:szCs w:val="24"/>
              </w:rPr>
            </w:pPr>
            <w:r>
              <w:rPr>
                <w:b/>
                <w:bCs/>
                <w:color w:val="000000"/>
                <w:sz w:val="24"/>
                <w:szCs w:val="24"/>
              </w:rPr>
              <w:t>1 (um) doce à base de amendoim, </w:t>
            </w:r>
            <w:r>
              <w:rPr>
                <w:color w:val="000000"/>
                <w:sz w:val="24"/>
                <w:szCs w:val="24"/>
              </w:rPr>
              <w:t>do tipo paçoca em formato cilíndrico ou retangular, peso unitário mínimo: 15g, embalado individualmente, com invólucro que garanta a integridade do produto, identificação do fabricante e validade mínima de 60 dias (tipo “Paçoquita”).</w:t>
            </w:r>
          </w:p>
          <w:p w14:paraId="07595FF5">
            <w:pPr>
              <w:spacing w:before="240"/>
              <w:jc w:val="both"/>
              <w:rPr>
                <w:sz w:val="24"/>
                <w:szCs w:val="24"/>
              </w:rPr>
            </w:pPr>
            <w:r>
              <w:rPr>
                <w:b/>
                <w:bCs/>
                <w:color w:val="000000"/>
                <w:sz w:val="24"/>
                <w:szCs w:val="24"/>
              </w:rPr>
              <w:t>1 (um) bebida pronta à base de leite com chocolate, </w:t>
            </w:r>
            <w:r>
              <w:rPr>
                <w:color w:val="000000"/>
                <w:sz w:val="24"/>
                <w:szCs w:val="24"/>
              </w:rPr>
              <w:t>do tipo achocolatado, de 200 ml embalagem tipo Tetra Pak, com canudo acoplado, lacrada e inviolada, validade mínima de 60 dias a partir da entrega, produto industrializado, com identificação clara do fabricante e tabela nutricional (tipo “Toddynho”).</w:t>
            </w:r>
            <w:r>
              <w:rPr>
                <w:b/>
                <w:bCs/>
                <w:color w:val="000000"/>
                <w:sz w:val="24"/>
                <w:szCs w:val="24"/>
              </w:rPr>
              <w:t> </w:t>
            </w:r>
          </w:p>
          <w:p w14:paraId="0AC2FC65">
            <w:pPr>
              <w:spacing w:before="100" w:beforeAutospacing="1"/>
              <w:jc w:val="both"/>
              <w:rPr>
                <w:sz w:val="24"/>
                <w:szCs w:val="24"/>
              </w:rPr>
            </w:pPr>
            <w:r>
              <w:rPr>
                <w:b/>
                <w:bCs/>
                <w:color w:val="000000"/>
                <w:sz w:val="24"/>
                <w:szCs w:val="24"/>
              </w:rPr>
              <w:t>TODOS OS ITENS DEVERÃO SER ACONDICIONADOS EM SACOS DE PAPEL KRAFT DEVIDAMENTE LACRADO..</w:t>
            </w:r>
          </w:p>
        </w:tc>
        <w:tc>
          <w:tcPr>
            <w:tcW w:w="0" w:type="auto"/>
            <w:tcBorders>
              <w:top w:val="single" w:color="000000" w:sz="8" w:space="0"/>
              <w:left w:val="single" w:color="000000" w:sz="6" w:space="0"/>
              <w:bottom w:val="single" w:color="000000" w:sz="8" w:space="0"/>
              <w:right w:val="single" w:color="000000" w:sz="8" w:space="0"/>
            </w:tcBorders>
            <w:tcMar>
              <w:top w:w="100" w:type="dxa"/>
              <w:left w:w="100" w:type="dxa"/>
              <w:bottom w:w="100" w:type="dxa"/>
              <w:right w:w="100" w:type="dxa"/>
            </w:tcMar>
          </w:tcPr>
          <w:p w14:paraId="75595F9E">
            <w:pPr>
              <w:jc w:val="center"/>
              <w:rPr>
                <w:sz w:val="24"/>
                <w:szCs w:val="24"/>
              </w:rPr>
            </w:pPr>
            <w:r>
              <w:rPr>
                <w:b/>
                <w:bCs/>
                <w:color w:val="000000"/>
                <w:sz w:val="24"/>
                <w:szCs w:val="24"/>
              </w:rPr>
              <w:t>unid.</w:t>
            </w:r>
          </w:p>
        </w:tc>
        <w:tc>
          <w:tcPr>
            <w:tcW w:w="0" w:type="auto"/>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14:paraId="00B621B2">
            <w:pPr>
              <w:jc w:val="center"/>
              <w:rPr>
                <w:sz w:val="24"/>
                <w:szCs w:val="24"/>
              </w:rPr>
            </w:pPr>
            <w:r>
              <w:rPr>
                <w:b/>
                <w:bCs/>
                <w:color w:val="000000"/>
                <w:sz w:val="24"/>
                <w:szCs w:val="24"/>
              </w:rPr>
              <w:t>4.000</w:t>
            </w:r>
          </w:p>
        </w:tc>
      </w:tr>
    </w:tbl>
    <w:p w14:paraId="72EC178B">
      <w:pPr>
        <w:spacing w:before="120" w:after="120"/>
        <w:ind w:left="120" w:right="120" w:firstLine="1699"/>
        <w:jc w:val="both"/>
        <w:rPr>
          <w:color w:val="000000"/>
          <w:sz w:val="27"/>
          <w:szCs w:val="27"/>
        </w:rPr>
      </w:pPr>
      <w:r>
        <w:rPr>
          <w:color w:val="000000"/>
          <w:sz w:val="27"/>
          <w:szCs w:val="27"/>
        </w:rPr>
        <w:br w:type="textWrapping"/>
      </w:r>
      <w:r>
        <w:rPr>
          <w:color w:val="000000"/>
          <w:sz w:val="27"/>
          <w:szCs w:val="27"/>
        </w:rPr>
        <w:t> </w:t>
      </w:r>
    </w:p>
    <w:p w14:paraId="665031B8">
      <w:pPr>
        <w:spacing w:before="240" w:after="200"/>
        <w:jc w:val="both"/>
        <w:rPr>
          <w:color w:val="000000"/>
          <w:sz w:val="27"/>
          <w:szCs w:val="27"/>
        </w:rPr>
      </w:pPr>
      <w:r>
        <w:rPr>
          <w:b/>
          <w:bCs/>
          <w:color w:val="000000"/>
          <w:sz w:val="27"/>
          <w:szCs w:val="27"/>
        </w:rPr>
        <w:t>Amostras </w:t>
      </w:r>
    </w:p>
    <w:p w14:paraId="2D90545C">
      <w:pPr>
        <w:spacing w:before="240" w:after="240"/>
        <w:jc w:val="both"/>
        <w:rPr>
          <w:color w:val="000000"/>
          <w:sz w:val="27"/>
          <w:szCs w:val="27"/>
        </w:rPr>
      </w:pPr>
      <w:r>
        <w:rPr>
          <w:color w:val="000000"/>
          <w:sz w:val="27"/>
          <w:szCs w:val="27"/>
        </w:rPr>
        <w:t>Serão solicitadas amostras. (regras no Termo de Referência).</w:t>
      </w:r>
    </w:p>
    <w:p w14:paraId="15011236">
      <w:pPr>
        <w:jc w:val="both"/>
        <w:rPr>
          <w:color w:val="000000"/>
          <w:sz w:val="27"/>
          <w:szCs w:val="27"/>
        </w:rPr>
      </w:pPr>
      <w:r>
        <w:rPr>
          <w:color w:val="000000"/>
          <w:sz w:val="27"/>
          <w:szCs w:val="27"/>
        </w:rPr>
        <w:t>  Modelo de programação/modelo de cronograma de entrega</w:t>
      </w:r>
    </w:p>
    <w:p w14:paraId="65244B5A">
      <w:pPr>
        <w:jc w:val="both"/>
        <w:rPr>
          <w:color w:val="000000"/>
          <w:sz w:val="27"/>
          <w:szCs w:val="27"/>
        </w:rPr>
      </w:pPr>
      <w:r>
        <w:rPr>
          <w:color w:val="000000"/>
          <w:sz w:val="27"/>
          <w:szCs w:val="27"/>
        </w:rPr>
        <w:t> Os produtos deverão ser entregues, conforme planilha de entrega previamente liberada pelo Setor de Nutrição Escolar, sendo entregue: </w:t>
      </w:r>
    </w:p>
    <w:p w14:paraId="3C6B9C34">
      <w:pPr>
        <w:spacing w:before="240" w:after="240"/>
        <w:jc w:val="both"/>
        <w:rPr>
          <w:color w:val="000000"/>
          <w:sz w:val="27"/>
          <w:szCs w:val="27"/>
        </w:rPr>
      </w:pPr>
      <w:r>
        <w:rPr>
          <w:color w:val="000000"/>
          <w:sz w:val="27"/>
          <w:szCs w:val="27"/>
        </w:rPr>
        <w:t>  - As planilhas de entrega serão entregues ao (s) licitante (s) vencedor (es) com antecedência de 05 (cinco) dias úteis. </w:t>
      </w:r>
    </w:p>
    <w:p w14:paraId="07544EEF">
      <w:pPr>
        <w:spacing w:before="240" w:after="240"/>
        <w:jc w:val="both"/>
        <w:rPr>
          <w:color w:val="000000"/>
          <w:sz w:val="27"/>
          <w:szCs w:val="27"/>
        </w:rPr>
      </w:pPr>
      <w:r>
        <w:rPr>
          <w:color w:val="000000"/>
          <w:sz w:val="27"/>
          <w:szCs w:val="27"/>
        </w:rPr>
        <w:t>  - Os entregadores deverão estar adequadamente vestidos e calçados com sapatos fechados e deverão também esperar a conferência dos produtos no local de entrega;</w:t>
      </w:r>
    </w:p>
    <w:p w14:paraId="4864EAB6">
      <w:pPr>
        <w:spacing w:before="240" w:after="240"/>
        <w:jc w:val="both"/>
        <w:rPr>
          <w:color w:val="000000"/>
          <w:sz w:val="27"/>
          <w:szCs w:val="27"/>
        </w:rPr>
      </w:pPr>
      <w:r>
        <w:rPr>
          <w:color w:val="000000"/>
          <w:sz w:val="27"/>
          <w:szCs w:val="27"/>
        </w:rPr>
        <w:t>   -As mercadorias serão devolvidas no ato da entrega se não corresponderem à qualidade exigida no edital e deverão ser repostas no prazo máximo de 24h para que não haja prejuízo à Administração Pública;</w:t>
      </w:r>
    </w:p>
    <w:p w14:paraId="628D1152">
      <w:pPr>
        <w:spacing w:before="240" w:after="240"/>
        <w:jc w:val="both"/>
        <w:rPr>
          <w:color w:val="000000"/>
          <w:sz w:val="27"/>
          <w:szCs w:val="27"/>
        </w:rPr>
      </w:pPr>
      <w:r>
        <w:rPr>
          <w:color w:val="FF0000"/>
          <w:sz w:val="27"/>
          <w:szCs w:val="27"/>
        </w:rPr>
        <w:t>   </w:t>
      </w:r>
      <w:r>
        <w:rPr>
          <w:color w:val="000000"/>
          <w:sz w:val="27"/>
          <w:szCs w:val="27"/>
        </w:rPr>
        <w:t>-</w:t>
      </w:r>
      <w:r>
        <w:rPr>
          <w:color w:val="FF0000"/>
          <w:sz w:val="27"/>
          <w:szCs w:val="27"/>
        </w:rPr>
        <w:t> </w:t>
      </w:r>
      <w:r>
        <w:rPr>
          <w:color w:val="000000"/>
          <w:sz w:val="27"/>
          <w:szCs w:val="27"/>
        </w:rPr>
        <w:t>As caixas para entrega dos alimentos deverão estar higienizadas e não poderão ser de madeira e deverá ter o peso especificado nas mesmas;</w:t>
      </w:r>
    </w:p>
    <w:p w14:paraId="58DE6263">
      <w:pPr>
        <w:spacing w:before="240" w:after="240"/>
        <w:jc w:val="both"/>
        <w:rPr>
          <w:color w:val="000000"/>
          <w:sz w:val="27"/>
          <w:szCs w:val="27"/>
        </w:rPr>
      </w:pPr>
      <w:r>
        <w:rPr>
          <w:color w:val="FF0000"/>
          <w:sz w:val="27"/>
          <w:szCs w:val="27"/>
        </w:rPr>
        <w:t>  </w:t>
      </w:r>
      <w:r>
        <w:rPr>
          <w:color w:val="000000"/>
          <w:sz w:val="27"/>
          <w:szCs w:val="27"/>
        </w:rPr>
        <w:t>-</w:t>
      </w:r>
      <w:r>
        <w:rPr>
          <w:color w:val="FF0000"/>
          <w:sz w:val="27"/>
          <w:szCs w:val="27"/>
        </w:rPr>
        <w:t> </w:t>
      </w:r>
      <w:r>
        <w:rPr>
          <w:color w:val="000000"/>
          <w:sz w:val="27"/>
          <w:szCs w:val="27"/>
        </w:rPr>
        <w:t>O recebimento dos gêneros alimentícios dar-se-á mediante apresentação de recibo em 3 (três) vias;</w:t>
      </w:r>
    </w:p>
    <w:p w14:paraId="66714382">
      <w:pPr>
        <w:spacing w:before="240" w:after="240"/>
        <w:jc w:val="both"/>
        <w:rPr>
          <w:color w:val="000000"/>
          <w:sz w:val="27"/>
          <w:szCs w:val="27"/>
        </w:rPr>
      </w:pPr>
      <w:r>
        <w:rPr>
          <w:color w:val="000000"/>
          <w:sz w:val="27"/>
          <w:szCs w:val="27"/>
        </w:rPr>
        <w:t>  - Os recibos de REPOSIÇÃO deverão ser feitos separadamente, especificando o nome REPOSIÇÃO, com os itens que faltaram e/ou estavam em má condição de consumo no momento da entrega estipulada em planilha.</w:t>
      </w:r>
    </w:p>
    <w:p w14:paraId="2237C060">
      <w:pPr>
        <w:jc w:val="both"/>
        <w:rPr>
          <w:color w:val="000000"/>
          <w:sz w:val="27"/>
          <w:szCs w:val="27"/>
        </w:rPr>
      </w:pPr>
      <w:r>
        <w:rPr>
          <w:b/>
          <w:bCs/>
          <w:color w:val="000000"/>
          <w:sz w:val="27"/>
          <w:szCs w:val="27"/>
        </w:rPr>
        <w:t>Entrega do produto</w:t>
      </w:r>
    </w:p>
    <w:p w14:paraId="4FDBD6CD">
      <w:pPr>
        <w:spacing w:before="240" w:after="240"/>
        <w:jc w:val="both"/>
        <w:rPr>
          <w:color w:val="000000"/>
          <w:sz w:val="27"/>
          <w:szCs w:val="27"/>
        </w:rPr>
      </w:pPr>
      <w:r>
        <w:rPr>
          <w:color w:val="000000"/>
          <w:sz w:val="27"/>
          <w:szCs w:val="27"/>
        </w:rPr>
        <w:t>Para garantir a qualidade, segurança sanitária e eficiência logística, a empresa contratada deverá atender rigorosamente às seguintes condições de entrega:</w:t>
      </w:r>
    </w:p>
    <w:p w14:paraId="3FCC4B97">
      <w:pPr>
        <w:numPr>
          <w:ilvl w:val="0"/>
          <w:numId w:val="52"/>
        </w:numPr>
        <w:spacing w:before="240"/>
        <w:rPr>
          <w:color w:val="000000"/>
          <w:sz w:val="27"/>
          <w:szCs w:val="27"/>
        </w:rPr>
      </w:pPr>
      <w:r>
        <w:rPr>
          <w:color w:val="000000"/>
          <w:sz w:val="27"/>
          <w:szCs w:val="27"/>
        </w:rPr>
        <w:t>Datas e horários de entrega:</w:t>
      </w:r>
      <w:r>
        <w:rPr>
          <w:color w:val="000000"/>
          <w:sz w:val="27"/>
          <w:szCs w:val="27"/>
        </w:rPr>
        <w:br w:type="textWrapping"/>
      </w:r>
      <w:r>
        <w:rPr>
          <w:color w:val="000000"/>
          <w:sz w:val="27"/>
          <w:szCs w:val="27"/>
        </w:rPr>
        <w:br w:type="textWrapping"/>
      </w:r>
      <w:r>
        <w:rPr>
          <w:color w:val="000000"/>
          <w:sz w:val="27"/>
          <w:szCs w:val="27"/>
        </w:rPr>
        <w:t> </w:t>
      </w:r>
    </w:p>
    <w:p w14:paraId="1B7CC6E2">
      <w:pPr>
        <w:numPr>
          <w:ilvl w:val="1"/>
          <w:numId w:val="52"/>
        </w:numPr>
        <w:jc w:val="both"/>
        <w:rPr>
          <w:color w:val="000000"/>
          <w:sz w:val="27"/>
          <w:szCs w:val="27"/>
        </w:rPr>
      </w:pPr>
      <w:r>
        <w:rPr>
          <w:color w:val="000000"/>
          <w:sz w:val="27"/>
          <w:szCs w:val="27"/>
        </w:rPr>
        <w:t>Para o Desfile Cívico de 07 de Setembro de 2026, os kits deverão ser entregues no dia</w:t>
      </w:r>
      <w:r>
        <w:rPr>
          <w:b/>
          <w:bCs/>
          <w:color w:val="FF0000"/>
          <w:sz w:val="27"/>
          <w:szCs w:val="27"/>
        </w:rPr>
        <w:t> </w:t>
      </w:r>
      <w:r>
        <w:rPr>
          <w:b/>
          <w:bCs/>
          <w:color w:val="000000"/>
          <w:sz w:val="27"/>
          <w:szCs w:val="27"/>
        </w:rPr>
        <w:t>04/09/2026.</w:t>
      </w:r>
    </w:p>
    <w:p w14:paraId="1CE69C94">
      <w:pPr>
        <w:numPr>
          <w:ilvl w:val="1"/>
          <w:numId w:val="52"/>
        </w:numPr>
        <w:jc w:val="both"/>
        <w:rPr>
          <w:color w:val="000000"/>
          <w:sz w:val="27"/>
          <w:szCs w:val="27"/>
        </w:rPr>
      </w:pPr>
      <w:r>
        <w:rPr>
          <w:color w:val="000000"/>
          <w:sz w:val="27"/>
          <w:szCs w:val="27"/>
        </w:rPr>
        <w:t>O horário de recebimento será das 08h às 15h, na Secretaria Municipal de Educação (SME).</w:t>
      </w:r>
      <w:r>
        <w:rPr>
          <w:color w:val="000000"/>
          <w:sz w:val="27"/>
          <w:szCs w:val="27"/>
        </w:rPr>
        <w:br w:type="textWrapping"/>
      </w:r>
      <w:r>
        <w:rPr>
          <w:color w:val="000000"/>
          <w:sz w:val="27"/>
          <w:szCs w:val="27"/>
        </w:rPr>
        <w:br w:type="textWrapping"/>
      </w:r>
      <w:r>
        <w:rPr>
          <w:color w:val="000000"/>
          <w:sz w:val="27"/>
          <w:szCs w:val="27"/>
        </w:rPr>
        <w:t> </w:t>
      </w:r>
    </w:p>
    <w:p w14:paraId="56119063">
      <w:pPr>
        <w:numPr>
          <w:ilvl w:val="0"/>
          <w:numId w:val="52"/>
        </w:numPr>
        <w:rPr>
          <w:color w:val="000000"/>
          <w:sz w:val="27"/>
          <w:szCs w:val="27"/>
        </w:rPr>
      </w:pPr>
      <w:r>
        <w:rPr>
          <w:color w:val="000000"/>
          <w:sz w:val="27"/>
          <w:szCs w:val="27"/>
        </w:rPr>
        <w:t>Organização para conferência:</w:t>
      </w:r>
      <w:r>
        <w:rPr>
          <w:color w:val="000000"/>
          <w:sz w:val="27"/>
          <w:szCs w:val="27"/>
        </w:rPr>
        <w:br w:type="textWrapping"/>
      </w:r>
      <w:r>
        <w:rPr>
          <w:color w:val="000000"/>
          <w:sz w:val="27"/>
          <w:szCs w:val="27"/>
        </w:rPr>
        <w:br w:type="textWrapping"/>
      </w:r>
      <w:r>
        <w:rPr>
          <w:color w:val="000000"/>
          <w:sz w:val="27"/>
          <w:szCs w:val="27"/>
        </w:rPr>
        <w:t> </w:t>
      </w:r>
    </w:p>
    <w:p w14:paraId="7ADD0FC3">
      <w:pPr>
        <w:numPr>
          <w:ilvl w:val="1"/>
          <w:numId w:val="52"/>
        </w:numPr>
        <w:jc w:val="both"/>
        <w:rPr>
          <w:color w:val="000000"/>
          <w:sz w:val="27"/>
          <w:szCs w:val="27"/>
        </w:rPr>
      </w:pPr>
      <w:r>
        <w:rPr>
          <w:color w:val="000000"/>
          <w:sz w:val="27"/>
          <w:szCs w:val="27"/>
        </w:rPr>
        <w:t>A empresa deverá aguardar a conferência dos kits pela equipe designada pela SME no ato da entrega, não podendo abandonar os produtos sem validação prévia.</w:t>
      </w:r>
    </w:p>
    <w:p w14:paraId="0DB297F7">
      <w:pPr>
        <w:numPr>
          <w:ilvl w:val="1"/>
          <w:numId w:val="52"/>
        </w:numPr>
        <w:jc w:val="both"/>
        <w:rPr>
          <w:color w:val="000000"/>
          <w:sz w:val="27"/>
          <w:szCs w:val="27"/>
        </w:rPr>
      </w:pPr>
      <w:r>
        <w:rPr>
          <w:color w:val="000000"/>
          <w:sz w:val="27"/>
          <w:szCs w:val="27"/>
        </w:rPr>
        <w:t>Os kits deverão ser embalados e organizados em caixas com, no máximo, 50 unidades cada, de forma a facilitar o manuseio, transporte interno e a conferência individual, além de evitar o risco de danos aos alimentos.</w:t>
      </w:r>
      <w:r>
        <w:rPr>
          <w:color w:val="000000"/>
          <w:sz w:val="27"/>
          <w:szCs w:val="27"/>
        </w:rPr>
        <w:br w:type="textWrapping"/>
      </w:r>
      <w:r>
        <w:rPr>
          <w:color w:val="000000"/>
          <w:sz w:val="27"/>
          <w:szCs w:val="27"/>
        </w:rPr>
        <w:br w:type="textWrapping"/>
      </w:r>
      <w:r>
        <w:rPr>
          <w:color w:val="000000"/>
          <w:sz w:val="27"/>
          <w:szCs w:val="27"/>
        </w:rPr>
        <w:t> </w:t>
      </w:r>
    </w:p>
    <w:p w14:paraId="177C9668">
      <w:pPr>
        <w:numPr>
          <w:ilvl w:val="0"/>
          <w:numId w:val="52"/>
        </w:numPr>
        <w:rPr>
          <w:color w:val="000000"/>
          <w:sz w:val="27"/>
          <w:szCs w:val="27"/>
        </w:rPr>
      </w:pPr>
      <w:r>
        <w:rPr>
          <w:color w:val="000000"/>
          <w:sz w:val="27"/>
          <w:szCs w:val="27"/>
        </w:rPr>
        <w:t>Planilha descritiva:</w:t>
      </w:r>
      <w:r>
        <w:rPr>
          <w:color w:val="000000"/>
          <w:sz w:val="27"/>
          <w:szCs w:val="27"/>
        </w:rPr>
        <w:br w:type="textWrapping"/>
      </w:r>
      <w:r>
        <w:rPr>
          <w:color w:val="000000"/>
          <w:sz w:val="27"/>
          <w:szCs w:val="27"/>
        </w:rPr>
        <w:br w:type="textWrapping"/>
      </w:r>
      <w:r>
        <w:rPr>
          <w:color w:val="000000"/>
          <w:sz w:val="27"/>
          <w:szCs w:val="27"/>
        </w:rPr>
        <w:t> </w:t>
      </w:r>
    </w:p>
    <w:p w14:paraId="21A2C5B0">
      <w:pPr>
        <w:numPr>
          <w:ilvl w:val="1"/>
          <w:numId w:val="52"/>
        </w:numPr>
        <w:jc w:val="both"/>
        <w:rPr>
          <w:color w:val="000000"/>
          <w:sz w:val="27"/>
          <w:szCs w:val="27"/>
        </w:rPr>
      </w:pPr>
      <w:r>
        <w:rPr>
          <w:color w:val="000000"/>
          <w:sz w:val="27"/>
          <w:szCs w:val="27"/>
        </w:rPr>
        <w:t>Cada remessa de kits deverá ser acompanhada de planilhas detalhadas, contendo a descrição de todos os alimentos que compõem o kit, suas quantidades, lote de produção e data de validade.</w:t>
      </w:r>
      <w:r>
        <w:rPr>
          <w:color w:val="000000"/>
          <w:sz w:val="27"/>
          <w:szCs w:val="27"/>
        </w:rPr>
        <w:br w:type="textWrapping"/>
      </w:r>
      <w:r>
        <w:rPr>
          <w:color w:val="000000"/>
          <w:sz w:val="27"/>
          <w:szCs w:val="27"/>
        </w:rPr>
        <w:br w:type="textWrapping"/>
      </w:r>
      <w:r>
        <w:rPr>
          <w:color w:val="000000"/>
          <w:sz w:val="27"/>
          <w:szCs w:val="27"/>
        </w:rPr>
        <w:t> </w:t>
      </w:r>
    </w:p>
    <w:p w14:paraId="7C86A35C">
      <w:pPr>
        <w:numPr>
          <w:ilvl w:val="0"/>
          <w:numId w:val="52"/>
        </w:numPr>
        <w:rPr>
          <w:color w:val="000000"/>
          <w:sz w:val="27"/>
          <w:szCs w:val="27"/>
        </w:rPr>
      </w:pPr>
      <w:r>
        <w:rPr>
          <w:color w:val="000000"/>
          <w:sz w:val="27"/>
          <w:szCs w:val="27"/>
        </w:rPr>
        <w:t>Prazo de validade:</w:t>
      </w:r>
      <w:r>
        <w:rPr>
          <w:color w:val="000000"/>
          <w:sz w:val="27"/>
          <w:szCs w:val="27"/>
        </w:rPr>
        <w:br w:type="textWrapping"/>
      </w:r>
      <w:r>
        <w:rPr>
          <w:color w:val="000000"/>
          <w:sz w:val="27"/>
          <w:szCs w:val="27"/>
        </w:rPr>
        <w:br w:type="textWrapping"/>
      </w:r>
      <w:r>
        <w:rPr>
          <w:color w:val="000000"/>
          <w:sz w:val="27"/>
          <w:szCs w:val="27"/>
        </w:rPr>
        <w:t> </w:t>
      </w:r>
    </w:p>
    <w:p w14:paraId="543609FD">
      <w:pPr>
        <w:numPr>
          <w:ilvl w:val="1"/>
          <w:numId w:val="52"/>
        </w:numPr>
        <w:jc w:val="both"/>
        <w:rPr>
          <w:color w:val="000000"/>
          <w:sz w:val="27"/>
          <w:szCs w:val="27"/>
        </w:rPr>
      </w:pPr>
      <w:r>
        <w:rPr>
          <w:color w:val="000000"/>
          <w:sz w:val="27"/>
          <w:szCs w:val="27"/>
        </w:rPr>
        <w:t>Todos os itens industrializados deverão apresentar data de validade mínima de 60 (sessenta) dias a contar da data da entrega.</w:t>
      </w:r>
      <w:r>
        <w:rPr>
          <w:color w:val="000000"/>
          <w:sz w:val="27"/>
          <w:szCs w:val="27"/>
        </w:rPr>
        <w:br w:type="textWrapping"/>
      </w:r>
      <w:r>
        <w:rPr>
          <w:color w:val="000000"/>
          <w:sz w:val="27"/>
          <w:szCs w:val="27"/>
        </w:rPr>
        <w:br w:type="textWrapping"/>
      </w:r>
      <w:r>
        <w:rPr>
          <w:color w:val="000000"/>
          <w:sz w:val="27"/>
          <w:szCs w:val="27"/>
        </w:rPr>
        <w:t> </w:t>
      </w:r>
    </w:p>
    <w:p w14:paraId="382A1BA2">
      <w:pPr>
        <w:numPr>
          <w:ilvl w:val="0"/>
          <w:numId w:val="52"/>
        </w:numPr>
        <w:rPr>
          <w:color w:val="000000"/>
          <w:sz w:val="27"/>
          <w:szCs w:val="27"/>
        </w:rPr>
      </w:pPr>
      <w:r>
        <w:rPr>
          <w:color w:val="000000"/>
          <w:sz w:val="27"/>
          <w:szCs w:val="27"/>
        </w:rPr>
        <w:t>Acondicionamento final dos kits:</w:t>
      </w:r>
      <w:r>
        <w:rPr>
          <w:color w:val="000000"/>
          <w:sz w:val="27"/>
          <w:szCs w:val="27"/>
        </w:rPr>
        <w:br w:type="textWrapping"/>
      </w:r>
      <w:r>
        <w:rPr>
          <w:color w:val="000000"/>
          <w:sz w:val="27"/>
          <w:szCs w:val="27"/>
        </w:rPr>
        <w:br w:type="textWrapping"/>
      </w:r>
      <w:r>
        <w:rPr>
          <w:color w:val="000000"/>
          <w:sz w:val="27"/>
          <w:szCs w:val="27"/>
        </w:rPr>
        <w:t> </w:t>
      </w:r>
    </w:p>
    <w:p w14:paraId="4272DED5">
      <w:pPr>
        <w:numPr>
          <w:ilvl w:val="1"/>
          <w:numId w:val="52"/>
        </w:numPr>
        <w:jc w:val="both"/>
        <w:rPr>
          <w:color w:val="000000"/>
          <w:sz w:val="27"/>
          <w:szCs w:val="27"/>
        </w:rPr>
      </w:pPr>
      <w:r>
        <w:rPr>
          <w:color w:val="000000"/>
          <w:sz w:val="27"/>
          <w:szCs w:val="27"/>
        </w:rPr>
        <w:t>Todos os itens do kit deverão ser embalados juntos em </w:t>
      </w:r>
      <w:r>
        <w:rPr>
          <w:b/>
          <w:bCs/>
          <w:color w:val="000000"/>
          <w:sz w:val="27"/>
          <w:szCs w:val="27"/>
        </w:rPr>
        <w:t>sacos de papel kraft</w:t>
      </w:r>
      <w:r>
        <w:rPr>
          <w:color w:val="000000"/>
          <w:sz w:val="27"/>
          <w:szCs w:val="27"/>
        </w:rPr>
        <w:t>, devidamente lacrados, garantindo a proteção dos alimentos e a praticidade de distribuição.</w:t>
      </w:r>
    </w:p>
    <w:p w14:paraId="4BDB6812">
      <w:pPr>
        <w:numPr>
          <w:ilvl w:val="1"/>
          <w:numId w:val="52"/>
        </w:numPr>
        <w:spacing w:after="240"/>
        <w:jc w:val="both"/>
        <w:rPr>
          <w:color w:val="000000"/>
          <w:sz w:val="27"/>
          <w:szCs w:val="27"/>
        </w:rPr>
      </w:pPr>
      <w:r>
        <w:rPr>
          <w:color w:val="000000"/>
          <w:sz w:val="27"/>
          <w:szCs w:val="27"/>
        </w:rPr>
        <w:t>As embalagens devem ser resistentes, manter a integridade dos alimentos e estar isentas de contaminação.</w:t>
      </w:r>
    </w:p>
    <w:p w14:paraId="3B345A73">
      <w:pPr>
        <w:spacing w:before="240" w:after="240"/>
        <w:jc w:val="both"/>
        <w:rPr>
          <w:color w:val="000000"/>
          <w:sz w:val="27"/>
          <w:szCs w:val="27"/>
        </w:rPr>
      </w:pPr>
      <w:r>
        <w:rPr>
          <w:color w:val="000000"/>
          <w:sz w:val="27"/>
          <w:szCs w:val="27"/>
        </w:rPr>
        <w:t>Estas condições deverão ser observadas integralmente, sob pena de recusa do recebimento dos produtos e aplicação das sanções cabíveis, garantindo assim a qualidade nutricional, segurança sanitária e organização logística necessárias para o sucesso da distribuição aos alunos.</w:t>
      </w:r>
    </w:p>
    <w:p w14:paraId="627EB46F">
      <w:pPr>
        <w:jc w:val="both"/>
        <w:rPr>
          <w:color w:val="000000"/>
          <w:sz w:val="27"/>
          <w:szCs w:val="27"/>
        </w:rPr>
      </w:pPr>
      <w:r>
        <w:rPr>
          <w:color w:val="000000"/>
          <w:sz w:val="27"/>
          <w:szCs w:val="27"/>
        </w:rPr>
        <w:t>  Do veículo para transporte e carregador</w:t>
      </w:r>
    </w:p>
    <w:p w14:paraId="31DCEB2E">
      <w:pPr>
        <w:jc w:val="both"/>
        <w:rPr>
          <w:color w:val="000000"/>
          <w:sz w:val="27"/>
          <w:szCs w:val="27"/>
        </w:rPr>
      </w:pPr>
      <w:r>
        <w:rPr>
          <w:color w:val="000000"/>
          <w:sz w:val="27"/>
          <w:szCs w:val="27"/>
        </w:rPr>
        <w:t> Os gêneros alimentícios deverão ser transportados de forma adequada, para atender a requisitos específicos que garantam a integridade e a segurança dos produtos durante o trajeto. Devem contar com carrocerias que respeitem cada necessidade da carga orgânica e que sigam os padrões e regulamentações de cada setor, como a ANVISA – Agência Nacional de Vigilância Sanitária, entre outros, para garantir a qualidade dos produtos e a segurança do consumidor final. </w:t>
      </w:r>
    </w:p>
    <w:p w14:paraId="033709EC">
      <w:pPr>
        <w:jc w:val="both"/>
        <w:rPr>
          <w:color w:val="000000"/>
          <w:sz w:val="27"/>
          <w:szCs w:val="27"/>
        </w:rPr>
      </w:pPr>
      <w:r>
        <w:rPr>
          <w:color w:val="000000"/>
          <w:sz w:val="27"/>
          <w:szCs w:val="27"/>
        </w:rPr>
        <w:t>  </w:t>
      </w:r>
    </w:p>
    <w:p w14:paraId="71845DC6">
      <w:pPr>
        <w:jc w:val="both"/>
        <w:rPr>
          <w:color w:val="000000"/>
          <w:sz w:val="27"/>
          <w:szCs w:val="27"/>
        </w:rPr>
      </w:pPr>
      <w:r>
        <w:rPr>
          <w:color w:val="000000"/>
          <w:sz w:val="27"/>
          <w:szCs w:val="27"/>
        </w:rPr>
        <w:t> Avaliação da qualidade dos alimentos no ato do recebimento</w:t>
      </w:r>
    </w:p>
    <w:p w14:paraId="7E0E7A3A">
      <w:pPr>
        <w:jc w:val="both"/>
        <w:rPr>
          <w:color w:val="000000"/>
          <w:sz w:val="27"/>
          <w:szCs w:val="27"/>
        </w:rPr>
      </w:pPr>
      <w:r>
        <w:rPr>
          <w:color w:val="000000"/>
          <w:sz w:val="27"/>
          <w:szCs w:val="27"/>
        </w:rPr>
        <w:t>A avaliação da qualidade dos alimentos no ato do recebimento será feita por funcionário específico para esse fim, onde o fornecedor deverá aguardar toda a conferência.</w:t>
      </w:r>
    </w:p>
    <w:p w14:paraId="0C73F93C">
      <w:pPr>
        <w:spacing w:before="120" w:after="120"/>
        <w:ind w:left="120" w:right="120" w:firstLine="1699"/>
        <w:jc w:val="both"/>
        <w:rPr>
          <w:color w:val="000000"/>
          <w:sz w:val="27"/>
          <w:szCs w:val="27"/>
        </w:rPr>
      </w:pPr>
      <w:r>
        <w:rPr>
          <w:color w:val="000000"/>
          <w:sz w:val="27"/>
          <w:szCs w:val="27"/>
        </w:rPr>
        <w:br w:type="textWrapping"/>
      </w:r>
      <w:r>
        <w:rPr>
          <w:color w:val="000000"/>
          <w:sz w:val="27"/>
          <w:szCs w:val="27"/>
        </w:rPr>
        <w:t> </w:t>
      </w:r>
    </w:p>
    <w:p w14:paraId="582D3781">
      <w:pPr>
        <w:jc w:val="both"/>
        <w:rPr>
          <w:color w:val="000000"/>
          <w:sz w:val="27"/>
          <w:szCs w:val="27"/>
        </w:rPr>
      </w:pPr>
      <w:r>
        <w:rPr>
          <w:color w:val="000000"/>
          <w:sz w:val="27"/>
          <w:szCs w:val="27"/>
        </w:rPr>
        <w:t> Avaliação da qualidade durante o período contratual </w:t>
      </w:r>
    </w:p>
    <w:p w14:paraId="59B73F5B">
      <w:pPr>
        <w:jc w:val="both"/>
        <w:rPr>
          <w:color w:val="000000"/>
          <w:sz w:val="27"/>
          <w:szCs w:val="27"/>
        </w:rPr>
      </w:pPr>
      <w:r>
        <w:rPr>
          <w:color w:val="000000"/>
          <w:sz w:val="27"/>
          <w:szCs w:val="27"/>
        </w:rPr>
        <w:t> A avaliação da qualidade dos alimentos durante o período contratual será feita pelo profissional nutricionista.</w:t>
      </w:r>
    </w:p>
    <w:p w14:paraId="66066AAF">
      <w:pPr>
        <w:spacing w:before="120" w:after="120"/>
        <w:ind w:left="120" w:right="120" w:firstLine="1699"/>
        <w:jc w:val="both"/>
        <w:rPr>
          <w:color w:val="000000"/>
          <w:sz w:val="27"/>
          <w:szCs w:val="27"/>
        </w:rPr>
      </w:pPr>
      <w:r>
        <w:rPr>
          <w:color w:val="000000"/>
          <w:sz w:val="27"/>
          <w:szCs w:val="27"/>
        </w:rPr>
        <w:br w:type="textWrapping"/>
      </w:r>
      <w:r>
        <w:rPr>
          <w:color w:val="000000"/>
          <w:sz w:val="27"/>
          <w:szCs w:val="27"/>
        </w:rPr>
        <w:t> </w:t>
      </w:r>
    </w:p>
    <w:p w14:paraId="1F37B99B">
      <w:pPr>
        <w:jc w:val="both"/>
        <w:rPr>
          <w:color w:val="000000"/>
          <w:sz w:val="27"/>
          <w:szCs w:val="27"/>
        </w:rPr>
      </w:pPr>
      <w:r>
        <w:rPr>
          <w:b/>
          <w:bCs/>
          <w:color w:val="000000"/>
          <w:sz w:val="27"/>
          <w:szCs w:val="27"/>
        </w:rPr>
        <w:t> Sanções</w:t>
      </w:r>
    </w:p>
    <w:p w14:paraId="37D836B7">
      <w:pPr>
        <w:spacing w:before="240" w:after="240"/>
        <w:jc w:val="both"/>
        <w:rPr>
          <w:color w:val="000000"/>
          <w:sz w:val="27"/>
          <w:szCs w:val="27"/>
        </w:rPr>
      </w:pPr>
      <w:r>
        <w:rPr>
          <w:color w:val="000000"/>
          <w:sz w:val="27"/>
          <w:szCs w:val="27"/>
        </w:rPr>
        <w:t>Considerar as infrações sanitárias nos termos da Lei nº 8.078/1990 e Lei nº 14.133/2021, além da Lei nº 6.437/1977, conforme o fato que deu causa a tal fato.</w:t>
      </w:r>
    </w:p>
    <w:p w14:paraId="7CB7E84A">
      <w:pPr>
        <w:numPr>
          <w:ilvl w:val="0"/>
          <w:numId w:val="53"/>
        </w:numPr>
        <w:spacing w:before="1"/>
        <w:rPr>
          <w:color w:val="000000"/>
          <w:sz w:val="27"/>
          <w:szCs w:val="27"/>
        </w:rPr>
      </w:pPr>
      <w:r>
        <w:rPr>
          <w:b/>
          <w:bCs/>
          <w:color w:val="000000"/>
          <w:sz w:val="27"/>
          <w:szCs w:val="27"/>
          <w:shd w:val="clear" w:color="auto" w:fill="D9D9D9"/>
        </w:rPr>
        <w:t>LEVANTAMENTO DE MERCADO  (Art. 18, §1º, inciso V, da Lei 14.133/2021)</w:t>
      </w:r>
    </w:p>
    <w:p w14:paraId="3657489C">
      <w:pPr>
        <w:spacing w:before="120" w:after="120"/>
        <w:ind w:left="120" w:right="120" w:firstLine="1699"/>
        <w:jc w:val="both"/>
        <w:rPr>
          <w:color w:val="000000"/>
          <w:sz w:val="27"/>
          <w:szCs w:val="27"/>
        </w:rPr>
      </w:pPr>
      <w:r>
        <w:rPr>
          <w:color w:val="000000"/>
          <w:sz w:val="27"/>
          <w:szCs w:val="27"/>
        </w:rPr>
        <w:br w:type="textWrapping"/>
      </w:r>
      <w:r>
        <w:rPr>
          <w:color w:val="000000"/>
          <w:sz w:val="27"/>
          <w:szCs w:val="27"/>
        </w:rPr>
        <w:t> </w:t>
      </w:r>
    </w:p>
    <w:p w14:paraId="4D894789">
      <w:pPr>
        <w:spacing w:before="240" w:after="240"/>
        <w:ind w:right="240"/>
        <w:jc w:val="both"/>
        <w:rPr>
          <w:color w:val="000000"/>
          <w:sz w:val="27"/>
          <w:szCs w:val="27"/>
        </w:rPr>
      </w:pPr>
      <w:r>
        <w:rPr>
          <w:color w:val="000000"/>
          <w:sz w:val="27"/>
          <w:szCs w:val="27"/>
        </w:rPr>
        <w:t>Nos termos do inciso XIII, art. 6º da Lei nº 14.133/2020 os alimentos pretendidos podem ser classificados como bens comuns, </w:t>
      </w:r>
      <w:r>
        <w:rPr>
          <w:i/>
          <w:iCs/>
          <w:color w:val="000000"/>
          <w:sz w:val="27"/>
          <w:szCs w:val="27"/>
        </w:rPr>
        <w:t>“aqueles cujos padrões de desempenho e qualidade podem ser objetivamente definidos pelo edital, por meio de especificações usuais de mercado”, </w:t>
      </w:r>
      <w:r>
        <w:rPr>
          <w:color w:val="000000"/>
          <w:sz w:val="27"/>
          <w:szCs w:val="27"/>
        </w:rPr>
        <w:t>características essas observadas para todos os itens constantes neste ETP.</w:t>
      </w:r>
    </w:p>
    <w:p w14:paraId="268A3BD2">
      <w:pPr>
        <w:spacing w:before="240" w:after="240"/>
        <w:ind w:right="240"/>
        <w:jc w:val="both"/>
        <w:rPr>
          <w:color w:val="000000"/>
          <w:sz w:val="27"/>
          <w:szCs w:val="27"/>
        </w:rPr>
      </w:pPr>
      <w:r>
        <w:rPr>
          <w:color w:val="000000"/>
          <w:sz w:val="27"/>
          <w:szCs w:val="27"/>
        </w:rPr>
        <w:t>Nesse sentido, não se fazem necessárias as análises adicionais acerca dos mesmos, sendo comumente produzidos e comercializados no mercado comum, atacadista, institucional e industrial, sendo obrigatoriamente e facilmente definidas por padrão de identidade e  qualidade de cada um, legalmente estabelecidos pela ANVISA e MAPA, visando o atendimento da demanda pelos alunos da rede pública de educação básica deste município, tornando assim economicamente viável à Administração Pública, igualmente fomentando a economia brasileira.</w:t>
      </w:r>
    </w:p>
    <w:p w14:paraId="2025B418">
      <w:pPr>
        <w:spacing w:before="240"/>
        <w:ind w:right="240" w:firstLine="20"/>
        <w:jc w:val="both"/>
        <w:rPr>
          <w:color w:val="000000"/>
          <w:sz w:val="27"/>
          <w:szCs w:val="27"/>
        </w:rPr>
      </w:pPr>
      <w:r>
        <w:rPr>
          <w:color w:val="000000"/>
          <w:sz w:val="27"/>
          <w:szCs w:val="27"/>
        </w:rPr>
        <w:t>Tal aquisição, bens comuns que são, pressupõe necessária e simplificada conduta na descrição do levantamento de mercado, considerando o conhecimento prévio de diversos aspectos.</w:t>
      </w:r>
    </w:p>
    <w:p w14:paraId="617AB729">
      <w:pPr>
        <w:spacing w:before="240" w:after="240"/>
        <w:jc w:val="both"/>
        <w:rPr>
          <w:color w:val="000000"/>
          <w:sz w:val="27"/>
          <w:szCs w:val="27"/>
        </w:rPr>
      </w:pPr>
      <w:r>
        <w:rPr>
          <w:color w:val="000000"/>
          <w:sz w:val="27"/>
          <w:szCs w:val="27"/>
        </w:rPr>
        <w:t>O levantamento de mercado, conforme previsto na Lei nº 14.133, de 2021, foi conduzido com o objetivo de verificar as condições práticas, exigências e particularidades do ramo de atuação dos potenciais fornecedores, de forma a garantir a compatibilidade entre os requisitos definidos pela área demandante e as soluções efetivamente disponíveis no mercado.</w:t>
      </w:r>
    </w:p>
    <w:p w14:paraId="3BD193CF">
      <w:pPr>
        <w:spacing w:before="240" w:after="240"/>
        <w:jc w:val="both"/>
        <w:rPr>
          <w:color w:val="000000"/>
          <w:sz w:val="27"/>
          <w:szCs w:val="27"/>
        </w:rPr>
      </w:pPr>
      <w:r>
        <w:rPr>
          <w:color w:val="000000"/>
          <w:sz w:val="27"/>
          <w:szCs w:val="27"/>
        </w:rPr>
        <w:t>Para esse fim, foram utilizados métodos elencados de forma exemplificativa no art. 9º do Decreto regulamentador, com destaque para:</w:t>
      </w:r>
    </w:p>
    <w:p w14:paraId="722045F6">
      <w:pPr>
        <w:numPr>
          <w:ilvl w:val="0"/>
          <w:numId w:val="54"/>
        </w:numPr>
        <w:spacing w:before="240"/>
        <w:jc w:val="both"/>
        <w:rPr>
          <w:color w:val="000000"/>
          <w:sz w:val="27"/>
          <w:szCs w:val="27"/>
        </w:rPr>
      </w:pPr>
      <w:r>
        <w:rPr>
          <w:color w:val="000000"/>
          <w:sz w:val="27"/>
          <w:szCs w:val="27"/>
        </w:rPr>
        <w:t>A consulta a publicações especializadas, contendo estudos técnicos e diretrizes aplicáveis ao objeto contratual;</w:t>
      </w:r>
      <w:r>
        <w:rPr>
          <w:color w:val="000000"/>
          <w:sz w:val="27"/>
          <w:szCs w:val="27"/>
        </w:rPr>
        <w:br w:type="textWrapping"/>
      </w:r>
      <w:r>
        <w:rPr>
          <w:color w:val="000000"/>
          <w:sz w:val="27"/>
          <w:szCs w:val="27"/>
        </w:rPr>
        <w:br w:type="textWrapping"/>
      </w:r>
      <w:r>
        <w:rPr>
          <w:color w:val="000000"/>
          <w:sz w:val="27"/>
          <w:szCs w:val="27"/>
        </w:rPr>
        <w:t> </w:t>
      </w:r>
    </w:p>
    <w:p w14:paraId="5B28DF6F">
      <w:pPr>
        <w:numPr>
          <w:ilvl w:val="0"/>
          <w:numId w:val="54"/>
        </w:numPr>
        <w:jc w:val="both"/>
        <w:rPr>
          <w:color w:val="000000"/>
          <w:sz w:val="27"/>
          <w:szCs w:val="27"/>
        </w:rPr>
      </w:pPr>
      <w:r>
        <w:rPr>
          <w:color w:val="000000"/>
          <w:sz w:val="27"/>
          <w:szCs w:val="27"/>
        </w:rPr>
        <w:t>A análise de contratações similares celebradas por entes públicos, permitindo a aferição de padrões de preços e condições de fornecimento;</w:t>
      </w:r>
      <w:r>
        <w:rPr>
          <w:color w:val="000000"/>
          <w:sz w:val="27"/>
          <w:szCs w:val="27"/>
        </w:rPr>
        <w:br w:type="textWrapping"/>
      </w:r>
      <w:r>
        <w:rPr>
          <w:color w:val="000000"/>
          <w:sz w:val="27"/>
          <w:szCs w:val="27"/>
        </w:rPr>
        <w:br w:type="textWrapping"/>
      </w:r>
      <w:r>
        <w:rPr>
          <w:color w:val="000000"/>
          <w:sz w:val="27"/>
          <w:szCs w:val="27"/>
        </w:rPr>
        <w:t> </w:t>
      </w:r>
    </w:p>
    <w:p w14:paraId="4A1082E9">
      <w:pPr>
        <w:numPr>
          <w:ilvl w:val="0"/>
          <w:numId w:val="54"/>
        </w:numPr>
        <w:spacing w:after="240"/>
        <w:jc w:val="both"/>
        <w:rPr>
          <w:color w:val="000000"/>
          <w:sz w:val="27"/>
          <w:szCs w:val="27"/>
        </w:rPr>
      </w:pPr>
      <w:r>
        <w:rPr>
          <w:color w:val="000000"/>
          <w:sz w:val="27"/>
          <w:szCs w:val="27"/>
        </w:rPr>
        <w:t>E, quando aplicável, o levantamento de informações por meio de consultas públicas e manifestações de mercado.</w:t>
      </w:r>
      <w:r>
        <w:rPr>
          <w:color w:val="000000"/>
          <w:sz w:val="27"/>
          <w:szCs w:val="27"/>
        </w:rPr>
        <w:br w:type="textWrapping"/>
      </w:r>
      <w:r>
        <w:rPr>
          <w:color w:val="000000"/>
          <w:sz w:val="27"/>
          <w:szCs w:val="27"/>
        </w:rPr>
        <w:br w:type="textWrapping"/>
      </w:r>
      <w:r>
        <w:rPr>
          <w:color w:val="000000"/>
          <w:sz w:val="27"/>
          <w:szCs w:val="27"/>
        </w:rPr>
        <w:t> </w:t>
      </w:r>
    </w:p>
    <w:p w14:paraId="767AF976">
      <w:pPr>
        <w:spacing w:before="240" w:after="240"/>
        <w:jc w:val="both"/>
        <w:rPr>
          <w:color w:val="000000"/>
          <w:sz w:val="27"/>
          <w:szCs w:val="27"/>
        </w:rPr>
      </w:pPr>
      <w:r>
        <w:rPr>
          <w:color w:val="000000"/>
          <w:sz w:val="27"/>
          <w:szCs w:val="27"/>
        </w:rPr>
        <w:t>Essa abordagem múltipla buscou assegurar amplo conhecimento do mercado fornecedor, promovendo maior segurança na definição das especificações e condições da contratação, além de atender aos princípios da eficiência, economicidade e isonomia.</w:t>
      </w:r>
    </w:p>
    <w:p w14:paraId="66C11562">
      <w:pPr>
        <w:spacing w:before="240" w:after="240"/>
        <w:jc w:val="both"/>
        <w:rPr>
          <w:color w:val="000000"/>
          <w:sz w:val="27"/>
          <w:szCs w:val="27"/>
        </w:rPr>
      </w:pPr>
      <w:r>
        <w:rPr>
          <w:color w:val="000000"/>
          <w:sz w:val="27"/>
          <w:szCs w:val="27"/>
        </w:rPr>
        <w:t>Justificativa da Escolha da Solução </w:t>
      </w:r>
    </w:p>
    <w:p w14:paraId="185E31A3">
      <w:pPr>
        <w:spacing w:before="240" w:after="240"/>
        <w:jc w:val="both"/>
        <w:rPr>
          <w:color w:val="000000"/>
          <w:sz w:val="27"/>
          <w:szCs w:val="27"/>
        </w:rPr>
      </w:pPr>
      <w:r>
        <w:rPr>
          <w:color w:val="000000"/>
          <w:sz w:val="27"/>
          <w:szCs w:val="27"/>
        </w:rPr>
        <w:t>Para atender à necessidade de fornecimento de kits de lanches destinados aos alunos participantes dos Desfiles Cívicos de 07 de Setembro de 2026, foram consideradas três alternativas viáveis, analisando suas vantagens e desvantagens:</w:t>
      </w:r>
    </w:p>
    <w:p w14:paraId="70A2F64E">
      <w:pPr>
        <w:spacing w:before="240" w:after="240"/>
        <w:jc w:val="both"/>
        <w:rPr>
          <w:color w:val="000000"/>
          <w:sz w:val="27"/>
          <w:szCs w:val="27"/>
        </w:rPr>
      </w:pPr>
      <w:r>
        <w:rPr>
          <w:rFonts w:ascii="Segoe UI Symbol" w:hAnsi="Segoe UI Symbol" w:cs="Segoe UI Symbol"/>
          <w:b/>
          <w:bCs/>
          <w:color w:val="000000"/>
          <w:sz w:val="27"/>
          <w:szCs w:val="27"/>
        </w:rPr>
        <w:t>➤</w:t>
      </w:r>
      <w:r>
        <w:rPr>
          <w:b/>
          <w:bCs/>
          <w:color w:val="000000"/>
          <w:sz w:val="27"/>
          <w:szCs w:val="27"/>
        </w:rPr>
        <w:t xml:space="preserve"> Solução 1: </w:t>
      </w:r>
      <w:r>
        <w:rPr>
          <w:color w:val="000000"/>
          <w:sz w:val="27"/>
          <w:szCs w:val="27"/>
        </w:rPr>
        <w:t>Pregão Eletrônico – Sistema de Registro de Preços (SRP)</w:t>
      </w:r>
    </w:p>
    <w:p w14:paraId="36D0021A">
      <w:pPr>
        <w:spacing w:before="240" w:after="240"/>
        <w:jc w:val="both"/>
        <w:rPr>
          <w:color w:val="000000"/>
          <w:sz w:val="27"/>
          <w:szCs w:val="27"/>
        </w:rPr>
      </w:pPr>
      <w:r>
        <w:rPr>
          <w:color w:val="000000"/>
          <w:sz w:val="27"/>
          <w:szCs w:val="27"/>
        </w:rPr>
        <w:t>Vantagens:</w:t>
      </w:r>
    </w:p>
    <w:p w14:paraId="64ED6B59">
      <w:pPr>
        <w:numPr>
          <w:ilvl w:val="0"/>
          <w:numId w:val="55"/>
        </w:numPr>
        <w:spacing w:before="240"/>
        <w:jc w:val="both"/>
        <w:rPr>
          <w:color w:val="000000"/>
          <w:sz w:val="27"/>
          <w:szCs w:val="27"/>
        </w:rPr>
      </w:pPr>
      <w:r>
        <w:rPr>
          <w:color w:val="000000"/>
          <w:sz w:val="27"/>
          <w:szCs w:val="27"/>
        </w:rPr>
        <w:t>Ampla competitividade, garantindo a participação de diversos fornecedores, o que pode resultar em melhores preços e condições mais vantajosas para a Administração.</w:t>
      </w:r>
    </w:p>
    <w:p w14:paraId="033C0F40">
      <w:pPr>
        <w:numPr>
          <w:ilvl w:val="0"/>
          <w:numId w:val="55"/>
        </w:numPr>
        <w:jc w:val="both"/>
        <w:rPr>
          <w:color w:val="000000"/>
          <w:sz w:val="27"/>
          <w:szCs w:val="27"/>
        </w:rPr>
      </w:pPr>
      <w:r>
        <w:rPr>
          <w:color w:val="000000"/>
          <w:sz w:val="27"/>
          <w:szCs w:val="27"/>
        </w:rPr>
        <w:t>Flexibilidade de uso, permitindo contratações futuras dentro da validade da ata, conforme a demanda efetiva.</w:t>
      </w:r>
    </w:p>
    <w:p w14:paraId="3221BC87">
      <w:pPr>
        <w:numPr>
          <w:ilvl w:val="0"/>
          <w:numId w:val="55"/>
        </w:numPr>
        <w:jc w:val="both"/>
        <w:rPr>
          <w:color w:val="000000"/>
          <w:sz w:val="27"/>
          <w:szCs w:val="27"/>
        </w:rPr>
      </w:pPr>
      <w:r>
        <w:rPr>
          <w:color w:val="000000"/>
          <w:sz w:val="27"/>
          <w:szCs w:val="27"/>
        </w:rPr>
        <w:t>Maior planejamento e organização, já que o objeto é detalhado em edital e Termo de Referência, evitando dúvidas e improvisações.</w:t>
      </w:r>
      <w:r>
        <w:rPr>
          <w:color w:val="000000"/>
          <w:sz w:val="27"/>
          <w:szCs w:val="27"/>
        </w:rPr>
        <w:br w:type="textWrapping"/>
      </w:r>
      <w:r>
        <w:rPr>
          <w:color w:val="000000"/>
          <w:sz w:val="27"/>
          <w:szCs w:val="27"/>
        </w:rPr>
        <w:br w:type="textWrapping"/>
      </w:r>
      <w:r>
        <w:rPr>
          <w:color w:val="000000"/>
          <w:sz w:val="27"/>
          <w:szCs w:val="27"/>
        </w:rPr>
        <w:t> </w:t>
      </w:r>
    </w:p>
    <w:p w14:paraId="534A5C50">
      <w:pPr>
        <w:numPr>
          <w:ilvl w:val="0"/>
          <w:numId w:val="55"/>
        </w:numPr>
        <w:jc w:val="both"/>
        <w:rPr>
          <w:color w:val="000000"/>
          <w:sz w:val="27"/>
          <w:szCs w:val="27"/>
        </w:rPr>
      </w:pPr>
      <w:r>
        <w:rPr>
          <w:color w:val="000000"/>
          <w:sz w:val="27"/>
          <w:szCs w:val="27"/>
        </w:rPr>
        <w:t>Segurança jurídica, com observância de todos os princípios da legalidade, transparência, isonomia e eficiência.</w:t>
      </w:r>
    </w:p>
    <w:p w14:paraId="66C44EAA">
      <w:pPr>
        <w:numPr>
          <w:ilvl w:val="0"/>
          <w:numId w:val="55"/>
        </w:numPr>
        <w:spacing w:after="240"/>
        <w:jc w:val="both"/>
        <w:rPr>
          <w:color w:val="000000"/>
          <w:sz w:val="27"/>
          <w:szCs w:val="27"/>
        </w:rPr>
      </w:pPr>
      <w:r>
        <w:rPr>
          <w:color w:val="000000"/>
          <w:sz w:val="27"/>
          <w:szCs w:val="27"/>
        </w:rPr>
        <w:t>Padronização do fornecimento, pois a empresa vencedora se compromete a entregar kits prontos, dentro dos requisitos sanitários e de qualidade estabelecidos.</w:t>
      </w:r>
    </w:p>
    <w:p w14:paraId="140AB54A">
      <w:pPr>
        <w:spacing w:before="240" w:after="240"/>
        <w:jc w:val="both"/>
        <w:rPr>
          <w:color w:val="000000"/>
          <w:sz w:val="27"/>
          <w:szCs w:val="27"/>
        </w:rPr>
      </w:pPr>
      <w:r>
        <w:rPr>
          <w:color w:val="000000"/>
          <w:sz w:val="27"/>
          <w:szCs w:val="27"/>
        </w:rPr>
        <w:t>Desvantagens:</w:t>
      </w:r>
    </w:p>
    <w:p w14:paraId="79D99013">
      <w:pPr>
        <w:numPr>
          <w:ilvl w:val="0"/>
          <w:numId w:val="56"/>
        </w:numPr>
        <w:spacing w:before="240" w:after="240"/>
        <w:rPr>
          <w:color w:val="000000"/>
          <w:sz w:val="27"/>
          <w:szCs w:val="27"/>
        </w:rPr>
      </w:pPr>
      <w:r>
        <w:rPr>
          <w:color w:val="000000"/>
          <w:sz w:val="27"/>
          <w:szCs w:val="27"/>
        </w:rPr>
        <w:t>Prazos um pouco mais longos, em função dos trâmites necessários para a realização do procedimento licitatório.</w:t>
      </w:r>
    </w:p>
    <w:p w14:paraId="2A7931F3">
      <w:pPr>
        <w:spacing w:before="240" w:after="240"/>
        <w:jc w:val="both"/>
        <w:rPr>
          <w:color w:val="000000"/>
          <w:sz w:val="27"/>
          <w:szCs w:val="27"/>
        </w:rPr>
      </w:pPr>
      <w:r>
        <w:rPr>
          <w:rFonts w:ascii="Segoe UI Symbol" w:hAnsi="Segoe UI Symbol" w:cs="Segoe UI Symbol"/>
          <w:b/>
          <w:bCs/>
          <w:color w:val="000000"/>
          <w:sz w:val="27"/>
          <w:szCs w:val="27"/>
        </w:rPr>
        <w:t>➤</w:t>
      </w:r>
      <w:r>
        <w:rPr>
          <w:b/>
          <w:bCs/>
          <w:color w:val="000000"/>
          <w:sz w:val="27"/>
          <w:szCs w:val="27"/>
        </w:rPr>
        <w:t xml:space="preserve"> Solução 2: </w:t>
      </w:r>
      <w:r>
        <w:rPr>
          <w:color w:val="000000"/>
          <w:sz w:val="27"/>
          <w:szCs w:val="27"/>
        </w:rPr>
        <w:t>Dispensa de Licitação</w:t>
      </w:r>
    </w:p>
    <w:p w14:paraId="067DF34C">
      <w:pPr>
        <w:spacing w:before="240" w:after="240"/>
        <w:jc w:val="both"/>
        <w:rPr>
          <w:color w:val="000000"/>
          <w:sz w:val="27"/>
          <w:szCs w:val="27"/>
        </w:rPr>
      </w:pPr>
      <w:r>
        <w:rPr>
          <w:color w:val="000000"/>
          <w:sz w:val="27"/>
          <w:szCs w:val="27"/>
        </w:rPr>
        <w:t>Vantagens:</w:t>
      </w:r>
    </w:p>
    <w:p w14:paraId="28EB710B">
      <w:pPr>
        <w:numPr>
          <w:ilvl w:val="0"/>
          <w:numId w:val="57"/>
        </w:numPr>
        <w:spacing w:before="240"/>
        <w:rPr>
          <w:color w:val="000000"/>
          <w:sz w:val="27"/>
          <w:szCs w:val="27"/>
        </w:rPr>
      </w:pPr>
      <w:r>
        <w:rPr>
          <w:color w:val="000000"/>
          <w:sz w:val="27"/>
          <w:szCs w:val="27"/>
        </w:rPr>
        <w:t>Rapidez no processo, pois dispensa alguns trâmites formais do pregão.</w:t>
      </w:r>
    </w:p>
    <w:p w14:paraId="6B5C82F1">
      <w:pPr>
        <w:numPr>
          <w:ilvl w:val="0"/>
          <w:numId w:val="57"/>
        </w:numPr>
        <w:spacing w:after="240"/>
        <w:rPr>
          <w:color w:val="000000"/>
          <w:sz w:val="27"/>
          <w:szCs w:val="27"/>
        </w:rPr>
      </w:pPr>
      <w:r>
        <w:rPr>
          <w:color w:val="000000"/>
          <w:sz w:val="27"/>
          <w:szCs w:val="27"/>
        </w:rPr>
        <w:t>Aplicável em situações emergenciais, quando devidamente caracterizadas.</w:t>
      </w:r>
    </w:p>
    <w:p w14:paraId="5718507C">
      <w:pPr>
        <w:spacing w:before="240" w:after="240"/>
        <w:jc w:val="both"/>
        <w:rPr>
          <w:color w:val="000000"/>
          <w:sz w:val="27"/>
          <w:szCs w:val="27"/>
        </w:rPr>
      </w:pPr>
      <w:r>
        <w:rPr>
          <w:color w:val="000000"/>
          <w:sz w:val="27"/>
          <w:szCs w:val="27"/>
        </w:rPr>
        <w:t>Desvantagens:</w:t>
      </w:r>
    </w:p>
    <w:p w14:paraId="5AD4857A">
      <w:pPr>
        <w:numPr>
          <w:ilvl w:val="0"/>
          <w:numId w:val="58"/>
        </w:numPr>
        <w:spacing w:before="240"/>
        <w:jc w:val="both"/>
        <w:rPr>
          <w:color w:val="000000"/>
          <w:sz w:val="27"/>
          <w:szCs w:val="27"/>
        </w:rPr>
      </w:pPr>
      <w:r>
        <w:rPr>
          <w:color w:val="000000"/>
          <w:sz w:val="27"/>
          <w:szCs w:val="27"/>
        </w:rPr>
        <w:t>Menor competitividade, o que pode resultar em preços menos vantajosos para o erário.</w:t>
      </w:r>
    </w:p>
    <w:p w14:paraId="261190C2">
      <w:pPr>
        <w:numPr>
          <w:ilvl w:val="0"/>
          <w:numId w:val="58"/>
        </w:numPr>
        <w:jc w:val="both"/>
        <w:rPr>
          <w:color w:val="000000"/>
          <w:sz w:val="27"/>
          <w:szCs w:val="27"/>
        </w:rPr>
      </w:pPr>
      <w:r>
        <w:rPr>
          <w:color w:val="000000"/>
          <w:sz w:val="27"/>
          <w:szCs w:val="27"/>
        </w:rPr>
        <w:t>Restrita a hipóteses legais, como valores limitados ou situações excepcionais, não se aplicando a uma demanda previsível e de valor estimado superior ao limite legal para dispensa.</w:t>
      </w:r>
    </w:p>
    <w:p w14:paraId="0AEB2A7C">
      <w:pPr>
        <w:numPr>
          <w:ilvl w:val="0"/>
          <w:numId w:val="58"/>
        </w:numPr>
        <w:jc w:val="both"/>
        <w:rPr>
          <w:color w:val="000000"/>
          <w:sz w:val="27"/>
          <w:szCs w:val="27"/>
        </w:rPr>
      </w:pPr>
      <w:r>
        <w:rPr>
          <w:color w:val="000000"/>
          <w:sz w:val="27"/>
          <w:szCs w:val="27"/>
        </w:rPr>
        <w:t>Maior risco de questionamentos, inclusive de órgãos de controle, por não adotar o rito competitivo quando cabível.</w:t>
      </w:r>
    </w:p>
    <w:p w14:paraId="7AC99FE0">
      <w:pPr>
        <w:numPr>
          <w:ilvl w:val="0"/>
          <w:numId w:val="58"/>
        </w:numPr>
        <w:spacing w:after="240"/>
        <w:jc w:val="both"/>
        <w:rPr>
          <w:color w:val="000000"/>
          <w:sz w:val="27"/>
          <w:szCs w:val="27"/>
        </w:rPr>
      </w:pPr>
      <w:r>
        <w:rPr>
          <w:color w:val="000000"/>
          <w:sz w:val="27"/>
          <w:szCs w:val="27"/>
        </w:rPr>
        <w:t>Dificuldade de registro de preços, pois a dispensa não gera ata de registro de preços para uso futuro.</w:t>
      </w:r>
    </w:p>
    <w:p w14:paraId="2407437F">
      <w:pPr>
        <w:spacing w:before="240" w:after="240"/>
        <w:jc w:val="both"/>
        <w:rPr>
          <w:color w:val="000000"/>
          <w:sz w:val="27"/>
          <w:szCs w:val="27"/>
        </w:rPr>
      </w:pPr>
      <w:r>
        <w:rPr>
          <w:rFonts w:ascii="Segoe UI Symbol" w:hAnsi="Segoe UI Symbol" w:cs="Segoe UI Symbol"/>
          <w:b/>
          <w:bCs/>
          <w:color w:val="000000"/>
          <w:sz w:val="27"/>
          <w:szCs w:val="27"/>
        </w:rPr>
        <w:t>➤</w:t>
      </w:r>
      <w:r>
        <w:rPr>
          <w:b/>
          <w:bCs/>
          <w:color w:val="000000"/>
          <w:sz w:val="27"/>
          <w:szCs w:val="27"/>
        </w:rPr>
        <w:t xml:space="preserve"> Solução 3: </w:t>
      </w:r>
      <w:r>
        <w:rPr>
          <w:color w:val="000000"/>
          <w:sz w:val="27"/>
          <w:szCs w:val="27"/>
        </w:rPr>
        <w:t>Concessão de cartão ou auxílio financeiro para os responsáveis adquirirem o lanche</w:t>
      </w:r>
    </w:p>
    <w:p w14:paraId="45B52100">
      <w:pPr>
        <w:spacing w:before="240" w:after="240"/>
        <w:jc w:val="both"/>
        <w:rPr>
          <w:color w:val="000000"/>
          <w:sz w:val="27"/>
          <w:szCs w:val="27"/>
        </w:rPr>
      </w:pPr>
      <w:r>
        <w:rPr>
          <w:color w:val="000000"/>
          <w:sz w:val="27"/>
          <w:szCs w:val="27"/>
        </w:rPr>
        <w:t>Vantagens:</w:t>
      </w:r>
    </w:p>
    <w:p w14:paraId="50BFC9E0">
      <w:pPr>
        <w:numPr>
          <w:ilvl w:val="0"/>
          <w:numId w:val="59"/>
        </w:numPr>
        <w:spacing w:before="240"/>
        <w:jc w:val="both"/>
        <w:rPr>
          <w:color w:val="000000"/>
          <w:sz w:val="27"/>
          <w:szCs w:val="27"/>
        </w:rPr>
      </w:pPr>
      <w:r>
        <w:rPr>
          <w:color w:val="000000"/>
          <w:sz w:val="27"/>
          <w:szCs w:val="27"/>
        </w:rPr>
        <w:t>Maior autonomia para as famílias, que poderiam escolher onde comprar o lanche.</w:t>
      </w:r>
    </w:p>
    <w:p w14:paraId="68B07E26">
      <w:pPr>
        <w:numPr>
          <w:ilvl w:val="0"/>
          <w:numId w:val="59"/>
        </w:numPr>
        <w:spacing w:after="240"/>
        <w:jc w:val="both"/>
        <w:rPr>
          <w:color w:val="000000"/>
          <w:sz w:val="27"/>
          <w:szCs w:val="27"/>
        </w:rPr>
      </w:pPr>
      <w:r>
        <w:rPr>
          <w:color w:val="000000"/>
          <w:sz w:val="27"/>
          <w:szCs w:val="27"/>
        </w:rPr>
        <w:t>Descentralização, evitando logística de transporte e distribuição pela Administração.</w:t>
      </w:r>
    </w:p>
    <w:p w14:paraId="55E46799">
      <w:pPr>
        <w:spacing w:before="240" w:after="240"/>
        <w:jc w:val="both"/>
        <w:rPr>
          <w:color w:val="000000"/>
          <w:sz w:val="27"/>
          <w:szCs w:val="27"/>
        </w:rPr>
      </w:pPr>
      <w:r>
        <w:rPr>
          <w:color w:val="000000"/>
          <w:sz w:val="27"/>
          <w:szCs w:val="27"/>
        </w:rPr>
        <w:t>Desvantagens:</w:t>
      </w:r>
    </w:p>
    <w:p w14:paraId="366732B9">
      <w:pPr>
        <w:numPr>
          <w:ilvl w:val="0"/>
          <w:numId w:val="60"/>
        </w:numPr>
        <w:spacing w:before="240"/>
        <w:jc w:val="both"/>
        <w:rPr>
          <w:color w:val="000000"/>
          <w:sz w:val="27"/>
          <w:szCs w:val="27"/>
        </w:rPr>
      </w:pPr>
      <w:r>
        <w:rPr>
          <w:color w:val="000000"/>
          <w:sz w:val="27"/>
          <w:szCs w:val="27"/>
        </w:rPr>
        <w:t>Impossibilidade legal e operacional, uma vez que não há previsão normativa para transferência direta de recursos com essa finalidade específica, salvo programas já regulamentados como alimentação escolar (PNAE), com diretrizes próprias.</w:t>
      </w:r>
    </w:p>
    <w:p w14:paraId="3011AA64">
      <w:pPr>
        <w:numPr>
          <w:ilvl w:val="0"/>
          <w:numId w:val="60"/>
        </w:numPr>
        <w:jc w:val="both"/>
        <w:rPr>
          <w:color w:val="000000"/>
          <w:sz w:val="27"/>
          <w:szCs w:val="27"/>
        </w:rPr>
      </w:pPr>
      <w:r>
        <w:rPr>
          <w:color w:val="000000"/>
          <w:sz w:val="27"/>
          <w:szCs w:val="27"/>
        </w:rPr>
        <w:t>Risco de uso inadequado dos recursos, não garantindo que o valor seja efetivamente utilizado para a compra de um lanche nutritivo e seguro.</w:t>
      </w:r>
    </w:p>
    <w:p w14:paraId="30C2873C">
      <w:pPr>
        <w:numPr>
          <w:ilvl w:val="0"/>
          <w:numId w:val="60"/>
        </w:numPr>
        <w:jc w:val="both"/>
        <w:rPr>
          <w:color w:val="000000"/>
          <w:sz w:val="27"/>
          <w:szCs w:val="27"/>
        </w:rPr>
      </w:pPr>
      <w:r>
        <w:rPr>
          <w:color w:val="000000"/>
          <w:sz w:val="27"/>
          <w:szCs w:val="27"/>
        </w:rPr>
        <w:t>Ausência de padronização, podendo gerar desigualdades entre alunos.</w:t>
      </w:r>
    </w:p>
    <w:p w14:paraId="31CAD886">
      <w:pPr>
        <w:numPr>
          <w:ilvl w:val="0"/>
          <w:numId w:val="60"/>
        </w:numPr>
        <w:spacing w:after="240"/>
        <w:jc w:val="both"/>
        <w:rPr>
          <w:color w:val="000000"/>
          <w:sz w:val="27"/>
          <w:szCs w:val="27"/>
        </w:rPr>
      </w:pPr>
      <w:r>
        <w:rPr>
          <w:color w:val="000000"/>
          <w:sz w:val="27"/>
          <w:szCs w:val="27"/>
        </w:rPr>
        <w:t>Maior dificuldade de fiscalização, controle e prestação de contas.</w:t>
      </w:r>
      <w:r>
        <w:rPr>
          <w:color w:val="000000"/>
          <w:sz w:val="27"/>
          <w:szCs w:val="27"/>
        </w:rPr>
        <w:br w:type="textWrapping"/>
      </w:r>
      <w:r>
        <w:rPr>
          <w:color w:val="000000"/>
          <w:sz w:val="27"/>
          <w:szCs w:val="27"/>
        </w:rPr>
        <w:br w:type="textWrapping"/>
      </w:r>
      <w:r>
        <w:rPr>
          <w:color w:val="000000"/>
          <w:sz w:val="27"/>
          <w:szCs w:val="27"/>
        </w:rPr>
        <w:t> </w:t>
      </w:r>
    </w:p>
    <w:p w14:paraId="4DE14A58">
      <w:pPr>
        <w:spacing w:before="240" w:after="240"/>
        <w:jc w:val="both"/>
        <w:rPr>
          <w:color w:val="000000"/>
          <w:sz w:val="27"/>
          <w:szCs w:val="27"/>
        </w:rPr>
      </w:pPr>
      <w:r>
        <w:rPr>
          <w:rFonts w:ascii="Segoe UI Symbol" w:hAnsi="Segoe UI Symbol" w:cs="Segoe UI Symbol"/>
          <w:b/>
          <w:bCs/>
          <w:color w:val="000000"/>
          <w:sz w:val="27"/>
          <w:szCs w:val="27"/>
        </w:rPr>
        <w:t>➤</w:t>
      </w:r>
      <w:r>
        <w:rPr>
          <w:b/>
          <w:bCs/>
          <w:color w:val="000000"/>
          <w:sz w:val="27"/>
          <w:szCs w:val="27"/>
        </w:rPr>
        <w:t xml:space="preserve"> Solução escolhida: Pregão Eletrônico – Sistema de Registro de Preços (SRP)</w:t>
      </w:r>
    </w:p>
    <w:p w14:paraId="56EDFE9D">
      <w:pPr>
        <w:spacing w:before="240" w:after="240"/>
        <w:jc w:val="both"/>
        <w:rPr>
          <w:color w:val="000000"/>
          <w:sz w:val="27"/>
          <w:szCs w:val="27"/>
        </w:rPr>
      </w:pPr>
      <w:r>
        <w:rPr>
          <w:color w:val="000000"/>
          <w:sz w:val="27"/>
          <w:szCs w:val="27"/>
        </w:rPr>
        <w:t>Diante da análise comparativa, a Solução 1 – Pregão Eletrônico, no sistema de Registro de Preços, mostra-se a mais adequada, eficiente e vantajosa, por garantir ampla competitividade, preços mais favoráveis, padronização da qualidade dos kits de lanches, segurança alimentar e jurídica, além de possibilitar aquisições futuras dentro da vigência da ata.</w:t>
      </w:r>
    </w:p>
    <w:p w14:paraId="034DB56A">
      <w:pPr>
        <w:spacing w:before="240" w:after="240"/>
        <w:jc w:val="both"/>
        <w:rPr>
          <w:color w:val="000000"/>
          <w:sz w:val="27"/>
          <w:szCs w:val="27"/>
        </w:rPr>
      </w:pPr>
      <w:r>
        <w:rPr>
          <w:color w:val="000000"/>
          <w:sz w:val="27"/>
          <w:szCs w:val="27"/>
        </w:rPr>
        <w:t>Essa forma de contratação permite à Secretaria Municipal de Educação atender a uma demanda previsível e periódica, observando os princípios constitucionais da legalidade, impessoalidade, moralidade, publicidade, eficiência e economicidade, além de estar em consonância com a Lei Federal nº 14.133/2021 (Nova Lei de Licitações e Contratos Administrativos) e demais normativos pertinentes.</w:t>
      </w:r>
    </w:p>
    <w:p w14:paraId="573557F5">
      <w:pPr>
        <w:spacing w:before="240" w:after="240"/>
        <w:jc w:val="both"/>
        <w:rPr>
          <w:color w:val="000000"/>
          <w:sz w:val="27"/>
          <w:szCs w:val="27"/>
        </w:rPr>
      </w:pPr>
      <w:r>
        <w:rPr>
          <w:color w:val="000000"/>
          <w:sz w:val="27"/>
          <w:szCs w:val="27"/>
        </w:rPr>
        <w:t>Capacidade de Ganhos de Eficiência e Incentivo à Inovação</w:t>
      </w:r>
    </w:p>
    <w:p w14:paraId="347C318A">
      <w:pPr>
        <w:spacing w:before="240" w:after="240"/>
        <w:jc w:val="both"/>
        <w:rPr>
          <w:color w:val="000000"/>
          <w:sz w:val="27"/>
          <w:szCs w:val="27"/>
        </w:rPr>
      </w:pPr>
      <w:r>
        <w:rPr>
          <w:color w:val="000000"/>
          <w:sz w:val="27"/>
          <w:szCs w:val="27"/>
        </w:rPr>
        <w:t>A adoção da solução por meio de Pregão Eletrônico no Sistema de Registro de Preços (SRP) para aquisição de kits de lanches prontos, em substituição ao modelo anterior de aquisição avulsa de itens e montagem manual por servidores, representa um avanço significativo em termos de eficiência administrativa, logística e operacional.</w:t>
      </w:r>
    </w:p>
    <w:p w14:paraId="1B855C51">
      <w:pPr>
        <w:spacing w:before="240" w:after="240"/>
        <w:jc w:val="both"/>
        <w:rPr>
          <w:color w:val="000000"/>
          <w:sz w:val="27"/>
          <w:szCs w:val="27"/>
        </w:rPr>
      </w:pPr>
      <w:r>
        <w:rPr>
          <w:color w:val="000000"/>
          <w:sz w:val="27"/>
          <w:szCs w:val="27"/>
        </w:rPr>
        <w:t>Os principais ganhos de eficiência observados com essa solução são:</w:t>
      </w:r>
    </w:p>
    <w:p w14:paraId="66335974">
      <w:pPr>
        <w:numPr>
          <w:ilvl w:val="0"/>
          <w:numId w:val="61"/>
        </w:numPr>
        <w:spacing w:before="240"/>
        <w:jc w:val="both"/>
        <w:rPr>
          <w:color w:val="000000"/>
          <w:sz w:val="27"/>
          <w:szCs w:val="27"/>
        </w:rPr>
      </w:pPr>
      <w:r>
        <w:rPr>
          <w:color w:val="000000"/>
          <w:sz w:val="27"/>
          <w:szCs w:val="27"/>
        </w:rPr>
        <w:t>Otimização do tempo de trabalho dos servidores, que não precisarão mais se deslocar, organizar e montar os kits, podendo dedicar-se integralmente às atividades pedagógicas e de apoio administrativo que são sua função primordial;</w:t>
      </w:r>
    </w:p>
    <w:p w14:paraId="5AFBA2A9">
      <w:pPr>
        <w:numPr>
          <w:ilvl w:val="0"/>
          <w:numId w:val="61"/>
        </w:numPr>
        <w:jc w:val="both"/>
        <w:rPr>
          <w:color w:val="000000"/>
          <w:sz w:val="27"/>
          <w:szCs w:val="27"/>
        </w:rPr>
      </w:pPr>
      <w:r>
        <w:rPr>
          <w:color w:val="000000"/>
          <w:sz w:val="27"/>
          <w:szCs w:val="27"/>
        </w:rPr>
        <w:t>Redução de riscos de erros logísticos, pois o fornecedor será responsável por entregar os kits prontos, no local e horário estipulados, em embalagens padronizadas e adequadas;</w:t>
      </w:r>
    </w:p>
    <w:p w14:paraId="029C2057">
      <w:pPr>
        <w:numPr>
          <w:ilvl w:val="0"/>
          <w:numId w:val="61"/>
        </w:numPr>
        <w:jc w:val="both"/>
        <w:rPr>
          <w:color w:val="000000"/>
          <w:sz w:val="27"/>
          <w:szCs w:val="27"/>
        </w:rPr>
      </w:pPr>
      <w:r>
        <w:rPr>
          <w:color w:val="000000"/>
          <w:sz w:val="27"/>
          <w:szCs w:val="27"/>
        </w:rPr>
        <w:t>Diminuição de perdas e desperdícios, já que o processo de montagem e armazenamento será feito por empresa especializada, sob condições adequadas de higiene e conservação;</w:t>
      </w:r>
    </w:p>
    <w:p w14:paraId="3A914F25">
      <w:pPr>
        <w:numPr>
          <w:ilvl w:val="0"/>
          <w:numId w:val="61"/>
        </w:numPr>
        <w:spacing w:after="240"/>
        <w:jc w:val="both"/>
        <w:rPr>
          <w:color w:val="000000"/>
          <w:sz w:val="27"/>
          <w:szCs w:val="27"/>
        </w:rPr>
      </w:pPr>
      <w:r>
        <w:rPr>
          <w:color w:val="000000"/>
          <w:sz w:val="27"/>
          <w:szCs w:val="27"/>
        </w:rPr>
        <w:t>Melhoria no controle sanitário e na qualidade dos alimentos, pois os kits prontos seguem padrões rígidos de manipulação, armazenamento e transporte, evitando contaminações e variações de qualidade.</w:t>
      </w:r>
    </w:p>
    <w:p w14:paraId="7396185B">
      <w:pPr>
        <w:spacing w:before="240" w:after="240"/>
        <w:jc w:val="both"/>
        <w:rPr>
          <w:color w:val="000000"/>
          <w:sz w:val="27"/>
          <w:szCs w:val="27"/>
        </w:rPr>
      </w:pPr>
      <w:r>
        <w:rPr>
          <w:color w:val="000000"/>
          <w:sz w:val="27"/>
          <w:szCs w:val="27"/>
        </w:rPr>
        <w:t>Além disso, a contratação fomenta o incentivo à inovação, uma vez que estimula o mercado a oferecer soluções mais práticas, seguras e sustentáveis. A exigência de embalagens individuais adequadas, cardápios balanceados e práticas alinhadas às normas de vigilância sanitária incentiva as empresas fornecedoras a investirem em melhorias de processos, rastreabilidade, logística refrigerada e tecnologias de acondicionamento que prolongam a validade e mantêm a qualidade dos alimentos.</w:t>
      </w:r>
    </w:p>
    <w:p w14:paraId="60314AB3">
      <w:pPr>
        <w:spacing w:before="240" w:after="240"/>
        <w:jc w:val="both"/>
        <w:rPr>
          <w:color w:val="000000"/>
          <w:sz w:val="27"/>
          <w:szCs w:val="27"/>
        </w:rPr>
      </w:pPr>
      <w:r>
        <w:rPr>
          <w:color w:val="000000"/>
          <w:sz w:val="27"/>
          <w:szCs w:val="27"/>
        </w:rPr>
        <w:t>Outro aspecto da inovação é a possibilidade de flexibilidade contratual, característica do Sistema de Registro de Preços, que permite à Administração adequar-se à demanda real, evitando compras em excesso ou em quantidade inferior à necessária, trazendo maior eficiência no uso de recursos públicos.</w:t>
      </w:r>
    </w:p>
    <w:p w14:paraId="5E0BA7BE">
      <w:pPr>
        <w:spacing w:before="240" w:after="240"/>
        <w:jc w:val="both"/>
        <w:rPr>
          <w:color w:val="000000"/>
          <w:sz w:val="27"/>
          <w:szCs w:val="27"/>
        </w:rPr>
      </w:pPr>
      <w:r>
        <w:rPr>
          <w:color w:val="000000"/>
          <w:sz w:val="27"/>
          <w:szCs w:val="27"/>
        </w:rPr>
        <w:t>Portanto, a contratação por Pregão Eletrônico – SRP não apenas atende às exigências legais, mas também se apresenta como uma solução moderna, mais eficiente, segura, padronizada e inovadora, alinhada às boas práticas de gestão pública e de qualidade no atendimento aos alunos da rede municipal.</w:t>
      </w:r>
    </w:p>
    <w:p w14:paraId="002F0163">
      <w:pPr>
        <w:spacing w:before="120" w:after="120"/>
        <w:ind w:left="120" w:right="120" w:firstLine="1699"/>
        <w:jc w:val="both"/>
        <w:rPr>
          <w:color w:val="000000"/>
          <w:sz w:val="27"/>
          <w:szCs w:val="27"/>
        </w:rPr>
      </w:pPr>
      <w:r>
        <w:rPr>
          <w:color w:val="000000"/>
          <w:sz w:val="27"/>
          <w:szCs w:val="27"/>
        </w:rPr>
        <w:br w:type="textWrapping"/>
      </w:r>
      <w:r>
        <w:rPr>
          <w:color w:val="000000"/>
          <w:sz w:val="27"/>
          <w:szCs w:val="27"/>
        </w:rPr>
        <w:t> </w:t>
      </w:r>
    </w:p>
    <w:p w14:paraId="2654F2E1">
      <w:pPr>
        <w:numPr>
          <w:ilvl w:val="0"/>
          <w:numId w:val="62"/>
        </w:numPr>
        <w:jc w:val="both"/>
        <w:rPr>
          <w:color w:val="000000"/>
          <w:sz w:val="27"/>
          <w:szCs w:val="27"/>
        </w:rPr>
      </w:pPr>
      <w:r>
        <w:rPr>
          <w:b/>
          <w:bCs/>
          <w:color w:val="000000"/>
          <w:sz w:val="27"/>
          <w:szCs w:val="27"/>
          <w:shd w:val="clear" w:color="auto" w:fill="D9D9D9"/>
        </w:rPr>
        <w:t>ESTIMATIVA DO VALOR DA CONTRATAÇÃO (Art. 18, §1º, inciso VI, da Lei 14.133/2021)</w:t>
      </w:r>
    </w:p>
    <w:p w14:paraId="23F67942">
      <w:pPr>
        <w:spacing w:before="120" w:after="120"/>
        <w:ind w:left="120" w:right="120" w:firstLine="1699"/>
        <w:jc w:val="both"/>
        <w:rPr>
          <w:color w:val="000000"/>
          <w:sz w:val="27"/>
          <w:szCs w:val="27"/>
        </w:rPr>
      </w:pPr>
      <w:r>
        <w:rPr>
          <w:color w:val="000000"/>
          <w:sz w:val="27"/>
          <w:szCs w:val="27"/>
        </w:rPr>
        <w:br w:type="textWrapping"/>
      </w:r>
      <w:r>
        <w:rPr>
          <w:color w:val="000000"/>
          <w:sz w:val="27"/>
          <w:szCs w:val="27"/>
        </w:rPr>
        <w:t> </w:t>
      </w:r>
    </w:p>
    <w:p w14:paraId="4196A0D5">
      <w:pPr>
        <w:spacing w:before="240"/>
        <w:jc w:val="both"/>
        <w:rPr>
          <w:color w:val="000000"/>
          <w:sz w:val="27"/>
          <w:szCs w:val="27"/>
        </w:rPr>
      </w:pPr>
      <w:r>
        <w:rPr>
          <w:color w:val="000000"/>
          <w:sz w:val="27"/>
          <w:szCs w:val="27"/>
        </w:rPr>
        <w:t>A responsabilidade pela estimativa dos preços referenciais para a contratação de empresa especializada no fornecimento de kits de lanche destinados ao evento de 7 de setembro cabe à Secretaria Municipal de Educação, não se caracterizando como atividade técnica regulamentada pelas Leis nº 8.234/1991, nº 11.947/2009, pela Resolução FNDE nº 06/2020 ou pela Resolução CFN nº 465/2010.</w:t>
      </w:r>
    </w:p>
    <w:p w14:paraId="4AA4ECA3">
      <w:pPr>
        <w:jc w:val="both"/>
        <w:rPr>
          <w:color w:val="000000"/>
          <w:sz w:val="27"/>
          <w:szCs w:val="27"/>
        </w:rPr>
      </w:pPr>
      <w:r>
        <w:rPr>
          <w:color w:val="000000"/>
          <w:sz w:val="27"/>
          <w:szCs w:val="27"/>
        </w:rPr>
        <w:t>A presente estimativa foi elaborada em conformidade com os parâmetros estabelecidos na Instrução Normativa SEGES/ME nº 65/2021, com base no levantamento de preços praticados no mercado e na aplicação dos critérios previstos no art. 29 do Decreto nº 45/2025.</w:t>
      </w:r>
    </w:p>
    <w:p w14:paraId="3416FA37">
      <w:pPr>
        <w:jc w:val="both"/>
        <w:rPr>
          <w:color w:val="000000"/>
          <w:sz w:val="27"/>
          <w:szCs w:val="27"/>
        </w:rPr>
      </w:pPr>
      <w:r>
        <w:rPr>
          <w:color w:val="000000"/>
          <w:sz w:val="27"/>
          <w:szCs w:val="27"/>
        </w:rPr>
        <w:t>Análise Comparativa da Viabilidade Econômica</w:t>
      </w:r>
    </w:p>
    <w:p w14:paraId="7089D104">
      <w:pPr>
        <w:jc w:val="both"/>
        <w:rPr>
          <w:color w:val="000000"/>
          <w:sz w:val="27"/>
          <w:szCs w:val="27"/>
        </w:rPr>
      </w:pPr>
      <w:r>
        <w:rPr>
          <w:color w:val="000000"/>
          <w:sz w:val="27"/>
          <w:szCs w:val="27"/>
        </w:rPr>
        <w:t>Foram utilizados os seguintes critérios para a composição da estimativa:</w:t>
      </w:r>
    </w:p>
    <w:p w14:paraId="722479C4">
      <w:pPr>
        <w:jc w:val="both"/>
        <w:rPr>
          <w:color w:val="000000"/>
          <w:sz w:val="27"/>
          <w:szCs w:val="27"/>
        </w:rPr>
      </w:pPr>
      <w:r>
        <w:rPr>
          <w:b/>
          <w:bCs/>
          <w:color w:val="000000"/>
          <w:sz w:val="27"/>
          <w:szCs w:val="27"/>
        </w:rPr>
        <w:t>Critério I – Composição de custos unitários</w:t>
      </w:r>
      <w:r>
        <w:rPr>
          <w:color w:val="000000"/>
          <w:sz w:val="27"/>
          <w:szCs w:val="27"/>
        </w:rPr>
        <w:br w:type="textWrapping"/>
      </w:r>
      <w:r>
        <w:rPr>
          <w:color w:val="000000"/>
          <w:sz w:val="27"/>
          <w:szCs w:val="27"/>
        </w:rPr>
        <w:t> Considerou-se a estrutura de custos dos kits de lanche, incluindo os gêneros alimentícios que os compõem (como bebidas, biscoitos e bolos), bem como aspectos relacionados ao acondicionamento individual, embalagem, logística de distribuição e condições de fornecimento.</w:t>
      </w:r>
      <w:r>
        <w:rPr>
          <w:color w:val="000000"/>
          <w:sz w:val="27"/>
          <w:szCs w:val="27"/>
        </w:rPr>
        <w:br w:type="textWrapping"/>
      </w:r>
      <w:r>
        <w:rPr>
          <w:color w:val="000000"/>
          <w:sz w:val="27"/>
          <w:szCs w:val="27"/>
        </w:rPr>
        <w:t> Essa análise buscou refletir a realidade de mercado, assegurando a padronização, qualidade e adequação dos itens ao público atendido no evento.</w:t>
      </w:r>
    </w:p>
    <w:p w14:paraId="7C604305">
      <w:pPr>
        <w:jc w:val="both"/>
        <w:rPr>
          <w:color w:val="000000"/>
          <w:sz w:val="27"/>
          <w:szCs w:val="27"/>
        </w:rPr>
      </w:pPr>
      <w:r>
        <w:rPr>
          <w:b/>
          <w:bCs/>
          <w:color w:val="000000"/>
          <w:sz w:val="27"/>
          <w:szCs w:val="27"/>
        </w:rPr>
        <w:t>Critério II – Contratações similares anteriores</w:t>
      </w:r>
      <w:r>
        <w:rPr>
          <w:color w:val="000000"/>
          <w:sz w:val="27"/>
          <w:szCs w:val="27"/>
        </w:rPr>
        <w:br w:type="textWrapping"/>
      </w:r>
      <w:r>
        <w:rPr>
          <w:color w:val="000000"/>
          <w:sz w:val="27"/>
          <w:szCs w:val="27"/>
        </w:rPr>
        <w:t> Foram analisados dados de contratações anteriores realizadas por esta e por outras administrações públicas, envolvendo fornecimento de kits de lanche ou itens equivalentes, considerando quantidade, composição, forma de entrega e contexto de utilização (eventos institucionais).</w:t>
      </w:r>
      <w:r>
        <w:rPr>
          <w:color w:val="000000"/>
          <w:sz w:val="27"/>
          <w:szCs w:val="27"/>
        </w:rPr>
        <w:br w:type="textWrapping"/>
      </w:r>
      <w:r>
        <w:rPr>
          <w:color w:val="000000"/>
          <w:sz w:val="27"/>
          <w:szCs w:val="27"/>
        </w:rPr>
        <w:t> Tal levantamento permitiu aferir a compatibilidade e razoabilidade dos preços praticados.</w:t>
      </w:r>
    </w:p>
    <w:p w14:paraId="13F80989">
      <w:pPr>
        <w:jc w:val="both"/>
        <w:rPr>
          <w:color w:val="000000"/>
          <w:sz w:val="27"/>
          <w:szCs w:val="27"/>
        </w:rPr>
      </w:pPr>
      <w:r>
        <w:rPr>
          <w:color w:val="000000"/>
          <w:sz w:val="27"/>
          <w:szCs w:val="27"/>
        </w:rPr>
        <w:t>Conclusão</w:t>
      </w:r>
      <w:r>
        <w:rPr>
          <w:color w:val="000000"/>
          <w:sz w:val="27"/>
          <w:szCs w:val="27"/>
        </w:rPr>
        <w:br w:type="textWrapping"/>
      </w:r>
      <w:r>
        <w:rPr>
          <w:color w:val="000000"/>
          <w:sz w:val="27"/>
          <w:szCs w:val="27"/>
        </w:rPr>
        <w:t> A metodologia adotada, baseada na combinação entre levantamento de preços de mercado e análise de contratações similares, possibilitou a definição de valores de referência consistentes e fidedignos, garantindo transparência, economicidade e eficiência na estimativa do custo para a aquisição de kits de lanche destinados ao evento de 7 de setembro.</w:t>
      </w:r>
    </w:p>
    <w:p w14:paraId="2D9283D8">
      <w:pPr>
        <w:jc w:val="both"/>
        <w:rPr>
          <w:color w:val="000000"/>
          <w:sz w:val="27"/>
          <w:szCs w:val="27"/>
        </w:rPr>
      </w:pPr>
      <w:r>
        <w:rPr>
          <w:color w:val="000000"/>
          <w:sz w:val="27"/>
          <w:szCs w:val="27"/>
        </w:rPr>
        <w:t> </w:t>
      </w:r>
    </w:p>
    <w:p w14:paraId="68D8BC59">
      <w:pPr>
        <w:jc w:val="both"/>
        <w:rPr>
          <w:color w:val="000000"/>
          <w:sz w:val="27"/>
          <w:szCs w:val="27"/>
        </w:rPr>
      </w:pPr>
      <w:r>
        <w:rPr>
          <w:color w:val="000000"/>
          <w:sz w:val="27"/>
          <w:szCs w:val="27"/>
        </w:rPr>
        <w:t> </w:t>
      </w:r>
    </w:p>
    <w:p w14:paraId="5DBE9C17">
      <w:pPr>
        <w:jc w:val="both"/>
        <w:rPr>
          <w:color w:val="000000"/>
          <w:sz w:val="27"/>
          <w:szCs w:val="27"/>
        </w:rPr>
      </w:pPr>
      <w:r>
        <w:rPr>
          <w:color w:val="000000"/>
          <w:sz w:val="27"/>
          <w:szCs w:val="27"/>
        </w:rPr>
        <w:t> </w:t>
      </w:r>
    </w:p>
    <w:p w14:paraId="7476FE8F">
      <w:pPr>
        <w:spacing w:before="120" w:after="120"/>
        <w:jc w:val="both"/>
        <w:rPr>
          <w:color w:val="000000"/>
          <w:sz w:val="27"/>
          <w:szCs w:val="27"/>
        </w:rPr>
      </w:pPr>
      <w:r>
        <w:rPr>
          <w:b/>
          <w:bCs/>
          <w:color w:val="000000"/>
          <w:sz w:val="27"/>
          <w:szCs w:val="27"/>
        </w:rPr>
        <w:t>O valor estimado preliminar da contratação é de</w:t>
      </w:r>
      <w:r>
        <w:rPr>
          <w:b/>
          <w:bCs/>
          <w:color w:val="FF0000"/>
          <w:sz w:val="27"/>
          <w:szCs w:val="27"/>
        </w:rPr>
        <w:t> </w:t>
      </w:r>
      <w:r>
        <w:rPr>
          <w:b/>
          <w:bCs/>
          <w:color w:val="000000"/>
          <w:sz w:val="27"/>
          <w:szCs w:val="27"/>
        </w:rPr>
        <w:t>R$ 72.000,00 (setenta e dois mil reais).</w:t>
      </w:r>
    </w:p>
    <w:p w14:paraId="1410BCD9">
      <w:pPr>
        <w:spacing w:before="120" w:after="120"/>
        <w:ind w:left="120" w:right="120" w:firstLine="1699"/>
        <w:jc w:val="both"/>
        <w:rPr>
          <w:color w:val="000000"/>
          <w:sz w:val="27"/>
          <w:szCs w:val="27"/>
        </w:rPr>
      </w:pPr>
      <w:r>
        <w:rPr>
          <w:color w:val="000000"/>
          <w:sz w:val="27"/>
          <w:szCs w:val="27"/>
        </w:rPr>
        <w:br w:type="textWrapping"/>
      </w:r>
      <w:r>
        <w:rPr>
          <w:color w:val="000000"/>
          <w:sz w:val="27"/>
          <w:szCs w:val="27"/>
        </w:rPr>
        <w:br w:type="textWrapping"/>
      </w:r>
      <w:r>
        <w:rPr>
          <w:color w:val="000000"/>
          <w:sz w:val="27"/>
          <w:szCs w:val="27"/>
        </w:rPr>
        <w:t> </w:t>
      </w:r>
    </w:p>
    <w:tbl>
      <w:tblPr>
        <w:tblStyle w:val="9"/>
        <w:tblW w:w="9019" w:type="dxa"/>
        <w:tblInd w:w="12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841"/>
        <w:gridCol w:w="3481"/>
        <w:gridCol w:w="874"/>
        <w:gridCol w:w="1127"/>
        <w:gridCol w:w="1112"/>
        <w:gridCol w:w="1584"/>
      </w:tblGrid>
      <w:tr w14:paraId="7798F8B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14:paraId="61297EE9">
            <w:pPr>
              <w:jc w:val="center"/>
              <w:rPr>
                <w:sz w:val="24"/>
                <w:szCs w:val="24"/>
              </w:rPr>
            </w:pPr>
            <w:r>
              <w:rPr>
                <w:b/>
                <w:bCs/>
                <w:color w:val="000000"/>
                <w:sz w:val="24"/>
                <w:szCs w:val="24"/>
              </w:rPr>
              <w:t>ITEM</w:t>
            </w:r>
          </w:p>
        </w:tc>
        <w:tc>
          <w:tcPr>
            <w:tcW w:w="0" w:type="auto"/>
            <w:tcBorders>
              <w:top w:val="single" w:color="000000" w:sz="8" w:space="0"/>
              <w:left w:val="single" w:color="000000" w:sz="8" w:space="0"/>
              <w:bottom w:val="single" w:color="000000" w:sz="6" w:space="0"/>
              <w:right w:val="single" w:color="000000" w:sz="8" w:space="0"/>
            </w:tcBorders>
            <w:tcMar>
              <w:top w:w="100" w:type="dxa"/>
              <w:left w:w="100" w:type="dxa"/>
              <w:bottom w:w="100" w:type="dxa"/>
              <w:right w:w="100" w:type="dxa"/>
            </w:tcMar>
          </w:tcPr>
          <w:p w14:paraId="0FF6A5B0">
            <w:pPr>
              <w:jc w:val="center"/>
              <w:rPr>
                <w:sz w:val="24"/>
                <w:szCs w:val="24"/>
              </w:rPr>
            </w:pPr>
            <w:r>
              <w:rPr>
                <w:b/>
                <w:bCs/>
                <w:color w:val="000000"/>
                <w:sz w:val="24"/>
                <w:szCs w:val="24"/>
              </w:rPr>
              <w:t>ESPECIFICAÇÃO</w:t>
            </w:r>
          </w:p>
        </w:tc>
        <w:tc>
          <w:tcPr>
            <w:tcW w:w="0" w:type="auto"/>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14:paraId="043EF9C7">
            <w:pPr>
              <w:jc w:val="center"/>
              <w:rPr>
                <w:sz w:val="24"/>
                <w:szCs w:val="24"/>
              </w:rPr>
            </w:pPr>
            <w:r>
              <w:rPr>
                <w:b/>
                <w:bCs/>
                <w:color w:val="000000"/>
                <w:sz w:val="24"/>
                <w:szCs w:val="24"/>
              </w:rPr>
              <w:t>UNID.</w:t>
            </w:r>
          </w:p>
        </w:tc>
        <w:tc>
          <w:tcPr>
            <w:tcW w:w="0" w:type="auto"/>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14:paraId="7F00FA8A">
            <w:pPr>
              <w:jc w:val="center"/>
              <w:rPr>
                <w:sz w:val="24"/>
                <w:szCs w:val="24"/>
              </w:rPr>
            </w:pPr>
            <w:r>
              <w:rPr>
                <w:b/>
                <w:bCs/>
                <w:color w:val="000000"/>
                <w:sz w:val="24"/>
                <w:szCs w:val="24"/>
              </w:rPr>
              <w:t>QUANT.</w:t>
            </w:r>
          </w:p>
        </w:tc>
        <w:tc>
          <w:tcPr>
            <w:tcW w:w="0" w:type="auto"/>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14:paraId="639889A0">
            <w:pPr>
              <w:jc w:val="center"/>
              <w:rPr>
                <w:sz w:val="24"/>
                <w:szCs w:val="24"/>
              </w:rPr>
            </w:pPr>
            <w:r>
              <w:rPr>
                <w:b/>
                <w:bCs/>
                <w:color w:val="000000"/>
                <w:sz w:val="24"/>
                <w:szCs w:val="24"/>
              </w:rPr>
              <w:t>PREÇO UNIT.</w:t>
            </w:r>
          </w:p>
        </w:tc>
        <w:tc>
          <w:tcPr>
            <w:tcW w:w="0" w:type="auto"/>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14:paraId="6DE4A4F3">
            <w:pPr>
              <w:jc w:val="center"/>
              <w:rPr>
                <w:sz w:val="24"/>
                <w:szCs w:val="24"/>
              </w:rPr>
            </w:pPr>
            <w:r>
              <w:rPr>
                <w:b/>
                <w:bCs/>
                <w:color w:val="000000"/>
                <w:sz w:val="24"/>
                <w:szCs w:val="24"/>
              </w:rPr>
              <w:t>PREÇO TOTAL</w:t>
            </w:r>
          </w:p>
        </w:tc>
      </w:tr>
      <w:tr w14:paraId="03202B6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000000" w:sz="8" w:space="0"/>
              <w:left w:val="single" w:color="000000" w:sz="8" w:space="0"/>
              <w:bottom w:val="single" w:color="000000" w:sz="8" w:space="0"/>
              <w:right w:val="single" w:color="000000" w:sz="6" w:space="0"/>
            </w:tcBorders>
            <w:tcMar>
              <w:top w:w="100" w:type="dxa"/>
              <w:left w:w="100" w:type="dxa"/>
              <w:bottom w:w="100" w:type="dxa"/>
              <w:right w:w="100" w:type="dxa"/>
            </w:tcMar>
          </w:tcPr>
          <w:p w14:paraId="428A3077">
            <w:pPr>
              <w:jc w:val="center"/>
              <w:rPr>
                <w:sz w:val="24"/>
                <w:szCs w:val="24"/>
              </w:rPr>
            </w:pPr>
            <w:r>
              <w:rPr>
                <w:b/>
                <w:bCs/>
                <w:color w:val="000000"/>
                <w:sz w:val="24"/>
                <w:szCs w:val="24"/>
              </w:rPr>
              <w:t>01</w:t>
            </w:r>
          </w:p>
        </w:tc>
        <w:tc>
          <w:tcPr>
            <w:tcW w:w="0" w:type="auto"/>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4A7210AF">
            <w:pPr>
              <w:spacing w:before="240"/>
              <w:jc w:val="both"/>
              <w:rPr>
                <w:sz w:val="24"/>
                <w:szCs w:val="24"/>
              </w:rPr>
            </w:pPr>
            <w:r>
              <w:rPr>
                <w:b/>
                <w:bCs/>
                <w:color w:val="000000"/>
                <w:sz w:val="24"/>
                <w:szCs w:val="24"/>
              </w:rPr>
              <w:t>KIT LANCHE</w:t>
            </w:r>
          </w:p>
          <w:p w14:paraId="14F6E00B">
            <w:pPr>
              <w:spacing w:before="240"/>
              <w:jc w:val="both"/>
              <w:rPr>
                <w:sz w:val="24"/>
                <w:szCs w:val="24"/>
              </w:rPr>
            </w:pPr>
            <w:r>
              <w:rPr>
                <w:b/>
                <w:bCs/>
                <w:color w:val="000000"/>
                <w:sz w:val="24"/>
                <w:szCs w:val="24"/>
              </w:rPr>
              <w:t>Contendo :</w:t>
            </w:r>
          </w:p>
          <w:p w14:paraId="5DFDD0FF">
            <w:pPr>
              <w:spacing w:before="240"/>
              <w:jc w:val="both"/>
              <w:rPr>
                <w:sz w:val="24"/>
                <w:szCs w:val="24"/>
              </w:rPr>
            </w:pPr>
            <w:r>
              <w:rPr>
                <w:b/>
                <w:bCs/>
                <w:color w:val="000000"/>
                <w:sz w:val="24"/>
                <w:szCs w:val="24"/>
              </w:rPr>
              <w:t>1 (um) mini bolinho sem recheio de 40g a 45g (tipo “Bolinho Bauducco,muffin”) </w:t>
            </w:r>
            <w:r>
              <w:rPr>
                <w:color w:val="000000"/>
                <w:sz w:val="24"/>
                <w:szCs w:val="24"/>
              </w:rPr>
              <w:t>sabor baunilha, embalagem individual lacrada, com identificação do fabricante, data de fabricação e validade mínima de 60 dias a partir da entrega. </w:t>
            </w:r>
          </w:p>
          <w:p w14:paraId="6D47C005">
            <w:pPr>
              <w:spacing w:before="240"/>
              <w:jc w:val="both"/>
              <w:rPr>
                <w:sz w:val="24"/>
                <w:szCs w:val="24"/>
              </w:rPr>
            </w:pPr>
            <w:r>
              <w:rPr>
                <w:b/>
                <w:bCs/>
                <w:color w:val="000000"/>
                <w:sz w:val="24"/>
                <w:szCs w:val="24"/>
              </w:rPr>
              <w:t>1 (um) biscoito salgado de 24g, </w:t>
            </w:r>
            <w:r>
              <w:rPr>
                <w:color w:val="000000"/>
                <w:sz w:val="24"/>
                <w:szCs w:val="24"/>
              </w:rPr>
              <w:t>sabores diversos, embalado individualmente em embalagem inviolada com identificação do fabricante, data de fabricação e validade mínima de 60 dias (tipo “Club social”). </w:t>
            </w:r>
          </w:p>
          <w:p w14:paraId="749E638B">
            <w:pPr>
              <w:spacing w:before="240"/>
              <w:jc w:val="both"/>
              <w:rPr>
                <w:sz w:val="24"/>
                <w:szCs w:val="24"/>
              </w:rPr>
            </w:pPr>
            <w:r>
              <w:rPr>
                <w:b/>
                <w:bCs/>
                <w:color w:val="000000"/>
                <w:sz w:val="24"/>
                <w:szCs w:val="24"/>
              </w:rPr>
              <w:t>1 (um) suco integral (100% fruta), de 200ml, </w:t>
            </w:r>
            <w:r>
              <w:rPr>
                <w:color w:val="000000"/>
                <w:sz w:val="24"/>
                <w:szCs w:val="24"/>
              </w:rPr>
              <w:t>de caixinha em embalagem Tetra Pak com canudo acoplado, sabor uva, com validade mínima de 60 dias a partir da entrega, com 100% de fruta.</w:t>
            </w:r>
          </w:p>
          <w:p w14:paraId="7B5DC2B4">
            <w:pPr>
              <w:spacing w:before="240"/>
              <w:jc w:val="both"/>
              <w:rPr>
                <w:sz w:val="24"/>
                <w:szCs w:val="24"/>
              </w:rPr>
            </w:pPr>
            <w:r>
              <w:rPr>
                <w:b/>
                <w:bCs/>
                <w:color w:val="000000"/>
                <w:sz w:val="24"/>
                <w:szCs w:val="24"/>
              </w:rPr>
              <w:t>1 (um) doce à base de amendoim, </w:t>
            </w:r>
            <w:r>
              <w:rPr>
                <w:color w:val="000000"/>
                <w:sz w:val="24"/>
                <w:szCs w:val="24"/>
              </w:rPr>
              <w:t>do tipo paçoca em formato cilíndrico ou retangular, peso unitário mínimo: 15g, embalado individualmente, com invólucro que garanta a integridade do produto, identificação do fabricante e validade mínima de 60 dias (tipo “Paçoquita”).</w:t>
            </w:r>
          </w:p>
          <w:p w14:paraId="5703734B">
            <w:pPr>
              <w:spacing w:before="240"/>
              <w:jc w:val="both"/>
              <w:rPr>
                <w:sz w:val="24"/>
                <w:szCs w:val="24"/>
              </w:rPr>
            </w:pPr>
            <w:r>
              <w:rPr>
                <w:b/>
                <w:bCs/>
                <w:color w:val="000000"/>
                <w:sz w:val="24"/>
                <w:szCs w:val="24"/>
              </w:rPr>
              <w:t>1 (um) bebida pronta à base de leite com chocolate, do tipo achocolatado, de 200 ml e</w:t>
            </w:r>
            <w:r>
              <w:rPr>
                <w:color w:val="000000"/>
                <w:sz w:val="24"/>
                <w:szCs w:val="24"/>
              </w:rPr>
              <w:t>mbalagem tipo Tetra Pak, com canudo acoplado, lacrada e inviolada, validade mínima de 60 dias a partir da entrega, produto industrializado, com identificação clara do fabricante e tabela nutricional (tipo “Toddynho”).</w:t>
            </w:r>
            <w:r>
              <w:rPr>
                <w:b/>
                <w:bCs/>
                <w:color w:val="000000"/>
                <w:sz w:val="24"/>
                <w:szCs w:val="24"/>
              </w:rPr>
              <w:t> </w:t>
            </w:r>
          </w:p>
          <w:p w14:paraId="3A6AE07C">
            <w:pPr>
              <w:spacing w:before="100" w:beforeAutospacing="1"/>
              <w:jc w:val="both"/>
              <w:rPr>
                <w:sz w:val="24"/>
                <w:szCs w:val="24"/>
              </w:rPr>
            </w:pPr>
            <w:r>
              <w:rPr>
                <w:b/>
                <w:bCs/>
                <w:color w:val="000000"/>
                <w:sz w:val="24"/>
                <w:szCs w:val="24"/>
              </w:rPr>
              <w:t>TODOS OS ITENS DEVERÃO SER ACONDICIONADOS EM SACOS DE PAPEL KRAFT DEVIDAMENTE LACRADO.</w:t>
            </w:r>
          </w:p>
        </w:tc>
        <w:tc>
          <w:tcPr>
            <w:tcW w:w="0" w:type="auto"/>
            <w:tcBorders>
              <w:top w:val="single" w:color="000000" w:sz="8" w:space="0"/>
              <w:left w:val="single" w:color="000000" w:sz="6" w:space="0"/>
              <w:bottom w:val="single" w:color="000000" w:sz="8" w:space="0"/>
              <w:right w:val="single" w:color="000000" w:sz="8" w:space="0"/>
            </w:tcBorders>
            <w:tcMar>
              <w:top w:w="100" w:type="dxa"/>
              <w:left w:w="100" w:type="dxa"/>
              <w:bottom w:w="100" w:type="dxa"/>
              <w:right w:w="100" w:type="dxa"/>
            </w:tcMar>
          </w:tcPr>
          <w:p w14:paraId="3132BF87">
            <w:pPr>
              <w:jc w:val="center"/>
              <w:rPr>
                <w:sz w:val="24"/>
                <w:szCs w:val="24"/>
              </w:rPr>
            </w:pPr>
            <w:r>
              <w:rPr>
                <w:b/>
                <w:bCs/>
                <w:color w:val="000000"/>
                <w:sz w:val="24"/>
                <w:szCs w:val="24"/>
              </w:rPr>
              <w:t>unid.</w:t>
            </w:r>
          </w:p>
        </w:tc>
        <w:tc>
          <w:tcPr>
            <w:tcW w:w="0" w:type="auto"/>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14:paraId="02EA66A7">
            <w:pPr>
              <w:jc w:val="center"/>
              <w:rPr>
                <w:sz w:val="24"/>
                <w:szCs w:val="24"/>
              </w:rPr>
            </w:pPr>
            <w:r>
              <w:rPr>
                <w:b/>
                <w:bCs/>
                <w:color w:val="000000"/>
                <w:sz w:val="24"/>
                <w:szCs w:val="24"/>
              </w:rPr>
              <w:t>4.000</w:t>
            </w:r>
          </w:p>
        </w:tc>
        <w:tc>
          <w:tcPr>
            <w:tcW w:w="0" w:type="auto"/>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14:paraId="7570C884">
            <w:pPr>
              <w:jc w:val="center"/>
              <w:rPr>
                <w:sz w:val="24"/>
                <w:szCs w:val="24"/>
              </w:rPr>
            </w:pPr>
            <w:r>
              <w:rPr>
                <w:b/>
                <w:bCs/>
                <w:color w:val="000000"/>
                <w:sz w:val="24"/>
                <w:szCs w:val="24"/>
              </w:rPr>
              <w:t>R$ 18,00</w:t>
            </w:r>
          </w:p>
        </w:tc>
        <w:tc>
          <w:tcPr>
            <w:tcW w:w="0" w:type="auto"/>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14:paraId="02C96479">
            <w:pPr>
              <w:jc w:val="center"/>
              <w:rPr>
                <w:sz w:val="24"/>
                <w:szCs w:val="24"/>
              </w:rPr>
            </w:pPr>
            <w:r>
              <w:rPr>
                <w:b/>
                <w:bCs/>
                <w:color w:val="000000"/>
                <w:sz w:val="24"/>
                <w:szCs w:val="24"/>
              </w:rPr>
              <w:t>R$ 72.000,00 </w:t>
            </w:r>
          </w:p>
        </w:tc>
      </w:tr>
    </w:tbl>
    <w:p w14:paraId="042D15A4">
      <w:pPr>
        <w:spacing w:before="120" w:after="120"/>
        <w:ind w:left="120" w:right="120" w:firstLine="1699"/>
        <w:jc w:val="both"/>
        <w:rPr>
          <w:color w:val="000000"/>
          <w:sz w:val="27"/>
          <w:szCs w:val="27"/>
        </w:rPr>
      </w:pPr>
      <w:r>
        <w:rPr>
          <w:color w:val="000000"/>
          <w:sz w:val="27"/>
          <w:szCs w:val="27"/>
        </w:rPr>
        <w:br w:type="textWrapping"/>
      </w:r>
      <w:r>
        <w:rPr>
          <w:color w:val="000000"/>
          <w:sz w:val="27"/>
          <w:szCs w:val="27"/>
        </w:rPr>
        <w:br w:type="textWrapping"/>
      </w:r>
      <w:r>
        <w:rPr>
          <w:color w:val="000000"/>
          <w:sz w:val="27"/>
          <w:szCs w:val="27"/>
        </w:rPr>
        <w:br w:type="textWrapping"/>
      </w:r>
      <w:r>
        <w:rPr>
          <w:color w:val="000000"/>
          <w:sz w:val="27"/>
          <w:szCs w:val="27"/>
        </w:rPr>
        <w:t> </w:t>
      </w:r>
    </w:p>
    <w:p w14:paraId="50A3E02E">
      <w:pPr>
        <w:numPr>
          <w:ilvl w:val="0"/>
          <w:numId w:val="63"/>
        </w:numPr>
        <w:spacing w:before="1"/>
        <w:ind w:right="107"/>
        <w:jc w:val="both"/>
        <w:rPr>
          <w:color w:val="000000"/>
          <w:sz w:val="27"/>
          <w:szCs w:val="27"/>
        </w:rPr>
      </w:pPr>
      <w:r>
        <w:rPr>
          <w:b/>
          <w:bCs/>
          <w:color w:val="000000"/>
          <w:sz w:val="27"/>
          <w:szCs w:val="27"/>
          <w:shd w:val="clear" w:color="auto" w:fill="D9D9D9"/>
        </w:rPr>
        <w:t>DESCRIÇÃO DA SOLUÇÃO COMO UM TODO (Art. 18, §1º, inciso VII, da Lei 14.133/2021)</w:t>
      </w:r>
    </w:p>
    <w:p w14:paraId="39DC3259">
      <w:pPr>
        <w:spacing w:before="240" w:after="240"/>
        <w:jc w:val="both"/>
        <w:rPr>
          <w:color w:val="000000"/>
          <w:sz w:val="27"/>
          <w:szCs w:val="27"/>
        </w:rPr>
      </w:pPr>
      <w:r>
        <w:rPr>
          <w:color w:val="000000"/>
          <w:sz w:val="27"/>
          <w:szCs w:val="27"/>
        </w:rPr>
        <w:t>A solução adotada para atender à demanda da Secretaria Municipal de Educação referente ao fornecimento de kits de lanches aos alunos participantes do Desfile Cívico de 07 de Setembro de 2026, consiste na contratação de empresa especializada por meio de Pregão Eletrônico, no sistema de Registro de Preços (SRP).</w:t>
      </w:r>
    </w:p>
    <w:p w14:paraId="4F8440B2">
      <w:pPr>
        <w:spacing w:before="240" w:after="240"/>
        <w:jc w:val="both"/>
        <w:rPr>
          <w:color w:val="000000"/>
          <w:sz w:val="27"/>
          <w:szCs w:val="27"/>
        </w:rPr>
      </w:pPr>
      <w:r>
        <w:rPr>
          <w:color w:val="000000"/>
          <w:sz w:val="27"/>
          <w:szCs w:val="27"/>
        </w:rPr>
        <w:t>O objeto da contratação consiste no fornecimento de kits de lanches prontos, embalados individualmente, compostos por diversos gêneros alimentícios de qualidade, nutritivos e em conformidade com as normas sanitárias vigentes, conforme especificações detalhadas no Termo de Referência.</w:t>
      </w:r>
    </w:p>
    <w:p w14:paraId="1FB2C7A1">
      <w:pPr>
        <w:spacing w:before="240" w:after="240"/>
        <w:jc w:val="both"/>
        <w:rPr>
          <w:color w:val="000000"/>
          <w:sz w:val="27"/>
          <w:szCs w:val="27"/>
        </w:rPr>
      </w:pPr>
      <w:r>
        <w:rPr>
          <w:color w:val="000000"/>
          <w:sz w:val="27"/>
          <w:szCs w:val="27"/>
        </w:rPr>
        <w:t>A escolha pelo Pregão Eletrônico – SRP possibilita à Administração Pública adquirir os kits de forma competitiva, transparente e eficiente, garantindo melhores preços e condições contratuais, além da possibilidade de realizar futuras aquisições durante a vigência da ata, conforme a demanda real.</w:t>
      </w:r>
    </w:p>
    <w:p w14:paraId="28A13299">
      <w:pPr>
        <w:spacing w:before="240" w:after="240"/>
        <w:jc w:val="both"/>
        <w:rPr>
          <w:color w:val="000000"/>
          <w:sz w:val="27"/>
          <w:szCs w:val="27"/>
        </w:rPr>
      </w:pPr>
      <w:r>
        <w:rPr>
          <w:b/>
          <w:bCs/>
          <w:color w:val="000000"/>
          <w:sz w:val="27"/>
          <w:szCs w:val="27"/>
        </w:rPr>
        <w:t>O fornecedor será responsável por todas as etapas do processo, incluindo:</w:t>
      </w:r>
    </w:p>
    <w:p w14:paraId="4B1ED985">
      <w:pPr>
        <w:numPr>
          <w:ilvl w:val="0"/>
          <w:numId w:val="64"/>
        </w:numPr>
        <w:spacing w:before="240"/>
        <w:jc w:val="both"/>
        <w:rPr>
          <w:color w:val="000000"/>
          <w:sz w:val="27"/>
          <w:szCs w:val="27"/>
        </w:rPr>
      </w:pPr>
      <w:r>
        <w:rPr>
          <w:color w:val="000000"/>
          <w:sz w:val="27"/>
          <w:szCs w:val="27"/>
        </w:rPr>
        <w:t>Compra e seleção dos ingredientes;</w:t>
      </w:r>
    </w:p>
    <w:p w14:paraId="798B9728">
      <w:pPr>
        <w:numPr>
          <w:ilvl w:val="0"/>
          <w:numId w:val="64"/>
        </w:numPr>
        <w:jc w:val="both"/>
        <w:rPr>
          <w:color w:val="000000"/>
          <w:sz w:val="27"/>
          <w:szCs w:val="27"/>
        </w:rPr>
      </w:pPr>
      <w:r>
        <w:rPr>
          <w:color w:val="000000"/>
          <w:sz w:val="27"/>
          <w:szCs w:val="27"/>
        </w:rPr>
        <w:t>Preparo e montagem dos kits em ambiente controlado, respeitando as normas de higiene e segurança alimentar;</w:t>
      </w:r>
    </w:p>
    <w:p w14:paraId="7B32E38C">
      <w:pPr>
        <w:numPr>
          <w:ilvl w:val="0"/>
          <w:numId w:val="64"/>
        </w:numPr>
        <w:jc w:val="both"/>
        <w:rPr>
          <w:color w:val="000000"/>
          <w:sz w:val="27"/>
          <w:szCs w:val="27"/>
        </w:rPr>
      </w:pPr>
      <w:r>
        <w:rPr>
          <w:color w:val="000000"/>
          <w:sz w:val="27"/>
          <w:szCs w:val="27"/>
        </w:rPr>
        <w:t>Acondicionamento individual dos kits em embalagens apropriadas para transporte e consumo;</w:t>
      </w:r>
    </w:p>
    <w:p w14:paraId="6A50622D">
      <w:pPr>
        <w:numPr>
          <w:ilvl w:val="0"/>
          <w:numId w:val="64"/>
        </w:numPr>
        <w:jc w:val="both"/>
        <w:rPr>
          <w:color w:val="000000"/>
          <w:sz w:val="27"/>
          <w:szCs w:val="27"/>
        </w:rPr>
      </w:pPr>
      <w:r>
        <w:rPr>
          <w:color w:val="000000"/>
          <w:sz w:val="27"/>
          <w:szCs w:val="27"/>
        </w:rPr>
        <w:t>Transporte dos kits até os locais indicados pela Secretaria Municipal de Educação, com entrega pontual e em condições adequadas;</w:t>
      </w:r>
    </w:p>
    <w:p w14:paraId="28D33CFA">
      <w:pPr>
        <w:numPr>
          <w:ilvl w:val="0"/>
          <w:numId w:val="64"/>
        </w:numPr>
        <w:spacing w:after="240"/>
        <w:jc w:val="both"/>
        <w:rPr>
          <w:color w:val="000000"/>
          <w:sz w:val="27"/>
          <w:szCs w:val="27"/>
        </w:rPr>
      </w:pPr>
      <w:r>
        <w:rPr>
          <w:color w:val="000000"/>
          <w:sz w:val="27"/>
          <w:szCs w:val="27"/>
        </w:rPr>
        <w:t>Atendimento às especificações nutricionais, quantitativas e qualitativas previstas no Termo de Referência.</w:t>
      </w:r>
    </w:p>
    <w:p w14:paraId="4AD71A7C">
      <w:pPr>
        <w:spacing w:before="240" w:after="240"/>
        <w:jc w:val="both"/>
        <w:rPr>
          <w:color w:val="000000"/>
          <w:sz w:val="27"/>
          <w:szCs w:val="27"/>
        </w:rPr>
      </w:pPr>
      <w:r>
        <w:rPr>
          <w:b/>
          <w:bCs/>
          <w:color w:val="000000"/>
          <w:sz w:val="27"/>
          <w:szCs w:val="27"/>
        </w:rPr>
        <w:t>Essa solução garante:</w:t>
      </w:r>
    </w:p>
    <w:p w14:paraId="391FF4D1">
      <w:pPr>
        <w:numPr>
          <w:ilvl w:val="0"/>
          <w:numId w:val="65"/>
        </w:numPr>
        <w:spacing w:before="240"/>
        <w:jc w:val="both"/>
        <w:rPr>
          <w:color w:val="000000"/>
          <w:sz w:val="27"/>
          <w:szCs w:val="27"/>
        </w:rPr>
      </w:pPr>
      <w:r>
        <w:rPr>
          <w:color w:val="000000"/>
          <w:sz w:val="27"/>
          <w:szCs w:val="27"/>
        </w:rPr>
        <w:t>Padronização e qualidade uniforme dos kits entregues a todos os alunos;</w:t>
      </w:r>
    </w:p>
    <w:p w14:paraId="19FFD3BD">
      <w:pPr>
        <w:numPr>
          <w:ilvl w:val="0"/>
          <w:numId w:val="65"/>
        </w:numPr>
        <w:jc w:val="both"/>
        <w:rPr>
          <w:color w:val="000000"/>
          <w:sz w:val="27"/>
          <w:szCs w:val="27"/>
        </w:rPr>
      </w:pPr>
      <w:r>
        <w:rPr>
          <w:color w:val="000000"/>
          <w:sz w:val="27"/>
          <w:szCs w:val="27"/>
        </w:rPr>
        <w:t>Segurança alimentar, reduzindo riscos de contaminação e deterioração;</w:t>
      </w:r>
    </w:p>
    <w:p w14:paraId="066ABD06">
      <w:pPr>
        <w:numPr>
          <w:ilvl w:val="0"/>
          <w:numId w:val="65"/>
        </w:numPr>
        <w:jc w:val="both"/>
        <w:rPr>
          <w:color w:val="000000"/>
          <w:sz w:val="27"/>
          <w:szCs w:val="27"/>
        </w:rPr>
      </w:pPr>
      <w:r>
        <w:rPr>
          <w:color w:val="000000"/>
          <w:sz w:val="27"/>
          <w:szCs w:val="27"/>
        </w:rPr>
        <w:t>Praticidade e agilidade na distribuição durante os eventos;</w:t>
      </w:r>
    </w:p>
    <w:p w14:paraId="47E24DF8">
      <w:pPr>
        <w:numPr>
          <w:ilvl w:val="0"/>
          <w:numId w:val="65"/>
        </w:numPr>
        <w:jc w:val="both"/>
        <w:rPr>
          <w:color w:val="000000"/>
          <w:sz w:val="27"/>
          <w:szCs w:val="27"/>
        </w:rPr>
      </w:pPr>
      <w:r>
        <w:rPr>
          <w:color w:val="000000"/>
          <w:sz w:val="27"/>
          <w:szCs w:val="27"/>
        </w:rPr>
        <w:t>Descentralização das responsabilidades logísticas, liberando os servidores para focar em suas atividades-fim;</w:t>
      </w:r>
    </w:p>
    <w:p w14:paraId="4FD6052D">
      <w:pPr>
        <w:numPr>
          <w:ilvl w:val="0"/>
          <w:numId w:val="65"/>
        </w:numPr>
        <w:spacing w:after="240"/>
        <w:jc w:val="both"/>
        <w:rPr>
          <w:color w:val="000000"/>
          <w:sz w:val="27"/>
          <w:szCs w:val="27"/>
        </w:rPr>
      </w:pPr>
      <w:r>
        <w:rPr>
          <w:color w:val="000000"/>
          <w:sz w:val="27"/>
          <w:szCs w:val="27"/>
        </w:rPr>
        <w:t>Conformidade legal e administrativa, observando os princípios da administração pública e a legislação vigente.</w:t>
      </w:r>
    </w:p>
    <w:p w14:paraId="60916045">
      <w:pPr>
        <w:spacing w:before="240" w:after="240"/>
        <w:jc w:val="both"/>
        <w:rPr>
          <w:color w:val="000000"/>
          <w:sz w:val="27"/>
          <w:szCs w:val="27"/>
        </w:rPr>
      </w:pPr>
      <w:r>
        <w:rPr>
          <w:color w:val="000000"/>
          <w:sz w:val="27"/>
          <w:szCs w:val="27"/>
        </w:rPr>
        <w:t>Dessa forma, a solução proposta atende integralmente à necessidade identificada, promovendo a eficiência, transparência, qualidade e segurança na realização dos eventos cívicos, contribuindo para o bem-estar dos alunos e o sucesso das comemorações municipais.</w:t>
      </w:r>
    </w:p>
    <w:p w14:paraId="44271780">
      <w:pPr>
        <w:spacing w:before="120" w:after="120"/>
        <w:ind w:left="120" w:right="120" w:firstLine="1699"/>
        <w:jc w:val="both"/>
        <w:rPr>
          <w:color w:val="000000"/>
          <w:sz w:val="27"/>
          <w:szCs w:val="27"/>
        </w:rPr>
      </w:pPr>
      <w:r>
        <w:rPr>
          <w:color w:val="000000"/>
          <w:sz w:val="27"/>
          <w:szCs w:val="27"/>
        </w:rPr>
        <w:br w:type="textWrapping"/>
      </w:r>
      <w:r>
        <w:rPr>
          <w:color w:val="000000"/>
          <w:sz w:val="27"/>
          <w:szCs w:val="27"/>
        </w:rPr>
        <w:t> </w:t>
      </w:r>
    </w:p>
    <w:p w14:paraId="2ABD5A93">
      <w:pPr>
        <w:numPr>
          <w:ilvl w:val="0"/>
          <w:numId w:val="66"/>
        </w:numPr>
        <w:jc w:val="both"/>
        <w:rPr>
          <w:color w:val="000000"/>
          <w:sz w:val="27"/>
          <w:szCs w:val="27"/>
        </w:rPr>
      </w:pPr>
      <w:r>
        <w:rPr>
          <w:b/>
          <w:bCs/>
          <w:color w:val="000000"/>
          <w:sz w:val="27"/>
          <w:szCs w:val="27"/>
          <w:shd w:val="clear" w:color="auto" w:fill="D9D9D9"/>
        </w:rPr>
        <w:t>JUSTIFICATIVAS PARA PARCELAMENTO OU NÃO DA CONTRATAÇÃO (Art. 18, §1º, inciso VIII, da Lei 14.133/2021)</w:t>
      </w:r>
    </w:p>
    <w:p w14:paraId="3D488169">
      <w:pPr>
        <w:spacing w:before="120" w:after="120"/>
        <w:ind w:left="120" w:right="120" w:firstLine="1699"/>
        <w:jc w:val="both"/>
        <w:rPr>
          <w:color w:val="000000"/>
          <w:sz w:val="27"/>
          <w:szCs w:val="27"/>
        </w:rPr>
      </w:pPr>
      <w:r>
        <w:rPr>
          <w:color w:val="000000"/>
          <w:sz w:val="27"/>
          <w:szCs w:val="27"/>
        </w:rPr>
        <w:br w:type="textWrapping"/>
      </w:r>
      <w:r>
        <w:rPr>
          <w:color w:val="000000"/>
          <w:sz w:val="27"/>
          <w:szCs w:val="27"/>
        </w:rPr>
        <w:t> </w:t>
      </w:r>
    </w:p>
    <w:p w14:paraId="219961FA">
      <w:pPr>
        <w:spacing w:before="240" w:after="240"/>
        <w:jc w:val="both"/>
        <w:rPr>
          <w:color w:val="000000"/>
          <w:sz w:val="27"/>
          <w:szCs w:val="27"/>
        </w:rPr>
      </w:pPr>
      <w:r>
        <w:rPr>
          <w:color w:val="000000"/>
          <w:sz w:val="27"/>
          <w:szCs w:val="27"/>
        </w:rPr>
        <w:t>Opta-se pela contratação em lote único, em observância aos princípios da eficiência, economicidade e vantajosidade, considerando a natureza do objeto: fornecimento de kits de lanche prontos, padronizados e embalados individualmente.</w:t>
      </w:r>
    </w:p>
    <w:p w14:paraId="14507C94">
      <w:pPr>
        <w:spacing w:before="240" w:after="240"/>
        <w:jc w:val="both"/>
        <w:rPr>
          <w:color w:val="000000"/>
          <w:sz w:val="27"/>
          <w:szCs w:val="27"/>
        </w:rPr>
      </w:pPr>
      <w:r>
        <w:rPr>
          <w:color w:val="000000"/>
          <w:sz w:val="27"/>
          <w:szCs w:val="27"/>
        </w:rPr>
        <w:t>O objeto é tecnicamente indivisível, uma vez que os itens que compõem o kit são complementares e devem ser fornecidos, montados e entregues por um único fornecedor, garantindo qualidade, segurança alimentar e uniformidade. O parcelamento implicaria aumento da complexidade operacional, com necessidade de armazenamento, montagem e distribuição pela Administração, elevando custos indiretos e riscos logísticos e sanitários.</w:t>
      </w:r>
    </w:p>
    <w:p w14:paraId="6EC7FB8D">
      <w:pPr>
        <w:spacing w:before="240" w:after="240"/>
        <w:jc w:val="both"/>
        <w:rPr>
          <w:color w:val="000000"/>
          <w:sz w:val="27"/>
          <w:szCs w:val="27"/>
        </w:rPr>
      </w:pPr>
      <w:r>
        <w:rPr>
          <w:color w:val="000000"/>
          <w:sz w:val="27"/>
          <w:szCs w:val="27"/>
        </w:rPr>
        <w:t>Além disso, a divisão em lotes poderia comprometer a padronização dos kits e reduzir a eficiência da contratação, sem ganhos econômicos relevantes. Ao contrário, o fornecimento por empresas especializadas em kits prontos tende a assegurar melhor custo-benefício e maior qualidade na execução.</w:t>
      </w:r>
    </w:p>
    <w:p w14:paraId="090A3C7F">
      <w:pPr>
        <w:spacing w:before="240" w:after="240"/>
        <w:jc w:val="both"/>
        <w:rPr>
          <w:color w:val="000000"/>
          <w:sz w:val="27"/>
          <w:szCs w:val="27"/>
        </w:rPr>
      </w:pPr>
      <w:r>
        <w:rPr>
          <w:color w:val="000000"/>
          <w:sz w:val="27"/>
          <w:szCs w:val="27"/>
        </w:rPr>
        <w:t>Ressalta-se que a opção adotada não restringe a competitividade, mas a direciona de forma mais eficiente, possibilitando a participação de fornecedores aptos a entregar a solução completa.</w:t>
      </w:r>
    </w:p>
    <w:p w14:paraId="68BF99BE">
      <w:pPr>
        <w:spacing w:before="240" w:after="240"/>
        <w:jc w:val="both"/>
        <w:rPr>
          <w:color w:val="000000"/>
          <w:sz w:val="27"/>
          <w:szCs w:val="27"/>
        </w:rPr>
      </w:pPr>
      <w:r>
        <w:rPr>
          <w:color w:val="000000"/>
          <w:sz w:val="27"/>
          <w:szCs w:val="27"/>
        </w:rPr>
        <w:t>Dessa forma, a contratação em lote único mostra-se mais adequada e vantajosa para a Administração, não havendo justificativa técnica ou econômica para o parcelamento do objeto.</w:t>
      </w:r>
    </w:p>
    <w:p w14:paraId="197A046A">
      <w:pPr>
        <w:spacing w:before="120" w:after="120"/>
        <w:ind w:left="120" w:right="120" w:firstLine="1699"/>
        <w:jc w:val="both"/>
        <w:rPr>
          <w:color w:val="000000"/>
          <w:sz w:val="27"/>
          <w:szCs w:val="27"/>
        </w:rPr>
      </w:pPr>
      <w:r>
        <w:rPr>
          <w:color w:val="000000"/>
          <w:sz w:val="27"/>
          <w:szCs w:val="27"/>
        </w:rPr>
        <w:br w:type="textWrapping"/>
      </w:r>
      <w:r>
        <w:rPr>
          <w:color w:val="000000"/>
          <w:sz w:val="27"/>
          <w:szCs w:val="27"/>
        </w:rPr>
        <w:t> </w:t>
      </w:r>
    </w:p>
    <w:p w14:paraId="790809AE">
      <w:pPr>
        <w:numPr>
          <w:ilvl w:val="0"/>
          <w:numId w:val="67"/>
        </w:numPr>
        <w:rPr>
          <w:color w:val="000000"/>
          <w:sz w:val="27"/>
          <w:szCs w:val="27"/>
        </w:rPr>
      </w:pPr>
      <w:r>
        <w:rPr>
          <w:b/>
          <w:bCs/>
          <w:color w:val="000000"/>
          <w:sz w:val="27"/>
          <w:szCs w:val="27"/>
          <w:shd w:val="clear" w:color="auto" w:fill="D9D9D9"/>
        </w:rPr>
        <w:t>RESULTADOS PRETENDIDOS (Art. 18, §1º, inciso IX, da Lei 14.133/2021)</w:t>
      </w:r>
    </w:p>
    <w:p w14:paraId="44685ABC">
      <w:pPr>
        <w:spacing w:before="240" w:after="240"/>
        <w:jc w:val="both"/>
        <w:rPr>
          <w:color w:val="000000"/>
          <w:sz w:val="27"/>
          <w:szCs w:val="27"/>
        </w:rPr>
      </w:pPr>
      <w:r>
        <w:rPr>
          <w:color w:val="000000"/>
          <w:sz w:val="27"/>
          <w:szCs w:val="27"/>
        </w:rPr>
        <w:t>A contratação do fornecimento de kits de lanches prontos para os alunos participantes do Desfile Cívico de 07 de Setembro de 2026 visa atingir resultados concretos, alinhados aos princípios da eficiência, economicidade, segurança alimentar e bem-estar dos estudantes.</w:t>
      </w:r>
    </w:p>
    <w:p w14:paraId="726DC851">
      <w:pPr>
        <w:spacing w:before="240" w:after="240"/>
        <w:jc w:val="both"/>
        <w:rPr>
          <w:color w:val="000000"/>
          <w:sz w:val="27"/>
          <w:szCs w:val="27"/>
        </w:rPr>
      </w:pPr>
      <w:r>
        <w:rPr>
          <w:b/>
          <w:bCs/>
          <w:color w:val="000000"/>
          <w:sz w:val="27"/>
          <w:szCs w:val="27"/>
        </w:rPr>
        <w:t>Dentre os principais resultados pretendidos, destacam-se: </w:t>
      </w:r>
    </w:p>
    <w:p w14:paraId="78AACC73">
      <w:pPr>
        <w:numPr>
          <w:ilvl w:val="0"/>
          <w:numId w:val="68"/>
        </w:numPr>
        <w:spacing w:before="240" w:after="240"/>
        <w:jc w:val="both"/>
        <w:rPr>
          <w:color w:val="000000"/>
          <w:sz w:val="27"/>
          <w:szCs w:val="27"/>
        </w:rPr>
      </w:pPr>
      <w:r>
        <w:rPr>
          <w:color w:val="000000"/>
          <w:sz w:val="27"/>
          <w:szCs w:val="27"/>
        </w:rPr>
        <w:t>Assegurar a alimentação adequada dos alunos, respeitando as necessidades nutricionais mínimas, durante os períodos de concentração, deslocamento e realização dos desfiles, evitando casos de desconforto, hipoglicemia ou outras situações que possam comprometer a participação dos estudantes.</w:t>
      </w:r>
    </w:p>
    <w:p w14:paraId="4B724FE3">
      <w:pPr>
        <w:numPr>
          <w:ilvl w:val="0"/>
          <w:numId w:val="68"/>
        </w:numPr>
        <w:spacing w:before="240" w:after="240"/>
        <w:jc w:val="both"/>
        <w:rPr>
          <w:color w:val="000000"/>
          <w:sz w:val="27"/>
          <w:szCs w:val="27"/>
        </w:rPr>
      </w:pPr>
      <w:r>
        <w:rPr>
          <w:color w:val="000000"/>
          <w:sz w:val="27"/>
          <w:szCs w:val="27"/>
        </w:rPr>
        <w:t>Garantir a padronização e a qualidade dos kits, com embalagens apropriadas, produtos de boa procedência e atendimento rigoroso às normas de higiene e segurança alimentar, evitando improvisações ou contaminações.</w:t>
      </w:r>
    </w:p>
    <w:p w14:paraId="7B6F97E5">
      <w:pPr>
        <w:numPr>
          <w:ilvl w:val="0"/>
          <w:numId w:val="68"/>
        </w:numPr>
        <w:spacing w:before="240" w:after="240"/>
        <w:jc w:val="both"/>
        <w:rPr>
          <w:color w:val="000000"/>
          <w:sz w:val="27"/>
          <w:szCs w:val="27"/>
        </w:rPr>
      </w:pPr>
      <w:r>
        <w:rPr>
          <w:color w:val="000000"/>
          <w:sz w:val="27"/>
          <w:szCs w:val="27"/>
        </w:rPr>
        <w:t>Viabilizar uma logística mais eficiente, ao contratar uma empresa especializada que será responsável por todo o processo de preparo, montagem, acondicionamento e entrega dos kits prontos, eliminando a necessidade de montagem manual por parte dos servidores municipais.</w:t>
      </w:r>
    </w:p>
    <w:p w14:paraId="032323A2">
      <w:pPr>
        <w:numPr>
          <w:ilvl w:val="0"/>
          <w:numId w:val="68"/>
        </w:numPr>
        <w:spacing w:before="240" w:after="240"/>
        <w:jc w:val="both"/>
        <w:rPr>
          <w:color w:val="000000"/>
          <w:sz w:val="27"/>
          <w:szCs w:val="27"/>
        </w:rPr>
      </w:pPr>
      <w:r>
        <w:rPr>
          <w:color w:val="000000"/>
          <w:sz w:val="27"/>
          <w:szCs w:val="27"/>
        </w:rPr>
        <w:t>Reduzir riscos operacionais e desperdícios, assegurando que os kits sejam entregues em quantidade e qualidade compatíveis com a demanda real, evitando sobras, extravios ou deterioração de alimentos.</w:t>
      </w:r>
    </w:p>
    <w:p w14:paraId="761A9FA4">
      <w:pPr>
        <w:numPr>
          <w:ilvl w:val="0"/>
          <w:numId w:val="68"/>
        </w:numPr>
        <w:spacing w:before="240" w:after="240"/>
        <w:jc w:val="both"/>
        <w:rPr>
          <w:color w:val="000000"/>
          <w:sz w:val="27"/>
          <w:szCs w:val="27"/>
        </w:rPr>
      </w:pPr>
      <w:r>
        <w:rPr>
          <w:color w:val="000000"/>
          <w:sz w:val="27"/>
          <w:szCs w:val="27"/>
        </w:rPr>
        <w:t>Liberar a equipe técnica e pedagógica da Secretaria Municipal de Educação para que se dedique integralmente às funções essenciais, sem sobrecarga com atividades logísticas que não fazem parte de sua rotina institucional.</w:t>
      </w:r>
    </w:p>
    <w:p w14:paraId="766B53B5">
      <w:pPr>
        <w:numPr>
          <w:ilvl w:val="0"/>
          <w:numId w:val="68"/>
        </w:numPr>
        <w:spacing w:before="240" w:after="240"/>
        <w:jc w:val="both"/>
        <w:rPr>
          <w:color w:val="000000"/>
          <w:sz w:val="27"/>
          <w:szCs w:val="27"/>
        </w:rPr>
      </w:pPr>
      <w:r>
        <w:rPr>
          <w:color w:val="000000"/>
          <w:sz w:val="27"/>
          <w:szCs w:val="27"/>
        </w:rPr>
        <w:t>Fortalecer a organização e o sucesso dos eventos cívicos, promovendo a valorização das tradições locais, o fortalecimento da identidade cultural e a integração entre escolas, famílias e comunidade, de forma estruturada e segura para todos os participantes.</w:t>
      </w:r>
    </w:p>
    <w:p w14:paraId="0E7744B6">
      <w:pPr>
        <w:numPr>
          <w:ilvl w:val="0"/>
          <w:numId w:val="68"/>
        </w:numPr>
        <w:spacing w:before="240" w:after="240"/>
        <w:jc w:val="both"/>
        <w:rPr>
          <w:color w:val="000000"/>
          <w:sz w:val="27"/>
          <w:szCs w:val="27"/>
        </w:rPr>
      </w:pPr>
      <w:r>
        <w:rPr>
          <w:color w:val="000000"/>
          <w:sz w:val="27"/>
          <w:szCs w:val="27"/>
        </w:rPr>
        <w:t>Atender aos princípios da economicidade e eficiência, por meio de uma contratação planejada, competitiva, transparente e vantajosa para o interesse público, conforme determina a legislação vigente.</w:t>
      </w:r>
    </w:p>
    <w:p w14:paraId="1093BAA2">
      <w:pPr>
        <w:spacing w:before="240" w:after="240"/>
        <w:jc w:val="both"/>
        <w:rPr>
          <w:color w:val="000000"/>
          <w:sz w:val="27"/>
          <w:szCs w:val="27"/>
        </w:rPr>
      </w:pPr>
      <w:r>
        <w:rPr>
          <w:color w:val="000000"/>
          <w:sz w:val="27"/>
          <w:szCs w:val="27"/>
        </w:rPr>
        <w:t>Dessa forma, a solução escolhida permitirá melhor qualidade no atendimento aos alunos, maior segurança alimentar e otimização dos recursos públicos, contribuindo para o sucesso das comemorações e para o fortalecimento do compromisso da gestão com uma educação humanizada e bem estruturada; além disso, solução proposta busca alcançar resultados significativos em termos de economicidade, assegurando a utilização eficiente dos recursos públicos. Espera-se uma redução de custos operacionais sem comprometer a qualidade dos serviços prestados, por meio de uma gestão mais eficiente, que considere as melhores práticas do mercado e a utilização de tecnologias inovadoras.</w:t>
      </w:r>
    </w:p>
    <w:p w14:paraId="0E6B9B64">
      <w:pPr>
        <w:spacing w:before="240" w:after="240"/>
        <w:jc w:val="both"/>
        <w:rPr>
          <w:color w:val="000000"/>
          <w:sz w:val="27"/>
          <w:szCs w:val="27"/>
        </w:rPr>
      </w:pPr>
      <w:r>
        <w:rPr>
          <w:color w:val="000000"/>
          <w:sz w:val="27"/>
          <w:szCs w:val="27"/>
        </w:rPr>
        <w:t>A estratégia visa o melhor aproveitamento dos recursos humanos, materiais e financeiros disponíveis, promovendo a otimização dos processos e o uso racional dos recursos. Isso envolve, entre outras ações, a capacitação adequada dos servidores, a implementação de metodologias que maximizem a produtividade e a racionalização dos insumos materiais, com foco em resultados concretos e sustentáveis para a Administração.</w:t>
      </w:r>
    </w:p>
    <w:p w14:paraId="51350A31">
      <w:pPr>
        <w:spacing w:before="240" w:after="240"/>
        <w:jc w:val="both"/>
        <w:rPr>
          <w:color w:val="000000"/>
          <w:sz w:val="27"/>
          <w:szCs w:val="27"/>
        </w:rPr>
      </w:pPr>
      <w:r>
        <w:rPr>
          <w:color w:val="000000"/>
          <w:sz w:val="27"/>
          <w:szCs w:val="27"/>
        </w:rPr>
        <w:t>Com isso, a proposta não só contribui para a eficiência financeira, mas também para o fortalecimento institucional, garantindo que os recursos públicos sejam aplicados de maneira responsável e efetiva, gerando benefícios duradouros para a sociedade.</w:t>
      </w:r>
    </w:p>
    <w:p w14:paraId="7AD4E2D9">
      <w:pPr>
        <w:spacing w:before="120" w:after="120"/>
        <w:ind w:left="120" w:right="120" w:firstLine="1699"/>
        <w:jc w:val="both"/>
        <w:rPr>
          <w:color w:val="000000"/>
          <w:sz w:val="27"/>
          <w:szCs w:val="27"/>
        </w:rPr>
      </w:pPr>
      <w:r>
        <w:rPr>
          <w:color w:val="000000"/>
          <w:sz w:val="27"/>
          <w:szCs w:val="27"/>
        </w:rPr>
        <w:br w:type="textWrapping"/>
      </w:r>
      <w:r>
        <w:rPr>
          <w:color w:val="000000"/>
          <w:sz w:val="27"/>
          <w:szCs w:val="27"/>
        </w:rPr>
        <w:t> </w:t>
      </w:r>
    </w:p>
    <w:p w14:paraId="540F91FF">
      <w:pPr>
        <w:numPr>
          <w:ilvl w:val="0"/>
          <w:numId w:val="69"/>
        </w:numPr>
        <w:rPr>
          <w:color w:val="000000"/>
          <w:sz w:val="27"/>
          <w:szCs w:val="27"/>
        </w:rPr>
      </w:pPr>
      <w:r>
        <w:rPr>
          <w:b/>
          <w:bCs/>
          <w:color w:val="000000"/>
          <w:sz w:val="27"/>
          <w:szCs w:val="27"/>
          <w:shd w:val="clear" w:color="auto" w:fill="D9D9D9"/>
        </w:rPr>
        <w:t>PROVIDÊNCIAS A SEREM ADOTADAS (Art. 18, §1º, inciso X, da Lei 14.133/2021)</w:t>
      </w:r>
    </w:p>
    <w:p w14:paraId="7460C484">
      <w:pPr>
        <w:spacing w:before="240" w:after="240"/>
        <w:jc w:val="both"/>
        <w:rPr>
          <w:color w:val="000000"/>
          <w:sz w:val="27"/>
          <w:szCs w:val="27"/>
        </w:rPr>
      </w:pPr>
      <w:r>
        <w:rPr>
          <w:color w:val="000000"/>
          <w:sz w:val="27"/>
          <w:szCs w:val="27"/>
        </w:rPr>
        <w:t>Para garantir a efetividade, a regularidade e o bom andamento da execução contratual, antes da celebração do contrato, a Administração adotará as seguintes providências, em conformidade com a Lei Federal nº 14.133/2021 (Nova Lei de Licitações e Contratos) e demais normativos aplicáveis:</w:t>
      </w:r>
    </w:p>
    <w:p w14:paraId="3F5FF6D6">
      <w:pPr>
        <w:numPr>
          <w:ilvl w:val="0"/>
          <w:numId w:val="70"/>
        </w:numPr>
        <w:spacing w:before="240" w:after="240"/>
        <w:jc w:val="both"/>
        <w:rPr>
          <w:color w:val="000000"/>
          <w:sz w:val="27"/>
          <w:szCs w:val="27"/>
        </w:rPr>
      </w:pPr>
      <w:r>
        <w:rPr>
          <w:b/>
          <w:bCs/>
          <w:color w:val="000000"/>
          <w:sz w:val="27"/>
          <w:szCs w:val="27"/>
        </w:rPr>
        <w:t>Verificação da Regularidade Fiscal e Trabalhista</w:t>
      </w:r>
      <w:r>
        <w:rPr>
          <w:color w:val="000000"/>
          <w:sz w:val="27"/>
          <w:szCs w:val="27"/>
        </w:rPr>
        <w:br w:type="textWrapping"/>
      </w:r>
      <w:r>
        <w:rPr>
          <w:color w:val="000000"/>
          <w:sz w:val="27"/>
          <w:szCs w:val="27"/>
        </w:rPr>
        <w:t> Conferir toda a documentação da empresa vencedora para comprovar a regularidade fiscal, trabalhista, previdenciária e cadastral, exigida como condição para assinatura do contrato, conforme previsto em edital.</w:t>
      </w:r>
    </w:p>
    <w:p w14:paraId="5F8D4562">
      <w:pPr>
        <w:numPr>
          <w:ilvl w:val="0"/>
          <w:numId w:val="70"/>
        </w:numPr>
        <w:spacing w:before="240" w:after="240"/>
        <w:jc w:val="both"/>
        <w:rPr>
          <w:color w:val="000000"/>
          <w:sz w:val="27"/>
          <w:szCs w:val="27"/>
        </w:rPr>
      </w:pPr>
      <w:r>
        <w:rPr>
          <w:b/>
          <w:bCs/>
          <w:color w:val="000000"/>
          <w:sz w:val="27"/>
          <w:szCs w:val="27"/>
        </w:rPr>
        <w:t>Análise de Habilitação Técnica e Capacidade Operacional</w:t>
      </w:r>
      <w:r>
        <w:rPr>
          <w:color w:val="000000"/>
          <w:sz w:val="27"/>
          <w:szCs w:val="27"/>
        </w:rPr>
        <w:br w:type="textWrapping"/>
      </w:r>
      <w:r>
        <w:rPr>
          <w:color w:val="000000"/>
          <w:sz w:val="27"/>
          <w:szCs w:val="27"/>
        </w:rPr>
        <w:t> Analisar detalhadamente os documentos de habilitação técnica apresentados pela empresa vencedora, confirmando sua capacidade de executar o objeto, em especial no que se refere à estrutura para preparo, acondicionamento, transporte e entrega dos kits de lanches, em conformidade com as normas sanitárias.</w:t>
      </w:r>
    </w:p>
    <w:p w14:paraId="49ABB20B">
      <w:pPr>
        <w:numPr>
          <w:ilvl w:val="0"/>
          <w:numId w:val="70"/>
        </w:numPr>
        <w:spacing w:before="240" w:after="240"/>
        <w:jc w:val="both"/>
        <w:rPr>
          <w:color w:val="000000"/>
          <w:sz w:val="27"/>
          <w:szCs w:val="27"/>
        </w:rPr>
      </w:pPr>
      <w:r>
        <w:rPr>
          <w:b/>
          <w:bCs/>
          <w:color w:val="000000"/>
          <w:sz w:val="27"/>
          <w:szCs w:val="27"/>
        </w:rPr>
        <w:t>Adequação de Garantias Contratuais</w:t>
      </w:r>
      <w:r>
        <w:rPr>
          <w:color w:val="000000"/>
          <w:sz w:val="27"/>
          <w:szCs w:val="27"/>
        </w:rPr>
        <w:br w:type="textWrapping"/>
      </w:r>
      <w:r>
        <w:rPr>
          <w:color w:val="000000"/>
          <w:sz w:val="27"/>
          <w:szCs w:val="27"/>
        </w:rPr>
        <w:t> Verificar, quando cabível, a prestação de garantia contratual pela empresa vencedora, nos termos do edital, para assegurar o fiel cumprimento das obrigações assumidas.</w:t>
      </w:r>
    </w:p>
    <w:p w14:paraId="5ADA29FC">
      <w:pPr>
        <w:numPr>
          <w:ilvl w:val="0"/>
          <w:numId w:val="70"/>
        </w:numPr>
        <w:spacing w:before="240" w:after="240"/>
        <w:jc w:val="both"/>
        <w:rPr>
          <w:color w:val="000000"/>
          <w:sz w:val="27"/>
          <w:szCs w:val="27"/>
        </w:rPr>
      </w:pPr>
      <w:r>
        <w:rPr>
          <w:b/>
          <w:bCs/>
          <w:color w:val="000000"/>
          <w:sz w:val="27"/>
          <w:szCs w:val="27"/>
        </w:rPr>
        <w:t>Designação do Fiscal de Contrato e sua Equipe de Apoio</w:t>
      </w:r>
      <w:r>
        <w:rPr>
          <w:color w:val="000000"/>
          <w:sz w:val="27"/>
          <w:szCs w:val="27"/>
        </w:rPr>
        <w:br w:type="textWrapping"/>
      </w:r>
      <w:r>
        <w:rPr>
          <w:color w:val="000000"/>
          <w:sz w:val="27"/>
          <w:szCs w:val="27"/>
        </w:rPr>
        <w:t> Nomear formalmente o servidor responsável pela fiscalização contratual, bem como sua equipe de apoio, para que acompanhem e monitorem todas as etapas da execução, desde o planejamento da entrega até a distribuição final dos kits aos alunos.</w:t>
      </w:r>
    </w:p>
    <w:p w14:paraId="7E898827">
      <w:pPr>
        <w:numPr>
          <w:ilvl w:val="0"/>
          <w:numId w:val="70"/>
        </w:numPr>
        <w:spacing w:before="240" w:after="240"/>
        <w:jc w:val="both"/>
        <w:rPr>
          <w:color w:val="000000"/>
          <w:sz w:val="27"/>
          <w:szCs w:val="27"/>
        </w:rPr>
      </w:pPr>
      <w:r>
        <w:rPr>
          <w:b/>
          <w:bCs/>
          <w:color w:val="000000"/>
          <w:sz w:val="27"/>
          <w:szCs w:val="27"/>
        </w:rPr>
        <w:t>Reunião de Alinhamento Técnico com o Fornecedor</w:t>
      </w:r>
      <w:r>
        <w:rPr>
          <w:color w:val="000000"/>
          <w:sz w:val="27"/>
          <w:szCs w:val="27"/>
        </w:rPr>
        <w:br w:type="textWrapping"/>
      </w:r>
      <w:r>
        <w:rPr>
          <w:color w:val="000000"/>
          <w:sz w:val="27"/>
          <w:szCs w:val="27"/>
        </w:rPr>
        <w:t> Realizar reunião prévia com a empresa contratada para alinhar prazos, locais de entrega, horários, quantidades, especificações técnicas, requisitos sanitários, embalagens e condições de transporte, garantindo clareza quanto às obrigações contratuais.</w:t>
      </w:r>
    </w:p>
    <w:p w14:paraId="7D3937AD">
      <w:pPr>
        <w:numPr>
          <w:ilvl w:val="0"/>
          <w:numId w:val="70"/>
        </w:numPr>
        <w:spacing w:before="240" w:after="240"/>
        <w:jc w:val="both"/>
        <w:rPr>
          <w:color w:val="000000"/>
          <w:sz w:val="27"/>
          <w:szCs w:val="27"/>
        </w:rPr>
      </w:pPr>
      <w:r>
        <w:rPr>
          <w:color w:val="000000"/>
          <w:sz w:val="27"/>
          <w:szCs w:val="27"/>
        </w:rPr>
        <w:t> </w:t>
      </w:r>
      <w:r>
        <w:rPr>
          <w:b/>
          <w:bCs/>
          <w:color w:val="000000"/>
          <w:sz w:val="27"/>
          <w:szCs w:val="27"/>
        </w:rPr>
        <w:t>Planejamento Logístico Detalhado</w:t>
      </w:r>
      <w:r>
        <w:rPr>
          <w:color w:val="000000"/>
          <w:sz w:val="27"/>
          <w:szCs w:val="27"/>
        </w:rPr>
        <w:br w:type="textWrapping"/>
      </w:r>
      <w:r>
        <w:rPr>
          <w:color w:val="000000"/>
          <w:sz w:val="27"/>
          <w:szCs w:val="27"/>
        </w:rPr>
        <w:t> Mapear junto à empresa contratada a logística de entrega, considerando cronograma, pontos de entrega, responsabilidade pelo transporte e forma de conferência dos kits, para evitar atrasos ou falhas.</w:t>
      </w:r>
    </w:p>
    <w:p w14:paraId="1719DD43">
      <w:pPr>
        <w:numPr>
          <w:ilvl w:val="0"/>
          <w:numId w:val="70"/>
        </w:numPr>
        <w:spacing w:before="240" w:after="240"/>
        <w:jc w:val="both"/>
        <w:rPr>
          <w:color w:val="000000"/>
          <w:sz w:val="27"/>
          <w:szCs w:val="27"/>
        </w:rPr>
      </w:pPr>
      <w:r>
        <w:rPr>
          <w:b/>
          <w:bCs/>
          <w:color w:val="000000"/>
          <w:sz w:val="27"/>
          <w:szCs w:val="27"/>
        </w:rPr>
        <w:t>Previsão de Recursos Orçamentários</w:t>
      </w:r>
      <w:r>
        <w:rPr>
          <w:color w:val="000000"/>
          <w:sz w:val="27"/>
          <w:szCs w:val="27"/>
        </w:rPr>
        <w:br w:type="textWrapping"/>
      </w:r>
      <w:r>
        <w:rPr>
          <w:color w:val="000000"/>
          <w:sz w:val="27"/>
          <w:szCs w:val="27"/>
        </w:rPr>
        <w:t> Assegurar que os recursos financeiros necessários para a execução contratual estejam devidamente previstos e empenhados, garantindo o pagamento dentro dos prazos legais.</w:t>
      </w:r>
    </w:p>
    <w:p w14:paraId="564A1F17">
      <w:pPr>
        <w:spacing w:before="240" w:after="240"/>
        <w:jc w:val="both"/>
        <w:rPr>
          <w:color w:val="000000"/>
          <w:sz w:val="27"/>
          <w:szCs w:val="27"/>
        </w:rPr>
      </w:pPr>
      <w:r>
        <w:rPr>
          <w:color w:val="000000"/>
          <w:sz w:val="27"/>
          <w:szCs w:val="27"/>
        </w:rPr>
        <w:t>Estas medidas visam garantir que a contratada alcance plenamente seus objetivos, assegurando qualidade, pontualidade, eficiência e conformidade com as normas legais e sanitárias, em benefício dos alunos e da comunidade escolar.</w:t>
      </w:r>
    </w:p>
    <w:p w14:paraId="7497A7B1">
      <w:pPr>
        <w:spacing w:before="240" w:after="240"/>
        <w:jc w:val="both"/>
        <w:rPr>
          <w:color w:val="000000"/>
          <w:sz w:val="27"/>
          <w:szCs w:val="27"/>
        </w:rPr>
      </w:pPr>
      <w:r>
        <w:rPr>
          <w:color w:val="000000"/>
          <w:sz w:val="27"/>
          <w:szCs w:val="27"/>
        </w:rPr>
        <w:t>Avaliação das Hipóteses Previstas no Art. 7º, Parágrafo Único, do Decreto nº 45/2025 </w:t>
      </w:r>
    </w:p>
    <w:p w14:paraId="7909388B">
      <w:pPr>
        <w:spacing w:before="240" w:after="240"/>
        <w:jc w:val="both"/>
        <w:rPr>
          <w:color w:val="000000"/>
          <w:sz w:val="27"/>
          <w:szCs w:val="27"/>
        </w:rPr>
      </w:pPr>
      <w:r>
        <w:rPr>
          <w:color w:val="000000"/>
          <w:sz w:val="27"/>
          <w:szCs w:val="27"/>
        </w:rPr>
        <w:t>Nos termos do art. 7º, parágrafo único, do Decreto nº 45/2025, antes da formalização da contratação, a Administração deve avaliar se existem situações que impeçam ou inviabiliza o prosseguimento do processo licitatório, especialmente quando houver:</w:t>
      </w:r>
    </w:p>
    <w:p w14:paraId="71CB2773">
      <w:pPr>
        <w:spacing w:before="240" w:after="240"/>
        <w:jc w:val="both"/>
        <w:rPr>
          <w:color w:val="000000"/>
          <w:sz w:val="27"/>
          <w:szCs w:val="27"/>
        </w:rPr>
      </w:pPr>
      <w:r>
        <w:rPr>
          <w:color w:val="000000"/>
          <w:sz w:val="27"/>
          <w:szCs w:val="27"/>
        </w:rPr>
        <w:t>I — Risco de sobreposição de contratação;</w:t>
      </w:r>
      <w:r>
        <w:rPr>
          <w:color w:val="000000"/>
          <w:sz w:val="27"/>
          <w:szCs w:val="27"/>
        </w:rPr>
        <w:br w:type="textWrapping"/>
      </w:r>
      <w:r>
        <w:rPr>
          <w:color w:val="000000"/>
          <w:sz w:val="27"/>
          <w:szCs w:val="27"/>
        </w:rPr>
        <w:t> II — Inviabilidade técnica ou econômica da contratação;</w:t>
      </w:r>
      <w:r>
        <w:rPr>
          <w:color w:val="000000"/>
          <w:sz w:val="27"/>
          <w:szCs w:val="27"/>
        </w:rPr>
        <w:br w:type="textWrapping"/>
      </w:r>
      <w:r>
        <w:rPr>
          <w:color w:val="000000"/>
          <w:sz w:val="27"/>
          <w:szCs w:val="27"/>
        </w:rPr>
        <w:t> III — Fatos supervenientes que alterem a demanda;</w:t>
      </w:r>
      <w:r>
        <w:rPr>
          <w:color w:val="000000"/>
          <w:sz w:val="27"/>
          <w:szCs w:val="27"/>
        </w:rPr>
        <w:br w:type="textWrapping"/>
      </w:r>
      <w:r>
        <w:rPr>
          <w:color w:val="000000"/>
          <w:sz w:val="27"/>
          <w:szCs w:val="27"/>
        </w:rPr>
        <w:t> IV — Identificação de solução mais vantajosa;</w:t>
      </w:r>
      <w:r>
        <w:rPr>
          <w:color w:val="000000"/>
          <w:sz w:val="27"/>
          <w:szCs w:val="27"/>
        </w:rPr>
        <w:br w:type="textWrapping"/>
      </w:r>
      <w:r>
        <w:rPr>
          <w:color w:val="000000"/>
          <w:sz w:val="27"/>
          <w:szCs w:val="27"/>
        </w:rPr>
        <w:t> V — Descontinuidade da necessidade administrativa.</w:t>
      </w:r>
    </w:p>
    <w:p w14:paraId="19B569D4">
      <w:pPr>
        <w:spacing w:before="240" w:after="240"/>
        <w:jc w:val="both"/>
        <w:rPr>
          <w:color w:val="000000"/>
          <w:sz w:val="27"/>
          <w:szCs w:val="27"/>
        </w:rPr>
      </w:pPr>
      <w:r>
        <w:rPr>
          <w:color w:val="000000"/>
          <w:sz w:val="27"/>
          <w:szCs w:val="27"/>
        </w:rPr>
        <w:t>Realizada a análise das referidas hipóteses, constata-se o seguinte:</w:t>
      </w:r>
    </w:p>
    <w:p w14:paraId="5FA9B804">
      <w:pPr>
        <w:spacing w:before="240" w:after="240"/>
        <w:jc w:val="both"/>
        <w:rPr>
          <w:color w:val="000000"/>
          <w:sz w:val="27"/>
          <w:szCs w:val="27"/>
        </w:rPr>
      </w:pPr>
      <w:r>
        <w:rPr>
          <w:b/>
          <w:bCs/>
          <w:color w:val="000000"/>
          <w:sz w:val="27"/>
          <w:szCs w:val="27"/>
        </w:rPr>
        <w:t>I — Risco de sobreposição de contratação</w:t>
      </w:r>
      <w:r>
        <w:rPr>
          <w:color w:val="000000"/>
          <w:sz w:val="27"/>
          <w:szCs w:val="27"/>
        </w:rPr>
        <w:br w:type="textWrapping"/>
      </w:r>
      <w:r>
        <w:rPr>
          <w:color w:val="000000"/>
          <w:sz w:val="27"/>
          <w:szCs w:val="27"/>
        </w:rPr>
        <w:t> Não há risco de sobreposição, pois não existe contratação vigente com o mesmo objeto (fornecimento de kits de lanches prontos) na Secretaria Municipal de Educação ou em outros setores que possam gerar duplicidade de despesas.</w:t>
      </w:r>
    </w:p>
    <w:p w14:paraId="0D054EAB">
      <w:pPr>
        <w:spacing w:before="240" w:after="240"/>
        <w:jc w:val="both"/>
        <w:rPr>
          <w:color w:val="000000"/>
          <w:sz w:val="27"/>
          <w:szCs w:val="27"/>
        </w:rPr>
      </w:pPr>
      <w:r>
        <w:rPr>
          <w:b/>
          <w:bCs/>
          <w:color w:val="000000"/>
          <w:sz w:val="27"/>
          <w:szCs w:val="27"/>
        </w:rPr>
        <w:t>II — Inviabilidade técnica ou econômica da contratação</w:t>
      </w:r>
      <w:r>
        <w:rPr>
          <w:color w:val="000000"/>
          <w:sz w:val="27"/>
          <w:szCs w:val="27"/>
        </w:rPr>
        <w:br w:type="textWrapping"/>
      </w:r>
      <w:r>
        <w:rPr>
          <w:color w:val="000000"/>
          <w:sz w:val="27"/>
          <w:szCs w:val="27"/>
        </w:rPr>
        <w:t> A solução proposta demonstrou-se tecnicamente viável e economicamente justificável, com estimativa de preços fundamentada em pesquisa de mercado junto a fornecedores locais, dado o caráter específico do objeto. A contratação por Pregão Eletrônico no Sistema de Registro de Preços é a forma mais vantajosa.</w:t>
      </w:r>
    </w:p>
    <w:p w14:paraId="1FA7A81A">
      <w:pPr>
        <w:spacing w:before="240" w:after="240"/>
        <w:jc w:val="both"/>
        <w:rPr>
          <w:color w:val="000000"/>
          <w:sz w:val="27"/>
          <w:szCs w:val="27"/>
        </w:rPr>
      </w:pPr>
      <w:r>
        <w:rPr>
          <w:b/>
          <w:bCs/>
          <w:color w:val="000000"/>
          <w:sz w:val="27"/>
          <w:szCs w:val="27"/>
        </w:rPr>
        <w:t>III — Fatos supervenientes que alterem a demanda</w:t>
      </w:r>
      <w:r>
        <w:rPr>
          <w:color w:val="000000"/>
          <w:sz w:val="27"/>
          <w:szCs w:val="27"/>
        </w:rPr>
        <w:br w:type="textWrapping"/>
      </w:r>
      <w:r>
        <w:rPr>
          <w:color w:val="000000"/>
          <w:sz w:val="27"/>
          <w:szCs w:val="27"/>
        </w:rPr>
        <w:t> Não foram identificados fatos supervenientes capazes de modificar ou eliminar a necessidade. A demanda permanece atual, legítima e justificada, considerando o planejamento anual dos eventos cívicos e a participação confirmada dos alunos.</w:t>
      </w:r>
    </w:p>
    <w:p w14:paraId="7DE8A6D6">
      <w:pPr>
        <w:spacing w:before="240" w:after="240"/>
        <w:jc w:val="both"/>
        <w:rPr>
          <w:color w:val="000000"/>
          <w:sz w:val="27"/>
          <w:szCs w:val="27"/>
        </w:rPr>
      </w:pPr>
      <w:r>
        <w:rPr>
          <w:b/>
          <w:bCs/>
          <w:color w:val="000000"/>
          <w:sz w:val="27"/>
          <w:szCs w:val="27"/>
        </w:rPr>
        <w:t>IV — Identificação de solução mais vantajosa</w:t>
      </w:r>
      <w:r>
        <w:rPr>
          <w:color w:val="000000"/>
          <w:sz w:val="27"/>
          <w:szCs w:val="27"/>
        </w:rPr>
        <w:br w:type="textWrapping"/>
      </w:r>
      <w:r>
        <w:rPr>
          <w:color w:val="000000"/>
          <w:sz w:val="27"/>
          <w:szCs w:val="27"/>
        </w:rPr>
        <w:t> Após a comparação entre alternativas (Pregão-SRP, Dispensa ou repasse direto de recursos às famílias), verificou-se que a solução escolhida — aquisição de kits prontos via Pregão Eletrônico — é a mais adequada, eficiente e vantajosa, não havendo alternativa mais benéfica no momento.</w:t>
      </w:r>
    </w:p>
    <w:p w14:paraId="61556530">
      <w:pPr>
        <w:spacing w:before="240" w:after="240"/>
        <w:jc w:val="both"/>
        <w:rPr>
          <w:color w:val="000000"/>
          <w:sz w:val="27"/>
          <w:szCs w:val="27"/>
        </w:rPr>
      </w:pPr>
      <w:r>
        <w:rPr>
          <w:b/>
          <w:bCs/>
          <w:color w:val="000000"/>
          <w:sz w:val="27"/>
          <w:szCs w:val="27"/>
        </w:rPr>
        <w:t>V — Descontinuidade da necessidade administrativa</w:t>
      </w:r>
      <w:r>
        <w:rPr>
          <w:color w:val="000000"/>
          <w:sz w:val="27"/>
          <w:szCs w:val="27"/>
        </w:rPr>
        <w:br w:type="textWrapping"/>
      </w:r>
      <w:r>
        <w:rPr>
          <w:color w:val="000000"/>
          <w:sz w:val="27"/>
          <w:szCs w:val="27"/>
        </w:rPr>
        <w:t> A necessidade permanece plenamente justificada, em razão da relevância dos eventos para o calendário escolar e para a comunidade, não havendo qualquer previsão de descontinuidade.</w:t>
      </w:r>
    </w:p>
    <w:p w14:paraId="2417CF9C">
      <w:pPr>
        <w:spacing w:before="240" w:after="240"/>
        <w:jc w:val="both"/>
        <w:rPr>
          <w:color w:val="000000"/>
          <w:sz w:val="27"/>
          <w:szCs w:val="27"/>
        </w:rPr>
      </w:pPr>
      <w:r>
        <w:rPr>
          <w:color w:val="000000"/>
          <w:sz w:val="27"/>
          <w:szCs w:val="27"/>
        </w:rPr>
        <w:t>Diante do exposto, verifica-se que não se configuram as hipóteses impeditivas previstas no art. 7º, parágrafo único, do Decreto nº 45/2025. Assim, restam mantidas a pertinência, a viabilidade e a conveniência da contratação, em conformidade com o planejamento da Secretaria Municipal de Educação.</w:t>
      </w:r>
    </w:p>
    <w:p w14:paraId="40846019">
      <w:pPr>
        <w:spacing w:before="120" w:after="120"/>
        <w:ind w:left="120" w:right="120" w:firstLine="1699"/>
        <w:jc w:val="both"/>
        <w:rPr>
          <w:color w:val="000000"/>
          <w:sz w:val="27"/>
          <w:szCs w:val="27"/>
        </w:rPr>
      </w:pPr>
      <w:r>
        <w:rPr>
          <w:color w:val="000000"/>
          <w:sz w:val="27"/>
          <w:szCs w:val="27"/>
        </w:rPr>
        <w:br w:type="textWrapping"/>
      </w:r>
      <w:r>
        <w:rPr>
          <w:color w:val="000000"/>
          <w:sz w:val="27"/>
          <w:szCs w:val="27"/>
        </w:rPr>
        <w:t> </w:t>
      </w:r>
    </w:p>
    <w:p w14:paraId="3167836A">
      <w:pPr>
        <w:numPr>
          <w:ilvl w:val="0"/>
          <w:numId w:val="71"/>
        </w:numPr>
        <w:rPr>
          <w:color w:val="000000"/>
          <w:sz w:val="27"/>
          <w:szCs w:val="27"/>
        </w:rPr>
      </w:pPr>
      <w:r>
        <w:rPr>
          <w:b/>
          <w:bCs/>
          <w:color w:val="000000"/>
          <w:sz w:val="27"/>
          <w:szCs w:val="27"/>
          <w:shd w:val="clear" w:color="auto" w:fill="D9D9D9"/>
        </w:rPr>
        <w:t>CONTRATAÇÕES CORRELATAS E/OU INTERDEPENDENTES  (Art. 18, §1º, inciso XI, da Lei 14.133/2021)</w:t>
      </w:r>
    </w:p>
    <w:p w14:paraId="6B29354C">
      <w:pPr>
        <w:spacing w:before="120" w:after="120"/>
        <w:ind w:left="120" w:right="120" w:firstLine="1699"/>
        <w:jc w:val="both"/>
        <w:rPr>
          <w:color w:val="000000"/>
          <w:sz w:val="27"/>
          <w:szCs w:val="27"/>
        </w:rPr>
      </w:pPr>
      <w:r>
        <w:rPr>
          <w:color w:val="000000"/>
          <w:sz w:val="27"/>
          <w:szCs w:val="27"/>
        </w:rPr>
        <w:br w:type="textWrapping"/>
      </w:r>
      <w:r>
        <w:rPr>
          <w:color w:val="000000"/>
          <w:sz w:val="27"/>
          <w:szCs w:val="27"/>
        </w:rPr>
        <w:t> </w:t>
      </w:r>
    </w:p>
    <w:p w14:paraId="26EEA2DE">
      <w:pPr>
        <w:spacing w:before="240" w:after="240"/>
        <w:ind w:firstLine="280"/>
        <w:jc w:val="both"/>
        <w:rPr>
          <w:color w:val="000000"/>
          <w:sz w:val="27"/>
          <w:szCs w:val="27"/>
        </w:rPr>
      </w:pPr>
      <w:r>
        <w:rPr>
          <w:color w:val="000000"/>
          <w:sz w:val="27"/>
          <w:szCs w:val="27"/>
        </w:rPr>
        <w:t>Não há contratações correlatas e/ou interdependentes no âmbito da Secretaria Municipal de Educação que favoreçam a melhor utilização de recursos gerais disponíveis.  </w:t>
      </w:r>
    </w:p>
    <w:p w14:paraId="2BEAD4AC">
      <w:pPr>
        <w:spacing w:before="120" w:after="120"/>
        <w:ind w:left="120" w:right="120" w:firstLine="1699"/>
        <w:jc w:val="both"/>
        <w:rPr>
          <w:color w:val="000000"/>
          <w:sz w:val="27"/>
          <w:szCs w:val="27"/>
        </w:rPr>
      </w:pPr>
      <w:r>
        <w:rPr>
          <w:color w:val="000000"/>
          <w:sz w:val="27"/>
          <w:szCs w:val="27"/>
        </w:rPr>
        <w:br w:type="textWrapping"/>
      </w:r>
      <w:r>
        <w:rPr>
          <w:color w:val="000000"/>
          <w:sz w:val="27"/>
          <w:szCs w:val="27"/>
        </w:rPr>
        <w:t> </w:t>
      </w:r>
    </w:p>
    <w:p w14:paraId="6AEDA2E6">
      <w:pPr>
        <w:numPr>
          <w:ilvl w:val="0"/>
          <w:numId w:val="72"/>
        </w:numPr>
        <w:spacing w:after="360"/>
        <w:ind w:right="108"/>
        <w:jc w:val="both"/>
        <w:rPr>
          <w:color w:val="000000"/>
          <w:sz w:val="27"/>
          <w:szCs w:val="27"/>
        </w:rPr>
      </w:pPr>
      <w:r>
        <w:rPr>
          <w:b/>
          <w:bCs/>
          <w:color w:val="000000"/>
          <w:sz w:val="27"/>
          <w:szCs w:val="27"/>
          <w:shd w:val="clear" w:color="auto" w:fill="CCCCCC"/>
        </w:rPr>
        <w:t>POSSÍVEIS IMPACTOS AMBIENTAIS E SUSTENTABILIDADE (Art. 18, §1º, inciso XII, da Lei 14.133/2021</w:t>
      </w:r>
      <w:r>
        <w:rPr>
          <w:color w:val="000000"/>
          <w:sz w:val="27"/>
          <w:szCs w:val="27"/>
        </w:rPr>
        <w:br w:type="textWrapping"/>
      </w:r>
      <w:r>
        <w:rPr>
          <w:color w:val="000000"/>
          <w:sz w:val="27"/>
          <w:szCs w:val="27"/>
        </w:rPr>
        <w:t> </w:t>
      </w:r>
    </w:p>
    <w:p w14:paraId="398F3848">
      <w:pPr>
        <w:spacing w:before="240" w:after="240"/>
        <w:jc w:val="both"/>
        <w:rPr>
          <w:color w:val="000000"/>
          <w:sz w:val="27"/>
          <w:szCs w:val="27"/>
        </w:rPr>
      </w:pPr>
      <w:r>
        <w:rPr>
          <w:color w:val="000000"/>
          <w:sz w:val="27"/>
          <w:szCs w:val="27"/>
        </w:rPr>
        <w:t>A contratação de kits de lanches prontos, embora seja uma solução prática e segura para atender aos alunos participantes dos desfiles cívicos, pode gerar alguns impactos ambientais, principalmente relacionados ao uso de embalagens descartáveis, transporte dos alimentos e descarte dos resíduos.</w:t>
      </w:r>
    </w:p>
    <w:p w14:paraId="466EFD32">
      <w:pPr>
        <w:spacing w:before="240" w:after="240"/>
        <w:jc w:val="both"/>
        <w:rPr>
          <w:color w:val="000000"/>
          <w:sz w:val="27"/>
          <w:szCs w:val="27"/>
        </w:rPr>
      </w:pPr>
      <w:r>
        <w:rPr>
          <w:color w:val="000000"/>
          <w:sz w:val="27"/>
          <w:szCs w:val="27"/>
        </w:rPr>
        <w:t>Os principais impactos ambientais identificados são:</w:t>
      </w:r>
    </w:p>
    <w:p w14:paraId="2AF4353E">
      <w:pPr>
        <w:numPr>
          <w:ilvl w:val="0"/>
          <w:numId w:val="73"/>
        </w:numPr>
        <w:spacing w:before="240"/>
        <w:jc w:val="both"/>
        <w:rPr>
          <w:color w:val="000000"/>
          <w:sz w:val="27"/>
          <w:szCs w:val="27"/>
        </w:rPr>
      </w:pPr>
      <w:r>
        <w:rPr>
          <w:color w:val="000000"/>
          <w:sz w:val="27"/>
          <w:szCs w:val="27"/>
        </w:rPr>
        <w:t>Geração de resíduos sólidos: O acondicionamento individual dos kits exige o uso de embalagens plásticas, papel ou isopor, bem como sacolas ou caixas para transporte, o que contribui para o volume de lixo gerado.</w:t>
      </w:r>
    </w:p>
    <w:p w14:paraId="75AB4956">
      <w:pPr>
        <w:numPr>
          <w:ilvl w:val="0"/>
          <w:numId w:val="73"/>
        </w:numPr>
        <w:jc w:val="both"/>
        <w:rPr>
          <w:color w:val="000000"/>
          <w:sz w:val="27"/>
          <w:szCs w:val="27"/>
        </w:rPr>
      </w:pPr>
      <w:r>
        <w:rPr>
          <w:color w:val="000000"/>
          <w:sz w:val="27"/>
          <w:szCs w:val="27"/>
        </w:rPr>
        <w:t>Consumo de recursos naturais: O preparo e a distribuição dos kits demandam o uso de insumos, água e energia elétrica, além de combustível para o transporte.</w:t>
      </w:r>
      <w:r>
        <w:rPr>
          <w:color w:val="000000"/>
          <w:sz w:val="27"/>
          <w:szCs w:val="27"/>
        </w:rPr>
        <w:br w:type="textWrapping"/>
      </w:r>
      <w:r>
        <w:rPr>
          <w:color w:val="000000"/>
          <w:sz w:val="27"/>
          <w:szCs w:val="27"/>
        </w:rPr>
        <w:br w:type="textWrapping"/>
      </w:r>
      <w:r>
        <w:rPr>
          <w:color w:val="000000"/>
          <w:sz w:val="27"/>
          <w:szCs w:val="27"/>
        </w:rPr>
        <w:t> </w:t>
      </w:r>
    </w:p>
    <w:p w14:paraId="472962D3">
      <w:pPr>
        <w:numPr>
          <w:ilvl w:val="0"/>
          <w:numId w:val="73"/>
        </w:numPr>
        <w:spacing w:after="240"/>
        <w:jc w:val="both"/>
        <w:rPr>
          <w:color w:val="000000"/>
          <w:sz w:val="27"/>
          <w:szCs w:val="27"/>
        </w:rPr>
      </w:pPr>
      <w:r>
        <w:rPr>
          <w:color w:val="000000"/>
          <w:sz w:val="27"/>
          <w:szCs w:val="27"/>
        </w:rPr>
        <w:t>Emissão de gases poluentes: O deslocamento dos veículos utilizados para entrega dos kits contribui para a emissão de gases de efeito estufa.</w:t>
      </w:r>
    </w:p>
    <w:p w14:paraId="19C118CA">
      <w:pPr>
        <w:spacing w:before="240" w:after="240"/>
        <w:jc w:val="both"/>
        <w:rPr>
          <w:color w:val="000000"/>
          <w:sz w:val="27"/>
          <w:szCs w:val="27"/>
        </w:rPr>
      </w:pPr>
      <w:r>
        <w:rPr>
          <w:color w:val="000000"/>
          <w:sz w:val="27"/>
          <w:szCs w:val="27"/>
        </w:rPr>
        <w:t>Para mitigar esses impactos, a Administração deverá adotar as seguintes medidas:</w:t>
      </w:r>
    </w:p>
    <w:p w14:paraId="1FE0B296">
      <w:pPr>
        <w:spacing w:before="240" w:after="240"/>
        <w:jc w:val="both"/>
        <w:rPr>
          <w:color w:val="000000"/>
          <w:sz w:val="27"/>
          <w:szCs w:val="27"/>
        </w:rPr>
      </w:pPr>
      <w:r>
        <w:rPr>
          <w:color w:val="000000"/>
          <w:sz w:val="27"/>
          <w:szCs w:val="27"/>
        </w:rPr>
        <w:t>Exigir embalagens sustentáveis sempre que possível, priorizando materiais recicláveis, biodegradáveis ou reutilizáveis, desde que atendam às normas sanitárias e garantam a integridade dos alimentos.</w:t>
      </w:r>
      <w:r>
        <w:rPr>
          <w:color w:val="000000"/>
          <w:sz w:val="27"/>
          <w:szCs w:val="27"/>
        </w:rPr>
        <w:br w:type="textWrapping"/>
      </w:r>
      <w:r>
        <w:rPr>
          <w:color w:val="000000"/>
          <w:sz w:val="27"/>
          <w:szCs w:val="27"/>
        </w:rPr>
        <w:t> Incluir cláusulas no Termo de Referência que incentivem os fornecedores a apresentar alternativas ambientalmente responsáveis, como redução do uso de plástico, utilização de embalagens certificadas ou de menor impacto ambiental.</w:t>
      </w:r>
      <w:r>
        <w:rPr>
          <w:color w:val="000000"/>
          <w:sz w:val="27"/>
          <w:szCs w:val="27"/>
        </w:rPr>
        <w:br w:type="textWrapping"/>
      </w:r>
      <w:r>
        <w:rPr>
          <w:color w:val="000000"/>
          <w:sz w:val="27"/>
          <w:szCs w:val="27"/>
        </w:rPr>
        <w:t>Orientar as unidades escolares a organizar pontos de coleta para descarte correto das embalagens após o consumo, estimulando a separação dos resíduos recicláveis.</w:t>
      </w:r>
      <w:r>
        <w:rPr>
          <w:color w:val="000000"/>
          <w:sz w:val="27"/>
          <w:szCs w:val="27"/>
        </w:rPr>
        <w:br w:type="textWrapping"/>
      </w:r>
      <w:r>
        <w:rPr>
          <w:color w:val="000000"/>
          <w:sz w:val="27"/>
          <w:szCs w:val="27"/>
        </w:rPr>
        <w:t> Sensibilizar alunos e equipes para a destinação adequada do lixo durante e após os eventos, com apoio de campanhas de educação ambiental.</w:t>
      </w:r>
      <w:r>
        <w:rPr>
          <w:color w:val="000000"/>
          <w:sz w:val="27"/>
          <w:szCs w:val="27"/>
        </w:rPr>
        <w:br w:type="textWrapping"/>
      </w:r>
      <w:r>
        <w:rPr>
          <w:color w:val="000000"/>
          <w:sz w:val="27"/>
          <w:szCs w:val="27"/>
        </w:rPr>
        <w:t>Planejar rotas logísticas otimizadas para a entrega dos kits, evitando deslocamentos desnecessários e, consequentemente, reduzindo a emissão de gases poluentes.</w:t>
      </w:r>
    </w:p>
    <w:p w14:paraId="0A2FD69F">
      <w:pPr>
        <w:spacing w:before="240" w:after="240"/>
        <w:jc w:val="both"/>
        <w:rPr>
          <w:color w:val="000000"/>
          <w:sz w:val="27"/>
          <w:szCs w:val="27"/>
        </w:rPr>
      </w:pPr>
      <w:r>
        <w:rPr>
          <w:color w:val="000000"/>
          <w:sz w:val="27"/>
          <w:szCs w:val="27"/>
        </w:rPr>
        <w:t>Com essas medidas, busca-se minimizar os impactos ambientais negativos, promovendo o consumo responsável, o descarte correto dos resíduos e a responsabilidade socioambiental, em consonância com os princípios da sustentabilidade previstos na Lei nº 14.133/2021 e na legislação ambiental vigente.</w:t>
      </w:r>
    </w:p>
    <w:p w14:paraId="68495917">
      <w:pPr>
        <w:spacing w:before="120" w:after="120"/>
        <w:ind w:left="120" w:right="120" w:firstLine="1699"/>
        <w:jc w:val="both"/>
        <w:rPr>
          <w:color w:val="000000"/>
          <w:sz w:val="27"/>
          <w:szCs w:val="27"/>
        </w:rPr>
      </w:pPr>
      <w:r>
        <w:rPr>
          <w:color w:val="000000"/>
          <w:sz w:val="27"/>
          <w:szCs w:val="27"/>
        </w:rPr>
        <w:br w:type="textWrapping"/>
      </w:r>
      <w:r>
        <w:rPr>
          <w:color w:val="000000"/>
          <w:sz w:val="27"/>
          <w:szCs w:val="27"/>
        </w:rPr>
        <w:t> </w:t>
      </w:r>
    </w:p>
    <w:p w14:paraId="60EBC48F">
      <w:pPr>
        <w:numPr>
          <w:ilvl w:val="0"/>
          <w:numId w:val="74"/>
        </w:numPr>
        <w:spacing w:before="1"/>
        <w:jc w:val="both"/>
        <w:rPr>
          <w:color w:val="000000"/>
          <w:sz w:val="27"/>
          <w:szCs w:val="27"/>
        </w:rPr>
      </w:pPr>
      <w:r>
        <w:rPr>
          <w:b/>
          <w:bCs/>
          <w:color w:val="000000"/>
          <w:sz w:val="27"/>
          <w:szCs w:val="27"/>
          <w:shd w:val="clear" w:color="auto" w:fill="D9D9D9"/>
        </w:rPr>
        <w:t>    POSICIONAMENTO CONCLUSIVO SOBRE A VIABILIDADE OU NÃO DA CONTRATAÇÃO (Art. 18, §1º, inciso XIII, da Lei 14.133/2021)</w:t>
      </w:r>
    </w:p>
    <w:p w14:paraId="4FE08FCB">
      <w:pPr>
        <w:spacing w:before="120" w:after="120"/>
        <w:ind w:left="120" w:right="120" w:firstLine="1699"/>
        <w:jc w:val="both"/>
        <w:rPr>
          <w:color w:val="000000"/>
          <w:sz w:val="27"/>
          <w:szCs w:val="27"/>
        </w:rPr>
      </w:pPr>
      <w:r>
        <w:rPr>
          <w:color w:val="000000"/>
          <w:sz w:val="27"/>
          <w:szCs w:val="27"/>
        </w:rPr>
        <w:br w:type="textWrapping"/>
      </w:r>
      <w:r>
        <w:rPr>
          <w:color w:val="000000"/>
          <w:sz w:val="27"/>
          <w:szCs w:val="27"/>
        </w:rPr>
        <w:t> </w:t>
      </w:r>
    </w:p>
    <w:p w14:paraId="74F94386">
      <w:pPr>
        <w:spacing w:before="1"/>
        <w:ind w:right="113"/>
        <w:jc w:val="both"/>
        <w:rPr>
          <w:color w:val="000000"/>
          <w:sz w:val="27"/>
          <w:szCs w:val="27"/>
        </w:rPr>
      </w:pPr>
      <w:r>
        <w:rPr>
          <w:color w:val="000000"/>
          <w:sz w:val="27"/>
          <w:szCs w:val="27"/>
        </w:rPr>
        <w:t>Considerando o exposto, em especial a necessidade do objeto deste estudo, o levantamento de mercado, o impacto ambiental, a igualdade de condições na escola, e a solução mais vantajosa para a Administração e que garanta produtos de qualidade a custos mais reduzidos, contribuindo para a diminuição dos gastos públicos, esta equipe de planejamento declara VIÁVEL esta contratação com base neste Estudo Técnico Preliminar, consoante às normas estabelecidas na Lei Federal nº 14.133/2021.</w:t>
      </w:r>
    </w:p>
    <w:p w14:paraId="19A05149">
      <w:pPr>
        <w:spacing w:before="240" w:after="240"/>
        <w:jc w:val="both"/>
        <w:rPr>
          <w:color w:val="000000"/>
          <w:sz w:val="27"/>
          <w:szCs w:val="27"/>
        </w:rPr>
      </w:pPr>
      <w:r>
        <w:rPr>
          <w:color w:val="000000"/>
          <w:sz w:val="27"/>
          <w:szCs w:val="27"/>
        </w:rPr>
        <w:t>Ratifica-se a manifestação do setor técnico demandante quanto à compatibilidade da solução apresentada com a necessidade identificada, à viabilidade técnica da proposta e à atualidade econômica das informações constantes no Estudo Técnico Preliminar (ETP).</w:t>
      </w:r>
    </w:p>
    <w:p w14:paraId="365B1CAF">
      <w:pPr>
        <w:spacing w:before="240" w:after="240"/>
        <w:jc w:val="both"/>
        <w:rPr>
          <w:color w:val="000000"/>
          <w:sz w:val="27"/>
          <w:szCs w:val="27"/>
        </w:rPr>
      </w:pPr>
      <w:r>
        <w:rPr>
          <w:color w:val="000000"/>
          <w:sz w:val="27"/>
          <w:szCs w:val="27"/>
        </w:rPr>
        <w:t>A análise realizada demonstra que o ETP está devidamente fundamentado, refletindo as condições reais de atendimento da demanda, com base em parâmetros técnicos atualizados e em conformidade com as exigências do mercado. Ressalta-se que o documento contempla avaliação criteriosa das possíveis soluções, análise de riscos, estimativas de custo e justificativas que demonstram sua adequação às diretrizes legais e aos princípios da administração pública.</w:t>
      </w:r>
    </w:p>
    <w:p w14:paraId="60684422">
      <w:pPr>
        <w:spacing w:before="240" w:after="240"/>
        <w:jc w:val="both"/>
        <w:rPr>
          <w:color w:val="000000"/>
          <w:sz w:val="27"/>
          <w:szCs w:val="27"/>
        </w:rPr>
      </w:pPr>
      <w:r>
        <w:rPr>
          <w:color w:val="000000"/>
          <w:sz w:val="27"/>
          <w:szCs w:val="27"/>
        </w:rPr>
        <w:t>A equipe de planejamento certifica que a solução proposta está adequada à demanda apresentada pela área requisitante, atendendo aos requisitos técnicos, operacionais e legais necessários para o cumprimento do objeto. Após análise criteriosa, verificou-se que a solução é compatível com as necessidades identificadas, demonstrando viabilidade prática, efetividade na execução e alinhamento com os princípios da economicidade e eficiência que regem a Administração Pública.</w:t>
      </w:r>
    </w:p>
    <w:p w14:paraId="1B0AAF09">
      <w:pPr>
        <w:spacing w:before="240" w:after="240"/>
        <w:jc w:val="both"/>
        <w:rPr>
          <w:color w:val="000000"/>
          <w:sz w:val="27"/>
          <w:szCs w:val="27"/>
        </w:rPr>
      </w:pPr>
      <w:r>
        <w:rPr>
          <w:color w:val="000000"/>
          <w:sz w:val="27"/>
          <w:szCs w:val="27"/>
        </w:rPr>
        <w:t>Dessa forma, o ETP atende plenamente aos requisitos previstos na Lei nº 14.133/2021, sendo considerado tecnicamente viável, economicamente compatível com o mercado e adequado às necessidades da Administração, servindo como base segura para o prosseguimento da contratação.</w:t>
      </w:r>
    </w:p>
    <w:p w14:paraId="03E9A837">
      <w:pPr>
        <w:spacing w:before="120" w:after="120"/>
        <w:ind w:left="120" w:right="120" w:firstLine="1699"/>
        <w:jc w:val="both"/>
        <w:rPr>
          <w:color w:val="000000"/>
          <w:sz w:val="27"/>
          <w:szCs w:val="27"/>
        </w:rPr>
      </w:pPr>
      <w:r>
        <w:rPr>
          <w:color w:val="000000"/>
          <w:sz w:val="27"/>
          <w:szCs w:val="27"/>
        </w:rPr>
        <w:t> </w:t>
      </w:r>
    </w:p>
    <w:p w14:paraId="35E70572">
      <w:pPr>
        <w:spacing w:before="120" w:after="120"/>
        <w:ind w:left="120" w:right="120" w:firstLine="1699"/>
        <w:jc w:val="both"/>
        <w:rPr>
          <w:color w:val="000000"/>
          <w:sz w:val="27"/>
          <w:szCs w:val="27"/>
        </w:rPr>
      </w:pPr>
      <w:r>
        <w:rPr>
          <w:color w:val="000000"/>
          <w:sz w:val="27"/>
          <w:szCs w:val="27"/>
        </w:rPr>
        <w:br w:type="textWrapping"/>
      </w:r>
      <w:r>
        <w:rPr>
          <w:color w:val="000000"/>
          <w:sz w:val="27"/>
          <w:szCs w:val="27"/>
        </w:rPr>
        <w:t> </w:t>
      </w:r>
    </w:p>
    <w:p w14:paraId="7AC8BA7B">
      <w:pPr>
        <w:spacing w:before="1"/>
        <w:jc w:val="both"/>
        <w:rPr>
          <w:color w:val="000000"/>
          <w:sz w:val="27"/>
          <w:szCs w:val="27"/>
        </w:rPr>
      </w:pPr>
      <w:r>
        <w:rPr>
          <w:b/>
          <w:bCs/>
          <w:color w:val="000000"/>
          <w:sz w:val="27"/>
          <w:szCs w:val="27"/>
          <w:shd w:val="clear" w:color="auto" w:fill="D9D9D9"/>
        </w:rPr>
        <w:t>15 - RATIFICAÇÃO DO ETP E RESPONSÁVEIS PELA ELABORAÇÃO</w:t>
      </w:r>
      <w:r>
        <w:rPr>
          <w:color w:val="000000"/>
          <w:sz w:val="27"/>
          <w:szCs w:val="27"/>
        </w:rPr>
        <w:br w:type="textWrapping"/>
      </w:r>
      <w:r>
        <w:rPr>
          <w:color w:val="000000"/>
          <w:sz w:val="27"/>
          <w:szCs w:val="27"/>
        </w:rPr>
        <w:t> </w:t>
      </w:r>
    </w:p>
    <w:p w14:paraId="01A6F93F">
      <w:pPr>
        <w:spacing w:before="240" w:after="240"/>
        <w:jc w:val="both"/>
        <w:rPr>
          <w:color w:val="000000"/>
          <w:sz w:val="27"/>
          <w:szCs w:val="27"/>
        </w:rPr>
      </w:pPr>
      <w:r>
        <w:rPr>
          <w:color w:val="000000"/>
          <w:sz w:val="27"/>
          <w:szCs w:val="27"/>
        </w:rPr>
        <w:t>O setor técnico, após análise criteriosa, ratifica o Estudo Técnico Preliminar (ETP) elaborado para a contratação em questão, atestando sua conformidade com os requisitos técnicos da demanda, bem como sua aderência às normas vigentes.</w:t>
      </w:r>
    </w:p>
    <w:p w14:paraId="7DB4A366">
      <w:pPr>
        <w:spacing w:before="240" w:after="240"/>
        <w:jc w:val="both"/>
        <w:rPr>
          <w:color w:val="000000"/>
          <w:sz w:val="27"/>
          <w:szCs w:val="27"/>
        </w:rPr>
      </w:pPr>
      <w:r>
        <w:rPr>
          <w:color w:val="000000"/>
          <w:sz w:val="27"/>
          <w:szCs w:val="27"/>
        </w:rPr>
        <w:t>A solução apresentada no ETP revela-se tecnicamente viável, considerando os aspectos operacionais, a compatibilidade com a estrutura da Administração e a capacidade de atendimento às necessidades identificadas. O estudo contempla alternativas de execução, análise de riscos, estimativas de custos e justificativas detalhadas que fundamentam a escolha da solução mais adequada.</w:t>
      </w:r>
    </w:p>
    <w:p w14:paraId="15ED8522">
      <w:pPr>
        <w:spacing w:before="240" w:after="240"/>
        <w:jc w:val="both"/>
        <w:rPr>
          <w:color w:val="000000"/>
          <w:sz w:val="27"/>
          <w:szCs w:val="27"/>
        </w:rPr>
      </w:pPr>
      <w:r>
        <w:rPr>
          <w:color w:val="000000"/>
          <w:sz w:val="27"/>
          <w:szCs w:val="27"/>
        </w:rPr>
        <w:t>Além disso, verifica-se a atualidade econômica do ETP, uma vez que os dados de mercado utilizados para a estimativa de preços foram coletados recentemente, por meio de fontes válidas e confiáveis, incluindo contratos similares, publicações especializadas e consultas a fornecedores. Essa abordagem garante que a contratação será pautada em valores compatíveis com a realidade do mercado, promovendo a economicidade e a adequada aplicação dos recursos públicos.</w:t>
      </w:r>
    </w:p>
    <w:p w14:paraId="541918C8">
      <w:pPr>
        <w:spacing w:before="240" w:after="240"/>
        <w:jc w:val="both"/>
        <w:rPr>
          <w:color w:val="000000"/>
          <w:sz w:val="27"/>
          <w:szCs w:val="27"/>
        </w:rPr>
      </w:pPr>
      <w:r>
        <w:rPr>
          <w:color w:val="000000"/>
          <w:sz w:val="27"/>
          <w:szCs w:val="27"/>
        </w:rPr>
        <w:t>Diante disso, o setor técnico manifesta-se favoravelmente à continuidade do processo, com base no ETP ratificado, por entender que ele atende aos princípios da eficiência, economicidade e interesse público.</w:t>
      </w:r>
    </w:p>
    <w:p w14:paraId="61D889AB">
      <w:pPr>
        <w:spacing w:after="160"/>
        <w:ind w:left="120" w:right="120" w:firstLine="1699"/>
        <w:jc w:val="both"/>
        <w:rPr>
          <w:color w:val="000000"/>
          <w:sz w:val="27"/>
          <w:szCs w:val="27"/>
        </w:rPr>
      </w:pPr>
      <w:r>
        <w:rPr>
          <w:color w:val="000000"/>
          <w:sz w:val="27"/>
          <w:szCs w:val="27"/>
        </w:rPr>
        <w:t>  </w:t>
      </w:r>
    </w:p>
    <w:p w14:paraId="4B265D3B">
      <w:pPr>
        <w:spacing w:after="160"/>
        <w:jc w:val="both"/>
        <w:rPr>
          <w:color w:val="000000"/>
          <w:sz w:val="27"/>
          <w:szCs w:val="27"/>
        </w:rPr>
      </w:pPr>
      <w:r>
        <w:rPr>
          <w:b/>
          <w:bCs/>
          <w:color w:val="000000"/>
          <w:sz w:val="27"/>
          <w:szCs w:val="27"/>
        </w:rPr>
        <w:t>Marianne Elena da Silva - Matrícula 140.180 - Gestora do Contrato</w:t>
      </w:r>
    </w:p>
    <w:p w14:paraId="19D380CB">
      <w:pPr>
        <w:spacing w:after="160"/>
        <w:jc w:val="both"/>
        <w:rPr>
          <w:color w:val="000000"/>
          <w:sz w:val="27"/>
          <w:szCs w:val="27"/>
        </w:rPr>
      </w:pPr>
      <w:r>
        <w:rPr>
          <w:b/>
          <w:bCs/>
          <w:color w:val="000000"/>
          <w:sz w:val="27"/>
          <w:szCs w:val="27"/>
        </w:rPr>
        <w:t>Maria Eduarda Damasceno Maia - Matrícula 211.761  - Gestora do Contrato Suplente       </w:t>
      </w:r>
    </w:p>
    <w:p w14:paraId="6200B5D9">
      <w:pPr>
        <w:spacing w:after="160"/>
        <w:jc w:val="both"/>
        <w:rPr>
          <w:color w:val="000000"/>
          <w:sz w:val="27"/>
          <w:szCs w:val="27"/>
        </w:rPr>
      </w:pPr>
      <w:r>
        <w:rPr>
          <w:b/>
          <w:bCs/>
          <w:color w:val="000000"/>
          <w:sz w:val="27"/>
          <w:szCs w:val="27"/>
        </w:rPr>
        <w:t>Maraci da Silva Corrêa do Natal - Matrícula: 126.276-  Fiscal Técnico</w:t>
      </w:r>
    </w:p>
    <w:p w14:paraId="504D3852">
      <w:pPr>
        <w:spacing w:after="160"/>
        <w:jc w:val="both"/>
        <w:rPr>
          <w:color w:val="000000"/>
          <w:sz w:val="27"/>
          <w:szCs w:val="27"/>
        </w:rPr>
      </w:pPr>
      <w:r>
        <w:rPr>
          <w:b/>
          <w:bCs/>
          <w:color w:val="000000"/>
          <w:sz w:val="27"/>
          <w:szCs w:val="27"/>
        </w:rPr>
        <w:t>Silvia Souza Maria - Matrícula: 138.630 - Fiscal Setorial</w:t>
      </w:r>
    </w:p>
    <w:p w14:paraId="3D76909C">
      <w:pPr>
        <w:spacing w:after="160"/>
        <w:jc w:val="both"/>
        <w:rPr>
          <w:color w:val="000000"/>
          <w:sz w:val="27"/>
          <w:szCs w:val="27"/>
        </w:rPr>
      </w:pPr>
      <w:r>
        <w:rPr>
          <w:b/>
          <w:bCs/>
          <w:color w:val="000000"/>
          <w:sz w:val="27"/>
          <w:szCs w:val="27"/>
        </w:rPr>
        <w:t>Thaianne Miguel Ferreira - Matrícula: 144.219 - Fiscal Administrativo e  responsável pela elaboração do EPT e do Termo de Referência.</w:t>
      </w:r>
    </w:p>
    <w:p w14:paraId="08967CF4">
      <w:pPr>
        <w:spacing w:before="120" w:after="120"/>
        <w:ind w:left="120" w:right="120" w:firstLine="1699"/>
        <w:jc w:val="both"/>
        <w:rPr>
          <w:color w:val="000000"/>
          <w:sz w:val="27"/>
          <w:szCs w:val="27"/>
        </w:rPr>
      </w:pPr>
      <w:r>
        <w:rPr>
          <w:color w:val="000000"/>
          <w:sz w:val="27"/>
          <w:szCs w:val="27"/>
        </w:rPr>
        <w:br w:type="textWrapping"/>
      </w:r>
      <w:r>
        <w:rPr>
          <w:color w:val="000000"/>
          <w:sz w:val="27"/>
          <w:szCs w:val="27"/>
        </w:rPr>
        <w:br w:type="textWrapping"/>
      </w:r>
      <w:r>
        <w:rPr>
          <w:color w:val="000000"/>
          <w:sz w:val="27"/>
          <w:szCs w:val="27"/>
        </w:rPr>
        <w:t> </w:t>
      </w:r>
    </w:p>
    <w:p w14:paraId="10444CAC">
      <w:pPr>
        <w:spacing w:before="240"/>
        <w:jc w:val="both"/>
        <w:rPr>
          <w:color w:val="000000"/>
          <w:sz w:val="27"/>
          <w:szCs w:val="27"/>
        </w:rPr>
      </w:pPr>
      <w:r>
        <w:rPr>
          <w:color w:val="000000"/>
          <w:sz w:val="27"/>
          <w:szCs w:val="27"/>
        </w:rPr>
        <w:t>Em conformidade com a legislação que rege o tema, encaminhe-se à autoridade competente para análise de conveniência e oportunidade para a contratação e demais providências cabíveis.</w:t>
      </w:r>
    </w:p>
    <w:p w14:paraId="273E2685">
      <w:pPr>
        <w:spacing w:before="120" w:after="120"/>
        <w:ind w:left="120" w:right="120" w:firstLine="1699"/>
        <w:jc w:val="both"/>
        <w:rPr>
          <w:color w:val="000000"/>
          <w:sz w:val="27"/>
          <w:szCs w:val="27"/>
        </w:rPr>
      </w:pPr>
      <w:r>
        <w:rPr>
          <w:color w:val="000000"/>
          <w:sz w:val="27"/>
          <w:szCs w:val="27"/>
        </w:rPr>
        <w:br w:type="textWrapping"/>
      </w:r>
      <w:r>
        <w:rPr>
          <w:color w:val="000000"/>
          <w:sz w:val="27"/>
          <w:szCs w:val="27"/>
        </w:rPr>
        <w:t> </w:t>
      </w:r>
    </w:p>
    <w:p w14:paraId="16589376">
      <w:pPr>
        <w:jc w:val="center"/>
        <w:rPr>
          <w:color w:val="000000"/>
          <w:sz w:val="27"/>
          <w:szCs w:val="27"/>
        </w:rPr>
      </w:pPr>
      <w:r>
        <w:rPr>
          <w:b/>
          <w:bCs/>
          <w:color w:val="000000"/>
          <w:sz w:val="27"/>
          <w:szCs w:val="27"/>
        </w:rPr>
        <w:t>Valença, 08 de junho de 2026.</w:t>
      </w:r>
    </w:p>
    <w:p w14:paraId="5F1DD2DB">
      <w:pPr>
        <w:spacing w:before="120" w:after="120"/>
        <w:ind w:left="120" w:right="120" w:firstLine="1699"/>
        <w:jc w:val="both"/>
        <w:rPr>
          <w:color w:val="000000"/>
          <w:sz w:val="27"/>
          <w:szCs w:val="27"/>
        </w:rPr>
      </w:pPr>
      <w:r>
        <w:rPr>
          <w:color w:val="000000"/>
          <w:sz w:val="27"/>
          <w:szCs w:val="27"/>
        </w:rPr>
        <w:br w:type="textWrapping"/>
      </w:r>
      <w:r>
        <w:rPr>
          <w:color w:val="000000"/>
          <w:sz w:val="27"/>
          <w:szCs w:val="27"/>
        </w:rPr>
        <w:t> </w:t>
      </w:r>
    </w:p>
    <w:p w14:paraId="162F1638">
      <w:pPr>
        <w:jc w:val="center"/>
        <w:rPr>
          <w:color w:val="000000"/>
          <w:sz w:val="27"/>
          <w:szCs w:val="27"/>
        </w:rPr>
      </w:pPr>
      <w:r>
        <w:rPr>
          <w:b/>
          <w:bCs/>
          <w:color w:val="000000"/>
          <w:sz w:val="27"/>
          <w:szCs w:val="27"/>
        </w:rPr>
        <w:t>_________________________________________________________</w:t>
      </w:r>
    </w:p>
    <w:p w14:paraId="27742315">
      <w:pPr>
        <w:ind w:left="60" w:right="60"/>
        <w:jc w:val="center"/>
        <w:rPr>
          <w:color w:val="000000"/>
          <w:sz w:val="22"/>
          <w:szCs w:val="22"/>
        </w:rPr>
      </w:pPr>
      <w:r>
        <w:rPr>
          <w:b/>
          <w:bCs/>
          <w:color w:val="000000"/>
          <w:sz w:val="22"/>
          <w:szCs w:val="22"/>
        </w:rPr>
        <w:t>Renata Andrade Leite</w:t>
      </w:r>
    </w:p>
    <w:p w14:paraId="2D72B412">
      <w:pPr>
        <w:ind w:left="60" w:right="60"/>
        <w:jc w:val="center"/>
        <w:rPr>
          <w:color w:val="000000"/>
          <w:sz w:val="22"/>
          <w:szCs w:val="22"/>
        </w:rPr>
      </w:pPr>
      <w:r>
        <w:rPr>
          <w:b/>
          <w:bCs/>
          <w:color w:val="000000"/>
          <w:sz w:val="22"/>
          <w:szCs w:val="22"/>
        </w:rPr>
        <w:t>Secretária Municipal de Educação</w:t>
      </w:r>
    </w:p>
    <w:p w14:paraId="2472EF68">
      <w:pPr>
        <w:jc w:val="center"/>
        <w:rPr>
          <w:color w:val="000000"/>
          <w:sz w:val="27"/>
          <w:szCs w:val="27"/>
        </w:rPr>
      </w:pPr>
      <w:r>
        <w:rPr>
          <w:b/>
          <w:bCs/>
          <w:color w:val="000000"/>
          <w:sz w:val="27"/>
          <w:szCs w:val="27"/>
        </w:rPr>
        <w:t>Matrícula: 211.688</w:t>
      </w:r>
    </w:p>
    <w:p w14:paraId="69106AC1">
      <w:pPr>
        <w:spacing w:before="100" w:beforeAutospacing="1" w:after="100" w:afterAutospacing="1"/>
        <w:rPr>
          <w:color w:val="000000"/>
          <w:sz w:val="27"/>
          <w:szCs w:val="27"/>
        </w:rPr>
      </w:pPr>
    </w:p>
    <w:p w14:paraId="5C5D82BC">
      <w:pPr>
        <w:spacing w:before="288" w:beforeLines="120" w:after="288" w:afterLines="120" w:line="288" w:lineRule="auto"/>
        <w:contextualSpacing/>
        <w:rPr>
          <w:rFonts w:eastAsia="MS Mincho" w:asciiTheme="minorHAnsi" w:hAnsiTheme="minorHAnsi" w:cstheme="minorHAnsi"/>
          <w:b/>
          <w:sz w:val="24"/>
          <w:szCs w:val="24"/>
        </w:rPr>
      </w:pPr>
    </w:p>
    <w:p w14:paraId="45D463F3">
      <w:pPr>
        <w:spacing w:before="288" w:beforeLines="120" w:after="288" w:afterLines="120" w:line="288" w:lineRule="auto"/>
        <w:contextualSpacing/>
        <w:jc w:val="center"/>
        <w:rPr>
          <w:rFonts w:eastAsia="MS Mincho"/>
          <w:b/>
          <w:sz w:val="24"/>
          <w:szCs w:val="24"/>
        </w:rPr>
      </w:pPr>
      <w:r>
        <w:rPr>
          <w:rFonts w:eastAsia="MS Mincho"/>
          <w:b/>
          <w:sz w:val="24"/>
          <w:szCs w:val="24"/>
        </w:rPr>
        <w:t xml:space="preserve">ANEXO III </w:t>
      </w:r>
    </w:p>
    <w:p w14:paraId="5CFB102F">
      <w:pPr>
        <w:spacing w:before="288" w:beforeLines="120" w:after="288" w:afterLines="120" w:line="288" w:lineRule="auto"/>
        <w:contextualSpacing/>
        <w:jc w:val="center"/>
        <w:rPr>
          <w:rFonts w:eastAsia="MS Mincho"/>
          <w:b/>
          <w:sz w:val="24"/>
          <w:szCs w:val="24"/>
        </w:rPr>
      </w:pPr>
    </w:p>
    <w:p w14:paraId="672C69B7">
      <w:pPr>
        <w:spacing w:before="288" w:beforeLines="120" w:after="288" w:afterLines="120" w:line="288" w:lineRule="auto"/>
        <w:contextualSpacing/>
        <w:jc w:val="center"/>
        <w:rPr>
          <w:rFonts w:eastAsia="MS Mincho"/>
          <w:b/>
          <w:sz w:val="24"/>
          <w:szCs w:val="24"/>
          <w:u w:val="single"/>
        </w:rPr>
      </w:pPr>
      <w:r>
        <w:rPr>
          <w:rFonts w:eastAsia="MS Mincho"/>
          <w:b/>
          <w:sz w:val="24"/>
          <w:szCs w:val="24"/>
          <w:highlight w:val="yellow"/>
          <w:u w:val="single"/>
        </w:rPr>
        <w:t>MODELO DE PROPOSTA</w:t>
      </w:r>
    </w:p>
    <w:tbl>
      <w:tblPr>
        <w:tblStyle w:val="9"/>
        <w:tblW w:w="8895"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10"/>
        <w:gridCol w:w="1605"/>
        <w:gridCol w:w="1950"/>
        <w:gridCol w:w="585"/>
        <w:gridCol w:w="825"/>
        <w:gridCol w:w="615"/>
        <w:gridCol w:w="1245"/>
        <w:gridCol w:w="1260"/>
      </w:tblGrid>
      <w:tr w14:paraId="251E49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CCCCCC"/>
            <w:tcMar>
              <w:top w:w="100" w:type="dxa"/>
              <w:left w:w="100" w:type="dxa"/>
              <w:bottom w:w="100" w:type="dxa"/>
              <w:right w:w="100" w:type="dxa"/>
            </w:tcMar>
          </w:tcPr>
          <w:p w14:paraId="6B1AD0EC">
            <w:pPr>
              <w:pStyle w:val="56"/>
              <w:widowControl w:val="0"/>
              <w:rPr>
                <w:b/>
                <w:i/>
                <w:iCs/>
                <w:sz w:val="20"/>
                <w:szCs w:val="20"/>
              </w:rPr>
            </w:pPr>
          </w:p>
          <w:p w14:paraId="7ECDD7FB">
            <w:pPr>
              <w:pStyle w:val="56"/>
              <w:widowControl w:val="0"/>
              <w:rPr>
                <w:b/>
                <w:i/>
                <w:iCs/>
                <w:sz w:val="20"/>
                <w:szCs w:val="20"/>
              </w:rPr>
            </w:pPr>
            <w:r>
              <w:rPr>
                <w:b/>
                <w:i/>
                <w:iCs/>
                <w:sz w:val="20"/>
                <w:szCs w:val="20"/>
              </w:rPr>
              <w:t>PREFEITURA MUNICIPAL DE VALENÇA</w:t>
            </w:r>
          </w:p>
        </w:tc>
        <w:tc>
          <w:tcPr>
            <w:tcW w:w="2025" w:type="dxa"/>
            <w:gridSpan w:val="3"/>
            <w:shd w:val="clear" w:color="auto" w:fill="CCCCCC"/>
            <w:tcMar>
              <w:top w:w="100" w:type="dxa"/>
              <w:left w:w="100" w:type="dxa"/>
              <w:bottom w:w="100" w:type="dxa"/>
              <w:right w:w="100" w:type="dxa"/>
            </w:tcMar>
          </w:tcPr>
          <w:p w14:paraId="39E3A7E7">
            <w:pPr>
              <w:pStyle w:val="56"/>
              <w:widowControl w:val="0"/>
              <w:rPr>
                <w:b/>
                <w:sz w:val="20"/>
                <w:szCs w:val="20"/>
              </w:rPr>
            </w:pPr>
            <w:r>
              <w:rPr>
                <w:b/>
                <w:sz w:val="20"/>
                <w:szCs w:val="20"/>
              </w:rPr>
              <w:t>Pregão Eletrônico RP N° _____/____</w:t>
            </w:r>
          </w:p>
        </w:tc>
        <w:tc>
          <w:tcPr>
            <w:tcW w:w="2505" w:type="dxa"/>
            <w:gridSpan w:val="2"/>
            <w:shd w:val="clear" w:color="auto" w:fill="auto"/>
            <w:tcMar>
              <w:top w:w="100" w:type="dxa"/>
              <w:left w:w="100" w:type="dxa"/>
              <w:bottom w:w="100" w:type="dxa"/>
              <w:right w:w="100" w:type="dxa"/>
            </w:tcMar>
          </w:tcPr>
          <w:p w14:paraId="6DAD1C29">
            <w:pPr>
              <w:pStyle w:val="56"/>
              <w:widowControl w:val="0"/>
              <w:rPr>
                <w:b/>
                <w:sz w:val="20"/>
                <w:szCs w:val="20"/>
              </w:rPr>
            </w:pPr>
            <w:r>
              <w:rPr>
                <w:b/>
                <w:sz w:val="20"/>
                <w:szCs w:val="20"/>
              </w:rPr>
              <w:t>CNPJ:</w:t>
            </w:r>
          </w:p>
        </w:tc>
      </w:tr>
      <w:tr w14:paraId="522C88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950" w:type="dxa"/>
            <w:gridSpan w:val="4"/>
            <w:shd w:val="clear" w:color="auto" w:fill="auto"/>
            <w:tcMar>
              <w:top w:w="100" w:type="dxa"/>
              <w:left w:w="100" w:type="dxa"/>
              <w:bottom w:w="100" w:type="dxa"/>
              <w:right w:w="100" w:type="dxa"/>
            </w:tcMar>
          </w:tcPr>
          <w:p w14:paraId="15F7AAF8">
            <w:pPr>
              <w:pStyle w:val="56"/>
              <w:widowControl w:val="0"/>
              <w:rPr>
                <w:b/>
                <w:i/>
                <w:iCs/>
                <w:sz w:val="20"/>
                <w:szCs w:val="20"/>
              </w:rPr>
            </w:pPr>
            <w:r>
              <w:rPr>
                <w:b/>
                <w:i/>
                <w:iCs/>
                <w:sz w:val="20"/>
                <w:szCs w:val="20"/>
              </w:rPr>
              <w:t>Razão Social:</w:t>
            </w:r>
          </w:p>
        </w:tc>
        <w:tc>
          <w:tcPr>
            <w:tcW w:w="3945" w:type="dxa"/>
            <w:gridSpan w:val="4"/>
            <w:shd w:val="clear" w:color="auto" w:fill="auto"/>
            <w:tcMar>
              <w:top w:w="100" w:type="dxa"/>
              <w:left w:w="100" w:type="dxa"/>
              <w:bottom w:w="100" w:type="dxa"/>
              <w:right w:w="100" w:type="dxa"/>
            </w:tcMar>
          </w:tcPr>
          <w:p w14:paraId="5966A749">
            <w:pPr>
              <w:pStyle w:val="56"/>
              <w:widowControl w:val="0"/>
              <w:rPr>
                <w:b/>
                <w:sz w:val="20"/>
                <w:szCs w:val="20"/>
              </w:rPr>
            </w:pPr>
            <w:r>
              <w:rPr>
                <w:b/>
                <w:sz w:val="20"/>
                <w:szCs w:val="20"/>
              </w:rPr>
              <w:t>E-mail:</w:t>
            </w:r>
          </w:p>
        </w:tc>
      </w:tr>
      <w:tr w14:paraId="7D46F9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5775" w:type="dxa"/>
            <w:gridSpan w:val="5"/>
            <w:shd w:val="clear" w:color="auto" w:fill="auto"/>
            <w:tcMar>
              <w:top w:w="100" w:type="dxa"/>
              <w:left w:w="100" w:type="dxa"/>
              <w:bottom w:w="100" w:type="dxa"/>
              <w:right w:w="100" w:type="dxa"/>
            </w:tcMar>
          </w:tcPr>
          <w:p w14:paraId="11793B40">
            <w:pPr>
              <w:pStyle w:val="56"/>
              <w:widowControl w:val="0"/>
              <w:rPr>
                <w:b/>
                <w:i/>
                <w:iCs/>
                <w:sz w:val="20"/>
                <w:szCs w:val="20"/>
              </w:rPr>
            </w:pPr>
            <w:r>
              <w:rPr>
                <w:b/>
                <w:i/>
                <w:iCs/>
                <w:sz w:val="20"/>
                <w:szCs w:val="20"/>
              </w:rPr>
              <w:t>Endereço:</w:t>
            </w:r>
          </w:p>
        </w:tc>
        <w:tc>
          <w:tcPr>
            <w:tcW w:w="3120" w:type="dxa"/>
            <w:gridSpan w:val="3"/>
            <w:shd w:val="clear" w:color="auto" w:fill="auto"/>
            <w:tcMar>
              <w:top w:w="100" w:type="dxa"/>
              <w:left w:w="100" w:type="dxa"/>
              <w:bottom w:w="100" w:type="dxa"/>
              <w:right w:w="100" w:type="dxa"/>
            </w:tcMar>
          </w:tcPr>
          <w:p w14:paraId="72E2AE55">
            <w:pPr>
              <w:pStyle w:val="56"/>
              <w:widowControl w:val="0"/>
              <w:rPr>
                <w:b/>
                <w:sz w:val="20"/>
                <w:szCs w:val="20"/>
              </w:rPr>
            </w:pPr>
            <w:r>
              <w:rPr>
                <w:b/>
                <w:sz w:val="20"/>
                <w:szCs w:val="20"/>
              </w:rPr>
              <w:t>Tel.:</w:t>
            </w:r>
          </w:p>
        </w:tc>
      </w:tr>
      <w:tr w14:paraId="2839CE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auto"/>
            <w:tcMar>
              <w:top w:w="100" w:type="dxa"/>
              <w:left w:w="100" w:type="dxa"/>
              <w:bottom w:w="100" w:type="dxa"/>
              <w:right w:w="100" w:type="dxa"/>
            </w:tcMar>
          </w:tcPr>
          <w:p w14:paraId="26EDD2AF">
            <w:pPr>
              <w:pStyle w:val="56"/>
              <w:widowControl w:val="0"/>
              <w:rPr>
                <w:b/>
                <w:i/>
                <w:iCs/>
                <w:sz w:val="20"/>
                <w:szCs w:val="20"/>
              </w:rPr>
            </w:pPr>
            <w:r>
              <w:rPr>
                <w:b/>
                <w:i/>
                <w:iCs/>
                <w:sz w:val="20"/>
                <w:szCs w:val="20"/>
              </w:rPr>
              <w:t>Banco:</w:t>
            </w:r>
          </w:p>
        </w:tc>
        <w:tc>
          <w:tcPr>
            <w:tcW w:w="1410" w:type="dxa"/>
            <w:gridSpan w:val="2"/>
            <w:shd w:val="clear" w:color="auto" w:fill="auto"/>
            <w:tcMar>
              <w:top w:w="100" w:type="dxa"/>
              <w:left w:w="100" w:type="dxa"/>
              <w:bottom w:w="100" w:type="dxa"/>
              <w:right w:w="100" w:type="dxa"/>
            </w:tcMar>
          </w:tcPr>
          <w:p w14:paraId="0CB84D3B">
            <w:pPr>
              <w:pStyle w:val="56"/>
              <w:widowControl w:val="0"/>
              <w:rPr>
                <w:b/>
                <w:sz w:val="20"/>
                <w:szCs w:val="20"/>
              </w:rPr>
            </w:pPr>
            <w:r>
              <w:rPr>
                <w:b/>
                <w:sz w:val="20"/>
                <w:szCs w:val="20"/>
              </w:rPr>
              <w:t>Agência:</w:t>
            </w:r>
          </w:p>
        </w:tc>
        <w:tc>
          <w:tcPr>
            <w:tcW w:w="3120" w:type="dxa"/>
            <w:gridSpan w:val="3"/>
            <w:shd w:val="clear" w:color="auto" w:fill="auto"/>
            <w:tcMar>
              <w:top w:w="100" w:type="dxa"/>
              <w:left w:w="100" w:type="dxa"/>
              <w:bottom w:w="100" w:type="dxa"/>
              <w:right w:w="100" w:type="dxa"/>
            </w:tcMar>
          </w:tcPr>
          <w:p w14:paraId="1577991E">
            <w:pPr>
              <w:pStyle w:val="56"/>
              <w:widowControl w:val="0"/>
              <w:rPr>
                <w:b/>
                <w:sz w:val="20"/>
                <w:szCs w:val="20"/>
              </w:rPr>
            </w:pPr>
            <w:r>
              <w:rPr>
                <w:b/>
                <w:sz w:val="20"/>
                <w:szCs w:val="20"/>
              </w:rPr>
              <w:t>Conta Corrente:</w:t>
            </w:r>
          </w:p>
        </w:tc>
      </w:tr>
      <w:tr w14:paraId="2D67C4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CCCCCC"/>
            <w:tcMar>
              <w:top w:w="100" w:type="dxa"/>
              <w:left w:w="100" w:type="dxa"/>
              <w:bottom w:w="100" w:type="dxa"/>
              <w:right w:w="100" w:type="dxa"/>
            </w:tcMar>
          </w:tcPr>
          <w:p w14:paraId="4CBC32DF">
            <w:pPr>
              <w:pStyle w:val="56"/>
              <w:widowControl w:val="0"/>
              <w:jc w:val="center"/>
              <w:rPr>
                <w:b/>
                <w:i/>
                <w:iCs/>
                <w:sz w:val="20"/>
                <w:szCs w:val="20"/>
              </w:rPr>
            </w:pPr>
            <w:r>
              <w:rPr>
                <w:b/>
                <w:i/>
                <w:iCs/>
                <w:sz w:val="20"/>
                <w:szCs w:val="20"/>
              </w:rPr>
              <w:t>LOTE/</w:t>
            </w:r>
          </w:p>
          <w:p w14:paraId="6AF88088">
            <w:pPr>
              <w:pStyle w:val="56"/>
              <w:widowControl w:val="0"/>
              <w:jc w:val="center"/>
              <w:rPr>
                <w:b/>
                <w:i/>
                <w:iCs/>
                <w:sz w:val="20"/>
                <w:szCs w:val="20"/>
              </w:rPr>
            </w:pPr>
            <w:r>
              <w:rPr>
                <w:b/>
                <w:i/>
                <w:iCs/>
                <w:sz w:val="20"/>
                <w:szCs w:val="20"/>
              </w:rPr>
              <w:t>ITEM</w:t>
            </w:r>
          </w:p>
        </w:tc>
        <w:tc>
          <w:tcPr>
            <w:tcW w:w="1605" w:type="dxa"/>
            <w:shd w:val="clear" w:color="auto" w:fill="CCCCCC"/>
            <w:tcMar>
              <w:top w:w="100" w:type="dxa"/>
              <w:left w:w="100" w:type="dxa"/>
              <w:bottom w:w="100" w:type="dxa"/>
              <w:right w:w="100" w:type="dxa"/>
            </w:tcMar>
          </w:tcPr>
          <w:p w14:paraId="5A67D458">
            <w:pPr>
              <w:pStyle w:val="56"/>
              <w:widowControl w:val="0"/>
              <w:jc w:val="center"/>
              <w:rPr>
                <w:b/>
                <w:i/>
                <w:iCs/>
                <w:sz w:val="20"/>
                <w:szCs w:val="20"/>
              </w:rPr>
            </w:pPr>
            <w:r>
              <w:rPr>
                <w:b/>
                <w:i/>
                <w:iCs/>
                <w:sz w:val="20"/>
                <w:szCs w:val="20"/>
              </w:rPr>
              <w:t>Código de Material / Código BR</w:t>
            </w:r>
          </w:p>
        </w:tc>
        <w:tc>
          <w:tcPr>
            <w:tcW w:w="1950" w:type="dxa"/>
            <w:shd w:val="clear" w:color="auto" w:fill="CCCCCC"/>
            <w:tcMar>
              <w:top w:w="100" w:type="dxa"/>
              <w:left w:w="100" w:type="dxa"/>
              <w:bottom w:w="100" w:type="dxa"/>
              <w:right w:w="100" w:type="dxa"/>
            </w:tcMar>
          </w:tcPr>
          <w:p w14:paraId="5C4A2662">
            <w:pPr>
              <w:pStyle w:val="56"/>
              <w:widowControl w:val="0"/>
              <w:jc w:val="center"/>
              <w:rPr>
                <w:b/>
                <w:i/>
                <w:iCs/>
                <w:sz w:val="20"/>
                <w:szCs w:val="20"/>
              </w:rPr>
            </w:pPr>
            <w:r>
              <w:rPr>
                <w:b/>
                <w:i/>
                <w:iCs/>
                <w:sz w:val="20"/>
                <w:szCs w:val="20"/>
              </w:rPr>
              <w:t>Nome Padronizado</w:t>
            </w:r>
          </w:p>
        </w:tc>
        <w:tc>
          <w:tcPr>
            <w:tcW w:w="585" w:type="dxa"/>
            <w:shd w:val="clear" w:color="auto" w:fill="CCCCCC"/>
            <w:tcMar>
              <w:top w:w="100" w:type="dxa"/>
              <w:left w:w="100" w:type="dxa"/>
              <w:bottom w:w="100" w:type="dxa"/>
              <w:right w:w="100" w:type="dxa"/>
            </w:tcMar>
          </w:tcPr>
          <w:p w14:paraId="23AF6574">
            <w:pPr>
              <w:pStyle w:val="56"/>
              <w:widowControl w:val="0"/>
              <w:jc w:val="center"/>
              <w:rPr>
                <w:b/>
                <w:sz w:val="20"/>
                <w:szCs w:val="20"/>
              </w:rPr>
            </w:pPr>
            <w:r>
              <w:rPr>
                <w:b/>
                <w:sz w:val="20"/>
                <w:szCs w:val="20"/>
              </w:rPr>
              <w:t>U/C</w:t>
            </w:r>
          </w:p>
        </w:tc>
        <w:tc>
          <w:tcPr>
            <w:tcW w:w="825" w:type="dxa"/>
            <w:shd w:val="clear" w:color="auto" w:fill="CCCCCC"/>
            <w:tcMar>
              <w:top w:w="100" w:type="dxa"/>
              <w:left w:w="100" w:type="dxa"/>
              <w:bottom w:w="100" w:type="dxa"/>
              <w:right w:w="100" w:type="dxa"/>
            </w:tcMar>
          </w:tcPr>
          <w:p w14:paraId="1AD3E38B">
            <w:pPr>
              <w:pStyle w:val="56"/>
              <w:widowControl w:val="0"/>
              <w:jc w:val="center"/>
              <w:rPr>
                <w:b/>
                <w:sz w:val="20"/>
                <w:szCs w:val="20"/>
              </w:rPr>
            </w:pPr>
            <w:r>
              <w:rPr>
                <w:b/>
                <w:sz w:val="20"/>
                <w:szCs w:val="20"/>
              </w:rPr>
              <w:t>Marca</w:t>
            </w:r>
          </w:p>
        </w:tc>
        <w:tc>
          <w:tcPr>
            <w:tcW w:w="615" w:type="dxa"/>
            <w:shd w:val="clear" w:color="auto" w:fill="CCCCCC"/>
            <w:tcMar>
              <w:top w:w="100" w:type="dxa"/>
              <w:left w:w="100" w:type="dxa"/>
              <w:bottom w:w="100" w:type="dxa"/>
              <w:right w:w="100" w:type="dxa"/>
            </w:tcMar>
          </w:tcPr>
          <w:p w14:paraId="4DCCFB26">
            <w:pPr>
              <w:pStyle w:val="56"/>
              <w:widowControl w:val="0"/>
              <w:jc w:val="center"/>
              <w:rPr>
                <w:b/>
                <w:sz w:val="20"/>
                <w:szCs w:val="20"/>
              </w:rPr>
            </w:pPr>
            <w:r>
              <w:rPr>
                <w:b/>
                <w:sz w:val="20"/>
                <w:szCs w:val="20"/>
              </w:rPr>
              <w:t>Qtd</w:t>
            </w:r>
          </w:p>
        </w:tc>
        <w:tc>
          <w:tcPr>
            <w:tcW w:w="1245" w:type="dxa"/>
            <w:shd w:val="clear" w:color="auto" w:fill="CCCCCC"/>
            <w:tcMar>
              <w:top w:w="100" w:type="dxa"/>
              <w:left w:w="100" w:type="dxa"/>
              <w:bottom w:w="100" w:type="dxa"/>
              <w:right w:w="100" w:type="dxa"/>
            </w:tcMar>
          </w:tcPr>
          <w:p w14:paraId="4BCBCEB9">
            <w:pPr>
              <w:pStyle w:val="56"/>
              <w:widowControl w:val="0"/>
              <w:jc w:val="center"/>
              <w:rPr>
                <w:b/>
                <w:sz w:val="20"/>
                <w:szCs w:val="20"/>
              </w:rPr>
            </w:pPr>
            <w:r>
              <w:rPr>
                <w:b/>
                <w:sz w:val="20"/>
                <w:szCs w:val="20"/>
              </w:rPr>
              <w:t>Preço Unitário</w:t>
            </w:r>
          </w:p>
        </w:tc>
        <w:tc>
          <w:tcPr>
            <w:tcW w:w="1260" w:type="dxa"/>
            <w:shd w:val="clear" w:color="auto" w:fill="CCCCCC"/>
            <w:tcMar>
              <w:top w:w="100" w:type="dxa"/>
              <w:left w:w="100" w:type="dxa"/>
              <w:bottom w:w="100" w:type="dxa"/>
              <w:right w:w="100" w:type="dxa"/>
            </w:tcMar>
          </w:tcPr>
          <w:p w14:paraId="64C67AF4">
            <w:pPr>
              <w:pStyle w:val="56"/>
              <w:widowControl w:val="0"/>
              <w:jc w:val="center"/>
              <w:rPr>
                <w:b/>
                <w:sz w:val="20"/>
                <w:szCs w:val="20"/>
              </w:rPr>
            </w:pPr>
            <w:r>
              <w:rPr>
                <w:b/>
                <w:sz w:val="20"/>
                <w:szCs w:val="20"/>
              </w:rPr>
              <w:t>Preço Total</w:t>
            </w:r>
          </w:p>
        </w:tc>
      </w:tr>
      <w:tr w14:paraId="3B78B3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00DBBF2B">
            <w:pPr>
              <w:pStyle w:val="56"/>
              <w:widowControl w:val="0"/>
              <w:rPr>
                <w:b/>
                <w:i/>
                <w:iCs/>
                <w:sz w:val="20"/>
                <w:szCs w:val="20"/>
              </w:rPr>
            </w:pPr>
          </w:p>
        </w:tc>
        <w:tc>
          <w:tcPr>
            <w:tcW w:w="1605" w:type="dxa"/>
            <w:shd w:val="clear" w:color="auto" w:fill="auto"/>
            <w:tcMar>
              <w:top w:w="100" w:type="dxa"/>
              <w:left w:w="100" w:type="dxa"/>
              <w:bottom w:w="100" w:type="dxa"/>
              <w:right w:w="100" w:type="dxa"/>
            </w:tcMar>
          </w:tcPr>
          <w:p w14:paraId="0941894D">
            <w:pPr>
              <w:pStyle w:val="56"/>
              <w:widowControl w:val="0"/>
              <w:rPr>
                <w:b/>
                <w:i/>
                <w:iCs/>
                <w:sz w:val="20"/>
                <w:szCs w:val="20"/>
              </w:rPr>
            </w:pPr>
          </w:p>
        </w:tc>
        <w:tc>
          <w:tcPr>
            <w:tcW w:w="1950" w:type="dxa"/>
            <w:shd w:val="clear" w:color="auto" w:fill="auto"/>
            <w:tcMar>
              <w:top w:w="100" w:type="dxa"/>
              <w:left w:w="100" w:type="dxa"/>
              <w:bottom w:w="100" w:type="dxa"/>
              <w:right w:w="100" w:type="dxa"/>
            </w:tcMar>
          </w:tcPr>
          <w:p w14:paraId="323CF6B0">
            <w:pPr>
              <w:pStyle w:val="56"/>
              <w:widowControl w:val="0"/>
              <w:rPr>
                <w:b/>
                <w:i/>
                <w:iCs/>
                <w:sz w:val="20"/>
                <w:szCs w:val="20"/>
              </w:rPr>
            </w:pPr>
            <w:r>
              <w:rPr>
                <w:b/>
                <w:i/>
                <w:iCs/>
                <w:sz w:val="20"/>
                <w:szCs w:val="20"/>
              </w:rPr>
              <w:t>Preço Unitário: Por extenso</w:t>
            </w:r>
          </w:p>
        </w:tc>
        <w:tc>
          <w:tcPr>
            <w:tcW w:w="585" w:type="dxa"/>
            <w:shd w:val="clear" w:color="auto" w:fill="auto"/>
            <w:tcMar>
              <w:top w:w="100" w:type="dxa"/>
              <w:left w:w="100" w:type="dxa"/>
              <w:bottom w:w="100" w:type="dxa"/>
              <w:right w:w="100" w:type="dxa"/>
            </w:tcMar>
          </w:tcPr>
          <w:p w14:paraId="67D08741">
            <w:pPr>
              <w:pStyle w:val="56"/>
              <w:widowControl w:val="0"/>
              <w:rPr>
                <w:b/>
                <w:sz w:val="20"/>
                <w:szCs w:val="20"/>
              </w:rPr>
            </w:pPr>
          </w:p>
        </w:tc>
        <w:tc>
          <w:tcPr>
            <w:tcW w:w="825" w:type="dxa"/>
            <w:shd w:val="clear" w:color="auto" w:fill="auto"/>
            <w:tcMar>
              <w:top w:w="100" w:type="dxa"/>
              <w:left w:w="100" w:type="dxa"/>
              <w:bottom w:w="100" w:type="dxa"/>
              <w:right w:w="100" w:type="dxa"/>
            </w:tcMar>
          </w:tcPr>
          <w:p w14:paraId="45E1AB7B">
            <w:pPr>
              <w:pStyle w:val="56"/>
              <w:widowControl w:val="0"/>
              <w:rPr>
                <w:b/>
                <w:sz w:val="20"/>
                <w:szCs w:val="20"/>
              </w:rPr>
            </w:pPr>
          </w:p>
        </w:tc>
        <w:tc>
          <w:tcPr>
            <w:tcW w:w="615" w:type="dxa"/>
            <w:shd w:val="clear" w:color="auto" w:fill="auto"/>
            <w:tcMar>
              <w:top w:w="100" w:type="dxa"/>
              <w:left w:w="100" w:type="dxa"/>
              <w:bottom w:w="100" w:type="dxa"/>
              <w:right w:w="100" w:type="dxa"/>
            </w:tcMar>
          </w:tcPr>
          <w:p w14:paraId="7D7C6E30">
            <w:pPr>
              <w:pStyle w:val="56"/>
              <w:widowControl w:val="0"/>
              <w:rPr>
                <w:b/>
                <w:sz w:val="20"/>
                <w:szCs w:val="20"/>
              </w:rPr>
            </w:pPr>
          </w:p>
        </w:tc>
        <w:tc>
          <w:tcPr>
            <w:tcW w:w="1245" w:type="dxa"/>
            <w:shd w:val="clear" w:color="auto" w:fill="auto"/>
            <w:tcMar>
              <w:top w:w="100" w:type="dxa"/>
              <w:left w:w="100" w:type="dxa"/>
              <w:bottom w:w="100" w:type="dxa"/>
              <w:right w:w="100" w:type="dxa"/>
            </w:tcMar>
          </w:tcPr>
          <w:p w14:paraId="299C25D8">
            <w:pPr>
              <w:pStyle w:val="56"/>
              <w:widowControl w:val="0"/>
              <w:rPr>
                <w:b/>
                <w:sz w:val="20"/>
                <w:szCs w:val="20"/>
              </w:rPr>
            </w:pPr>
          </w:p>
        </w:tc>
        <w:tc>
          <w:tcPr>
            <w:tcW w:w="1260" w:type="dxa"/>
            <w:shd w:val="clear" w:color="auto" w:fill="auto"/>
            <w:tcMar>
              <w:top w:w="100" w:type="dxa"/>
              <w:left w:w="100" w:type="dxa"/>
              <w:bottom w:w="100" w:type="dxa"/>
              <w:right w:w="100" w:type="dxa"/>
            </w:tcMar>
          </w:tcPr>
          <w:p w14:paraId="6664936D">
            <w:pPr>
              <w:pStyle w:val="56"/>
              <w:widowControl w:val="0"/>
              <w:rPr>
                <w:b/>
                <w:sz w:val="20"/>
                <w:szCs w:val="20"/>
              </w:rPr>
            </w:pPr>
          </w:p>
        </w:tc>
      </w:tr>
      <w:tr w14:paraId="68A8C0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207D06D4">
            <w:pPr>
              <w:pStyle w:val="56"/>
              <w:widowControl w:val="0"/>
              <w:rPr>
                <w:b/>
                <w:i/>
                <w:iCs/>
                <w:sz w:val="20"/>
                <w:szCs w:val="20"/>
              </w:rPr>
            </w:pPr>
          </w:p>
        </w:tc>
        <w:tc>
          <w:tcPr>
            <w:tcW w:w="1605" w:type="dxa"/>
            <w:shd w:val="clear" w:color="auto" w:fill="auto"/>
            <w:tcMar>
              <w:top w:w="100" w:type="dxa"/>
              <w:left w:w="100" w:type="dxa"/>
              <w:bottom w:w="100" w:type="dxa"/>
              <w:right w:w="100" w:type="dxa"/>
            </w:tcMar>
          </w:tcPr>
          <w:p w14:paraId="777BC6EF">
            <w:pPr>
              <w:pStyle w:val="56"/>
              <w:widowControl w:val="0"/>
              <w:rPr>
                <w:b/>
                <w:i/>
                <w:iCs/>
                <w:sz w:val="20"/>
                <w:szCs w:val="20"/>
              </w:rPr>
            </w:pPr>
          </w:p>
        </w:tc>
        <w:tc>
          <w:tcPr>
            <w:tcW w:w="1950" w:type="dxa"/>
            <w:shd w:val="clear" w:color="auto" w:fill="auto"/>
            <w:tcMar>
              <w:top w:w="100" w:type="dxa"/>
              <w:left w:w="100" w:type="dxa"/>
              <w:bottom w:w="100" w:type="dxa"/>
              <w:right w:w="100" w:type="dxa"/>
            </w:tcMar>
          </w:tcPr>
          <w:p w14:paraId="628BA972">
            <w:pPr>
              <w:pStyle w:val="56"/>
              <w:widowControl w:val="0"/>
              <w:rPr>
                <w:b/>
                <w:i/>
                <w:iCs/>
                <w:sz w:val="20"/>
                <w:szCs w:val="20"/>
              </w:rPr>
            </w:pPr>
            <w:r>
              <w:rPr>
                <w:b/>
                <w:i/>
                <w:iCs/>
                <w:sz w:val="20"/>
                <w:szCs w:val="20"/>
              </w:rPr>
              <w:t>Preço Unitário: Por extenso</w:t>
            </w:r>
          </w:p>
        </w:tc>
        <w:tc>
          <w:tcPr>
            <w:tcW w:w="585" w:type="dxa"/>
            <w:shd w:val="clear" w:color="auto" w:fill="auto"/>
            <w:tcMar>
              <w:top w:w="100" w:type="dxa"/>
              <w:left w:w="100" w:type="dxa"/>
              <w:bottom w:w="100" w:type="dxa"/>
              <w:right w:w="100" w:type="dxa"/>
            </w:tcMar>
          </w:tcPr>
          <w:p w14:paraId="22F0668A">
            <w:pPr>
              <w:pStyle w:val="56"/>
              <w:widowControl w:val="0"/>
              <w:rPr>
                <w:b/>
                <w:sz w:val="20"/>
                <w:szCs w:val="20"/>
              </w:rPr>
            </w:pPr>
          </w:p>
        </w:tc>
        <w:tc>
          <w:tcPr>
            <w:tcW w:w="825" w:type="dxa"/>
            <w:shd w:val="clear" w:color="auto" w:fill="auto"/>
            <w:tcMar>
              <w:top w:w="100" w:type="dxa"/>
              <w:left w:w="100" w:type="dxa"/>
              <w:bottom w:w="100" w:type="dxa"/>
              <w:right w:w="100" w:type="dxa"/>
            </w:tcMar>
          </w:tcPr>
          <w:p w14:paraId="7B9A73BA">
            <w:pPr>
              <w:pStyle w:val="56"/>
              <w:widowControl w:val="0"/>
              <w:rPr>
                <w:b/>
                <w:sz w:val="20"/>
                <w:szCs w:val="20"/>
              </w:rPr>
            </w:pPr>
          </w:p>
        </w:tc>
        <w:tc>
          <w:tcPr>
            <w:tcW w:w="615" w:type="dxa"/>
            <w:shd w:val="clear" w:color="auto" w:fill="auto"/>
            <w:tcMar>
              <w:top w:w="100" w:type="dxa"/>
              <w:left w:w="100" w:type="dxa"/>
              <w:bottom w:w="100" w:type="dxa"/>
              <w:right w:w="100" w:type="dxa"/>
            </w:tcMar>
          </w:tcPr>
          <w:p w14:paraId="6F569E3A">
            <w:pPr>
              <w:pStyle w:val="56"/>
              <w:widowControl w:val="0"/>
              <w:rPr>
                <w:b/>
                <w:sz w:val="20"/>
                <w:szCs w:val="20"/>
              </w:rPr>
            </w:pPr>
          </w:p>
        </w:tc>
        <w:tc>
          <w:tcPr>
            <w:tcW w:w="1245" w:type="dxa"/>
            <w:shd w:val="clear" w:color="auto" w:fill="auto"/>
            <w:tcMar>
              <w:top w:w="100" w:type="dxa"/>
              <w:left w:w="100" w:type="dxa"/>
              <w:bottom w:w="100" w:type="dxa"/>
              <w:right w:w="100" w:type="dxa"/>
            </w:tcMar>
          </w:tcPr>
          <w:p w14:paraId="69011A6B">
            <w:pPr>
              <w:pStyle w:val="56"/>
              <w:widowControl w:val="0"/>
              <w:rPr>
                <w:b/>
                <w:sz w:val="20"/>
                <w:szCs w:val="20"/>
              </w:rPr>
            </w:pPr>
          </w:p>
        </w:tc>
        <w:tc>
          <w:tcPr>
            <w:tcW w:w="1260" w:type="dxa"/>
            <w:shd w:val="clear" w:color="auto" w:fill="auto"/>
            <w:tcMar>
              <w:top w:w="100" w:type="dxa"/>
              <w:left w:w="100" w:type="dxa"/>
              <w:bottom w:w="100" w:type="dxa"/>
              <w:right w:w="100" w:type="dxa"/>
            </w:tcMar>
          </w:tcPr>
          <w:p w14:paraId="6A5F64BE">
            <w:pPr>
              <w:pStyle w:val="56"/>
              <w:widowControl w:val="0"/>
              <w:rPr>
                <w:b/>
                <w:sz w:val="20"/>
                <w:szCs w:val="20"/>
              </w:rPr>
            </w:pPr>
          </w:p>
        </w:tc>
      </w:tr>
      <w:tr w14:paraId="00051E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2CDEF260">
            <w:pPr>
              <w:pStyle w:val="56"/>
              <w:widowControl w:val="0"/>
              <w:rPr>
                <w:b/>
                <w:i/>
                <w:iCs/>
                <w:sz w:val="20"/>
                <w:szCs w:val="20"/>
              </w:rPr>
            </w:pPr>
            <w:r>
              <w:rPr>
                <w:b/>
                <w:i/>
                <w:iCs/>
                <w:sz w:val="20"/>
                <w:szCs w:val="20"/>
              </w:rPr>
              <w:t>Preço total lote/item: Por extenso</w:t>
            </w:r>
          </w:p>
        </w:tc>
      </w:tr>
      <w:tr w14:paraId="2902F7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5F71BA3F">
            <w:pPr>
              <w:pStyle w:val="56"/>
              <w:widowControl w:val="0"/>
              <w:rPr>
                <w:b/>
                <w:i/>
                <w:iCs/>
                <w:sz w:val="20"/>
                <w:szCs w:val="20"/>
              </w:rPr>
            </w:pPr>
            <w:r>
              <w:rPr>
                <w:b/>
                <w:i/>
                <w:iCs/>
                <w:sz w:val="20"/>
                <w:szCs w:val="20"/>
              </w:rPr>
              <w:t>Preço total: Por extenso</w:t>
            </w:r>
          </w:p>
        </w:tc>
      </w:tr>
      <w:tr w14:paraId="65C588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71DCDCEF">
            <w:pPr>
              <w:pStyle w:val="56"/>
              <w:widowControl w:val="0"/>
              <w:rPr>
                <w:b/>
                <w:i/>
                <w:iCs/>
                <w:sz w:val="20"/>
                <w:szCs w:val="20"/>
              </w:rPr>
            </w:pPr>
            <w:r>
              <w:rPr>
                <w:b/>
                <w:i/>
                <w:iCs/>
                <w:sz w:val="20"/>
                <w:szCs w:val="20"/>
              </w:rPr>
              <w:t>Declaramos inteira submissão aos termos desta proposta, do Edital e à Legislação em vigor.</w:t>
            </w:r>
          </w:p>
          <w:p w14:paraId="41149FF4">
            <w:pPr>
              <w:pStyle w:val="56"/>
              <w:widowControl w:val="0"/>
              <w:rPr>
                <w:b/>
                <w:i/>
                <w:iCs/>
                <w:sz w:val="20"/>
                <w:szCs w:val="20"/>
              </w:rPr>
            </w:pPr>
            <w:r>
              <w:rPr>
                <w:b/>
                <w:i/>
                <w:iCs/>
                <w:sz w:val="20"/>
                <w:szCs w:val="20"/>
              </w:rPr>
              <w:t>Valença, _______ de __________________ de ________.</w:t>
            </w:r>
          </w:p>
          <w:p w14:paraId="4F493978">
            <w:pPr>
              <w:pStyle w:val="56"/>
              <w:widowControl w:val="0"/>
              <w:rPr>
                <w:b/>
                <w:i/>
                <w:iCs/>
                <w:sz w:val="20"/>
                <w:szCs w:val="20"/>
              </w:rPr>
            </w:pPr>
            <w:r>
              <w:rPr>
                <w:b/>
                <w:i/>
                <w:iCs/>
                <w:sz w:val="20"/>
                <w:szCs w:val="20"/>
              </w:rPr>
              <w:t>_____________________________________</w:t>
            </w:r>
          </w:p>
          <w:p w14:paraId="472E84AA">
            <w:pPr>
              <w:pStyle w:val="56"/>
              <w:widowControl w:val="0"/>
              <w:rPr>
                <w:b/>
                <w:i/>
                <w:iCs/>
                <w:sz w:val="20"/>
                <w:szCs w:val="20"/>
              </w:rPr>
            </w:pPr>
            <w:r>
              <w:rPr>
                <w:b/>
                <w:i/>
                <w:iCs/>
                <w:sz w:val="20"/>
                <w:szCs w:val="20"/>
              </w:rPr>
              <w:t>Representante legal (nome por extenso)</w:t>
            </w:r>
          </w:p>
          <w:p w14:paraId="5EA43FF4">
            <w:pPr>
              <w:pStyle w:val="56"/>
              <w:widowControl w:val="0"/>
              <w:rPr>
                <w:b/>
                <w:i/>
                <w:iCs/>
                <w:sz w:val="20"/>
                <w:szCs w:val="20"/>
              </w:rPr>
            </w:pPr>
            <w:r>
              <w:rPr>
                <w:b/>
                <w:i/>
                <w:iCs/>
                <w:sz w:val="20"/>
                <w:szCs w:val="20"/>
              </w:rPr>
              <w:t>Cargo:</w:t>
            </w:r>
          </w:p>
          <w:p w14:paraId="5E365772">
            <w:pPr>
              <w:pStyle w:val="56"/>
              <w:widowControl w:val="0"/>
              <w:rPr>
                <w:b/>
                <w:i/>
                <w:iCs/>
                <w:sz w:val="20"/>
                <w:szCs w:val="20"/>
              </w:rPr>
            </w:pPr>
            <w:r>
              <w:rPr>
                <w:b/>
                <w:i/>
                <w:iCs/>
                <w:sz w:val="20"/>
                <w:szCs w:val="20"/>
              </w:rPr>
              <w:t>CPF:</w:t>
            </w:r>
          </w:p>
        </w:tc>
      </w:tr>
    </w:tbl>
    <w:p w14:paraId="660534E7">
      <w:pPr>
        <w:pStyle w:val="56"/>
        <w:jc w:val="both"/>
        <w:rPr>
          <w:rFonts w:ascii="Times New Roman" w:hAnsi="Times New Roman" w:cs="Times New Roman"/>
          <w:b/>
          <w:highlight w:val="yellow"/>
        </w:rPr>
      </w:pPr>
      <w:r>
        <w:rPr>
          <w:rFonts w:ascii="Times New Roman" w:hAnsi="Times New Roman" w:cs="Times New Roman"/>
          <w:b/>
          <w:highlight w:val="yellow"/>
        </w:rPr>
        <w:t>Deverão ser atendidas as especificações constantes no Termo de Referência.</w:t>
      </w:r>
    </w:p>
    <w:p w14:paraId="70CB81F8">
      <w:pPr>
        <w:pStyle w:val="56"/>
        <w:jc w:val="both"/>
        <w:rPr>
          <w:rFonts w:ascii="Times New Roman" w:hAnsi="Times New Roman" w:cs="Times New Roman"/>
          <w:b/>
          <w:highlight w:val="yellow"/>
        </w:rPr>
      </w:pPr>
      <w:r>
        <w:rPr>
          <w:rFonts w:ascii="Times New Roman" w:hAnsi="Times New Roman" w:cs="Times New Roman"/>
          <w:b/>
          <w:highlight w:val="yellow"/>
        </w:rPr>
        <w:t>Validade da proposta: 60 (sessenta) dias.</w:t>
      </w:r>
    </w:p>
    <w:p w14:paraId="4A45F131">
      <w:pPr>
        <w:pStyle w:val="56"/>
        <w:jc w:val="both"/>
        <w:rPr>
          <w:rFonts w:ascii="Times New Roman" w:hAnsi="Times New Roman" w:cs="Times New Roman"/>
          <w:b/>
          <w:highlight w:val="yellow"/>
        </w:rPr>
      </w:pPr>
      <w:r>
        <w:rPr>
          <w:rFonts w:ascii="Times New Roman" w:hAnsi="Times New Roman" w:cs="Times New Roman"/>
          <w:b/>
          <w:highlight w:val="yellow"/>
        </w:rPr>
        <w:t>Local de Entrega dos materiais: Conforme Termo de Referência.</w:t>
      </w:r>
    </w:p>
    <w:p w14:paraId="7842C66E">
      <w:pPr>
        <w:pStyle w:val="56"/>
        <w:jc w:val="both"/>
        <w:rPr>
          <w:rFonts w:ascii="Times New Roman" w:hAnsi="Times New Roman" w:cs="Times New Roman"/>
          <w:b/>
          <w:highlight w:val="yellow"/>
        </w:rPr>
      </w:pPr>
      <w:r>
        <w:rPr>
          <w:rFonts w:ascii="Times New Roman" w:hAnsi="Times New Roman" w:cs="Times New Roman"/>
          <w:b/>
          <w:highlight w:val="yellow"/>
        </w:rPr>
        <w:t>Obs.1: A empresa adjudicatária deverá fornecer os materiais de acordo com estabelecido na Legislação específica vigente e no Código de Defesa do Consumidor.</w:t>
      </w:r>
    </w:p>
    <w:p w14:paraId="34C35DCD">
      <w:pPr>
        <w:pStyle w:val="56"/>
        <w:jc w:val="both"/>
        <w:rPr>
          <w:rFonts w:ascii="Times New Roman" w:hAnsi="Times New Roman" w:cs="Times New Roman"/>
          <w:b/>
          <w:highlight w:val="yellow"/>
        </w:rPr>
      </w:pPr>
      <w:r>
        <w:rPr>
          <w:rFonts w:ascii="Times New Roman" w:hAnsi="Times New Roman" w:cs="Times New Roman"/>
          <w:b/>
          <w:highlight w:val="yellow"/>
        </w:rPr>
        <w:t>Obs. 2: A entrega dos materiais será aceita provisoriamente no local de entrega e após conferência de sua conformidade será o mesmo aceito definitivamente.</w:t>
      </w:r>
    </w:p>
    <w:p w14:paraId="45F2546B">
      <w:pPr>
        <w:pStyle w:val="56"/>
        <w:jc w:val="both"/>
        <w:rPr>
          <w:rFonts w:ascii="Times New Roman" w:hAnsi="Times New Roman" w:cs="Times New Roman"/>
          <w:b/>
        </w:rPr>
      </w:pPr>
      <w:r>
        <w:rPr>
          <w:rFonts w:ascii="Times New Roman" w:hAnsi="Times New Roman" w:cs="Times New Roman"/>
          <w:b/>
          <w:highlight w:val="yellow"/>
        </w:rPr>
        <w:t>Obs. 3: A proposta deverá ser elaborada em papel timbrado da empresa, com todos os dados da mesma.</w:t>
      </w:r>
    </w:p>
    <w:p w14:paraId="0BBC0050">
      <w:pPr>
        <w:pStyle w:val="56"/>
        <w:jc w:val="both"/>
        <w:rPr>
          <w:b/>
          <w:sz w:val="20"/>
          <w:szCs w:val="20"/>
        </w:rPr>
      </w:pPr>
    </w:p>
    <w:p w14:paraId="206C21E5">
      <w:pPr>
        <w:pStyle w:val="56"/>
        <w:jc w:val="both"/>
        <w:rPr>
          <w:b/>
          <w:sz w:val="20"/>
          <w:szCs w:val="20"/>
        </w:rPr>
      </w:pPr>
    </w:p>
    <w:p w14:paraId="751ADB8C">
      <w:pPr>
        <w:spacing w:before="288" w:beforeLines="120" w:after="288" w:afterLines="120" w:line="288" w:lineRule="auto"/>
        <w:contextualSpacing/>
        <w:jc w:val="center"/>
        <w:rPr>
          <w:rFonts w:eastAsia="MS Mincho"/>
          <w:b/>
          <w:sz w:val="24"/>
          <w:szCs w:val="24"/>
        </w:rPr>
      </w:pPr>
      <w:r>
        <w:rPr>
          <w:rFonts w:eastAsia="MS Mincho"/>
          <w:b/>
          <w:sz w:val="24"/>
          <w:szCs w:val="24"/>
        </w:rPr>
        <w:t>ANEXO</w:t>
      </w:r>
      <w:r>
        <w:rPr>
          <w:rFonts w:eastAsia="MS Mincho"/>
          <w:b/>
          <w:color w:val="000000" w:themeColor="text1"/>
          <w:sz w:val="24"/>
          <w:szCs w:val="24"/>
          <w14:textFill>
            <w14:solidFill>
              <w14:schemeClr w14:val="tx1"/>
            </w14:solidFill>
          </w14:textFill>
        </w:rPr>
        <w:t xml:space="preserve"> IV </w:t>
      </w:r>
    </w:p>
    <w:p w14:paraId="0003E409">
      <w:pPr>
        <w:spacing w:before="288" w:beforeLines="120" w:after="288" w:afterLines="120" w:line="288" w:lineRule="auto"/>
        <w:contextualSpacing/>
        <w:jc w:val="center"/>
        <w:rPr>
          <w:rFonts w:eastAsia="MS Mincho"/>
          <w:b/>
          <w:color w:val="FF0000"/>
          <w:sz w:val="24"/>
          <w:szCs w:val="24"/>
          <w:u w:val="single"/>
        </w:rPr>
      </w:pPr>
      <w:r>
        <w:rPr>
          <w:rFonts w:eastAsia="MS Mincho"/>
          <w:b/>
          <w:sz w:val="24"/>
          <w:szCs w:val="24"/>
          <w:highlight w:val="yellow"/>
          <w:u w:val="single"/>
        </w:rPr>
        <w:t>DOCUMENTAÇÃO EXIGIDA PARA HABILITAÇÃO</w:t>
      </w:r>
    </w:p>
    <w:p w14:paraId="77EF0B47">
      <w:pPr>
        <w:pStyle w:val="56"/>
        <w:jc w:val="both"/>
        <w:rPr>
          <w:rFonts w:ascii="Times New Roman" w:hAnsi="Times New Roman" w:cs="Times New Roman"/>
          <w:b/>
          <w:sz w:val="24"/>
          <w:szCs w:val="24"/>
        </w:rPr>
      </w:pPr>
    </w:p>
    <w:p w14:paraId="578E27C8">
      <w:pPr>
        <w:pStyle w:val="56"/>
        <w:jc w:val="both"/>
        <w:rPr>
          <w:rFonts w:ascii="Times New Roman" w:hAnsi="Times New Roman" w:cs="Times New Roman"/>
          <w:b/>
          <w:sz w:val="24"/>
          <w:szCs w:val="24"/>
        </w:rPr>
      </w:pPr>
    </w:p>
    <w:p w14:paraId="2F1A898A">
      <w:pPr>
        <w:spacing w:line="288" w:lineRule="auto"/>
        <w:contextualSpacing/>
        <w:rPr>
          <w:b/>
          <w:bCs/>
          <w:sz w:val="24"/>
          <w:szCs w:val="24"/>
        </w:rPr>
      </w:pPr>
      <w:r>
        <w:rPr>
          <w:b/>
          <w:bCs/>
          <w:sz w:val="24"/>
          <w:szCs w:val="24"/>
        </w:rPr>
        <w:t>1. HABILITAÇÃO JURÍDICA</w:t>
      </w:r>
    </w:p>
    <w:p w14:paraId="281B379E">
      <w:pPr>
        <w:spacing w:line="288" w:lineRule="auto"/>
        <w:contextualSpacing/>
        <w:rPr>
          <w:sz w:val="24"/>
          <w:szCs w:val="24"/>
        </w:rPr>
      </w:pPr>
    </w:p>
    <w:p w14:paraId="373182FD">
      <w:pPr>
        <w:spacing w:before="240" w:after="240" w:line="288" w:lineRule="auto"/>
        <w:contextualSpacing/>
        <w:jc w:val="both"/>
        <w:rPr>
          <w:sz w:val="24"/>
          <w:szCs w:val="24"/>
        </w:rPr>
      </w:pPr>
      <w:r>
        <w:rPr>
          <w:bCs/>
          <w:sz w:val="24"/>
          <w:szCs w:val="24"/>
        </w:rPr>
        <w:t xml:space="preserve">1.1 </w:t>
      </w:r>
      <w:r>
        <w:rPr>
          <w:sz w:val="24"/>
          <w:szCs w:val="24"/>
        </w:rPr>
        <w:t>Pessoa física: cédula de identidade (RG) ou documento equivalente que, por força de lei, tenha validade para fins de identificação em todo o território nacional.</w:t>
      </w:r>
    </w:p>
    <w:p w14:paraId="017AEE8B">
      <w:pPr>
        <w:tabs>
          <w:tab w:val="left" w:pos="1440"/>
        </w:tabs>
        <w:autoSpaceDE w:val="0"/>
        <w:snapToGrid w:val="0"/>
        <w:spacing w:line="288" w:lineRule="auto"/>
        <w:contextualSpacing/>
        <w:jc w:val="both"/>
        <w:rPr>
          <w:sz w:val="24"/>
          <w:szCs w:val="24"/>
        </w:rPr>
      </w:pPr>
    </w:p>
    <w:p w14:paraId="641DFAAC">
      <w:pPr>
        <w:tabs>
          <w:tab w:val="left" w:pos="1440"/>
        </w:tabs>
        <w:autoSpaceDE w:val="0"/>
        <w:snapToGrid w:val="0"/>
        <w:spacing w:line="288" w:lineRule="auto"/>
        <w:contextualSpacing/>
        <w:jc w:val="both"/>
        <w:rPr>
          <w:sz w:val="24"/>
          <w:szCs w:val="24"/>
        </w:rPr>
      </w:pPr>
      <w:r>
        <w:rPr>
          <w:sz w:val="24"/>
          <w:szCs w:val="24"/>
        </w:rPr>
        <w:t>1.2 Empresário individual: inscrição no Registro Público de Empresas Mercantis, a cargo da Junta Comercial da respectiva sede.</w:t>
      </w:r>
    </w:p>
    <w:p w14:paraId="6D2690D1">
      <w:pPr>
        <w:tabs>
          <w:tab w:val="left" w:pos="1440"/>
        </w:tabs>
        <w:autoSpaceDE w:val="0"/>
        <w:snapToGrid w:val="0"/>
        <w:spacing w:line="288" w:lineRule="auto"/>
        <w:contextualSpacing/>
        <w:jc w:val="both"/>
        <w:rPr>
          <w:sz w:val="24"/>
          <w:szCs w:val="24"/>
        </w:rPr>
      </w:pPr>
    </w:p>
    <w:p w14:paraId="7B8EA2A6">
      <w:pPr>
        <w:tabs>
          <w:tab w:val="left" w:pos="1440"/>
        </w:tabs>
        <w:autoSpaceDE w:val="0"/>
        <w:snapToGrid w:val="0"/>
        <w:spacing w:line="288" w:lineRule="auto"/>
        <w:contextualSpacing/>
        <w:jc w:val="both"/>
        <w:rPr>
          <w:color w:val="000000"/>
          <w:sz w:val="24"/>
          <w:szCs w:val="24"/>
        </w:rPr>
      </w:pPr>
      <w:r>
        <w:rPr>
          <w:color w:val="000000"/>
          <w:sz w:val="24"/>
          <w:szCs w:val="24"/>
        </w:rPr>
        <w:t xml:space="preserve">1.3 Microempreendedor Individual - MEI: Certificado da Condição de Microempreendedor Individual - CCMEI, cuja aceitação ficará condicionada à verificação da autenticidade no sítio </w:t>
      </w:r>
      <w:r>
        <w:fldChar w:fldCharType="begin"/>
      </w:r>
      <w:r>
        <w:instrText xml:space="preserve"> HYPERLINK "http://www.portaldoempreendedor.gov.br" </w:instrText>
      </w:r>
      <w:r>
        <w:fldChar w:fldCharType="separate"/>
      </w:r>
      <w:r>
        <w:rPr>
          <w:rStyle w:val="14"/>
          <w:rFonts w:eastAsiaTheme="minorHAnsi"/>
          <w:sz w:val="24"/>
          <w:szCs w:val="24"/>
        </w:rPr>
        <w:t>www.portaldoempreendedor.gov.br</w:t>
      </w:r>
      <w:r>
        <w:rPr>
          <w:rStyle w:val="14"/>
          <w:rFonts w:eastAsiaTheme="minorHAnsi"/>
          <w:sz w:val="24"/>
          <w:szCs w:val="24"/>
        </w:rPr>
        <w:fldChar w:fldCharType="end"/>
      </w:r>
      <w:r>
        <w:rPr>
          <w:color w:val="000000"/>
          <w:sz w:val="24"/>
          <w:szCs w:val="24"/>
        </w:rPr>
        <w:t>.</w:t>
      </w:r>
    </w:p>
    <w:p w14:paraId="2A02BCE8">
      <w:pPr>
        <w:tabs>
          <w:tab w:val="left" w:pos="1440"/>
        </w:tabs>
        <w:autoSpaceDE w:val="0"/>
        <w:snapToGrid w:val="0"/>
        <w:spacing w:line="288" w:lineRule="auto"/>
        <w:contextualSpacing/>
        <w:rPr>
          <w:color w:val="000000"/>
          <w:sz w:val="24"/>
          <w:szCs w:val="24"/>
        </w:rPr>
      </w:pPr>
    </w:p>
    <w:p w14:paraId="4615DAD6">
      <w:pPr>
        <w:tabs>
          <w:tab w:val="left" w:pos="1440"/>
        </w:tabs>
        <w:autoSpaceDE w:val="0"/>
        <w:snapToGrid w:val="0"/>
        <w:spacing w:line="288" w:lineRule="auto"/>
        <w:contextualSpacing/>
        <w:jc w:val="both"/>
        <w:rPr>
          <w:color w:val="000000"/>
          <w:sz w:val="24"/>
          <w:szCs w:val="24"/>
        </w:rPr>
      </w:pPr>
      <w:r>
        <w:rPr>
          <w:color w:val="000000"/>
          <w:sz w:val="24"/>
          <w:szCs w:val="24"/>
        </w:rPr>
        <w:t xml:space="preserve">1.4 Sociedade Limitada Unipessoal - SLU: ato constitutivo, estatuto ou contrato social em vigor inscrito </w:t>
      </w:r>
      <w:r>
        <w:rPr>
          <w:sz w:val="24"/>
          <w:szCs w:val="24"/>
        </w:rPr>
        <w:t>no Registro Público de Empresas Mercantis, a cargo</w:t>
      </w:r>
      <w:r>
        <w:rPr>
          <w:color w:val="000000"/>
          <w:sz w:val="24"/>
          <w:szCs w:val="24"/>
        </w:rPr>
        <w:t xml:space="preserve"> da Junta Comercial da respectiva sede, acompanhado de documento comprobatório do administrador, sendo assim enquadrada a sociedade identificada como Empresas Individual de Responsabilidade Limitada – EIRELI, na forma do art. 41, da Lei nº 14.195, de 26 de agosto de 2021.</w:t>
      </w:r>
    </w:p>
    <w:p w14:paraId="4F791351">
      <w:pPr>
        <w:tabs>
          <w:tab w:val="left" w:pos="1440"/>
        </w:tabs>
        <w:autoSpaceDE w:val="0"/>
        <w:snapToGrid w:val="0"/>
        <w:spacing w:line="288" w:lineRule="auto"/>
        <w:contextualSpacing/>
        <w:rPr>
          <w:sz w:val="24"/>
          <w:szCs w:val="24"/>
        </w:rPr>
      </w:pPr>
    </w:p>
    <w:p w14:paraId="72E6E084">
      <w:pPr>
        <w:spacing w:line="288" w:lineRule="auto"/>
        <w:contextualSpacing/>
        <w:jc w:val="both"/>
        <w:rPr>
          <w:color w:val="000000"/>
          <w:sz w:val="24"/>
          <w:szCs w:val="24"/>
        </w:rPr>
      </w:pPr>
      <w:r>
        <w:rPr>
          <w:color w:val="000000"/>
          <w:sz w:val="24"/>
          <w:szCs w:val="24"/>
        </w:rPr>
        <w:t xml:space="preserve">1.5 Sociedade Empresária Estrangeira em funcionamento no País: </w:t>
      </w:r>
      <w:r>
        <w:rPr>
          <w:sz w:val="24"/>
          <w:szCs w:val="24"/>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ou norma posterior que regule a matéria.</w:t>
      </w:r>
    </w:p>
    <w:p w14:paraId="1E401CD8">
      <w:pPr>
        <w:tabs>
          <w:tab w:val="left" w:pos="1440"/>
        </w:tabs>
        <w:autoSpaceDE w:val="0"/>
        <w:snapToGrid w:val="0"/>
        <w:spacing w:line="288" w:lineRule="auto"/>
        <w:contextualSpacing/>
        <w:jc w:val="both"/>
        <w:rPr>
          <w:color w:val="000000"/>
          <w:sz w:val="24"/>
          <w:szCs w:val="24"/>
        </w:rPr>
      </w:pPr>
    </w:p>
    <w:p w14:paraId="1C9F4BBC">
      <w:pPr>
        <w:tabs>
          <w:tab w:val="left" w:pos="1440"/>
        </w:tabs>
        <w:autoSpaceDE w:val="0"/>
        <w:snapToGrid w:val="0"/>
        <w:spacing w:line="288" w:lineRule="auto"/>
        <w:contextualSpacing/>
        <w:jc w:val="both"/>
        <w:rPr>
          <w:color w:val="000000"/>
          <w:sz w:val="24"/>
          <w:szCs w:val="24"/>
        </w:rPr>
      </w:pPr>
      <w:r>
        <w:rPr>
          <w:color w:val="000000"/>
          <w:sz w:val="24"/>
          <w:szCs w:val="24"/>
        </w:rPr>
        <w:t>1.6 Sociedade Simples: inscrição do ato constitutivo no Registro Civil das Pessoas Jurídicas do local de sua sede, acompanhada de prova da indicação dos seus administradores.</w:t>
      </w:r>
    </w:p>
    <w:p w14:paraId="262926CB">
      <w:pPr>
        <w:tabs>
          <w:tab w:val="left" w:pos="1440"/>
        </w:tabs>
        <w:autoSpaceDE w:val="0"/>
        <w:snapToGrid w:val="0"/>
        <w:spacing w:line="288" w:lineRule="auto"/>
        <w:contextualSpacing/>
        <w:jc w:val="both"/>
        <w:rPr>
          <w:color w:val="000000"/>
          <w:sz w:val="24"/>
          <w:szCs w:val="24"/>
        </w:rPr>
      </w:pPr>
    </w:p>
    <w:p w14:paraId="13C1F5C4">
      <w:pPr>
        <w:tabs>
          <w:tab w:val="left" w:pos="1440"/>
        </w:tabs>
        <w:autoSpaceDE w:val="0"/>
        <w:snapToGrid w:val="0"/>
        <w:spacing w:line="288" w:lineRule="auto"/>
        <w:contextualSpacing/>
        <w:jc w:val="both"/>
        <w:rPr>
          <w:color w:val="000000"/>
          <w:sz w:val="24"/>
          <w:szCs w:val="24"/>
        </w:rPr>
      </w:pPr>
      <w:r>
        <w:rPr>
          <w:color w:val="000000"/>
          <w:sz w:val="24"/>
          <w:szCs w:val="24"/>
        </w:rPr>
        <w:t xml:space="preserve">1.7 </w:t>
      </w:r>
      <w:r>
        <w:rPr>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se encontra estabelecida a matriz.</w:t>
      </w:r>
    </w:p>
    <w:p w14:paraId="12FE26A4">
      <w:pPr>
        <w:tabs>
          <w:tab w:val="left" w:pos="1440"/>
        </w:tabs>
        <w:autoSpaceDE w:val="0"/>
        <w:snapToGrid w:val="0"/>
        <w:spacing w:line="288" w:lineRule="auto"/>
        <w:contextualSpacing/>
        <w:jc w:val="both"/>
        <w:rPr>
          <w:color w:val="000000"/>
          <w:sz w:val="24"/>
          <w:szCs w:val="24"/>
        </w:rPr>
      </w:pPr>
    </w:p>
    <w:p w14:paraId="3B1D0B2A">
      <w:pPr>
        <w:tabs>
          <w:tab w:val="left" w:pos="1440"/>
        </w:tabs>
        <w:autoSpaceDE w:val="0"/>
        <w:snapToGrid w:val="0"/>
        <w:spacing w:line="288" w:lineRule="auto"/>
        <w:contextualSpacing/>
        <w:jc w:val="both"/>
        <w:rPr>
          <w:sz w:val="24"/>
          <w:szCs w:val="24"/>
        </w:rPr>
      </w:pPr>
      <w:r>
        <w:rPr>
          <w:sz w:val="24"/>
          <w:szCs w:val="24"/>
        </w:rPr>
        <w:t>1.8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16 de dezembro de 1971, demonstrando que a sua constituição e funcionamento observam as regras estabelecidas na legislação aplicável, em especial a Lei nº 5.764/1971, a Lei nº 12.690, de 19 de julho de 2012, e a Lei Complementar nº 130, de 17 de abril de 2009.</w:t>
      </w:r>
    </w:p>
    <w:p w14:paraId="64421CD4">
      <w:pPr>
        <w:tabs>
          <w:tab w:val="left" w:pos="1440"/>
        </w:tabs>
        <w:autoSpaceDE w:val="0"/>
        <w:snapToGrid w:val="0"/>
        <w:spacing w:line="288" w:lineRule="auto"/>
        <w:contextualSpacing/>
        <w:jc w:val="both"/>
        <w:rPr>
          <w:sz w:val="24"/>
          <w:szCs w:val="24"/>
        </w:rPr>
      </w:pPr>
    </w:p>
    <w:p w14:paraId="5758D14C">
      <w:pPr>
        <w:spacing w:line="288" w:lineRule="auto"/>
        <w:contextualSpacing/>
        <w:rPr>
          <w:sz w:val="24"/>
          <w:szCs w:val="24"/>
        </w:rPr>
      </w:pPr>
      <w:r>
        <w:rPr>
          <w:bCs/>
          <w:sz w:val="24"/>
          <w:szCs w:val="24"/>
        </w:rPr>
        <w:t xml:space="preserve">1.9 </w:t>
      </w:r>
      <w:r>
        <w:rPr>
          <w:bCs/>
          <w:color w:val="000000"/>
          <w:sz w:val="24"/>
          <w:szCs w:val="24"/>
        </w:rPr>
        <w:t>Quando cabível, os documentos apresentados devem estar acompanhados de todas as alterações ou da consolidação respectiva.</w:t>
      </w:r>
    </w:p>
    <w:p w14:paraId="05623A1D">
      <w:pPr>
        <w:spacing w:line="288" w:lineRule="auto"/>
        <w:contextualSpacing/>
        <w:rPr>
          <w:sz w:val="24"/>
          <w:szCs w:val="24"/>
        </w:rPr>
      </w:pPr>
    </w:p>
    <w:p w14:paraId="245C146C">
      <w:pPr>
        <w:spacing w:line="288" w:lineRule="auto"/>
        <w:contextualSpacing/>
        <w:rPr>
          <w:b/>
          <w:bCs/>
          <w:color w:val="000000"/>
          <w:sz w:val="24"/>
          <w:szCs w:val="24"/>
        </w:rPr>
      </w:pPr>
      <w:r>
        <w:rPr>
          <w:b/>
          <w:bCs/>
          <w:sz w:val="24"/>
          <w:szCs w:val="24"/>
        </w:rPr>
        <w:t xml:space="preserve">2. HABILITAÇÃO </w:t>
      </w:r>
      <w:r>
        <w:rPr>
          <w:b/>
          <w:bCs/>
          <w:color w:val="000000"/>
          <w:sz w:val="24"/>
          <w:szCs w:val="24"/>
        </w:rPr>
        <w:t>FISCAL, SOCIAL E TRABALHISTA:</w:t>
      </w:r>
    </w:p>
    <w:p w14:paraId="7B883B50">
      <w:pPr>
        <w:spacing w:line="288" w:lineRule="auto"/>
        <w:contextualSpacing/>
        <w:rPr>
          <w:b/>
          <w:bCs/>
          <w:color w:val="000000"/>
          <w:sz w:val="24"/>
          <w:szCs w:val="24"/>
        </w:rPr>
      </w:pPr>
    </w:p>
    <w:p w14:paraId="3458623A">
      <w:pPr>
        <w:tabs>
          <w:tab w:val="left" w:pos="1440"/>
        </w:tabs>
        <w:autoSpaceDE w:val="0"/>
        <w:snapToGrid w:val="0"/>
        <w:spacing w:line="288" w:lineRule="auto"/>
        <w:contextualSpacing/>
        <w:jc w:val="both"/>
        <w:rPr>
          <w:sz w:val="24"/>
          <w:szCs w:val="24"/>
          <w:lang w:eastAsia="en-US"/>
        </w:rPr>
      </w:pPr>
      <w:r>
        <w:rPr>
          <w:sz w:val="24"/>
          <w:szCs w:val="24"/>
          <w:lang w:eastAsia="en-US"/>
        </w:rPr>
        <w:t>2.1 Inscrição no Cadastro Nacional de Pessoas Jurídicas ou no Cadastro de Pessoas Físicas, conforme o caso.</w:t>
      </w:r>
    </w:p>
    <w:p w14:paraId="3DBD0FC8">
      <w:pPr>
        <w:tabs>
          <w:tab w:val="left" w:pos="1440"/>
        </w:tabs>
        <w:autoSpaceDE w:val="0"/>
        <w:snapToGrid w:val="0"/>
        <w:spacing w:line="288" w:lineRule="auto"/>
        <w:contextualSpacing/>
        <w:jc w:val="both"/>
        <w:rPr>
          <w:sz w:val="24"/>
          <w:szCs w:val="24"/>
          <w:lang w:eastAsia="en-US"/>
        </w:rPr>
      </w:pPr>
    </w:p>
    <w:p w14:paraId="191334CA">
      <w:pPr>
        <w:tabs>
          <w:tab w:val="left" w:pos="1440"/>
        </w:tabs>
        <w:autoSpaceDE w:val="0"/>
        <w:snapToGrid w:val="0"/>
        <w:spacing w:line="288" w:lineRule="auto"/>
        <w:contextualSpacing/>
        <w:jc w:val="both"/>
        <w:rPr>
          <w:sz w:val="24"/>
          <w:szCs w:val="24"/>
        </w:rPr>
      </w:pPr>
      <w:r>
        <w:rPr>
          <w:sz w:val="24"/>
          <w:szCs w:val="24"/>
        </w:rPr>
        <w:t xml:space="preserve">2.2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w:t>
      </w:r>
    </w:p>
    <w:p w14:paraId="10DCE7A7">
      <w:pPr>
        <w:tabs>
          <w:tab w:val="left" w:pos="1440"/>
        </w:tabs>
        <w:autoSpaceDE w:val="0"/>
        <w:snapToGrid w:val="0"/>
        <w:spacing w:line="288" w:lineRule="auto"/>
        <w:contextualSpacing/>
        <w:jc w:val="both"/>
        <w:rPr>
          <w:sz w:val="24"/>
          <w:szCs w:val="24"/>
        </w:rPr>
      </w:pPr>
    </w:p>
    <w:p w14:paraId="05AFA2FA">
      <w:pPr>
        <w:tabs>
          <w:tab w:val="left" w:pos="1440"/>
        </w:tabs>
        <w:autoSpaceDE w:val="0"/>
        <w:snapToGrid w:val="0"/>
        <w:spacing w:line="288" w:lineRule="auto"/>
        <w:contextualSpacing/>
        <w:jc w:val="both"/>
        <w:rPr>
          <w:sz w:val="24"/>
          <w:szCs w:val="24"/>
        </w:rPr>
      </w:pPr>
      <w:r>
        <w:rPr>
          <w:color w:val="000000"/>
          <w:sz w:val="24"/>
          <w:szCs w:val="24"/>
          <w:lang w:eastAsia="en-US"/>
        </w:rPr>
        <w:t>2.3 Regularidade com o Fundo de Garantia do Tempo de Serviço (FGTS).</w:t>
      </w:r>
    </w:p>
    <w:p w14:paraId="3E0BF1DD">
      <w:pPr>
        <w:tabs>
          <w:tab w:val="left" w:pos="1440"/>
        </w:tabs>
        <w:autoSpaceDE w:val="0"/>
        <w:snapToGrid w:val="0"/>
        <w:spacing w:line="288" w:lineRule="auto"/>
        <w:contextualSpacing/>
        <w:jc w:val="both"/>
        <w:rPr>
          <w:sz w:val="24"/>
          <w:szCs w:val="24"/>
        </w:rPr>
      </w:pPr>
    </w:p>
    <w:p w14:paraId="6B4A8918">
      <w:pPr>
        <w:tabs>
          <w:tab w:val="left" w:pos="1440"/>
        </w:tabs>
        <w:autoSpaceDE w:val="0"/>
        <w:snapToGrid w:val="0"/>
        <w:spacing w:line="288" w:lineRule="auto"/>
        <w:contextualSpacing/>
        <w:jc w:val="both"/>
        <w:rPr>
          <w:sz w:val="24"/>
          <w:szCs w:val="24"/>
        </w:rPr>
      </w:pPr>
      <w:r>
        <w:rPr>
          <w:color w:val="000000"/>
          <w:sz w:val="24"/>
          <w:szCs w:val="24"/>
        </w:rPr>
        <w:t>2.4 Declaração de que não emprega menor de 18 anos em trabalho noturno, perigoso ou insalubre e não emprega menor de 16 anos, salvo menor, a partir de 14 anos, na condição de aprendiz, nos termos do art. 7°, XXXIII, da Constituição.</w:t>
      </w:r>
    </w:p>
    <w:p w14:paraId="257A4772">
      <w:pPr>
        <w:tabs>
          <w:tab w:val="left" w:pos="1440"/>
        </w:tabs>
        <w:autoSpaceDE w:val="0"/>
        <w:snapToGrid w:val="0"/>
        <w:spacing w:line="288" w:lineRule="auto"/>
        <w:contextualSpacing/>
        <w:jc w:val="both"/>
        <w:rPr>
          <w:color w:val="000000"/>
          <w:sz w:val="24"/>
          <w:szCs w:val="24"/>
        </w:rPr>
      </w:pPr>
    </w:p>
    <w:p w14:paraId="5F139F47">
      <w:pPr>
        <w:tabs>
          <w:tab w:val="left" w:pos="1440"/>
        </w:tabs>
        <w:autoSpaceDE w:val="0"/>
        <w:snapToGrid w:val="0"/>
        <w:spacing w:line="288" w:lineRule="auto"/>
        <w:contextualSpacing/>
        <w:jc w:val="both"/>
        <w:rPr>
          <w:sz w:val="24"/>
          <w:szCs w:val="24"/>
          <w:lang w:eastAsia="en-US"/>
        </w:rPr>
      </w:pPr>
      <w:r>
        <w:rPr>
          <w:sz w:val="24"/>
          <w:szCs w:val="24"/>
          <w:lang w:eastAsia="en-US"/>
        </w:rPr>
        <w:t>2.5 Prova de inexistência de débitos inadimplidos perante a Justiça do Trabalho, mediante a apresentação de certidão negativa ou positiva com efeito de negativa, nos termos do Título VII-A da Consolidação das Leis do Trabalho.</w:t>
      </w:r>
    </w:p>
    <w:p w14:paraId="0ED24FD9">
      <w:pPr>
        <w:tabs>
          <w:tab w:val="left" w:pos="1440"/>
        </w:tabs>
        <w:autoSpaceDE w:val="0"/>
        <w:snapToGrid w:val="0"/>
        <w:spacing w:line="288" w:lineRule="auto"/>
        <w:contextualSpacing/>
        <w:jc w:val="both"/>
        <w:rPr>
          <w:sz w:val="24"/>
          <w:szCs w:val="24"/>
          <w:lang w:eastAsia="en-US"/>
        </w:rPr>
      </w:pPr>
    </w:p>
    <w:p w14:paraId="354DDE45">
      <w:pPr>
        <w:tabs>
          <w:tab w:val="left" w:pos="1440"/>
        </w:tabs>
        <w:autoSpaceDE w:val="0"/>
        <w:snapToGrid w:val="0"/>
        <w:spacing w:line="288" w:lineRule="auto"/>
        <w:contextualSpacing/>
        <w:jc w:val="both"/>
        <w:rPr>
          <w:bCs/>
          <w:sz w:val="24"/>
          <w:szCs w:val="24"/>
        </w:rPr>
      </w:pPr>
      <w:r>
        <w:rPr>
          <w:bCs/>
          <w:sz w:val="24"/>
          <w:szCs w:val="24"/>
        </w:rPr>
        <w:t xml:space="preserve">2.6 Prova de </w:t>
      </w:r>
      <w:r>
        <w:rPr>
          <w:color w:val="000000"/>
          <w:sz w:val="24"/>
          <w:szCs w:val="24"/>
        </w:rPr>
        <w:t xml:space="preserve">inscrição no cadastro de contribuintes </w:t>
      </w:r>
      <w:r>
        <w:rPr>
          <w:sz w:val="24"/>
          <w:szCs w:val="24"/>
        </w:rPr>
        <w:t>estadual/distrital</w:t>
      </w:r>
      <w:r>
        <w:rPr>
          <w:color w:val="000000"/>
          <w:sz w:val="24"/>
          <w:szCs w:val="24"/>
        </w:rPr>
        <w:t>, relativo ao domicílio ou sede do fornecedor, pertinente ao seu ramo de atividade e compatível com o objeto contratual</w:t>
      </w:r>
      <w:r>
        <w:rPr>
          <w:bCs/>
          <w:sz w:val="24"/>
          <w:szCs w:val="24"/>
        </w:rPr>
        <w:t>.</w:t>
      </w:r>
    </w:p>
    <w:p w14:paraId="0754DDE1">
      <w:pPr>
        <w:tabs>
          <w:tab w:val="left" w:pos="1440"/>
        </w:tabs>
        <w:autoSpaceDE w:val="0"/>
        <w:snapToGrid w:val="0"/>
        <w:spacing w:line="288" w:lineRule="auto"/>
        <w:contextualSpacing/>
        <w:jc w:val="both"/>
        <w:rPr>
          <w:bCs/>
          <w:sz w:val="24"/>
          <w:szCs w:val="24"/>
        </w:rPr>
      </w:pPr>
    </w:p>
    <w:p w14:paraId="5DD0A7ED">
      <w:pPr>
        <w:tabs>
          <w:tab w:val="left" w:pos="1440"/>
        </w:tabs>
        <w:autoSpaceDE w:val="0"/>
        <w:snapToGrid w:val="0"/>
        <w:spacing w:line="288" w:lineRule="auto"/>
        <w:contextualSpacing/>
        <w:jc w:val="both"/>
        <w:rPr>
          <w:sz w:val="24"/>
          <w:szCs w:val="24"/>
          <w:lang w:eastAsia="en-US"/>
        </w:rPr>
      </w:pPr>
      <w:r>
        <w:rPr>
          <w:bCs/>
          <w:sz w:val="24"/>
          <w:szCs w:val="24"/>
        </w:rPr>
        <w:t xml:space="preserve">2.6.1 O fornecedor enquadrado como microempreendedor individual que pretenda auferir os benefícios do tratamento diferenciado previstos na </w:t>
      </w:r>
      <w:r>
        <w:fldChar w:fldCharType="begin"/>
      </w:r>
      <w:r>
        <w:instrText xml:space="preserve"> HYPERLINK "https://www.planalto.gov.br/ccivil_03/leis/lcp/lcp123.htm" </w:instrText>
      </w:r>
      <w:r>
        <w:fldChar w:fldCharType="separate"/>
      </w:r>
      <w:r>
        <w:rPr>
          <w:rStyle w:val="14"/>
          <w:rFonts w:eastAsiaTheme="minorHAnsi"/>
          <w:bCs/>
          <w:sz w:val="24"/>
          <w:szCs w:val="24"/>
        </w:rPr>
        <w:t>Lei Complementar nº 123/2006</w:t>
      </w:r>
      <w:r>
        <w:rPr>
          <w:rStyle w:val="14"/>
          <w:rFonts w:eastAsiaTheme="minorHAnsi"/>
          <w:bCs/>
          <w:sz w:val="24"/>
          <w:szCs w:val="24"/>
        </w:rPr>
        <w:fldChar w:fldCharType="end"/>
      </w:r>
      <w:r>
        <w:rPr>
          <w:bCs/>
          <w:sz w:val="24"/>
          <w:szCs w:val="24"/>
        </w:rPr>
        <w:t xml:space="preserve">, estará dispensado da prova de inscrição nos cadastros de contribuintes estadual e municipal, eis que a </w:t>
      </w:r>
      <w:r>
        <w:rPr>
          <w:sz w:val="24"/>
          <w:szCs w:val="24"/>
        </w:rPr>
        <w:t>apresentação do Certificado de Condição de Microempreendedor Individual – CCMEI supre tais requisitos.</w:t>
      </w:r>
    </w:p>
    <w:p w14:paraId="28C708DD">
      <w:pPr>
        <w:tabs>
          <w:tab w:val="left" w:pos="1440"/>
        </w:tabs>
        <w:autoSpaceDE w:val="0"/>
        <w:snapToGrid w:val="0"/>
        <w:spacing w:line="288" w:lineRule="auto"/>
        <w:contextualSpacing/>
        <w:jc w:val="both"/>
        <w:rPr>
          <w:sz w:val="24"/>
          <w:szCs w:val="24"/>
          <w:lang w:eastAsia="en-US"/>
        </w:rPr>
      </w:pPr>
    </w:p>
    <w:p w14:paraId="76ABD0FC">
      <w:pPr>
        <w:tabs>
          <w:tab w:val="left" w:pos="1440"/>
        </w:tabs>
        <w:autoSpaceDE w:val="0"/>
        <w:snapToGrid w:val="0"/>
        <w:spacing w:line="288" w:lineRule="auto"/>
        <w:contextualSpacing/>
        <w:jc w:val="both"/>
        <w:rPr>
          <w:sz w:val="24"/>
          <w:szCs w:val="24"/>
        </w:rPr>
      </w:pPr>
      <w:r>
        <w:rPr>
          <w:sz w:val="24"/>
          <w:szCs w:val="24"/>
        </w:rPr>
        <w:t>2.7 Prova de regularidade com a Fazenda do Estado do Rio de Janeiro, mediante a apresentação de:</w:t>
      </w:r>
    </w:p>
    <w:p w14:paraId="387D576C">
      <w:pPr>
        <w:tabs>
          <w:tab w:val="left" w:pos="1440"/>
        </w:tabs>
        <w:autoSpaceDE w:val="0"/>
        <w:snapToGrid w:val="0"/>
        <w:spacing w:line="288" w:lineRule="auto"/>
        <w:contextualSpacing/>
        <w:jc w:val="both"/>
        <w:rPr>
          <w:sz w:val="24"/>
          <w:szCs w:val="24"/>
        </w:rPr>
      </w:pPr>
    </w:p>
    <w:p w14:paraId="3B8F9816">
      <w:pPr>
        <w:tabs>
          <w:tab w:val="left" w:pos="1440"/>
        </w:tabs>
        <w:autoSpaceDE w:val="0"/>
        <w:snapToGrid w:val="0"/>
        <w:spacing w:line="288" w:lineRule="auto"/>
        <w:contextualSpacing/>
        <w:jc w:val="both"/>
        <w:rPr>
          <w:sz w:val="24"/>
          <w:szCs w:val="24"/>
          <w:lang w:eastAsia="en-US"/>
        </w:rPr>
      </w:pPr>
      <w:r>
        <w:rPr>
          <w:sz w:val="24"/>
          <w:szCs w:val="24"/>
        </w:rPr>
        <w:t xml:space="preserve">2.7.1 Certidão Negativa de Débitos, ou Certidão Positiva com efeito de Negativa, expedida pela Secretaria de Estado de Fazenda; e </w:t>
      </w:r>
    </w:p>
    <w:p w14:paraId="0ECA5345">
      <w:pPr>
        <w:pStyle w:val="24"/>
        <w:spacing w:line="288" w:lineRule="auto"/>
        <w:ind w:firstLine="0"/>
        <w:contextualSpacing/>
        <w:rPr>
          <w:rFonts w:ascii="Times New Roman" w:hAnsi="Times New Roman"/>
          <w:szCs w:val="24"/>
        </w:rPr>
      </w:pPr>
    </w:p>
    <w:p w14:paraId="02E9384A">
      <w:pPr>
        <w:pStyle w:val="24"/>
        <w:spacing w:line="288" w:lineRule="auto"/>
        <w:ind w:firstLine="0"/>
        <w:contextualSpacing/>
        <w:rPr>
          <w:rFonts w:ascii="Times New Roman" w:hAnsi="Times New Roman"/>
          <w:szCs w:val="24"/>
        </w:rPr>
      </w:pPr>
      <w:r>
        <w:rPr>
          <w:rFonts w:ascii="Times New Roman" w:hAnsi="Times New Roman"/>
          <w:szCs w:val="24"/>
        </w:rPr>
        <w:t>2.7.2 Certidão Negativa de Débitos em Dívida Ativa, ou Certidão Positiva com efeito de Negativa, para fins de participação em licitação, expedida pela Procuradoria Geral do Estado.</w:t>
      </w:r>
    </w:p>
    <w:p w14:paraId="48212787">
      <w:pPr>
        <w:tabs>
          <w:tab w:val="left" w:pos="1440"/>
        </w:tabs>
        <w:autoSpaceDE w:val="0"/>
        <w:snapToGrid w:val="0"/>
        <w:spacing w:line="288" w:lineRule="auto"/>
        <w:contextualSpacing/>
        <w:jc w:val="both"/>
        <w:rPr>
          <w:sz w:val="24"/>
          <w:szCs w:val="24"/>
        </w:rPr>
      </w:pPr>
    </w:p>
    <w:p w14:paraId="3AF64C2C">
      <w:pPr>
        <w:tabs>
          <w:tab w:val="left" w:pos="1440"/>
        </w:tabs>
        <w:autoSpaceDE w:val="0"/>
        <w:snapToGrid w:val="0"/>
        <w:spacing w:line="288" w:lineRule="auto"/>
        <w:contextualSpacing/>
        <w:jc w:val="both"/>
        <w:rPr>
          <w:sz w:val="24"/>
          <w:szCs w:val="24"/>
        </w:rPr>
      </w:pPr>
      <w:r>
        <w:rPr>
          <w:sz w:val="24"/>
          <w:szCs w:val="24"/>
        </w:rPr>
        <w:t>2.8 Regularidade com a Fazenda Estadual</w:t>
      </w:r>
      <w:r>
        <w:rPr>
          <w:color w:val="FF0000"/>
          <w:sz w:val="24"/>
          <w:szCs w:val="24"/>
        </w:rPr>
        <w:t xml:space="preserve"> </w:t>
      </w:r>
      <w:r>
        <w:rPr>
          <w:sz w:val="24"/>
          <w:szCs w:val="24"/>
        </w:rPr>
        <w:t xml:space="preserve">do domicílio ou sede do fornecedor, relativa à atividade em cujo exercício contrata ou concorre, com a apresentação de Certidão Negativa de Débitos, ou Certidão Positiva com efeito de Negativa, perante o Fisco estadual, pertinente ao Imposto sobre Operações relativas à Circulação de Mercadorias e sobre Prestações de Serviços de Transporte Interestadual, Intermunicipal e de Comunicação – ICMS, bem como de Certidão perante a Dívida Ativa estadual, podendo ser apresentada Certidão Conjunta em que constem ambas as informações. </w:t>
      </w:r>
    </w:p>
    <w:p w14:paraId="15D51492">
      <w:pPr>
        <w:tabs>
          <w:tab w:val="left" w:pos="1440"/>
        </w:tabs>
        <w:autoSpaceDE w:val="0"/>
        <w:snapToGrid w:val="0"/>
        <w:spacing w:line="288" w:lineRule="auto"/>
        <w:contextualSpacing/>
        <w:jc w:val="both"/>
        <w:rPr>
          <w:sz w:val="24"/>
          <w:szCs w:val="24"/>
        </w:rPr>
      </w:pPr>
    </w:p>
    <w:p w14:paraId="2A82DDB0">
      <w:pPr>
        <w:spacing w:line="288" w:lineRule="auto"/>
        <w:contextualSpacing/>
        <w:jc w:val="both"/>
        <w:rPr>
          <w:sz w:val="24"/>
          <w:szCs w:val="24"/>
        </w:rPr>
      </w:pPr>
      <w:r>
        <w:rPr>
          <w:sz w:val="24"/>
          <w:szCs w:val="24"/>
        </w:rPr>
        <w:t xml:space="preserve">2.9 Caso o fornecedor seja considerado isento dos tributos </w:t>
      </w:r>
      <w:r>
        <w:rPr>
          <w:iCs/>
          <w:sz w:val="24"/>
          <w:szCs w:val="24"/>
        </w:rPr>
        <w:t>estaduais</w:t>
      </w:r>
      <w:r>
        <w:rPr>
          <w:color w:val="FF0000"/>
          <w:sz w:val="24"/>
          <w:szCs w:val="24"/>
        </w:rPr>
        <w:t xml:space="preserve"> </w:t>
      </w:r>
      <w:r>
        <w:rPr>
          <w:sz w:val="24"/>
          <w:szCs w:val="24"/>
        </w:rPr>
        <w:t>relacionados ao objeto contratual, deverá comprovar tal condição mediante a apresentação de declaração da Fazenda respectiva do seu domicílio ou sede, ou outra equivalente, na forma da lei.</w:t>
      </w:r>
    </w:p>
    <w:p w14:paraId="797F68B3">
      <w:pPr>
        <w:spacing w:line="288" w:lineRule="auto"/>
        <w:contextualSpacing/>
        <w:rPr>
          <w:sz w:val="24"/>
          <w:szCs w:val="24"/>
        </w:rPr>
      </w:pPr>
    </w:p>
    <w:p w14:paraId="27E08AF9">
      <w:pPr>
        <w:pStyle w:val="29"/>
        <w:spacing w:after="0" w:line="288" w:lineRule="auto"/>
        <w:ind w:left="0"/>
        <w:contextualSpacing/>
        <w:jc w:val="both"/>
        <w:rPr>
          <w:rFonts w:ascii="Times New Roman" w:hAnsi="Times New Roman" w:cs="Times New Roman"/>
          <w:sz w:val="24"/>
          <w:szCs w:val="24"/>
        </w:rPr>
      </w:pPr>
      <w:bookmarkStart w:id="39" w:name="_Hlk178775808"/>
      <w:r>
        <w:rPr>
          <w:rFonts w:ascii="Times New Roman" w:hAnsi="Times New Roman" w:cs="Times New Roman"/>
          <w:bCs/>
          <w:sz w:val="24"/>
          <w:szCs w:val="24"/>
        </w:rPr>
        <w:t>2.10</w:t>
      </w:r>
      <w:r>
        <w:rPr>
          <w:rFonts w:ascii="Times New Roman" w:hAnsi="Times New Roman" w:cs="Times New Roman"/>
          <w:b/>
          <w:sz w:val="24"/>
          <w:szCs w:val="24"/>
        </w:rPr>
        <w:t xml:space="preserve"> </w:t>
      </w:r>
      <w:r>
        <w:rPr>
          <w:rFonts w:ascii="Times New Roman" w:hAnsi="Times New Roman" w:cs="Times New Roman"/>
          <w:sz w:val="24"/>
          <w:szCs w:val="24"/>
        </w:rPr>
        <w:t>Na hipótese de cuidar-se de microempresa ou de empresa de pequeno porte, na forma do art. 42 da Lei Complementar nº 123/2006, a documentação somente será exigida para efeito de assinatura do contrato, caso se sagre vencedora no certame.</w:t>
      </w:r>
    </w:p>
    <w:p w14:paraId="6C403451">
      <w:pPr>
        <w:spacing w:line="288" w:lineRule="auto"/>
        <w:contextualSpacing/>
        <w:jc w:val="both"/>
        <w:rPr>
          <w:sz w:val="24"/>
          <w:szCs w:val="24"/>
        </w:rPr>
      </w:pPr>
    </w:p>
    <w:p w14:paraId="7623FAAA">
      <w:pPr>
        <w:spacing w:line="288" w:lineRule="auto"/>
        <w:contextualSpacing/>
        <w:jc w:val="both"/>
        <w:rPr>
          <w:sz w:val="24"/>
          <w:szCs w:val="24"/>
        </w:rPr>
      </w:pPr>
      <w:r>
        <w:rPr>
          <w:sz w:val="24"/>
          <w:szCs w:val="24"/>
        </w:rPr>
        <w:t xml:space="preserve">2.10.1 Em sendo declarada vencedora do certame microempresa ou empresa de pequeno porte com débitos fiscais e trabalhistas, ficará assegurado, a partir de então, o prazo de 5 (cinco) dias úteis para a regularização da documentação, pagamento ou parcelamento do débito, e emissão de eventuais certidões negativas ou positivas com efeito de negativas, na forma do art. 43, § 1º, da Lei Complementar nº 123/2006. </w:t>
      </w:r>
    </w:p>
    <w:bookmarkEnd w:id="39"/>
    <w:p w14:paraId="5D5433AF">
      <w:pPr>
        <w:spacing w:line="288" w:lineRule="auto"/>
        <w:contextualSpacing/>
        <w:jc w:val="both"/>
        <w:rPr>
          <w:sz w:val="24"/>
          <w:szCs w:val="24"/>
        </w:rPr>
      </w:pPr>
    </w:p>
    <w:p w14:paraId="024F9805">
      <w:pPr>
        <w:spacing w:line="288" w:lineRule="auto"/>
        <w:contextualSpacing/>
        <w:jc w:val="both"/>
        <w:rPr>
          <w:sz w:val="24"/>
          <w:szCs w:val="24"/>
        </w:rPr>
      </w:pPr>
      <w:r>
        <w:rPr>
          <w:sz w:val="24"/>
          <w:szCs w:val="24"/>
        </w:rPr>
        <w:t>2.10.2 O prazo acima poderá ser prorrogado por igual período, a critério exclusivo da Administração Pública.</w:t>
      </w:r>
    </w:p>
    <w:p w14:paraId="4287AA51">
      <w:pPr>
        <w:spacing w:line="288" w:lineRule="auto"/>
        <w:contextualSpacing/>
        <w:jc w:val="both"/>
        <w:rPr>
          <w:bCs/>
          <w:sz w:val="24"/>
          <w:szCs w:val="24"/>
        </w:rPr>
      </w:pPr>
    </w:p>
    <w:p w14:paraId="699DCF99">
      <w:pPr>
        <w:spacing w:line="288" w:lineRule="auto"/>
        <w:contextualSpacing/>
        <w:jc w:val="both"/>
        <w:rPr>
          <w:sz w:val="24"/>
          <w:szCs w:val="24"/>
        </w:rPr>
      </w:pPr>
      <w:bookmarkStart w:id="40" w:name="_Hlk178775828"/>
      <w:r>
        <w:rPr>
          <w:bCs/>
          <w:sz w:val="24"/>
          <w:szCs w:val="24"/>
        </w:rPr>
        <w:t xml:space="preserve">2.10.3 </w:t>
      </w:r>
      <w:r>
        <w:rPr>
          <w:sz w:val="24"/>
          <w:szCs w:val="24"/>
        </w:rPr>
        <w:t xml:space="preserve">A não regularização da documentação no prazo estipulado implicará a decadência do direito à contratação, na forma do § 2º do art. 43 da Lei Complementar nº 123/2006, sem prejuízo da aplicação das sanções previstas neste Edital. </w:t>
      </w:r>
    </w:p>
    <w:bookmarkEnd w:id="40"/>
    <w:p w14:paraId="6632202F">
      <w:pPr>
        <w:spacing w:before="288" w:beforeLines="120" w:after="288" w:afterLines="120" w:line="288" w:lineRule="auto"/>
        <w:contextualSpacing/>
        <w:jc w:val="center"/>
        <w:rPr>
          <w:rFonts w:eastAsia="MS Mincho"/>
          <w:b/>
          <w:color w:val="FF0000"/>
          <w:sz w:val="24"/>
          <w:szCs w:val="24"/>
        </w:rPr>
      </w:pPr>
    </w:p>
    <w:p w14:paraId="2C0991BA">
      <w:pPr>
        <w:spacing w:line="288" w:lineRule="auto"/>
        <w:jc w:val="both"/>
        <w:rPr>
          <w:sz w:val="24"/>
          <w:szCs w:val="24"/>
        </w:rPr>
      </w:pPr>
      <w:r>
        <w:rPr>
          <w:b/>
          <w:bCs/>
          <w:sz w:val="24"/>
          <w:szCs w:val="24"/>
        </w:rPr>
        <w:t xml:space="preserve">3. HABILITAÇÃO </w:t>
      </w:r>
      <w:r>
        <w:rPr>
          <w:b/>
          <w:bCs/>
          <w:color w:val="000000"/>
          <w:sz w:val="24"/>
          <w:szCs w:val="24"/>
        </w:rPr>
        <w:t xml:space="preserve">ECONÔMICO-FINANCEIRA: </w:t>
      </w:r>
    </w:p>
    <w:p w14:paraId="06286092">
      <w:pPr>
        <w:spacing w:line="288" w:lineRule="auto"/>
        <w:jc w:val="both"/>
        <w:rPr>
          <w:sz w:val="24"/>
          <w:szCs w:val="24"/>
        </w:rPr>
      </w:pPr>
    </w:p>
    <w:p w14:paraId="560D65E7">
      <w:pPr>
        <w:spacing w:line="288" w:lineRule="auto"/>
        <w:jc w:val="both"/>
        <w:rPr>
          <w:sz w:val="24"/>
          <w:szCs w:val="24"/>
        </w:rPr>
      </w:pPr>
      <w:r>
        <w:rPr>
          <w:sz w:val="24"/>
          <w:szCs w:val="24"/>
        </w:rPr>
        <w:t>3.1 Certidão negativa de falência expedida pelo distribuidor da sede do fornecedor, caso se trate de pessoa jurídica, ou certidão negativa de insolvência civil expedida pelo distribuidor do domicílio ou sede do fornecedor, caso se trate de pessoa física</w:t>
      </w:r>
      <w:r>
        <w:fldChar w:fldCharType="begin"/>
      </w:r>
      <w:r>
        <w:instrText xml:space="preserve"> HYPERLINK "https://in.gov.br/en/web/dou/-/instrucao-normativa-seges/me-n-116-de-21-de-dezembro-de-2021-370926958" \l "art5" \h </w:instrText>
      </w:r>
      <w:r>
        <w:fldChar w:fldCharType="separate"/>
      </w:r>
      <w:r>
        <w:rPr>
          <w:sz w:val="24"/>
          <w:szCs w:val="24"/>
        </w:rPr>
        <w:t xml:space="preserve"> </w:t>
      </w:r>
      <w:r>
        <w:rPr>
          <w:sz w:val="24"/>
          <w:szCs w:val="24"/>
        </w:rPr>
        <w:fldChar w:fldCharType="end"/>
      </w:r>
      <w:r>
        <w:rPr>
          <w:sz w:val="24"/>
          <w:szCs w:val="24"/>
        </w:rPr>
        <w:t xml:space="preserve"> ou de sociedade simples.</w:t>
      </w:r>
    </w:p>
    <w:p w14:paraId="5B0B36D8">
      <w:pPr>
        <w:spacing w:line="288" w:lineRule="auto"/>
        <w:jc w:val="both"/>
        <w:rPr>
          <w:sz w:val="24"/>
          <w:szCs w:val="24"/>
        </w:rPr>
      </w:pPr>
    </w:p>
    <w:p w14:paraId="5843D3D5">
      <w:pPr>
        <w:spacing w:line="288" w:lineRule="auto"/>
        <w:jc w:val="both"/>
        <w:rPr>
          <w:sz w:val="24"/>
          <w:szCs w:val="24"/>
        </w:rPr>
      </w:pPr>
      <w:bookmarkStart w:id="41" w:name="_Hlk154232471"/>
      <w:r>
        <w:rPr>
          <w:sz w:val="24"/>
          <w:szCs w:val="24"/>
        </w:rPr>
        <w:t>3.1.1 Não será causa de inabilitação do licitante a anotação de distribuição de processo de recuperação judicial ou de pedido de homologação de recuperação extrajudicial.</w:t>
      </w:r>
    </w:p>
    <w:p w14:paraId="3D228AA4">
      <w:pPr>
        <w:spacing w:line="288" w:lineRule="auto"/>
        <w:jc w:val="both"/>
        <w:rPr>
          <w:sz w:val="24"/>
          <w:szCs w:val="24"/>
        </w:rPr>
      </w:pPr>
    </w:p>
    <w:bookmarkEnd w:id="41"/>
    <w:p w14:paraId="712D7D82">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7934CC73">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 Balanço patrimonial, demonstração de resultado de exercício e demais demonstrações contábeis dos 2 (dois) últimos exercícios sociais, vedada a sua substituição por balancetes ou balanços provisórios.</w:t>
      </w:r>
    </w:p>
    <w:p w14:paraId="79944B17">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4911A02D">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3.2.1 Os documentos referidos acima limitar-se-ão ao último exercício social no caso de a pessoa jurídica ter sido constituída há menos de 2 (dois) anos.</w:t>
      </w:r>
    </w:p>
    <w:p w14:paraId="443AAAB3">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19B37264">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 Os fornecedores criados no exercício financeiro da contratação deverão atender a todas as exigências da habilitação e ficam autorizados a substituir os demonstrativos contábeis pelo balanço de abertura;</w:t>
      </w:r>
    </w:p>
    <w:p w14:paraId="1438263F">
      <w:pPr>
        <w:spacing w:line="288" w:lineRule="auto"/>
        <w:ind w:right="565"/>
        <w:jc w:val="both"/>
        <w:rPr>
          <w:color w:val="000000" w:themeColor="text1"/>
          <w:sz w:val="24"/>
          <w:szCs w:val="24"/>
          <w14:textFill>
            <w14:solidFill>
              <w14:schemeClr w14:val="tx1"/>
            </w14:solidFill>
          </w14:textFill>
        </w:rPr>
      </w:pPr>
    </w:p>
    <w:p w14:paraId="491FF00A">
      <w:pPr>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3.2.2.1</w:t>
      </w:r>
      <w:r>
        <w:rPr>
          <w:rFonts w:eastAsia="Arial"/>
          <w:color w:val="000000" w:themeColor="text1"/>
          <w:sz w:val="24"/>
          <w:szCs w:val="24"/>
          <w14:textFill>
            <w14:solidFill>
              <w14:schemeClr w14:val="tx1"/>
            </w14:solidFill>
          </w14:textFill>
        </w:rPr>
        <w:t xml:space="preserve"> Poderá ser apresentado o balanço intermediário, caso autorizado por lei ou pelo contrato/estatuto social.</w:t>
      </w:r>
    </w:p>
    <w:p w14:paraId="69488F77">
      <w:pPr>
        <w:spacing w:line="288" w:lineRule="auto"/>
        <w:ind w:right="565"/>
        <w:jc w:val="both"/>
        <w:rPr>
          <w:color w:val="000000" w:themeColor="text1"/>
          <w:sz w:val="24"/>
          <w:szCs w:val="24"/>
          <w14:textFill>
            <w14:solidFill>
              <w14:schemeClr w14:val="tx1"/>
            </w14:solidFill>
          </w14:textFill>
        </w:rPr>
      </w:pPr>
    </w:p>
    <w:p w14:paraId="1FB4AE49">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3.2.3 Para fins de habilitação econômico-financeira de sociedade empresária em recuperação judicial deverão ser considerados os valores constantes no Plano de Recuperação Judicial, homologado pelo Juízo competente, para fins de apuração dos índices contábeis previstos no edital.</w:t>
      </w:r>
    </w:p>
    <w:p w14:paraId="718EE921">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12928330">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3.3 Comprovação da boa situação financeira da empresa mediante obtenção de índices de Liquidez Geral (LG), Solvência Geral (SG) e Liquidez Corrente (LC), iguais ou superiores a 1 (um), obtidos pela aplicação das seguintes fórmulas: </w:t>
      </w:r>
    </w:p>
    <w:p w14:paraId="19BF8701">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9"/>
        <w:tblW w:w="0" w:type="auto"/>
        <w:tblInd w:w="1134" w:type="dxa"/>
        <w:tblLayout w:type="autofit"/>
        <w:tblCellMar>
          <w:top w:w="0" w:type="dxa"/>
          <w:left w:w="108" w:type="dxa"/>
          <w:bottom w:w="0" w:type="dxa"/>
          <w:right w:w="108" w:type="dxa"/>
        </w:tblCellMar>
      </w:tblPr>
      <w:tblGrid>
        <w:gridCol w:w="2235"/>
        <w:gridCol w:w="4252"/>
      </w:tblGrid>
      <w:tr w14:paraId="71B5D52D">
        <w:tblPrEx>
          <w:tblCellMar>
            <w:top w:w="0" w:type="dxa"/>
            <w:left w:w="108" w:type="dxa"/>
            <w:bottom w:w="0" w:type="dxa"/>
            <w:right w:w="108" w:type="dxa"/>
          </w:tblCellMar>
        </w:tblPrEx>
        <w:tc>
          <w:tcPr>
            <w:tcW w:w="2235" w:type="dxa"/>
            <w:vMerge w:val="restart"/>
            <w:shd w:val="clear" w:color="auto" w:fill="auto"/>
            <w:vAlign w:val="center"/>
          </w:tcPr>
          <w:p w14:paraId="63AAFE8A">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LG =</w:t>
            </w:r>
          </w:p>
        </w:tc>
        <w:tc>
          <w:tcPr>
            <w:tcW w:w="4252" w:type="dxa"/>
            <w:tcBorders>
              <w:bottom w:val="single" w:color="auto" w:sz="4" w:space="0"/>
            </w:tcBorders>
            <w:shd w:val="clear" w:color="auto" w:fill="auto"/>
            <w:vAlign w:val="bottom"/>
          </w:tcPr>
          <w:p w14:paraId="31F3D16B">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 + Realizável a Longo Prazo</w:t>
            </w:r>
          </w:p>
        </w:tc>
      </w:tr>
      <w:tr w14:paraId="44C838D4">
        <w:tblPrEx>
          <w:tblCellMar>
            <w:top w:w="0" w:type="dxa"/>
            <w:left w:w="108" w:type="dxa"/>
            <w:bottom w:w="0" w:type="dxa"/>
            <w:right w:w="108" w:type="dxa"/>
          </w:tblCellMar>
        </w:tblPrEx>
        <w:tc>
          <w:tcPr>
            <w:tcW w:w="2235" w:type="dxa"/>
            <w:vMerge w:val="continue"/>
            <w:shd w:val="clear" w:color="auto" w:fill="auto"/>
          </w:tcPr>
          <w:p w14:paraId="67C02159">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252" w:type="dxa"/>
            <w:tcBorders>
              <w:top w:val="single" w:color="auto" w:sz="4" w:space="0"/>
            </w:tcBorders>
            <w:shd w:val="clear" w:color="auto" w:fill="auto"/>
          </w:tcPr>
          <w:p w14:paraId="50CC32DD">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5038F01C">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9"/>
        <w:tblW w:w="0" w:type="auto"/>
        <w:tblInd w:w="1134" w:type="dxa"/>
        <w:tblLayout w:type="autofit"/>
        <w:tblCellMar>
          <w:top w:w="0" w:type="dxa"/>
          <w:left w:w="108" w:type="dxa"/>
          <w:bottom w:w="0" w:type="dxa"/>
          <w:right w:w="108" w:type="dxa"/>
        </w:tblCellMar>
      </w:tblPr>
      <w:tblGrid>
        <w:gridCol w:w="2235"/>
        <w:gridCol w:w="4394"/>
      </w:tblGrid>
      <w:tr w14:paraId="79D1F3A0">
        <w:tblPrEx>
          <w:tblCellMar>
            <w:top w:w="0" w:type="dxa"/>
            <w:left w:w="108" w:type="dxa"/>
            <w:bottom w:w="0" w:type="dxa"/>
            <w:right w:w="108" w:type="dxa"/>
          </w:tblCellMar>
        </w:tblPrEx>
        <w:trPr>
          <w:cantSplit/>
        </w:trPr>
        <w:tc>
          <w:tcPr>
            <w:tcW w:w="2235" w:type="dxa"/>
            <w:vMerge w:val="restart"/>
            <w:shd w:val="clear" w:color="auto" w:fill="auto"/>
            <w:vAlign w:val="center"/>
          </w:tcPr>
          <w:p w14:paraId="33604CDF">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SG =</w:t>
            </w:r>
          </w:p>
        </w:tc>
        <w:tc>
          <w:tcPr>
            <w:tcW w:w="4394" w:type="dxa"/>
            <w:tcBorders>
              <w:bottom w:val="single" w:color="auto" w:sz="4" w:space="0"/>
            </w:tcBorders>
            <w:shd w:val="clear" w:color="auto" w:fill="auto"/>
            <w:vAlign w:val="bottom"/>
          </w:tcPr>
          <w:p w14:paraId="1071D3AB">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Total</w:t>
            </w:r>
          </w:p>
        </w:tc>
      </w:tr>
      <w:tr w14:paraId="4873659A">
        <w:tblPrEx>
          <w:tblCellMar>
            <w:top w:w="0" w:type="dxa"/>
            <w:left w:w="108" w:type="dxa"/>
            <w:bottom w:w="0" w:type="dxa"/>
            <w:right w:w="108" w:type="dxa"/>
          </w:tblCellMar>
        </w:tblPrEx>
        <w:trPr>
          <w:cantSplit/>
        </w:trPr>
        <w:tc>
          <w:tcPr>
            <w:tcW w:w="2235" w:type="dxa"/>
            <w:vMerge w:val="continue"/>
            <w:shd w:val="clear" w:color="auto" w:fill="auto"/>
          </w:tcPr>
          <w:p w14:paraId="067C3D49">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394" w:type="dxa"/>
            <w:tcBorders>
              <w:top w:val="single" w:color="auto" w:sz="4" w:space="0"/>
            </w:tcBorders>
            <w:shd w:val="clear" w:color="auto" w:fill="auto"/>
          </w:tcPr>
          <w:p w14:paraId="6747CC3E">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0E0DA12F">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9"/>
        <w:tblW w:w="0" w:type="auto"/>
        <w:tblInd w:w="1134" w:type="dxa"/>
        <w:tblLayout w:type="autofit"/>
        <w:tblCellMar>
          <w:top w:w="0" w:type="dxa"/>
          <w:left w:w="108" w:type="dxa"/>
          <w:bottom w:w="0" w:type="dxa"/>
          <w:right w:w="108" w:type="dxa"/>
        </w:tblCellMar>
      </w:tblPr>
      <w:tblGrid>
        <w:gridCol w:w="2235"/>
        <w:gridCol w:w="2551"/>
      </w:tblGrid>
      <w:tr w14:paraId="75B36403">
        <w:tblPrEx>
          <w:tblCellMar>
            <w:top w:w="0" w:type="dxa"/>
            <w:left w:w="108" w:type="dxa"/>
            <w:bottom w:w="0" w:type="dxa"/>
            <w:right w:w="108" w:type="dxa"/>
          </w:tblCellMar>
        </w:tblPrEx>
        <w:tc>
          <w:tcPr>
            <w:tcW w:w="2235" w:type="dxa"/>
            <w:vMerge w:val="restart"/>
            <w:shd w:val="clear" w:color="auto" w:fill="auto"/>
            <w:vAlign w:val="center"/>
          </w:tcPr>
          <w:p w14:paraId="3BED528E">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LC =</w:t>
            </w:r>
          </w:p>
        </w:tc>
        <w:tc>
          <w:tcPr>
            <w:tcW w:w="2551" w:type="dxa"/>
            <w:tcBorders>
              <w:bottom w:val="single" w:color="auto" w:sz="4" w:space="0"/>
            </w:tcBorders>
            <w:shd w:val="clear" w:color="auto" w:fill="auto"/>
            <w:vAlign w:val="bottom"/>
          </w:tcPr>
          <w:p w14:paraId="1A84DA32">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w:t>
            </w:r>
          </w:p>
        </w:tc>
      </w:tr>
      <w:tr w14:paraId="2932BEC4">
        <w:tblPrEx>
          <w:tblCellMar>
            <w:top w:w="0" w:type="dxa"/>
            <w:left w:w="108" w:type="dxa"/>
            <w:bottom w:w="0" w:type="dxa"/>
            <w:right w:w="108" w:type="dxa"/>
          </w:tblCellMar>
        </w:tblPrEx>
        <w:tc>
          <w:tcPr>
            <w:tcW w:w="2235" w:type="dxa"/>
            <w:vMerge w:val="continue"/>
            <w:shd w:val="clear" w:color="auto" w:fill="auto"/>
          </w:tcPr>
          <w:p w14:paraId="7E10BB9A">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2551" w:type="dxa"/>
            <w:tcBorders>
              <w:top w:val="single" w:color="auto" w:sz="4" w:space="0"/>
            </w:tcBorders>
            <w:shd w:val="clear" w:color="auto" w:fill="auto"/>
          </w:tcPr>
          <w:p w14:paraId="62F9EE2A">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w:t>
            </w:r>
          </w:p>
        </w:tc>
      </w:tr>
    </w:tbl>
    <w:p w14:paraId="1ACD2233">
      <w:pPr>
        <w:pStyle w:val="104"/>
        <w:spacing w:before="0" w:beforeAutospacing="0" w:after="0" w:afterAutospacing="0" w:line="288" w:lineRule="auto"/>
        <w:ind w:right="565"/>
        <w:jc w:val="both"/>
        <w:rPr>
          <w:color w:val="000000" w:themeColor="text1"/>
          <w14:textFill>
            <w14:solidFill>
              <w14:schemeClr w14:val="tx1"/>
            </w14:solidFill>
          </w14:textFill>
        </w:rPr>
      </w:pPr>
    </w:p>
    <w:p w14:paraId="4AA5AC75">
      <w:pPr>
        <w:pStyle w:val="104"/>
        <w:spacing w:before="0" w:beforeAutospacing="0" w:after="0" w:afterAutospacing="0" w:line="288" w:lineRule="auto"/>
        <w:ind w:right="565"/>
        <w:jc w:val="both"/>
        <w:rPr>
          <w:color w:val="000000" w:themeColor="text1"/>
          <w14:textFill>
            <w14:solidFill>
              <w14:schemeClr w14:val="tx1"/>
            </w14:solidFill>
          </w14:textFill>
        </w:rPr>
      </w:pPr>
      <w:r>
        <w:rPr>
          <w:color w:val="000000" w:themeColor="text1"/>
          <w14:textFill>
            <w14:solidFill>
              <w14:schemeClr w14:val="tx1"/>
            </w14:solidFill>
          </w14:textFill>
        </w:rPr>
        <w:t>3.3.1 Caso seja apresentado resultado inferior ou igual a 1(um) em qualquer dos índices de Liquidez Geral (LG), Solvência Geral (SG) e Liquidez Corrente (LC), deverá ser comprovado capital ou patrimônio líquido mínimo de ... (....) do valor total estimado da contratação ou do item pertinente.</w:t>
      </w:r>
    </w:p>
    <w:p w14:paraId="50D5EB9B">
      <w:pPr>
        <w:pStyle w:val="104"/>
        <w:spacing w:before="0" w:beforeAutospacing="0" w:after="0" w:afterAutospacing="0" w:line="288" w:lineRule="auto"/>
        <w:ind w:right="565"/>
        <w:jc w:val="both"/>
        <w:rPr>
          <w:color w:val="000000" w:themeColor="text1"/>
          <w14:textFill>
            <w14:solidFill>
              <w14:schemeClr w14:val="tx1"/>
            </w14:solidFill>
          </w14:textFill>
        </w:rPr>
      </w:pPr>
    </w:p>
    <w:p w14:paraId="39BC70C0">
      <w:pPr>
        <w:pStyle w:val="104"/>
        <w:spacing w:before="0" w:beforeAutospacing="0" w:after="0" w:afterAutospacing="0" w:line="288" w:lineRule="auto"/>
        <w:ind w:right="565"/>
        <w:jc w:val="both"/>
        <w:rPr>
          <w:rStyle w:val="110"/>
          <w:rFonts w:ascii="Times New Roman" w:hAnsi="Times New Roman" w:cs="Times New Roman"/>
          <w:b/>
          <w:bCs/>
          <w:i w:val="0"/>
          <w:iCs w:val="0"/>
          <w:color w:val="000000" w:themeColor="text1"/>
          <w:sz w:val="24"/>
          <w:szCs w:val="24"/>
          <w14:textFill>
            <w14:solidFill>
              <w14:schemeClr w14:val="tx1"/>
            </w14:solidFill>
          </w14:textFill>
        </w:rPr>
      </w:pPr>
      <w:r>
        <w:rPr>
          <w:rStyle w:val="102"/>
          <w:rFonts w:ascii="Times New Roman" w:hAnsi="Times New Roman" w:cs="Times New Roman"/>
          <w:b/>
          <w:bCs/>
          <w:color w:val="000000" w:themeColor="text1"/>
          <w:sz w:val="24"/>
          <w:szCs w:val="24"/>
          <w14:textFill>
            <w14:solidFill>
              <w14:schemeClr w14:val="tx1"/>
            </w14:solidFill>
          </w14:textFill>
        </w:rPr>
        <w:t>NOTA EXPLICATIVA:</w:t>
      </w:r>
      <w:r>
        <w:rPr>
          <w:rStyle w:val="110"/>
          <w:rFonts w:ascii="Times New Roman" w:hAnsi="Times New Roman" w:cs="Times New Roman"/>
          <w:b/>
          <w:bCs/>
          <w:i w:val="0"/>
          <w:iCs w:val="0"/>
          <w:color w:val="000000" w:themeColor="text1"/>
          <w:sz w:val="24"/>
          <w:szCs w:val="24"/>
          <w14:textFill>
            <w14:solidFill>
              <w14:schemeClr w14:val="tx1"/>
            </w14:solidFill>
          </w14:textFill>
        </w:rPr>
        <w:t xml:space="preserve"> </w:t>
      </w:r>
    </w:p>
    <w:p w14:paraId="0D3E4E9E">
      <w:pPr>
        <w:pStyle w:val="104"/>
        <w:spacing w:before="0" w:beforeAutospacing="0" w:after="0" w:afterAutospacing="0" w:line="288" w:lineRule="auto"/>
        <w:ind w:right="565"/>
        <w:jc w:val="both"/>
        <w:rPr>
          <w:rStyle w:val="110"/>
          <w:rFonts w:ascii="Times New Roman" w:hAnsi="Times New Roman" w:cs="Times New Roman"/>
          <w:i w:val="0"/>
          <w:iCs w:val="0"/>
          <w:color w:val="000000" w:themeColor="text1"/>
          <w:sz w:val="24"/>
          <w:szCs w:val="24"/>
          <w14:textFill>
            <w14:solidFill>
              <w14:schemeClr w14:val="tx1"/>
            </w14:solidFill>
          </w14:textFill>
        </w:rPr>
      </w:pPr>
      <w:r>
        <w:rPr>
          <w:rStyle w:val="110"/>
          <w:rFonts w:ascii="Times New Roman" w:hAnsi="Times New Roman" w:cs="Times New Roman"/>
          <w:i w:val="0"/>
          <w:iCs w:val="0"/>
          <w:color w:val="000000" w:themeColor="text1"/>
          <w:sz w:val="24"/>
          <w:szCs w:val="24"/>
          <w14:textFill>
            <w14:solidFill>
              <w14:schemeClr w14:val="tx1"/>
            </w14:solidFill>
          </w14:textFill>
        </w:rPr>
        <w:t xml:space="preserve">A fixação do percentual referente ao patrimônio líquido se insere na esfera de atuação discricionária da Administração, podendo ser exigido até 10% (dez por cento) do valor estimado da contratação (art. 69, § 4º, da Lei nº 14.133/2021), exceto na hipótese de orçamento sigiloso, para evitar que o parâmetro do preço estimado seja revelado por outros meios. </w:t>
      </w:r>
    </w:p>
    <w:p w14:paraId="2A5AC736">
      <w:pPr>
        <w:pStyle w:val="104"/>
        <w:spacing w:before="0" w:beforeAutospacing="0" w:after="0" w:afterAutospacing="0" w:line="288" w:lineRule="auto"/>
        <w:ind w:right="565"/>
        <w:jc w:val="both"/>
        <w:rPr>
          <w:rStyle w:val="110"/>
          <w:rFonts w:ascii="Times New Roman" w:hAnsi="Times New Roman" w:cs="Times New Roman"/>
          <w:i w:val="0"/>
          <w:iCs w:val="0"/>
          <w:color w:val="000000" w:themeColor="text1"/>
          <w:sz w:val="24"/>
          <w:szCs w:val="24"/>
          <w14:textFill>
            <w14:solidFill>
              <w14:schemeClr w14:val="tx1"/>
            </w14:solidFill>
          </w14:textFill>
        </w:rPr>
      </w:pPr>
    </w:p>
    <w:p w14:paraId="779924DA">
      <w:pPr>
        <w:pStyle w:val="104"/>
        <w:spacing w:before="0" w:beforeAutospacing="0" w:after="0" w:afterAutospacing="0" w:line="288" w:lineRule="auto"/>
        <w:ind w:right="565"/>
        <w:contextualSpacing/>
        <w:jc w:val="both"/>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3.3.2 O atendimento dos índices econômicos previstos neste item deverá ser atestado mediante declaração assinada por profissional habilitado da área contábil, apresentada pelo fornecedor.</w:t>
      </w:r>
    </w:p>
    <w:p w14:paraId="4927AEEA">
      <w:pPr>
        <w:pStyle w:val="104"/>
        <w:spacing w:before="0" w:beforeAutospacing="0" w:after="0" w:afterAutospacing="0" w:line="288" w:lineRule="auto"/>
        <w:ind w:left="567" w:right="565"/>
        <w:jc w:val="both"/>
        <w:rPr>
          <w:lang w:eastAsia="en-US"/>
        </w:rPr>
      </w:pPr>
    </w:p>
    <w:p w14:paraId="126E1A42">
      <w:pPr>
        <w:pStyle w:val="104"/>
        <w:spacing w:before="0" w:beforeAutospacing="0" w:after="0" w:afterAutospacing="0" w:line="288" w:lineRule="auto"/>
        <w:contextualSpacing/>
        <w:jc w:val="both"/>
        <w:rPr>
          <w:iCs/>
          <w:color w:val="FF0000"/>
        </w:rPr>
      </w:pPr>
    </w:p>
    <w:p w14:paraId="24F201E3">
      <w:pPr>
        <w:pStyle w:val="104"/>
        <w:spacing w:before="0" w:beforeAutospacing="0" w:after="0" w:afterAutospacing="0" w:line="288" w:lineRule="auto"/>
        <w:contextualSpacing/>
        <w:jc w:val="both"/>
        <w:rPr>
          <w:b/>
          <w:bCs/>
        </w:rPr>
      </w:pPr>
      <w:r>
        <w:rPr>
          <w:b/>
          <w:bCs/>
        </w:rPr>
        <w:t>4. HABILITAÇÃO TÉCNICA</w:t>
      </w:r>
    </w:p>
    <w:p w14:paraId="733F25DF">
      <w:pPr>
        <w:pStyle w:val="104"/>
        <w:spacing w:before="0" w:beforeAutospacing="0" w:after="0" w:afterAutospacing="0" w:line="288" w:lineRule="auto"/>
        <w:contextualSpacing/>
        <w:jc w:val="both"/>
        <w:rPr>
          <w:b/>
          <w:bCs/>
        </w:rPr>
      </w:pPr>
    </w:p>
    <w:p w14:paraId="589CD5FE">
      <w:pPr>
        <w:pStyle w:val="111"/>
        <w:keepNext w:val="0"/>
        <w:widowControl/>
        <w:spacing w:before="0" w:after="0" w:line="288" w:lineRule="auto"/>
        <w:ind w:firstLine="0"/>
        <w:contextualSpacing/>
        <w:rPr>
          <w:rFonts w:ascii="Times New Roman" w:hAnsi="Times New Roman" w:cs="Times New Roman"/>
          <w:color w:val="000000" w:themeColor="text1"/>
          <w:sz w:val="24"/>
          <w14:textFill>
            <w14:solidFill>
              <w14:schemeClr w14:val="tx1"/>
            </w14:solidFill>
          </w14:textFill>
        </w:rPr>
      </w:pPr>
      <w:bookmarkStart w:id="42" w:name="_Hlk154233180"/>
      <w:r>
        <w:rPr>
          <w:rFonts w:ascii="Times New Roman" w:hAnsi="Times New Roman" w:cs="Times New Roman"/>
          <w:color w:val="000000" w:themeColor="text1"/>
          <w:sz w:val="24"/>
          <w14:textFill>
            <w14:solidFill>
              <w14:schemeClr w14:val="tx1"/>
            </w14:solidFill>
          </w14:textFill>
        </w:rPr>
        <w:t xml:space="preserve">4.1 </w:t>
      </w:r>
      <w:bookmarkEnd w:id="42"/>
      <w:r>
        <w:rPr>
          <w:rFonts w:ascii="Times New Roman" w:hAnsi="Times New Roman" w:cs="Times New Roman"/>
          <w:color w:val="000000" w:themeColor="text1"/>
          <w:sz w:val="24"/>
          <w14:textFill>
            <w14:solidFill>
              <w14:schemeClr w14:val="tx1"/>
            </w14:solidFill>
          </w14:textFill>
        </w:rPr>
        <w:t>Comprovação de aptidão para o fornecimento de bens, de acordo com as características, quantidades e prazos compatíveis com o objeto, mediante a apresentação de atestado(s) fornecido(s) por pessoas jurídicas de direito público ou privado, na seguinte forma:</w:t>
      </w:r>
    </w:p>
    <w:p w14:paraId="13CA6664">
      <w:pPr>
        <w:spacing w:line="288" w:lineRule="auto"/>
        <w:ind w:right="565"/>
        <w:contextualSpacing/>
        <w:jc w:val="both"/>
        <w:rPr>
          <w:color w:val="000000" w:themeColor="text1"/>
          <w:sz w:val="24"/>
          <w:szCs w:val="24"/>
          <w14:textFill>
            <w14:solidFill>
              <w14:schemeClr w14:val="tx1"/>
            </w14:solidFill>
          </w14:textFill>
        </w:rPr>
      </w:pPr>
    </w:p>
    <w:p w14:paraId="56C6BA22">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4.2._ Os atestados deverão referir-se a fornecimento no âmbito de sua atividade econômica principal ou secundária especificadas no contrato social vigente.</w:t>
      </w:r>
    </w:p>
    <w:p w14:paraId="20DF7FD9">
      <w:pPr>
        <w:spacing w:line="288" w:lineRule="auto"/>
        <w:ind w:right="565"/>
        <w:contextualSpacing/>
        <w:jc w:val="both"/>
        <w:rPr>
          <w:color w:val="000000" w:themeColor="text1"/>
          <w:sz w:val="24"/>
          <w:szCs w:val="24"/>
          <w14:textFill>
            <w14:solidFill>
              <w14:schemeClr w14:val="tx1"/>
            </w14:solidFill>
          </w14:textFill>
        </w:rPr>
      </w:pPr>
    </w:p>
    <w:p w14:paraId="393864F9">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4.3._ Poderá ser admitida, para fins de comprovação de quantitativo mínimo do fornecimento, a apresentação de diferentes atestados de objetos executados de forma concomitante, resultando na comprovação de capacidade técnico-operacional de uma única contratação.</w:t>
      </w:r>
    </w:p>
    <w:p w14:paraId="438686B0">
      <w:pPr>
        <w:spacing w:line="288" w:lineRule="auto"/>
        <w:ind w:right="565"/>
        <w:contextualSpacing/>
        <w:jc w:val="both"/>
        <w:rPr>
          <w:color w:val="000000" w:themeColor="text1"/>
          <w:sz w:val="24"/>
          <w:szCs w:val="24"/>
          <w14:textFill>
            <w14:solidFill>
              <w14:schemeClr w14:val="tx1"/>
            </w14:solidFill>
          </w14:textFill>
        </w:rPr>
      </w:pPr>
    </w:p>
    <w:p w14:paraId="1AE9ECCD">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4.4._ Em caso de dúvida fundada suscitada pelo pregoeiro, a Administração poderá solicitar ao licitante, em diligência complementar, todas as informações necessárias à comprovação da legitimidade dos atestados, dentre outros documentos, cópia do contrato que deu suporte à contratação, endereço atual da contratante e local em que foram executados os objetos.</w:t>
      </w:r>
    </w:p>
    <w:p w14:paraId="7F5C912A">
      <w:pPr>
        <w:rPr>
          <w:b/>
          <w:color w:val="000000"/>
          <w:sz w:val="24"/>
          <w:szCs w:val="24"/>
        </w:rPr>
      </w:pPr>
    </w:p>
    <w:p w14:paraId="384488B1">
      <w:pPr>
        <w:spacing w:before="288" w:beforeLines="120" w:after="288" w:afterLines="120" w:line="288" w:lineRule="auto"/>
        <w:contextualSpacing/>
        <w:rPr>
          <w:rFonts w:eastAsia="MS Mincho"/>
          <w:b/>
          <w:sz w:val="24"/>
          <w:szCs w:val="24"/>
        </w:rPr>
      </w:pPr>
    </w:p>
    <w:p w14:paraId="4F74552A">
      <w:pPr>
        <w:spacing w:line="288" w:lineRule="auto"/>
        <w:contextualSpacing/>
        <w:jc w:val="center"/>
        <w:rPr>
          <w:b/>
          <w:bCs/>
          <w:sz w:val="24"/>
          <w:szCs w:val="24"/>
        </w:rPr>
      </w:pPr>
      <w:r>
        <w:rPr>
          <w:b/>
          <w:bCs/>
          <w:sz w:val="24"/>
          <w:szCs w:val="24"/>
        </w:rPr>
        <w:t>ANEXO V</w:t>
      </w:r>
    </w:p>
    <w:p w14:paraId="680AAABC">
      <w:pPr>
        <w:spacing w:line="288" w:lineRule="auto"/>
        <w:contextualSpacing/>
        <w:jc w:val="center"/>
        <w:rPr>
          <w:b/>
          <w:bCs/>
          <w:sz w:val="24"/>
          <w:szCs w:val="24"/>
        </w:rPr>
      </w:pPr>
    </w:p>
    <w:p w14:paraId="5B123708">
      <w:pPr>
        <w:spacing w:line="368" w:lineRule="auto"/>
        <w:ind w:right="-446" w:hanging="284"/>
        <w:rPr>
          <w:b/>
          <w:sz w:val="24"/>
          <w:szCs w:val="24"/>
          <w:u w:val="single"/>
        </w:rPr>
      </w:pPr>
      <w:r>
        <w:rPr>
          <w:b/>
          <w:sz w:val="24"/>
          <w:szCs w:val="24"/>
          <w:u w:val="single"/>
        </w:rPr>
        <w:drawing>
          <wp:anchor distT="0" distB="0" distL="114300" distR="114300" simplePos="0" relativeHeight="251659264" behindDoc="0" locked="0" layoutInCell="1" allowOverlap="1">
            <wp:simplePos x="0" y="0"/>
            <wp:positionH relativeFrom="column">
              <wp:posOffset>-908050</wp:posOffset>
            </wp:positionH>
            <wp:positionV relativeFrom="paragraph">
              <wp:posOffset>386080</wp:posOffset>
            </wp:positionV>
            <wp:extent cx="7363460" cy="2695575"/>
            <wp:effectExtent l="0" t="0" r="8890" b="9525"/>
            <wp:wrapSquare wrapText="bothSides"/>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7363460" cy="2695575"/>
                    </a:xfrm>
                    <a:prstGeom prst="rect">
                      <a:avLst/>
                    </a:prstGeom>
                  </pic:spPr>
                </pic:pic>
              </a:graphicData>
            </a:graphic>
          </wp:anchor>
        </w:drawing>
      </w:r>
      <w:r>
        <w:rPr>
          <w:b/>
          <w:sz w:val="24"/>
          <w:szCs w:val="24"/>
        </w:rPr>
        <w:t xml:space="preserve">                                                          </w:t>
      </w:r>
      <w:r>
        <w:rPr>
          <w:b/>
          <w:sz w:val="24"/>
          <w:szCs w:val="24"/>
          <w:highlight w:val="yellow"/>
          <w:u w:val="single"/>
        </w:rPr>
        <w:t>PLANILHA DE CUSTO</w:t>
      </w:r>
    </w:p>
    <w:p w14:paraId="21933062">
      <w:pPr>
        <w:spacing w:line="368" w:lineRule="auto"/>
        <w:ind w:right="-446" w:hanging="284"/>
        <w:rPr>
          <w:b/>
          <w:sz w:val="24"/>
          <w:szCs w:val="24"/>
          <w:u w:val="single"/>
        </w:rPr>
      </w:pPr>
    </w:p>
    <w:p w14:paraId="1A1D40E0">
      <w:pPr>
        <w:spacing w:line="368" w:lineRule="auto"/>
        <w:ind w:right="-446" w:hanging="284"/>
        <w:rPr>
          <w:b/>
          <w:sz w:val="24"/>
          <w:szCs w:val="24"/>
          <w:u w:val="single"/>
        </w:rPr>
      </w:pPr>
    </w:p>
    <w:p w14:paraId="055F2EE8">
      <w:pPr>
        <w:contextualSpacing/>
        <w:jc w:val="center"/>
        <w:rPr>
          <w:b/>
          <w:sz w:val="24"/>
          <w:szCs w:val="24"/>
        </w:rPr>
      </w:pPr>
    </w:p>
    <w:p w14:paraId="51F655F4">
      <w:pPr>
        <w:contextualSpacing/>
        <w:jc w:val="center"/>
        <w:rPr>
          <w:b/>
          <w:sz w:val="24"/>
          <w:szCs w:val="24"/>
        </w:rPr>
      </w:pPr>
    </w:p>
    <w:p w14:paraId="63CB1C43">
      <w:pPr>
        <w:contextualSpacing/>
        <w:jc w:val="center"/>
        <w:rPr>
          <w:b/>
          <w:sz w:val="24"/>
          <w:szCs w:val="24"/>
        </w:rPr>
      </w:pPr>
    </w:p>
    <w:p w14:paraId="03104444">
      <w:pPr>
        <w:contextualSpacing/>
        <w:jc w:val="center"/>
        <w:rPr>
          <w:b/>
          <w:sz w:val="24"/>
          <w:szCs w:val="24"/>
        </w:rPr>
      </w:pPr>
    </w:p>
    <w:p w14:paraId="55AD940E">
      <w:pPr>
        <w:contextualSpacing/>
        <w:jc w:val="center"/>
        <w:rPr>
          <w:b/>
          <w:sz w:val="24"/>
          <w:szCs w:val="24"/>
        </w:rPr>
      </w:pPr>
    </w:p>
    <w:p w14:paraId="013FB198">
      <w:pPr>
        <w:contextualSpacing/>
        <w:jc w:val="center"/>
        <w:rPr>
          <w:b/>
          <w:sz w:val="24"/>
          <w:szCs w:val="24"/>
        </w:rPr>
      </w:pPr>
    </w:p>
    <w:p w14:paraId="6C5CE968">
      <w:pPr>
        <w:contextualSpacing/>
        <w:jc w:val="center"/>
        <w:rPr>
          <w:b/>
          <w:sz w:val="24"/>
          <w:szCs w:val="24"/>
        </w:rPr>
      </w:pPr>
    </w:p>
    <w:p w14:paraId="57D77FC8">
      <w:pPr>
        <w:contextualSpacing/>
        <w:jc w:val="center"/>
        <w:rPr>
          <w:b/>
          <w:sz w:val="24"/>
          <w:szCs w:val="24"/>
        </w:rPr>
      </w:pPr>
    </w:p>
    <w:p w14:paraId="174A1239">
      <w:pPr>
        <w:contextualSpacing/>
        <w:jc w:val="center"/>
        <w:rPr>
          <w:b/>
          <w:sz w:val="24"/>
          <w:szCs w:val="24"/>
        </w:rPr>
      </w:pPr>
    </w:p>
    <w:p w14:paraId="425F6F0C">
      <w:pPr>
        <w:contextualSpacing/>
        <w:jc w:val="center"/>
        <w:rPr>
          <w:b/>
          <w:sz w:val="24"/>
          <w:szCs w:val="24"/>
        </w:rPr>
      </w:pPr>
    </w:p>
    <w:p w14:paraId="50967983">
      <w:pPr>
        <w:contextualSpacing/>
        <w:jc w:val="center"/>
        <w:rPr>
          <w:b/>
          <w:sz w:val="24"/>
          <w:szCs w:val="24"/>
        </w:rPr>
      </w:pPr>
    </w:p>
    <w:p w14:paraId="07EFE202">
      <w:pPr>
        <w:contextualSpacing/>
        <w:jc w:val="center"/>
        <w:rPr>
          <w:b/>
          <w:sz w:val="24"/>
          <w:szCs w:val="24"/>
        </w:rPr>
      </w:pPr>
    </w:p>
    <w:p w14:paraId="0E3DD76B">
      <w:pPr>
        <w:contextualSpacing/>
        <w:jc w:val="center"/>
        <w:rPr>
          <w:b/>
          <w:sz w:val="24"/>
          <w:szCs w:val="24"/>
        </w:rPr>
      </w:pPr>
    </w:p>
    <w:p w14:paraId="308694C4">
      <w:pPr>
        <w:contextualSpacing/>
        <w:jc w:val="center"/>
        <w:rPr>
          <w:b/>
          <w:sz w:val="24"/>
          <w:szCs w:val="24"/>
        </w:rPr>
      </w:pPr>
    </w:p>
    <w:p w14:paraId="5A18B83D">
      <w:pPr>
        <w:contextualSpacing/>
        <w:jc w:val="center"/>
        <w:rPr>
          <w:b/>
          <w:sz w:val="24"/>
          <w:szCs w:val="24"/>
        </w:rPr>
      </w:pPr>
    </w:p>
    <w:p w14:paraId="6908F9D5">
      <w:pPr>
        <w:contextualSpacing/>
        <w:jc w:val="center"/>
        <w:rPr>
          <w:b/>
          <w:sz w:val="24"/>
          <w:szCs w:val="24"/>
        </w:rPr>
      </w:pPr>
    </w:p>
    <w:p w14:paraId="58AEB47B">
      <w:pPr>
        <w:contextualSpacing/>
        <w:jc w:val="center"/>
        <w:rPr>
          <w:b/>
          <w:sz w:val="24"/>
          <w:szCs w:val="24"/>
        </w:rPr>
      </w:pPr>
      <w:r>
        <w:rPr>
          <w:b/>
          <w:sz w:val="24"/>
          <w:szCs w:val="24"/>
        </w:rPr>
        <w:t>ANEXO VI</w:t>
      </w:r>
    </w:p>
    <w:p w14:paraId="6A9E2CA0">
      <w:pPr>
        <w:contextualSpacing/>
        <w:jc w:val="center"/>
        <w:rPr>
          <w:b/>
          <w:sz w:val="24"/>
          <w:szCs w:val="24"/>
        </w:rPr>
      </w:pPr>
    </w:p>
    <w:p w14:paraId="47C6E4B9">
      <w:pPr>
        <w:contextualSpacing/>
        <w:jc w:val="center"/>
        <w:rPr>
          <w:b/>
          <w:sz w:val="24"/>
          <w:szCs w:val="24"/>
          <w:highlight w:val="yellow"/>
        </w:rPr>
      </w:pPr>
      <w:r>
        <w:rPr>
          <w:b/>
          <w:sz w:val="24"/>
          <w:szCs w:val="24"/>
          <w:highlight w:val="yellow"/>
        </w:rPr>
        <w:t>ATA DE REGISTRO DE PREÇOS Nº XXX/XXX</w:t>
      </w:r>
    </w:p>
    <w:p w14:paraId="34415C08">
      <w:pPr>
        <w:contextualSpacing/>
        <w:jc w:val="center"/>
        <w:rPr>
          <w:b/>
          <w:bCs/>
          <w:sz w:val="24"/>
          <w:szCs w:val="24"/>
          <w:highlight w:val="yellow"/>
        </w:rPr>
      </w:pPr>
      <w:r>
        <w:rPr>
          <w:b/>
          <w:bCs/>
          <w:sz w:val="24"/>
          <w:szCs w:val="24"/>
          <w:highlight w:val="yellow"/>
        </w:rPr>
        <w:t>MUNICÍPIO DE VALENÇA</w:t>
      </w:r>
    </w:p>
    <w:p w14:paraId="71C7835E">
      <w:pPr>
        <w:contextualSpacing/>
        <w:jc w:val="center"/>
        <w:rPr>
          <w:b/>
          <w:bCs/>
          <w:sz w:val="24"/>
          <w:szCs w:val="24"/>
        </w:rPr>
      </w:pPr>
      <w:r>
        <w:rPr>
          <w:b/>
          <w:sz w:val="24"/>
          <w:szCs w:val="24"/>
          <w:highlight w:val="yellow"/>
        </w:rPr>
        <w:t>SECRETARIA MUNICIPAL DE EDUCAÇÃO</w:t>
      </w:r>
    </w:p>
    <w:p w14:paraId="0E079108">
      <w:pPr>
        <w:spacing w:after="120"/>
        <w:ind w:left="3969" w:right="-15"/>
        <w:contextualSpacing/>
        <w:jc w:val="both"/>
        <w:rPr>
          <w:b/>
          <w:sz w:val="24"/>
          <w:szCs w:val="24"/>
        </w:rPr>
      </w:pPr>
    </w:p>
    <w:p w14:paraId="53539854">
      <w:pPr>
        <w:spacing w:after="120"/>
        <w:ind w:left="3969" w:right="-15"/>
        <w:contextualSpacing/>
        <w:jc w:val="both"/>
        <w:rPr>
          <w:b/>
          <w:sz w:val="24"/>
          <w:szCs w:val="24"/>
        </w:rPr>
      </w:pPr>
    </w:p>
    <w:p w14:paraId="1D55E4D3">
      <w:pPr>
        <w:widowControl w:val="0"/>
        <w:tabs>
          <w:tab w:val="center" w:pos="4779"/>
          <w:tab w:val="right" w:pos="9198"/>
        </w:tabs>
        <w:autoSpaceDE w:val="0"/>
        <w:autoSpaceDN w:val="0"/>
        <w:adjustRightInd w:val="0"/>
        <w:spacing w:before="120" w:after="120" w:line="288" w:lineRule="auto"/>
        <w:ind w:right="-28"/>
        <w:contextualSpacing/>
        <w:jc w:val="both"/>
        <w:rPr>
          <w:sz w:val="24"/>
          <w:szCs w:val="24"/>
        </w:rPr>
      </w:pPr>
      <w:r>
        <w:rPr>
          <w:rFonts w:eastAsia="Arial"/>
          <w:b/>
          <w:bCs/>
          <w:sz w:val="24"/>
          <w:szCs w:val="24"/>
        </w:rPr>
        <w:t xml:space="preserve">O MUNICÍPIO DE VALENÇA, </w:t>
      </w:r>
      <w:r>
        <w:rPr>
          <w:b/>
          <w:bCs/>
          <w:sz w:val="24"/>
          <w:szCs w:val="24"/>
        </w:rPr>
        <w:t>pela SECRETARIA MUNICIPAL DE EDUCAÇÃO</w:t>
      </w:r>
      <w:r>
        <w:rPr>
          <w:sz w:val="24"/>
          <w:szCs w:val="24"/>
        </w:rPr>
        <w:t xml:space="preserve">, com sede na xxx , na cidade de Valença, no Estado do Rio de Janeiro, inscrita no CNPJ sob o nº ................................, neste ato representada por Renata Andrade Leite, Matrícula: 211.688, portadora do CPF nº 074.315.257-37, considerando o resultado do Pregão Eletrônico nº xxx/2025, publicada no ...... de ...../...../202... para REGISTRO DE PREÇOS, processo administrativo SEI nº ......., RESOLVE registrar os preços da  empresa indicada e qualificada nesta ATA, de acordo com a classificação por ela alcançada e na quantidade  cotada, atendendo as condições previstas no </w:t>
      </w:r>
      <w:bookmarkStart w:id="43" w:name="_Hlk158816343"/>
      <w:r>
        <w:rPr>
          <w:sz w:val="24"/>
          <w:szCs w:val="24"/>
        </w:rPr>
        <w:t xml:space="preserve">Edital de licitação </w:t>
      </w:r>
      <w:bookmarkStart w:id="44" w:name="_Hlk155800648"/>
      <w:r>
        <w:rPr>
          <w:sz w:val="24"/>
          <w:szCs w:val="24"/>
        </w:rPr>
        <w:t>nº xxx/202</w:t>
      </w:r>
      <w:bookmarkEnd w:id="44"/>
      <w:r>
        <w:rPr>
          <w:sz w:val="24"/>
          <w:szCs w:val="24"/>
        </w:rPr>
        <w:t>5 Termo de Referência</w:t>
      </w:r>
      <w:bookmarkEnd w:id="43"/>
      <w:r>
        <w:rPr>
          <w:sz w:val="24"/>
          <w:szCs w:val="24"/>
        </w:rPr>
        <w:t xml:space="preserve">, sujeitando-se as partes às normas constantes na Lei nº 14.133, de 1º de abril de 2021, no Decreto nº 46, de 25 de fevereiro de 2025 </w:t>
      </w:r>
      <w:r>
        <w:rPr>
          <w:rFonts w:eastAsia="Arial"/>
          <w:sz w:val="24"/>
          <w:szCs w:val="24"/>
        </w:rPr>
        <w:t xml:space="preserve">e nos demais normativos municipais aplicáveis, todos disponíveis </w:t>
      </w:r>
      <w:r>
        <w:rPr>
          <w:sz w:val="24"/>
          <w:szCs w:val="24"/>
        </w:rPr>
        <w:t>no endereço eletrônico xxx, e em conformidade com as disposições a seguir:</w:t>
      </w:r>
    </w:p>
    <w:p w14:paraId="4487EB9A">
      <w:pPr>
        <w:pStyle w:val="81"/>
        <w:spacing w:before="0" w:beforeAutospacing="0" w:after="0" w:afterAutospacing="0" w:line="288" w:lineRule="auto"/>
        <w:ind w:right="-1"/>
        <w:contextualSpacing/>
        <w:jc w:val="both"/>
      </w:pPr>
    </w:p>
    <w:p w14:paraId="5C2AEE82">
      <w:pPr>
        <w:pStyle w:val="81"/>
        <w:spacing w:before="0" w:beforeAutospacing="0" w:after="0" w:afterAutospacing="0" w:line="288" w:lineRule="auto"/>
        <w:ind w:right="-1"/>
        <w:contextualSpacing/>
        <w:jc w:val="both"/>
        <w:rPr>
          <w:b/>
          <w:bCs/>
        </w:rPr>
      </w:pPr>
      <w:r>
        <w:rPr>
          <w:b/>
          <w:bCs/>
        </w:rPr>
        <w:t xml:space="preserve">CLÁUSULA PRIMEIRA: OBJETO </w:t>
      </w:r>
    </w:p>
    <w:p w14:paraId="0C57C691">
      <w:pPr>
        <w:pStyle w:val="81"/>
        <w:spacing w:before="0" w:beforeAutospacing="0" w:after="0" w:afterAutospacing="0" w:line="288" w:lineRule="auto"/>
        <w:ind w:right="-1"/>
        <w:contextualSpacing/>
        <w:jc w:val="both"/>
        <w:rPr>
          <w:b/>
          <w:bCs/>
        </w:rPr>
      </w:pPr>
    </w:p>
    <w:p w14:paraId="37842656">
      <w:pPr>
        <w:spacing w:line="288" w:lineRule="auto"/>
        <w:contextualSpacing/>
        <w:jc w:val="both"/>
        <w:rPr>
          <w:color w:val="000000"/>
          <w:sz w:val="24"/>
          <w:szCs w:val="24"/>
        </w:rPr>
      </w:pPr>
      <w:r>
        <w:rPr>
          <w:rFonts w:eastAsia="Cambria"/>
          <w:sz w:val="24"/>
          <w:szCs w:val="24"/>
        </w:rPr>
        <w:t xml:space="preserve">1.1 </w:t>
      </w:r>
      <w:r>
        <w:rPr>
          <w:color w:val="000000"/>
          <w:sz w:val="24"/>
          <w:szCs w:val="24"/>
        </w:rPr>
        <w:t>Aq</w:t>
      </w:r>
      <w:r>
        <w:rPr>
          <w:b/>
          <w:bCs/>
          <w:color w:val="000000"/>
          <w:sz w:val="24"/>
          <w:szCs w:val="24"/>
        </w:rPr>
        <w:t>uisição de KITS DE LANCHES,  </w:t>
      </w:r>
      <w:r>
        <w:rPr>
          <w:color w:val="000000"/>
          <w:sz w:val="24"/>
          <w:szCs w:val="24"/>
        </w:rPr>
        <w:t> destinados aos participantes do</w:t>
      </w:r>
      <w:r>
        <w:rPr>
          <w:b/>
          <w:bCs/>
          <w:color w:val="000000"/>
          <w:sz w:val="24"/>
          <w:szCs w:val="24"/>
        </w:rPr>
        <w:t> DESFILE CÍVICO DO DIA 07 DE SETEMBRO DE 2026,  </w:t>
      </w:r>
      <w:r>
        <w:rPr>
          <w:color w:val="000000"/>
          <w:sz w:val="24"/>
          <w:szCs w:val="24"/>
        </w:rPr>
        <w:t>na modalidade</w:t>
      </w:r>
      <w:r>
        <w:rPr>
          <w:b/>
          <w:bCs/>
          <w:color w:val="000000"/>
          <w:sz w:val="24"/>
          <w:szCs w:val="24"/>
        </w:rPr>
        <w:t> PREGÃO ELETRÔNICO </w:t>
      </w:r>
      <w:r>
        <w:rPr>
          <w:color w:val="000000"/>
          <w:sz w:val="24"/>
          <w:szCs w:val="24"/>
        </w:rPr>
        <w:t>no sistema de</w:t>
      </w:r>
      <w:r>
        <w:rPr>
          <w:b/>
          <w:bCs/>
          <w:color w:val="000000"/>
          <w:sz w:val="24"/>
          <w:szCs w:val="24"/>
        </w:rPr>
        <w:t> </w:t>
      </w:r>
      <w:r>
        <w:rPr>
          <w:color w:val="000000"/>
          <w:sz w:val="24"/>
          <w:szCs w:val="24"/>
        </w:rPr>
        <w:t>REGISTRO DE PREÇOS,   cujas especificações mínimas do objeto e demais condições gerais para o fornecimento estão descritas no Termo de Referência, em atendimento a Secretaria Municipal de Educação.</w:t>
      </w:r>
    </w:p>
    <w:p w14:paraId="1AF09E8F">
      <w:pPr>
        <w:pStyle w:val="83"/>
        <w:numPr>
          <w:ilvl w:val="1"/>
          <w:numId w:val="0"/>
        </w:numPr>
        <w:autoSpaceDE w:val="0"/>
        <w:autoSpaceDN w:val="0"/>
        <w:adjustRightInd w:val="0"/>
        <w:spacing w:line="288" w:lineRule="auto"/>
        <w:contextualSpacing/>
        <w:rPr>
          <w:rFonts w:ascii="Times New Roman" w:hAnsi="Times New Roman" w:cs="Times New Roman"/>
          <w:sz w:val="24"/>
          <w:szCs w:val="24"/>
        </w:rPr>
      </w:pPr>
    </w:p>
    <w:p w14:paraId="1BFF9703">
      <w:pPr>
        <w:pStyle w:val="83"/>
        <w:numPr>
          <w:ilvl w:val="1"/>
          <w:numId w:val="0"/>
        </w:numPr>
        <w:autoSpaceDE w:val="0"/>
        <w:autoSpaceDN w:val="0"/>
        <w:adjustRightInd w:val="0"/>
        <w:spacing w:line="288" w:lineRule="auto"/>
        <w:contextualSpacing/>
        <w:rPr>
          <w:rFonts w:ascii="Times New Roman" w:hAnsi="Times New Roman" w:cs="Times New Roman"/>
          <w:b/>
          <w:bCs/>
          <w:sz w:val="24"/>
          <w:szCs w:val="24"/>
        </w:rPr>
      </w:pPr>
      <w:r>
        <w:rPr>
          <w:rFonts w:ascii="Times New Roman" w:hAnsi="Times New Roman" w:cs="Times New Roman"/>
          <w:b/>
          <w:bCs/>
          <w:sz w:val="24"/>
          <w:szCs w:val="24"/>
        </w:rPr>
        <w:t xml:space="preserve">CLÁUSULA SEGUNDA: DA ATA DE REGISTRO DE PREÇOS   </w:t>
      </w:r>
    </w:p>
    <w:p w14:paraId="3751175F">
      <w:pPr>
        <w:pStyle w:val="83"/>
        <w:numPr>
          <w:ilvl w:val="1"/>
          <w:numId w:val="0"/>
        </w:numPr>
        <w:autoSpaceDE w:val="0"/>
        <w:autoSpaceDN w:val="0"/>
        <w:adjustRightInd w:val="0"/>
        <w:spacing w:line="288" w:lineRule="auto"/>
        <w:contextualSpacing/>
        <w:rPr>
          <w:rFonts w:ascii="Times New Roman" w:hAnsi="Times New Roman" w:cs="Times New Roman"/>
          <w:sz w:val="24"/>
          <w:szCs w:val="24"/>
        </w:rPr>
      </w:pPr>
    </w:p>
    <w:p w14:paraId="6FC91E5B">
      <w:pPr>
        <w:spacing w:line="288" w:lineRule="auto"/>
        <w:contextualSpacing/>
        <w:jc w:val="both"/>
        <w:rPr>
          <w:color w:val="000000"/>
          <w:sz w:val="24"/>
          <w:szCs w:val="24"/>
        </w:rPr>
      </w:pPr>
      <w:r>
        <w:rPr>
          <w:sz w:val="24"/>
          <w:szCs w:val="24"/>
        </w:rPr>
        <w:t xml:space="preserve">2.1 </w:t>
      </w:r>
      <w:r>
        <w:rPr>
          <w:color w:val="000000"/>
          <w:sz w:val="24"/>
          <w:szCs w:val="24"/>
        </w:rPr>
        <w:t>Aq</w:t>
      </w:r>
      <w:r>
        <w:rPr>
          <w:b/>
          <w:bCs/>
          <w:color w:val="000000"/>
          <w:sz w:val="24"/>
          <w:szCs w:val="24"/>
        </w:rPr>
        <w:t>uisição de KITS DE LANCHES,  </w:t>
      </w:r>
      <w:r>
        <w:rPr>
          <w:color w:val="000000"/>
          <w:sz w:val="24"/>
          <w:szCs w:val="24"/>
        </w:rPr>
        <w:t> destinados aos participantes do</w:t>
      </w:r>
      <w:r>
        <w:rPr>
          <w:b/>
          <w:bCs/>
          <w:color w:val="000000"/>
          <w:sz w:val="24"/>
          <w:szCs w:val="24"/>
        </w:rPr>
        <w:t> DESFILE CÍVICO DO DIA 07 DE SETEMBRO DE 2026,  </w:t>
      </w:r>
      <w:r>
        <w:rPr>
          <w:color w:val="000000"/>
          <w:sz w:val="24"/>
          <w:szCs w:val="24"/>
        </w:rPr>
        <w:t>na modalidade</w:t>
      </w:r>
      <w:r>
        <w:rPr>
          <w:b/>
          <w:bCs/>
          <w:color w:val="000000"/>
          <w:sz w:val="24"/>
          <w:szCs w:val="24"/>
        </w:rPr>
        <w:t> PREGÃO ELETRÔNICO </w:t>
      </w:r>
      <w:r>
        <w:rPr>
          <w:color w:val="000000"/>
          <w:sz w:val="24"/>
          <w:szCs w:val="24"/>
        </w:rPr>
        <w:t>no sistema de</w:t>
      </w:r>
      <w:r>
        <w:rPr>
          <w:b/>
          <w:bCs/>
          <w:color w:val="000000"/>
          <w:sz w:val="24"/>
          <w:szCs w:val="24"/>
        </w:rPr>
        <w:t> </w:t>
      </w:r>
      <w:r>
        <w:rPr>
          <w:color w:val="000000"/>
          <w:sz w:val="24"/>
          <w:szCs w:val="24"/>
        </w:rPr>
        <w:t>REGISTRO DE PREÇOS,   cujas especificações mínimas do objeto e demais condições gerais para o fornecimento estão descritas no Termo de Referência, em atendimento a Secretaria Municipal de Educação.</w:t>
      </w:r>
    </w:p>
    <w:p w14:paraId="20FD5E06">
      <w:pPr>
        <w:spacing w:line="288" w:lineRule="auto"/>
        <w:contextualSpacing/>
        <w:jc w:val="both"/>
        <w:rPr>
          <w:color w:val="000000"/>
          <w:sz w:val="24"/>
          <w:szCs w:val="24"/>
        </w:rPr>
      </w:pPr>
    </w:p>
    <w:p w14:paraId="6CD032E7">
      <w:pPr>
        <w:tabs>
          <w:tab w:val="left" w:pos="1404"/>
        </w:tabs>
        <w:spacing w:line="288" w:lineRule="auto"/>
        <w:contextualSpacing/>
        <w:jc w:val="both"/>
        <w:rPr>
          <w:rFonts w:eastAsia="Arial"/>
          <w:sz w:val="24"/>
          <w:szCs w:val="24"/>
        </w:rPr>
      </w:pPr>
    </w:p>
    <w:p w14:paraId="0A3DB671">
      <w:pPr>
        <w:spacing w:line="288" w:lineRule="auto"/>
        <w:contextualSpacing/>
        <w:jc w:val="both"/>
        <w:rPr>
          <w:b/>
          <w:sz w:val="24"/>
          <w:szCs w:val="24"/>
        </w:rPr>
      </w:pPr>
      <w:r>
        <w:rPr>
          <w:sz w:val="24"/>
          <w:szCs w:val="24"/>
        </w:rPr>
        <w:t xml:space="preserve">2.2 A contratação com o fornecedor registrado não é obrigatória e será realizada de acordo com a necessidade do </w:t>
      </w:r>
      <w:r>
        <w:rPr>
          <w:bCs/>
          <w:sz w:val="24"/>
          <w:szCs w:val="24"/>
        </w:rPr>
        <w:t>gerenciador e dos participantes, quando houver,</w:t>
      </w:r>
      <w:r>
        <w:rPr>
          <w:b/>
          <w:sz w:val="24"/>
          <w:szCs w:val="24"/>
        </w:rPr>
        <w:t xml:space="preserve"> </w:t>
      </w:r>
      <w:r>
        <w:rPr>
          <w:sz w:val="24"/>
          <w:szCs w:val="24"/>
        </w:rPr>
        <w:t>e de acordo com o quantitativo indicado na cláusula quinta</w:t>
      </w:r>
      <w:r>
        <w:rPr>
          <w:b/>
          <w:sz w:val="24"/>
          <w:szCs w:val="24"/>
        </w:rPr>
        <w:t>.</w:t>
      </w:r>
    </w:p>
    <w:p w14:paraId="7C8CBD87">
      <w:pPr>
        <w:spacing w:line="288" w:lineRule="auto"/>
        <w:contextualSpacing/>
        <w:jc w:val="both"/>
        <w:rPr>
          <w:b/>
          <w:sz w:val="24"/>
          <w:szCs w:val="24"/>
        </w:rPr>
      </w:pPr>
    </w:p>
    <w:p w14:paraId="3E4FD1E3">
      <w:pPr>
        <w:autoSpaceDE w:val="0"/>
        <w:autoSpaceDN w:val="0"/>
        <w:adjustRightInd w:val="0"/>
        <w:spacing w:line="288" w:lineRule="auto"/>
        <w:contextualSpacing/>
        <w:jc w:val="both"/>
        <w:rPr>
          <w:sz w:val="24"/>
          <w:szCs w:val="24"/>
        </w:rPr>
      </w:pPr>
      <w:r>
        <w:rPr>
          <w:bCs/>
          <w:sz w:val="24"/>
          <w:szCs w:val="24"/>
        </w:rPr>
        <w:t xml:space="preserve">2.3 </w:t>
      </w:r>
      <w:r>
        <w:rPr>
          <w:sz w:val="24"/>
          <w:szCs w:val="24"/>
        </w:rPr>
        <w:t xml:space="preserve">A Administração poderá realizar </w:t>
      </w:r>
      <w:r>
        <w:rPr>
          <w:color w:val="231F20"/>
          <w:sz w:val="24"/>
          <w:szCs w:val="24"/>
        </w:rPr>
        <w:t xml:space="preserve">licitação ou contratação direta </w:t>
      </w:r>
      <w:r>
        <w:rPr>
          <w:sz w:val="24"/>
          <w:szCs w:val="24"/>
        </w:rPr>
        <w:t>para</w:t>
      </w:r>
      <w:r>
        <w:rPr>
          <w:color w:val="231F20"/>
          <w:sz w:val="24"/>
          <w:szCs w:val="24"/>
        </w:rPr>
        <w:t xml:space="preserve"> a aquisição de mesmo objeto da presente Ata,</w:t>
      </w:r>
      <w:r>
        <w:rPr>
          <w:sz w:val="24"/>
          <w:szCs w:val="24"/>
        </w:rPr>
        <w:t xml:space="preserve"> desde que devidamente motivada, observado o disposto no art. 26, parágrafo único, do Decreto nº 46/2025</w:t>
      </w:r>
      <w:r>
        <w:rPr>
          <w:color w:val="231F20"/>
          <w:sz w:val="24"/>
          <w:szCs w:val="24"/>
        </w:rPr>
        <w:t>.</w:t>
      </w:r>
      <w:r>
        <w:rPr>
          <w:sz w:val="24"/>
          <w:szCs w:val="24"/>
        </w:rPr>
        <w:t xml:space="preserve"> </w:t>
      </w:r>
    </w:p>
    <w:p w14:paraId="1733D665">
      <w:pPr>
        <w:spacing w:line="288" w:lineRule="auto"/>
        <w:contextualSpacing/>
        <w:jc w:val="both"/>
        <w:rPr>
          <w:sz w:val="24"/>
          <w:szCs w:val="24"/>
        </w:rPr>
      </w:pPr>
    </w:p>
    <w:p w14:paraId="3AB4ADDE">
      <w:pPr>
        <w:spacing w:line="288" w:lineRule="auto"/>
        <w:contextualSpacing/>
        <w:jc w:val="both"/>
        <w:rPr>
          <w:color w:val="231F20"/>
          <w:sz w:val="24"/>
          <w:szCs w:val="24"/>
        </w:rPr>
      </w:pPr>
      <w:r>
        <w:rPr>
          <w:rFonts w:eastAsia="Arial"/>
          <w:bCs/>
          <w:sz w:val="24"/>
          <w:szCs w:val="24"/>
        </w:rPr>
        <w:t>2.4 Esta</w:t>
      </w:r>
      <w:r>
        <w:rPr>
          <w:bCs/>
          <w:sz w:val="24"/>
          <w:szCs w:val="24"/>
        </w:rPr>
        <w:t xml:space="preserve"> </w:t>
      </w:r>
      <w:r>
        <w:rPr>
          <w:sz w:val="24"/>
          <w:szCs w:val="24"/>
        </w:rPr>
        <w:t xml:space="preserve">Ata de Registro de Preços, com a indicação do </w:t>
      </w:r>
      <w:r>
        <w:rPr>
          <w:color w:val="231F20"/>
          <w:sz w:val="24"/>
          <w:szCs w:val="24"/>
        </w:rPr>
        <w:t xml:space="preserve">preço registrado e dos fornecedores, será divulgada no </w:t>
      </w:r>
      <w:r>
        <w:rPr>
          <w:sz w:val="24"/>
          <w:szCs w:val="24"/>
        </w:rPr>
        <w:t xml:space="preserve">Portal Nacional de Contratações Públicas – PNCP e no </w:t>
      </w:r>
      <w:r>
        <w:rPr>
          <w:color w:val="231F20"/>
          <w:sz w:val="24"/>
          <w:szCs w:val="24"/>
        </w:rPr>
        <w:t>Site da Prefeitura de Valença.</w:t>
      </w:r>
    </w:p>
    <w:p w14:paraId="407EFAEF">
      <w:pPr>
        <w:spacing w:line="288" w:lineRule="auto"/>
        <w:contextualSpacing/>
        <w:jc w:val="both"/>
        <w:rPr>
          <w:color w:val="231F20"/>
          <w:sz w:val="24"/>
          <w:szCs w:val="24"/>
        </w:rPr>
      </w:pPr>
    </w:p>
    <w:p w14:paraId="3B4206F3">
      <w:pPr>
        <w:spacing w:line="288" w:lineRule="auto"/>
        <w:contextualSpacing/>
        <w:jc w:val="both"/>
        <w:rPr>
          <w:rFonts w:eastAsia="Arial"/>
          <w:b/>
          <w:sz w:val="24"/>
          <w:szCs w:val="24"/>
        </w:rPr>
      </w:pPr>
      <w:r>
        <w:rPr>
          <w:b/>
          <w:bCs/>
          <w:sz w:val="24"/>
          <w:szCs w:val="24"/>
        </w:rPr>
        <w:t>CLÁUSULA TERCEIRA:</w:t>
      </w:r>
      <w:r>
        <w:rPr>
          <w:sz w:val="24"/>
          <w:szCs w:val="24"/>
        </w:rPr>
        <w:t xml:space="preserve"> </w:t>
      </w:r>
      <w:r>
        <w:rPr>
          <w:b/>
          <w:bCs/>
          <w:sz w:val="24"/>
          <w:szCs w:val="24"/>
        </w:rPr>
        <w:t>DO FORNECEDOR,</w:t>
      </w:r>
      <w:r>
        <w:rPr>
          <w:sz w:val="24"/>
          <w:szCs w:val="24"/>
        </w:rPr>
        <w:t xml:space="preserve"> </w:t>
      </w:r>
      <w:r>
        <w:rPr>
          <w:rFonts w:eastAsia="Arial"/>
          <w:b/>
          <w:sz w:val="24"/>
          <w:szCs w:val="24"/>
        </w:rPr>
        <w:t xml:space="preserve">DO GERENCIADOR, DOS PARTICIPANTES E DAS ATRIBUIÇÕES  </w:t>
      </w:r>
    </w:p>
    <w:p w14:paraId="6F1162C1">
      <w:pPr>
        <w:spacing w:line="288" w:lineRule="auto"/>
        <w:contextualSpacing/>
        <w:jc w:val="both"/>
        <w:rPr>
          <w:rFonts w:eastAsia="Arial"/>
          <w:sz w:val="24"/>
          <w:szCs w:val="24"/>
        </w:rPr>
      </w:pPr>
    </w:p>
    <w:p w14:paraId="09067516">
      <w:pPr>
        <w:spacing w:line="288" w:lineRule="auto"/>
        <w:contextualSpacing/>
        <w:jc w:val="both"/>
        <w:rPr>
          <w:rFonts w:eastAsia="Arial"/>
          <w:sz w:val="24"/>
          <w:szCs w:val="24"/>
        </w:rPr>
      </w:pPr>
      <w:r>
        <w:rPr>
          <w:rFonts w:eastAsia="Arial"/>
          <w:sz w:val="24"/>
          <w:szCs w:val="24"/>
        </w:rPr>
        <w:t xml:space="preserve">3.1 O fornecedor desta Ata de Registro de Preços é </w:t>
      </w:r>
      <w:r>
        <w:rPr>
          <w:rFonts w:eastAsia="Arial"/>
          <w:color w:val="FF0000"/>
          <w:sz w:val="24"/>
          <w:szCs w:val="24"/>
        </w:rPr>
        <w:t>...................</w:t>
      </w:r>
      <w:r>
        <w:rPr>
          <w:sz w:val="24"/>
          <w:szCs w:val="24"/>
        </w:rPr>
        <w:t>, na forma do Anexo I – Consolidação das Informações da Ata de Registro de Preços.</w:t>
      </w:r>
    </w:p>
    <w:p w14:paraId="57C680EB">
      <w:pPr>
        <w:spacing w:line="288" w:lineRule="auto"/>
        <w:contextualSpacing/>
        <w:jc w:val="both"/>
        <w:rPr>
          <w:rFonts w:eastAsia="Arial"/>
          <w:sz w:val="24"/>
          <w:szCs w:val="24"/>
        </w:rPr>
      </w:pPr>
    </w:p>
    <w:p w14:paraId="754C8C7D">
      <w:pPr>
        <w:spacing w:line="288" w:lineRule="auto"/>
        <w:contextualSpacing/>
        <w:jc w:val="both"/>
        <w:rPr>
          <w:sz w:val="24"/>
          <w:szCs w:val="24"/>
          <w:highlight w:val="yellow"/>
        </w:rPr>
      </w:pPr>
      <w:r>
        <w:rPr>
          <w:rFonts w:eastAsia="Arial"/>
          <w:sz w:val="24"/>
          <w:szCs w:val="24"/>
        </w:rPr>
        <w:t xml:space="preserve">3.1.1 </w:t>
      </w:r>
      <w:r>
        <w:rPr>
          <w:sz w:val="24"/>
          <w:szCs w:val="24"/>
        </w:rPr>
        <w:t xml:space="preserve">O fornecedor registrado deverá manter durante toda a vigência da Ata de Registro de Preços a compatibilidade com as obrigações assumidas, assim como todas as condições exigidas </w:t>
      </w:r>
      <w:r>
        <w:rPr>
          <w:rFonts w:eastAsia="Arial"/>
          <w:sz w:val="24"/>
          <w:szCs w:val="24"/>
        </w:rPr>
        <w:t xml:space="preserve">no </w:t>
      </w:r>
      <w:r>
        <w:rPr>
          <w:sz w:val="24"/>
          <w:szCs w:val="24"/>
        </w:rPr>
        <w:t>instrumento convocatório, quando houver,</w:t>
      </w:r>
      <w:r>
        <w:rPr>
          <w:rFonts w:eastAsia="Arial"/>
          <w:sz w:val="24"/>
          <w:szCs w:val="24"/>
        </w:rPr>
        <w:t xml:space="preserve"> e no Termo de Referência</w:t>
      </w:r>
      <w:r>
        <w:rPr>
          <w:sz w:val="24"/>
          <w:szCs w:val="24"/>
        </w:rPr>
        <w:t>, inclusive as referentes à habilitação e às condições de participação.</w:t>
      </w:r>
      <w:r>
        <w:rPr>
          <w:sz w:val="24"/>
          <w:szCs w:val="24"/>
          <w:highlight w:val="yellow"/>
        </w:rPr>
        <w:t xml:space="preserve"> </w:t>
      </w:r>
    </w:p>
    <w:p w14:paraId="14B67E71">
      <w:pPr>
        <w:spacing w:line="288" w:lineRule="auto"/>
        <w:contextualSpacing/>
        <w:jc w:val="both"/>
        <w:rPr>
          <w:rFonts w:eastAsia="Arial"/>
          <w:sz w:val="24"/>
          <w:szCs w:val="24"/>
        </w:rPr>
      </w:pPr>
    </w:p>
    <w:p w14:paraId="381D5F3C">
      <w:pPr>
        <w:spacing w:line="288" w:lineRule="auto"/>
        <w:contextualSpacing/>
        <w:jc w:val="both"/>
        <w:rPr>
          <w:rFonts w:eastAsia="Arial"/>
          <w:sz w:val="24"/>
          <w:szCs w:val="24"/>
        </w:rPr>
      </w:pPr>
      <w:r>
        <w:rPr>
          <w:rFonts w:eastAsia="Arial"/>
          <w:sz w:val="24"/>
          <w:szCs w:val="24"/>
        </w:rPr>
        <w:t xml:space="preserve">3.2 O </w:t>
      </w:r>
      <w:r>
        <w:rPr>
          <w:rFonts w:eastAsia="Arial"/>
          <w:bCs/>
          <w:sz w:val="24"/>
          <w:szCs w:val="24"/>
        </w:rPr>
        <w:t>gerenciador</w:t>
      </w:r>
      <w:r>
        <w:rPr>
          <w:rFonts w:eastAsia="Arial"/>
          <w:b/>
          <w:sz w:val="24"/>
          <w:szCs w:val="24"/>
        </w:rPr>
        <w:t xml:space="preserve"> </w:t>
      </w:r>
      <w:r>
        <w:rPr>
          <w:rFonts w:eastAsia="Arial"/>
          <w:sz w:val="24"/>
          <w:szCs w:val="24"/>
        </w:rPr>
        <w:t>desta Ata de Registro de Preços é a Secretaria Municipal de Educação</w:t>
      </w:r>
      <w:r>
        <w:rPr>
          <w:sz w:val="24"/>
          <w:szCs w:val="24"/>
        </w:rPr>
        <w:t>.</w:t>
      </w:r>
    </w:p>
    <w:p w14:paraId="59DB64C0">
      <w:pPr>
        <w:spacing w:line="288" w:lineRule="auto"/>
        <w:contextualSpacing/>
        <w:jc w:val="both"/>
        <w:rPr>
          <w:rFonts w:eastAsia="Arial"/>
          <w:bCs/>
          <w:sz w:val="24"/>
          <w:szCs w:val="24"/>
        </w:rPr>
      </w:pPr>
    </w:p>
    <w:p w14:paraId="50B4FF6D">
      <w:pPr>
        <w:spacing w:line="288" w:lineRule="auto"/>
        <w:contextualSpacing/>
        <w:jc w:val="both"/>
        <w:rPr>
          <w:rFonts w:eastAsia="Arial"/>
          <w:bCs/>
          <w:sz w:val="24"/>
          <w:szCs w:val="24"/>
        </w:rPr>
      </w:pPr>
      <w:r>
        <w:rPr>
          <w:rFonts w:eastAsia="Arial"/>
          <w:bCs/>
          <w:sz w:val="24"/>
          <w:szCs w:val="24"/>
        </w:rPr>
        <w:t>3.2.1 São atribuições do gerenciador:</w:t>
      </w:r>
    </w:p>
    <w:p w14:paraId="4AB7E518">
      <w:pPr>
        <w:spacing w:line="288" w:lineRule="auto"/>
        <w:contextualSpacing/>
        <w:jc w:val="both"/>
        <w:rPr>
          <w:rFonts w:eastAsia="Arial"/>
          <w:bCs/>
          <w:sz w:val="24"/>
          <w:szCs w:val="24"/>
        </w:rPr>
      </w:pPr>
    </w:p>
    <w:p w14:paraId="0BDCA429">
      <w:pPr>
        <w:spacing w:line="288" w:lineRule="auto"/>
        <w:contextualSpacing/>
        <w:jc w:val="both"/>
        <w:rPr>
          <w:sz w:val="24"/>
          <w:szCs w:val="24"/>
        </w:rPr>
      </w:pPr>
      <w:r>
        <w:rPr>
          <w:sz w:val="24"/>
          <w:szCs w:val="24"/>
        </w:rPr>
        <w:t>a) aferir, semestralmente, a compatibilidade dos preços registrados com os efetivamente praticados;</w:t>
      </w:r>
    </w:p>
    <w:p w14:paraId="2A927597">
      <w:pPr>
        <w:spacing w:line="288" w:lineRule="auto"/>
        <w:contextualSpacing/>
        <w:jc w:val="both"/>
        <w:rPr>
          <w:sz w:val="24"/>
          <w:szCs w:val="24"/>
        </w:rPr>
      </w:pPr>
    </w:p>
    <w:p w14:paraId="4FB5DA47">
      <w:pPr>
        <w:spacing w:line="288" w:lineRule="auto"/>
        <w:contextualSpacing/>
        <w:jc w:val="both"/>
        <w:rPr>
          <w:sz w:val="24"/>
          <w:szCs w:val="24"/>
        </w:rPr>
      </w:pPr>
      <w:r>
        <w:rPr>
          <w:sz w:val="24"/>
          <w:szCs w:val="24"/>
        </w:rPr>
        <w:t xml:space="preserve">b) divulgar os preços registrados e suas atualizações no Portal da Prefeitura Municipal de Valença; </w:t>
      </w:r>
    </w:p>
    <w:p w14:paraId="0E83A705">
      <w:pPr>
        <w:spacing w:line="288" w:lineRule="auto"/>
        <w:contextualSpacing/>
        <w:jc w:val="both"/>
        <w:rPr>
          <w:sz w:val="24"/>
          <w:szCs w:val="24"/>
        </w:rPr>
      </w:pPr>
    </w:p>
    <w:p w14:paraId="6BAB1A65">
      <w:pPr>
        <w:spacing w:line="288" w:lineRule="auto"/>
        <w:contextualSpacing/>
        <w:jc w:val="both"/>
        <w:rPr>
          <w:sz w:val="24"/>
          <w:szCs w:val="24"/>
        </w:rPr>
      </w:pPr>
      <w:r>
        <w:rPr>
          <w:sz w:val="24"/>
          <w:szCs w:val="24"/>
        </w:rPr>
        <w:t xml:space="preserve">c) praticar todos os atos de controle e gerenciamento dos quantitativos das Atas de Registro de Preços e de seus saldos, das solicitações de adesão e do remanejamento das quantidades; </w:t>
      </w:r>
    </w:p>
    <w:p w14:paraId="1E207BA5">
      <w:pPr>
        <w:spacing w:line="288" w:lineRule="auto"/>
        <w:contextualSpacing/>
        <w:jc w:val="both"/>
        <w:rPr>
          <w:sz w:val="24"/>
          <w:szCs w:val="24"/>
        </w:rPr>
      </w:pPr>
    </w:p>
    <w:p w14:paraId="5F343298">
      <w:pPr>
        <w:spacing w:line="288" w:lineRule="auto"/>
        <w:contextualSpacing/>
        <w:jc w:val="both"/>
        <w:rPr>
          <w:sz w:val="24"/>
          <w:szCs w:val="24"/>
        </w:rPr>
      </w:pPr>
      <w:r>
        <w:rPr>
          <w:sz w:val="24"/>
          <w:szCs w:val="24"/>
        </w:rPr>
        <w:t xml:space="preserve">d) gerenciar a Ata de Registro de Preços, providenciando a indicação, sempre que solicitado, dos fornecedores registrados para atendimento às necessidades do órgão ou entidade, obedecendo à ordem de classificação do certame e os quantitativos de contratação definidos pelos participantes da respectiva ata; </w:t>
      </w:r>
    </w:p>
    <w:p w14:paraId="7085E043">
      <w:pPr>
        <w:spacing w:line="288" w:lineRule="auto"/>
        <w:contextualSpacing/>
        <w:jc w:val="both"/>
        <w:rPr>
          <w:sz w:val="24"/>
          <w:szCs w:val="24"/>
        </w:rPr>
      </w:pPr>
    </w:p>
    <w:p w14:paraId="5AF94B85">
      <w:pPr>
        <w:spacing w:line="288" w:lineRule="auto"/>
        <w:contextualSpacing/>
        <w:jc w:val="both"/>
        <w:rPr>
          <w:sz w:val="24"/>
          <w:szCs w:val="24"/>
        </w:rPr>
      </w:pPr>
      <w:r>
        <w:rPr>
          <w:sz w:val="24"/>
          <w:szCs w:val="24"/>
        </w:rPr>
        <w:t xml:space="preserve">e) deliberar quanto à adesão posterior de órgãos e entidades que não manifestaram interesse em participar do registro de preços durante o período de divulgação da Intenção de Registro de Preços; </w:t>
      </w:r>
    </w:p>
    <w:p w14:paraId="28D31DC9">
      <w:pPr>
        <w:spacing w:line="288" w:lineRule="auto"/>
        <w:contextualSpacing/>
        <w:jc w:val="both"/>
        <w:rPr>
          <w:sz w:val="24"/>
          <w:szCs w:val="24"/>
        </w:rPr>
      </w:pPr>
    </w:p>
    <w:p w14:paraId="462A7426">
      <w:pPr>
        <w:spacing w:line="288" w:lineRule="auto"/>
        <w:contextualSpacing/>
        <w:jc w:val="both"/>
        <w:rPr>
          <w:sz w:val="24"/>
          <w:szCs w:val="24"/>
        </w:rPr>
      </w:pPr>
      <w:r>
        <w:rPr>
          <w:sz w:val="24"/>
          <w:szCs w:val="24"/>
        </w:rPr>
        <w:t xml:space="preserve">f) convocar os proponentes remanescentes, nas hipóteses autorizadas por esta Ata e pelo Decreto nº 46/2025, observada a ordem de classificação; </w:t>
      </w:r>
    </w:p>
    <w:p w14:paraId="65B69E42">
      <w:pPr>
        <w:spacing w:line="288" w:lineRule="auto"/>
        <w:contextualSpacing/>
        <w:jc w:val="both"/>
        <w:rPr>
          <w:sz w:val="24"/>
          <w:szCs w:val="24"/>
        </w:rPr>
      </w:pPr>
    </w:p>
    <w:p w14:paraId="29E23C9E">
      <w:pPr>
        <w:spacing w:line="288" w:lineRule="auto"/>
        <w:contextualSpacing/>
        <w:jc w:val="both"/>
        <w:rPr>
          <w:rFonts w:eastAsia="Arial"/>
          <w:bCs/>
          <w:sz w:val="24"/>
          <w:szCs w:val="24"/>
        </w:rPr>
      </w:pPr>
      <w:r>
        <w:rPr>
          <w:sz w:val="24"/>
          <w:szCs w:val="24"/>
        </w:rPr>
        <w:t>g) conduzir as alterações ou as atualizações dos preços registrados; e</w:t>
      </w:r>
    </w:p>
    <w:p w14:paraId="673C4FCA">
      <w:pPr>
        <w:spacing w:line="288" w:lineRule="auto"/>
        <w:contextualSpacing/>
        <w:jc w:val="both"/>
        <w:rPr>
          <w:sz w:val="24"/>
          <w:szCs w:val="24"/>
        </w:rPr>
      </w:pPr>
    </w:p>
    <w:p w14:paraId="0FCDE2C9">
      <w:pPr>
        <w:spacing w:line="288" w:lineRule="auto"/>
        <w:contextualSpacing/>
        <w:jc w:val="both"/>
        <w:rPr>
          <w:rFonts w:eastAsia="Arial"/>
          <w:bCs/>
          <w:sz w:val="24"/>
          <w:szCs w:val="24"/>
        </w:rPr>
      </w:pPr>
      <w:r>
        <w:rPr>
          <w:sz w:val="24"/>
          <w:szCs w:val="24"/>
        </w:rPr>
        <w:t>h) promover a correta gestão, fiscalização e execução contratual, nos termos do Capítulo VI do Título III da Lei nº 14.133, de 1º de abril de 2021, do disposto no Decreto nº 40, de 25 de fevereiro de 2025, no Termo de Referência e no contrato, com relação às suas próprias contratações.</w:t>
      </w:r>
    </w:p>
    <w:p w14:paraId="6881E9CC">
      <w:pPr>
        <w:spacing w:line="288" w:lineRule="auto"/>
        <w:contextualSpacing/>
        <w:jc w:val="both"/>
        <w:rPr>
          <w:rFonts w:eastAsia="Arial"/>
          <w:bCs/>
          <w:sz w:val="24"/>
          <w:szCs w:val="24"/>
        </w:rPr>
      </w:pPr>
    </w:p>
    <w:p w14:paraId="5AF31A77">
      <w:pPr>
        <w:spacing w:line="288" w:lineRule="auto"/>
        <w:ind w:right="565"/>
        <w:contextualSpacing/>
        <w:jc w:val="both"/>
        <w:rPr>
          <w:bCs/>
          <w:color w:val="000000" w:themeColor="text1"/>
          <w:sz w:val="24"/>
          <w:szCs w:val="24"/>
          <w14:textFill>
            <w14:solidFill>
              <w14:schemeClr w14:val="tx1"/>
            </w14:solidFill>
          </w14:textFill>
        </w:rPr>
      </w:pPr>
      <w:r>
        <w:rPr>
          <w:rFonts w:eastAsia="Arial"/>
          <w:bCs/>
          <w:color w:val="000000" w:themeColor="text1"/>
          <w:sz w:val="24"/>
          <w:szCs w:val="24"/>
          <w14:textFill>
            <w14:solidFill>
              <w14:schemeClr w14:val="tx1"/>
            </w14:solidFill>
          </w14:textFill>
        </w:rPr>
        <w:t>3.3</w:t>
      </w:r>
      <w:r>
        <w:rPr>
          <w:rFonts w:eastAsia="Arial"/>
          <w:b/>
          <w:color w:val="000000" w:themeColor="text1"/>
          <w:sz w:val="24"/>
          <w:szCs w:val="24"/>
          <w14:textFill>
            <w14:solidFill>
              <w14:schemeClr w14:val="tx1"/>
            </w14:solidFill>
          </w14:textFill>
        </w:rPr>
        <w:t xml:space="preserve"> </w:t>
      </w:r>
      <w:r>
        <w:rPr>
          <w:bCs/>
          <w:color w:val="000000" w:themeColor="text1"/>
          <w:sz w:val="24"/>
          <w:szCs w:val="24"/>
          <w14:textFill>
            <w14:solidFill>
              <w14:schemeClr w14:val="tx1"/>
            </w14:solidFill>
          </w14:textFill>
        </w:rPr>
        <w:t>3.3 Não há órgãos/entidades participantes nesta Ata.</w:t>
      </w:r>
    </w:p>
    <w:p w14:paraId="3B4B1B87">
      <w:pPr>
        <w:spacing w:line="288" w:lineRule="auto"/>
        <w:ind w:right="565"/>
        <w:contextualSpacing/>
        <w:jc w:val="both"/>
        <w:rPr>
          <w:bCs/>
          <w:color w:val="000000" w:themeColor="text1"/>
          <w:sz w:val="24"/>
          <w:szCs w:val="24"/>
          <w14:textFill>
            <w14:solidFill>
              <w14:schemeClr w14:val="tx1"/>
            </w14:solidFill>
          </w14:textFill>
        </w:rPr>
      </w:pPr>
    </w:p>
    <w:p w14:paraId="4B6BCAC8">
      <w:pPr>
        <w:spacing w:line="288" w:lineRule="auto"/>
        <w:contextualSpacing/>
        <w:jc w:val="both"/>
        <w:rPr>
          <w:rFonts w:eastAsia="Arial"/>
          <w:b/>
          <w:sz w:val="24"/>
          <w:szCs w:val="24"/>
        </w:rPr>
      </w:pPr>
      <w:r>
        <w:rPr>
          <w:b/>
          <w:bCs/>
          <w:color w:val="231F20"/>
          <w:sz w:val="24"/>
          <w:szCs w:val="24"/>
        </w:rPr>
        <w:t>CLÁUSULA QUARTA:</w:t>
      </w:r>
      <w:r>
        <w:rPr>
          <w:color w:val="231F20"/>
          <w:sz w:val="24"/>
          <w:szCs w:val="24"/>
        </w:rPr>
        <w:t xml:space="preserve"> </w:t>
      </w:r>
      <w:r>
        <w:rPr>
          <w:rFonts w:eastAsia="Arial"/>
          <w:b/>
          <w:sz w:val="24"/>
          <w:szCs w:val="24"/>
        </w:rPr>
        <w:t>DOS NÃO-PARTICIPANTES</w:t>
      </w:r>
    </w:p>
    <w:p w14:paraId="014F321A">
      <w:pPr>
        <w:spacing w:line="288" w:lineRule="auto"/>
        <w:contextualSpacing/>
        <w:jc w:val="both"/>
        <w:rPr>
          <w:rFonts w:eastAsia="Arial"/>
          <w:bCs/>
          <w:sz w:val="24"/>
          <w:szCs w:val="24"/>
        </w:rPr>
      </w:pPr>
    </w:p>
    <w:p w14:paraId="5641C1F2">
      <w:pPr>
        <w:spacing w:line="288" w:lineRule="auto"/>
        <w:contextualSpacing/>
        <w:jc w:val="both"/>
        <w:rPr>
          <w:bCs/>
          <w:sz w:val="24"/>
          <w:szCs w:val="24"/>
        </w:rPr>
      </w:pPr>
      <w:r>
        <w:rPr>
          <w:rFonts w:eastAsia="Arial"/>
          <w:bCs/>
          <w:sz w:val="24"/>
          <w:szCs w:val="24"/>
        </w:rPr>
        <w:t xml:space="preserve">4.1 </w:t>
      </w:r>
      <w:r>
        <w:rPr>
          <w:sz w:val="24"/>
          <w:szCs w:val="24"/>
        </w:rPr>
        <w:t xml:space="preserve">A Ata de Registro de Preços poderá ser aderida por qualquer órgão ou entidade do Município, que não tenha participado </w:t>
      </w:r>
      <w:bookmarkStart w:id="45" w:name="_Hlk158816379"/>
      <w:r>
        <w:rPr>
          <w:sz w:val="24"/>
          <w:szCs w:val="24"/>
        </w:rPr>
        <w:t>do certame</w:t>
      </w:r>
      <w:bookmarkEnd w:id="45"/>
      <w:r>
        <w:rPr>
          <w:sz w:val="24"/>
          <w:szCs w:val="24"/>
        </w:rPr>
        <w:t xml:space="preserve">, ora denominados </w:t>
      </w:r>
      <w:r>
        <w:rPr>
          <w:bCs/>
          <w:sz w:val="24"/>
          <w:szCs w:val="24"/>
        </w:rPr>
        <w:t xml:space="preserve">não-participantes.  </w:t>
      </w:r>
    </w:p>
    <w:p w14:paraId="33BA4B17">
      <w:pPr>
        <w:spacing w:line="288" w:lineRule="auto"/>
        <w:contextualSpacing/>
        <w:jc w:val="both"/>
        <w:rPr>
          <w:bCs/>
          <w:color w:val="231F20"/>
          <w:sz w:val="24"/>
          <w:szCs w:val="24"/>
        </w:rPr>
      </w:pPr>
    </w:p>
    <w:p w14:paraId="0CDF7F0F">
      <w:pPr>
        <w:spacing w:line="288" w:lineRule="auto"/>
        <w:contextualSpacing/>
        <w:jc w:val="both"/>
        <w:rPr>
          <w:color w:val="231F20"/>
          <w:sz w:val="24"/>
          <w:szCs w:val="24"/>
        </w:rPr>
      </w:pPr>
      <w:r>
        <w:rPr>
          <w:rFonts w:eastAsia="Arial"/>
          <w:bCs/>
          <w:sz w:val="24"/>
          <w:szCs w:val="24"/>
        </w:rPr>
        <w:t>4.2</w:t>
      </w:r>
      <w:r>
        <w:rPr>
          <w:rFonts w:eastAsia="Arial"/>
          <w:b/>
          <w:sz w:val="24"/>
          <w:szCs w:val="24"/>
        </w:rPr>
        <w:t xml:space="preserve"> </w:t>
      </w:r>
      <w:r>
        <w:rPr>
          <w:color w:val="231F20"/>
          <w:sz w:val="24"/>
          <w:szCs w:val="24"/>
        </w:rPr>
        <w:t xml:space="preserve">Podem também ser considerados </w:t>
      </w:r>
      <w:r>
        <w:rPr>
          <w:bCs/>
          <w:color w:val="231F20"/>
          <w:sz w:val="24"/>
          <w:szCs w:val="24"/>
        </w:rPr>
        <w:t>não-participantes</w:t>
      </w:r>
      <w:r>
        <w:rPr>
          <w:b/>
          <w:color w:val="231F20"/>
          <w:sz w:val="24"/>
          <w:szCs w:val="24"/>
        </w:rPr>
        <w:t xml:space="preserve"> </w:t>
      </w:r>
      <w:r>
        <w:rPr>
          <w:color w:val="231F20"/>
          <w:sz w:val="24"/>
          <w:szCs w:val="24"/>
        </w:rPr>
        <w:t xml:space="preserve">os órgãos ou entidades municipais, distritais, de outros estados e federais, resguardadas as disposições de cada ente. </w:t>
      </w:r>
    </w:p>
    <w:p w14:paraId="751A23C9">
      <w:pPr>
        <w:spacing w:line="288" w:lineRule="auto"/>
        <w:contextualSpacing/>
        <w:jc w:val="both"/>
        <w:rPr>
          <w:sz w:val="24"/>
          <w:szCs w:val="24"/>
        </w:rPr>
      </w:pPr>
    </w:p>
    <w:p w14:paraId="06DBBED9">
      <w:pPr>
        <w:spacing w:line="288" w:lineRule="auto"/>
        <w:contextualSpacing/>
        <w:jc w:val="both"/>
        <w:rPr>
          <w:color w:val="231F20"/>
          <w:sz w:val="24"/>
          <w:szCs w:val="24"/>
        </w:rPr>
      </w:pPr>
      <w:r>
        <w:rPr>
          <w:sz w:val="24"/>
          <w:szCs w:val="24"/>
        </w:rPr>
        <w:t xml:space="preserve">4.3 Os </w:t>
      </w:r>
      <w:r>
        <w:rPr>
          <w:bCs/>
          <w:color w:val="231F20"/>
          <w:sz w:val="24"/>
          <w:szCs w:val="24"/>
        </w:rPr>
        <w:t>não-participantes</w:t>
      </w:r>
      <w:r>
        <w:rPr>
          <w:sz w:val="24"/>
          <w:szCs w:val="24"/>
        </w:rPr>
        <w:t xml:space="preserve"> poderão aderir a esta Ata de Registro de Preços, desde que observados os seguintes requisitos, cumulativamente:</w:t>
      </w:r>
    </w:p>
    <w:p w14:paraId="373542CE">
      <w:pPr>
        <w:tabs>
          <w:tab w:val="left" w:pos="497"/>
        </w:tabs>
        <w:spacing w:line="288" w:lineRule="auto"/>
        <w:contextualSpacing/>
        <w:jc w:val="both"/>
        <w:rPr>
          <w:sz w:val="24"/>
          <w:szCs w:val="24"/>
        </w:rPr>
      </w:pPr>
    </w:p>
    <w:p w14:paraId="1150A69D">
      <w:pPr>
        <w:tabs>
          <w:tab w:val="left" w:pos="497"/>
        </w:tabs>
        <w:spacing w:line="288" w:lineRule="auto"/>
        <w:contextualSpacing/>
        <w:jc w:val="both"/>
        <w:rPr>
          <w:sz w:val="24"/>
          <w:szCs w:val="24"/>
        </w:rPr>
      </w:pPr>
      <w:r>
        <w:rPr>
          <w:sz w:val="24"/>
          <w:szCs w:val="24"/>
        </w:rPr>
        <w:t xml:space="preserve">4.3.1 apresentação de justificativa da vantagem da adesão, inclusive em situações de provável desabastecimento ou descontinuidade de serviço público; </w:t>
      </w:r>
    </w:p>
    <w:p w14:paraId="5E149D57">
      <w:pPr>
        <w:tabs>
          <w:tab w:val="left" w:pos="497"/>
        </w:tabs>
        <w:spacing w:line="288" w:lineRule="auto"/>
        <w:contextualSpacing/>
        <w:jc w:val="both"/>
        <w:rPr>
          <w:sz w:val="24"/>
          <w:szCs w:val="24"/>
        </w:rPr>
      </w:pPr>
    </w:p>
    <w:p w14:paraId="57E4F74F">
      <w:pPr>
        <w:tabs>
          <w:tab w:val="left" w:pos="497"/>
        </w:tabs>
        <w:spacing w:line="288" w:lineRule="auto"/>
        <w:contextualSpacing/>
        <w:jc w:val="both"/>
        <w:rPr>
          <w:sz w:val="24"/>
          <w:szCs w:val="24"/>
        </w:rPr>
      </w:pPr>
      <w:r>
        <w:rPr>
          <w:sz w:val="24"/>
          <w:szCs w:val="24"/>
        </w:rPr>
        <w:t xml:space="preserve">4.3.2 apresentação de estudo que demonstre eficiência, viabilidade e economicidade para a Administração contratante; </w:t>
      </w:r>
    </w:p>
    <w:p w14:paraId="05F07056">
      <w:pPr>
        <w:tabs>
          <w:tab w:val="left" w:pos="497"/>
        </w:tabs>
        <w:spacing w:line="288" w:lineRule="auto"/>
        <w:contextualSpacing/>
        <w:jc w:val="both"/>
        <w:rPr>
          <w:sz w:val="24"/>
          <w:szCs w:val="24"/>
        </w:rPr>
      </w:pPr>
    </w:p>
    <w:p w14:paraId="74125686">
      <w:pPr>
        <w:tabs>
          <w:tab w:val="left" w:pos="497"/>
        </w:tabs>
        <w:spacing w:line="288" w:lineRule="auto"/>
        <w:contextualSpacing/>
        <w:jc w:val="both"/>
        <w:rPr>
          <w:sz w:val="24"/>
          <w:szCs w:val="24"/>
        </w:rPr>
      </w:pPr>
      <w:r>
        <w:rPr>
          <w:sz w:val="24"/>
          <w:szCs w:val="24"/>
        </w:rPr>
        <w:t xml:space="preserve">4.3.3 demonstração de que os valores registrados estão compatíveis com os valores praticados pelo mercado, na forma do art. 23 da Lei nº 14.133/2021; e </w:t>
      </w:r>
    </w:p>
    <w:p w14:paraId="7E8E5739">
      <w:pPr>
        <w:tabs>
          <w:tab w:val="left" w:pos="497"/>
        </w:tabs>
        <w:spacing w:line="288" w:lineRule="auto"/>
        <w:contextualSpacing/>
        <w:jc w:val="both"/>
        <w:rPr>
          <w:sz w:val="24"/>
          <w:szCs w:val="24"/>
        </w:rPr>
      </w:pPr>
    </w:p>
    <w:p w14:paraId="35B53259">
      <w:pPr>
        <w:tabs>
          <w:tab w:val="left" w:pos="497"/>
        </w:tabs>
        <w:spacing w:line="288" w:lineRule="auto"/>
        <w:contextualSpacing/>
        <w:jc w:val="both"/>
        <w:rPr>
          <w:rFonts w:eastAsia="Arial"/>
          <w:sz w:val="24"/>
          <w:szCs w:val="24"/>
        </w:rPr>
      </w:pPr>
      <w:r>
        <w:rPr>
          <w:sz w:val="24"/>
          <w:szCs w:val="24"/>
        </w:rPr>
        <w:t xml:space="preserve">4.3.4 prévia consulta e aceitação do </w:t>
      </w:r>
      <w:r>
        <w:rPr>
          <w:bCs/>
          <w:sz w:val="24"/>
          <w:szCs w:val="24"/>
        </w:rPr>
        <w:t>gerenciador</w:t>
      </w:r>
      <w:r>
        <w:rPr>
          <w:sz w:val="24"/>
          <w:szCs w:val="24"/>
        </w:rPr>
        <w:t xml:space="preserve"> e do fornecedor.</w:t>
      </w:r>
    </w:p>
    <w:p w14:paraId="035957ED">
      <w:pPr>
        <w:tabs>
          <w:tab w:val="left" w:pos="497"/>
        </w:tabs>
        <w:spacing w:line="288" w:lineRule="auto"/>
        <w:contextualSpacing/>
        <w:jc w:val="both"/>
        <w:rPr>
          <w:rFonts w:eastAsia="Arial"/>
          <w:sz w:val="24"/>
          <w:szCs w:val="24"/>
        </w:rPr>
      </w:pPr>
    </w:p>
    <w:p w14:paraId="158EDF8A">
      <w:pPr>
        <w:autoSpaceDE w:val="0"/>
        <w:autoSpaceDN w:val="0"/>
        <w:adjustRightInd w:val="0"/>
        <w:spacing w:line="288" w:lineRule="auto"/>
        <w:contextualSpacing/>
        <w:jc w:val="both"/>
        <w:rPr>
          <w:bCs/>
          <w:color w:val="231F20"/>
          <w:sz w:val="24"/>
          <w:szCs w:val="24"/>
        </w:rPr>
      </w:pPr>
      <w:r>
        <w:rPr>
          <w:color w:val="231F20"/>
          <w:sz w:val="24"/>
          <w:szCs w:val="24"/>
        </w:rPr>
        <w:t xml:space="preserve">4.4 </w:t>
      </w:r>
      <w:r>
        <w:rPr>
          <w:bCs/>
          <w:color w:val="231F20"/>
          <w:sz w:val="24"/>
          <w:szCs w:val="24"/>
        </w:rPr>
        <w:t xml:space="preserve">O </w:t>
      </w:r>
      <w:r>
        <w:rPr>
          <w:sz w:val="24"/>
          <w:szCs w:val="24"/>
        </w:rPr>
        <w:t>fornecedor</w:t>
      </w:r>
      <w:r>
        <w:rPr>
          <w:bCs/>
          <w:color w:val="231F20"/>
          <w:sz w:val="24"/>
          <w:szCs w:val="24"/>
        </w:rPr>
        <w:t xml:space="preserve"> poderá optar pela aceitação ou não do fornecimento decorrente da adesão, d</w:t>
      </w:r>
      <w:r>
        <w:rPr>
          <w:color w:val="231F20"/>
          <w:sz w:val="24"/>
          <w:szCs w:val="24"/>
        </w:rPr>
        <w:t xml:space="preserve">esde que não prejudique as obrigações presentes e futuras derivadas da Ata, assumidas com o </w:t>
      </w:r>
      <w:r>
        <w:rPr>
          <w:bCs/>
          <w:sz w:val="24"/>
          <w:szCs w:val="24"/>
        </w:rPr>
        <w:t>gerenciador e os participantes, quando houver.</w:t>
      </w:r>
    </w:p>
    <w:p w14:paraId="25226CB4">
      <w:pPr>
        <w:autoSpaceDE w:val="0"/>
        <w:autoSpaceDN w:val="0"/>
        <w:adjustRightInd w:val="0"/>
        <w:spacing w:line="288" w:lineRule="auto"/>
        <w:contextualSpacing/>
        <w:jc w:val="both"/>
        <w:rPr>
          <w:bCs/>
          <w:color w:val="231F20"/>
          <w:sz w:val="24"/>
          <w:szCs w:val="24"/>
        </w:rPr>
      </w:pPr>
    </w:p>
    <w:p w14:paraId="34B0F861">
      <w:pPr>
        <w:autoSpaceDE w:val="0"/>
        <w:autoSpaceDN w:val="0"/>
        <w:adjustRightInd w:val="0"/>
        <w:spacing w:line="288" w:lineRule="auto"/>
        <w:contextualSpacing/>
        <w:jc w:val="both"/>
        <w:rPr>
          <w:bCs/>
          <w:sz w:val="24"/>
          <w:szCs w:val="24"/>
        </w:rPr>
      </w:pPr>
      <w:r>
        <w:rPr>
          <w:bCs/>
          <w:color w:val="231F20"/>
          <w:sz w:val="24"/>
          <w:szCs w:val="24"/>
        </w:rPr>
        <w:t xml:space="preserve">4.5 </w:t>
      </w:r>
      <w:r>
        <w:rPr>
          <w:color w:val="231F20"/>
          <w:sz w:val="24"/>
          <w:szCs w:val="24"/>
        </w:rPr>
        <w:t xml:space="preserve">Após a autorização do </w:t>
      </w:r>
      <w:r>
        <w:rPr>
          <w:bCs/>
          <w:sz w:val="24"/>
          <w:szCs w:val="24"/>
        </w:rPr>
        <w:t xml:space="preserve">gerenciador, o </w:t>
      </w:r>
      <w:r>
        <w:rPr>
          <w:bCs/>
          <w:color w:val="231F20"/>
          <w:sz w:val="24"/>
          <w:szCs w:val="24"/>
        </w:rPr>
        <w:t>não-participante deverá efetivar a contratação solicitada em até 90 (noventa) dias, observado o prazo de vigência da Ata</w:t>
      </w:r>
      <w:r>
        <w:rPr>
          <w:bCs/>
          <w:sz w:val="24"/>
          <w:szCs w:val="24"/>
        </w:rPr>
        <w:t xml:space="preserve">. </w:t>
      </w:r>
    </w:p>
    <w:p w14:paraId="0435638E">
      <w:pPr>
        <w:autoSpaceDE w:val="0"/>
        <w:autoSpaceDN w:val="0"/>
        <w:adjustRightInd w:val="0"/>
        <w:spacing w:line="288" w:lineRule="auto"/>
        <w:contextualSpacing/>
        <w:jc w:val="both"/>
        <w:rPr>
          <w:sz w:val="24"/>
          <w:szCs w:val="24"/>
        </w:rPr>
      </w:pPr>
    </w:p>
    <w:p w14:paraId="0F38E88D">
      <w:pPr>
        <w:autoSpaceDE w:val="0"/>
        <w:autoSpaceDN w:val="0"/>
        <w:adjustRightInd w:val="0"/>
        <w:spacing w:line="288" w:lineRule="auto"/>
        <w:contextualSpacing/>
        <w:jc w:val="both"/>
        <w:rPr>
          <w:sz w:val="24"/>
          <w:szCs w:val="24"/>
        </w:rPr>
      </w:pPr>
      <w:r>
        <w:rPr>
          <w:sz w:val="24"/>
          <w:szCs w:val="24"/>
        </w:rPr>
        <w:t xml:space="preserve">4.5.1 O prazo acima poderá ser prorrogado, excepcionalmente, mediante justificativa e autorização pelo gerenciador, e requerimento do </w:t>
      </w:r>
      <w:r>
        <w:rPr>
          <w:bCs/>
          <w:color w:val="231F20"/>
          <w:sz w:val="24"/>
          <w:szCs w:val="24"/>
        </w:rPr>
        <w:t>não-participante</w:t>
      </w:r>
      <w:r>
        <w:rPr>
          <w:sz w:val="24"/>
          <w:szCs w:val="24"/>
        </w:rPr>
        <w:t>, respeitado o prazo de vigência da Ata de Registro de Preços.</w:t>
      </w:r>
    </w:p>
    <w:p w14:paraId="153E11E9">
      <w:pPr>
        <w:autoSpaceDE w:val="0"/>
        <w:autoSpaceDN w:val="0"/>
        <w:adjustRightInd w:val="0"/>
        <w:spacing w:line="288" w:lineRule="auto"/>
        <w:contextualSpacing/>
        <w:jc w:val="both"/>
        <w:rPr>
          <w:sz w:val="24"/>
          <w:szCs w:val="24"/>
        </w:rPr>
      </w:pPr>
    </w:p>
    <w:p w14:paraId="0941E353">
      <w:pPr>
        <w:autoSpaceDE w:val="0"/>
        <w:autoSpaceDN w:val="0"/>
        <w:adjustRightInd w:val="0"/>
        <w:spacing w:line="288" w:lineRule="auto"/>
        <w:contextualSpacing/>
        <w:jc w:val="both"/>
        <w:rPr>
          <w:sz w:val="24"/>
          <w:szCs w:val="24"/>
        </w:rPr>
      </w:pPr>
      <w:r>
        <w:rPr>
          <w:sz w:val="24"/>
          <w:szCs w:val="24"/>
        </w:rPr>
        <w:t>4.6 São atribuições dos não-participantes:</w:t>
      </w:r>
    </w:p>
    <w:p w14:paraId="3FBAAC29">
      <w:pPr>
        <w:autoSpaceDE w:val="0"/>
        <w:autoSpaceDN w:val="0"/>
        <w:adjustRightInd w:val="0"/>
        <w:spacing w:line="288" w:lineRule="auto"/>
        <w:contextualSpacing/>
        <w:jc w:val="both"/>
        <w:rPr>
          <w:sz w:val="24"/>
          <w:szCs w:val="24"/>
        </w:rPr>
      </w:pPr>
    </w:p>
    <w:p w14:paraId="776B85E5">
      <w:pPr>
        <w:autoSpaceDE w:val="0"/>
        <w:autoSpaceDN w:val="0"/>
        <w:adjustRightInd w:val="0"/>
        <w:spacing w:line="288" w:lineRule="auto"/>
        <w:contextualSpacing/>
        <w:jc w:val="both"/>
        <w:rPr>
          <w:b/>
          <w:bCs/>
          <w:color w:val="231F20"/>
          <w:sz w:val="24"/>
          <w:szCs w:val="24"/>
        </w:rPr>
      </w:pPr>
      <w:r>
        <w:rPr>
          <w:bCs/>
          <w:color w:val="231F20"/>
          <w:sz w:val="24"/>
          <w:szCs w:val="24"/>
        </w:rPr>
        <w:t>a)</w:t>
      </w:r>
      <w:r>
        <w:rPr>
          <w:b/>
          <w:color w:val="231F20"/>
          <w:sz w:val="24"/>
          <w:szCs w:val="24"/>
        </w:rPr>
        <w:t xml:space="preserve"> </w:t>
      </w:r>
      <w:r>
        <w:rPr>
          <w:bCs/>
          <w:color w:val="231F20"/>
          <w:sz w:val="24"/>
          <w:szCs w:val="24"/>
        </w:rPr>
        <w:t>aceitar todas as condições fixadas na Ata de Registro de Preços;</w:t>
      </w:r>
    </w:p>
    <w:p w14:paraId="72FC9CB2">
      <w:pPr>
        <w:autoSpaceDE w:val="0"/>
        <w:autoSpaceDN w:val="0"/>
        <w:adjustRightInd w:val="0"/>
        <w:spacing w:line="288" w:lineRule="auto"/>
        <w:contextualSpacing/>
        <w:jc w:val="both"/>
        <w:rPr>
          <w:bCs/>
          <w:color w:val="231F20"/>
          <w:sz w:val="24"/>
          <w:szCs w:val="24"/>
        </w:rPr>
      </w:pPr>
    </w:p>
    <w:p w14:paraId="60145844">
      <w:pPr>
        <w:spacing w:line="288" w:lineRule="auto"/>
        <w:contextualSpacing/>
        <w:jc w:val="both"/>
        <w:rPr>
          <w:sz w:val="24"/>
          <w:szCs w:val="24"/>
        </w:rPr>
      </w:pPr>
      <w:r>
        <w:rPr>
          <w:bCs/>
          <w:color w:val="231F20"/>
          <w:sz w:val="24"/>
          <w:szCs w:val="24"/>
        </w:rPr>
        <w:t xml:space="preserve">b) </w:t>
      </w:r>
      <w:r>
        <w:rPr>
          <w:sz w:val="24"/>
          <w:szCs w:val="24"/>
        </w:rPr>
        <w:t xml:space="preserve">tomar conhecimento da Ata de Registro de Preços, inclusive de eventuais alterações, para o correto cumprimento de suas disposições; </w:t>
      </w:r>
    </w:p>
    <w:p w14:paraId="078B0F6F">
      <w:pPr>
        <w:spacing w:line="288" w:lineRule="auto"/>
        <w:contextualSpacing/>
        <w:jc w:val="both"/>
        <w:rPr>
          <w:sz w:val="24"/>
          <w:szCs w:val="24"/>
        </w:rPr>
      </w:pPr>
    </w:p>
    <w:p w14:paraId="7CDBC9EC">
      <w:pPr>
        <w:spacing w:line="288" w:lineRule="auto"/>
        <w:contextualSpacing/>
        <w:jc w:val="both"/>
        <w:rPr>
          <w:sz w:val="24"/>
          <w:szCs w:val="24"/>
        </w:rPr>
      </w:pPr>
      <w:r>
        <w:rPr>
          <w:sz w:val="24"/>
          <w:szCs w:val="24"/>
        </w:rPr>
        <w:t xml:space="preserve">c) prestar informações, quando solicitadas, ao gerenciador quanto à contratação e à execução da demanda destinada ao seu órgão ou entidade; </w:t>
      </w:r>
    </w:p>
    <w:p w14:paraId="16DE5035">
      <w:pPr>
        <w:spacing w:line="288" w:lineRule="auto"/>
        <w:contextualSpacing/>
        <w:jc w:val="both"/>
        <w:rPr>
          <w:sz w:val="24"/>
          <w:szCs w:val="24"/>
        </w:rPr>
      </w:pPr>
    </w:p>
    <w:p w14:paraId="69B7C343">
      <w:pPr>
        <w:spacing w:line="288" w:lineRule="auto"/>
        <w:contextualSpacing/>
        <w:jc w:val="both"/>
        <w:rPr>
          <w:sz w:val="24"/>
          <w:szCs w:val="24"/>
        </w:rPr>
      </w:pPr>
      <w:r>
        <w:rPr>
          <w:sz w:val="24"/>
          <w:szCs w:val="24"/>
        </w:rPr>
        <w:t>d) informar ao gerenciador a eventual recusa do contratado em atender às condições estabelecidas no instrumento convocatório, quando houver,</w:t>
      </w:r>
      <w:r>
        <w:rPr>
          <w:rFonts w:eastAsia="Arial"/>
          <w:sz w:val="24"/>
          <w:szCs w:val="24"/>
        </w:rPr>
        <w:t xml:space="preserve"> e no Termo de Referência</w:t>
      </w:r>
      <w:r>
        <w:rPr>
          <w:sz w:val="24"/>
          <w:szCs w:val="24"/>
        </w:rPr>
        <w:t xml:space="preserve">, firmadas na Ata de Registro de Preços, bem como as divergências relativas à entrega, características e origem dos bens adjudicados; e </w:t>
      </w:r>
    </w:p>
    <w:p w14:paraId="49CAE284">
      <w:pPr>
        <w:spacing w:line="288" w:lineRule="auto"/>
        <w:contextualSpacing/>
        <w:jc w:val="both"/>
        <w:rPr>
          <w:sz w:val="24"/>
          <w:szCs w:val="24"/>
        </w:rPr>
      </w:pPr>
    </w:p>
    <w:p w14:paraId="0760C17E">
      <w:pPr>
        <w:spacing w:line="288" w:lineRule="auto"/>
        <w:contextualSpacing/>
        <w:jc w:val="both"/>
        <w:rPr>
          <w:rFonts w:eastAsia="Arial"/>
          <w:b/>
          <w:sz w:val="24"/>
          <w:szCs w:val="24"/>
        </w:rPr>
      </w:pPr>
      <w:r>
        <w:rPr>
          <w:sz w:val="24"/>
          <w:szCs w:val="24"/>
        </w:rPr>
        <w:t>e) promover a correta gestão, fiscalização e execução contratual, nos termos do Capítulo VI do Título III da Lei nº 14.133/2021, e o disposto no Decreto nº 40/2025, no Termo de Referência e no contrato, com relação às suas próprias contratações.</w:t>
      </w:r>
    </w:p>
    <w:p w14:paraId="25EBA297">
      <w:pPr>
        <w:autoSpaceDE w:val="0"/>
        <w:autoSpaceDN w:val="0"/>
        <w:adjustRightInd w:val="0"/>
        <w:spacing w:line="288" w:lineRule="auto"/>
        <w:contextualSpacing/>
        <w:jc w:val="both"/>
        <w:rPr>
          <w:sz w:val="24"/>
          <w:szCs w:val="24"/>
        </w:rPr>
      </w:pPr>
    </w:p>
    <w:p w14:paraId="5BC94DF3">
      <w:pPr>
        <w:spacing w:line="288" w:lineRule="auto"/>
        <w:contextualSpacing/>
        <w:jc w:val="both"/>
        <w:rPr>
          <w:rFonts w:eastAsia="Arial"/>
          <w:b/>
          <w:sz w:val="24"/>
          <w:szCs w:val="24"/>
        </w:rPr>
      </w:pPr>
      <w:r>
        <w:rPr>
          <w:b/>
          <w:bCs/>
          <w:sz w:val="24"/>
          <w:szCs w:val="24"/>
        </w:rPr>
        <w:t>CLÁUSULA QUINTA:</w:t>
      </w:r>
      <w:r>
        <w:rPr>
          <w:sz w:val="24"/>
          <w:szCs w:val="24"/>
        </w:rPr>
        <w:t xml:space="preserve"> </w:t>
      </w:r>
      <w:r>
        <w:rPr>
          <w:rFonts w:eastAsia="Arial"/>
          <w:b/>
          <w:sz w:val="24"/>
          <w:szCs w:val="24"/>
        </w:rPr>
        <w:t xml:space="preserve">DO QUANTITATIVO </w:t>
      </w:r>
    </w:p>
    <w:p w14:paraId="54C04DF9">
      <w:pPr>
        <w:spacing w:line="288" w:lineRule="auto"/>
        <w:contextualSpacing/>
        <w:jc w:val="both"/>
        <w:rPr>
          <w:sz w:val="24"/>
          <w:szCs w:val="24"/>
        </w:rPr>
      </w:pPr>
    </w:p>
    <w:p w14:paraId="707C3C78">
      <w:pPr>
        <w:spacing w:line="288" w:lineRule="auto"/>
        <w:contextualSpacing/>
        <w:jc w:val="both"/>
        <w:rPr>
          <w:sz w:val="24"/>
          <w:szCs w:val="24"/>
        </w:rPr>
      </w:pPr>
      <w:r>
        <w:rPr>
          <w:sz w:val="24"/>
          <w:szCs w:val="24"/>
        </w:rPr>
        <w:t xml:space="preserve">5.1 As quantidades estimadas para a contratação, conforme descrição no Termo de Referência e reunidas no Anexo I – Consolidação das Informações da Ata de Registro de Preços, são as seguintes: </w:t>
      </w:r>
    </w:p>
    <w:p w14:paraId="6928C0D3">
      <w:pPr>
        <w:spacing w:line="288" w:lineRule="auto"/>
        <w:contextualSpacing/>
        <w:jc w:val="both"/>
        <w:rPr>
          <w:sz w:val="24"/>
          <w:szCs w:val="24"/>
        </w:rPr>
      </w:pPr>
    </w:p>
    <w:p w14:paraId="5B7A5AF5">
      <w:pPr>
        <w:spacing w:line="288" w:lineRule="auto"/>
        <w:contextualSpacing/>
        <w:jc w:val="both"/>
        <w:rPr>
          <w:rFonts w:eastAsia="Arial"/>
          <w:sz w:val="24"/>
          <w:szCs w:val="24"/>
        </w:rPr>
      </w:pPr>
      <w:r>
        <w:rPr>
          <w:sz w:val="24"/>
          <w:szCs w:val="24"/>
        </w:rPr>
        <w:t xml:space="preserve">a) previsão de contratação pelo </w:t>
      </w:r>
      <w:r>
        <w:rPr>
          <w:bCs/>
          <w:sz w:val="24"/>
          <w:szCs w:val="24"/>
        </w:rPr>
        <w:t xml:space="preserve">gerenciador e pelos </w:t>
      </w:r>
      <w:r>
        <w:rPr>
          <w:rFonts w:eastAsia="Arial"/>
          <w:bCs/>
          <w:sz w:val="24"/>
          <w:szCs w:val="24"/>
        </w:rPr>
        <w:t>participantes, em conformidade com disposto na lei nº 14133/2021</w:t>
      </w:r>
      <w:r>
        <w:rPr>
          <w:rFonts w:eastAsia="Arial"/>
          <w:sz w:val="24"/>
          <w:szCs w:val="24"/>
        </w:rPr>
        <w:t>.</w:t>
      </w:r>
    </w:p>
    <w:p w14:paraId="00004FF6">
      <w:pPr>
        <w:spacing w:line="288" w:lineRule="auto"/>
        <w:contextualSpacing/>
        <w:jc w:val="both"/>
        <w:rPr>
          <w:rFonts w:eastAsia="Arial"/>
          <w:sz w:val="24"/>
          <w:szCs w:val="24"/>
        </w:rPr>
      </w:pPr>
    </w:p>
    <w:p w14:paraId="27083383">
      <w:pPr>
        <w:spacing w:line="288" w:lineRule="auto"/>
        <w:contextualSpacing/>
        <w:jc w:val="both"/>
        <w:rPr>
          <w:rFonts w:eastAsia="Arial"/>
          <w:bCs/>
          <w:sz w:val="24"/>
          <w:szCs w:val="24"/>
        </w:rPr>
      </w:pPr>
      <w:r>
        <w:rPr>
          <w:rFonts w:eastAsia="Arial"/>
          <w:sz w:val="24"/>
          <w:szCs w:val="24"/>
        </w:rPr>
        <w:t xml:space="preserve">b) </w:t>
      </w:r>
      <w:r>
        <w:rPr>
          <w:sz w:val="24"/>
          <w:szCs w:val="24"/>
        </w:rPr>
        <w:t xml:space="preserve">previsão de contratação pelos </w:t>
      </w:r>
      <w:r>
        <w:rPr>
          <w:bCs/>
          <w:color w:val="231F20"/>
          <w:sz w:val="24"/>
          <w:szCs w:val="24"/>
        </w:rPr>
        <w:t>não-participantes,</w:t>
      </w:r>
      <w:r>
        <w:rPr>
          <w:rFonts w:eastAsia="Arial"/>
          <w:bCs/>
          <w:sz w:val="24"/>
          <w:szCs w:val="24"/>
        </w:rPr>
        <w:t xml:space="preserve"> em conformidade com disposto na lei nº 14133/2021.</w:t>
      </w:r>
    </w:p>
    <w:p w14:paraId="00ACE357">
      <w:pPr>
        <w:spacing w:line="288" w:lineRule="auto"/>
        <w:contextualSpacing/>
        <w:jc w:val="both"/>
        <w:rPr>
          <w:rFonts w:eastAsia="Arial"/>
          <w:sz w:val="24"/>
          <w:szCs w:val="24"/>
        </w:rPr>
      </w:pPr>
    </w:p>
    <w:p w14:paraId="039A2B18">
      <w:pPr>
        <w:autoSpaceDE w:val="0"/>
        <w:autoSpaceDN w:val="0"/>
        <w:adjustRightInd w:val="0"/>
        <w:spacing w:line="288" w:lineRule="auto"/>
        <w:contextualSpacing/>
        <w:jc w:val="both"/>
        <w:rPr>
          <w:rFonts w:eastAsia="Arial"/>
          <w:sz w:val="24"/>
          <w:szCs w:val="24"/>
        </w:rPr>
      </w:pPr>
      <w:r>
        <w:rPr>
          <w:bCs/>
          <w:sz w:val="24"/>
          <w:szCs w:val="24"/>
        </w:rPr>
        <w:t>5.2</w:t>
      </w:r>
      <w:r>
        <w:rPr>
          <w:sz w:val="24"/>
          <w:szCs w:val="24"/>
        </w:rPr>
        <w:t xml:space="preserve"> </w:t>
      </w:r>
      <w:r>
        <w:rPr>
          <w:rFonts w:eastAsia="Arial"/>
          <w:sz w:val="24"/>
          <w:szCs w:val="24"/>
        </w:rPr>
        <w:t xml:space="preserve">As quantidades dos itens indicadas nas alíneas a e b do item 5.1 são meramente estimativas e não implicam obrigatoriedade de contratação </w:t>
      </w:r>
      <w:r>
        <w:rPr>
          <w:sz w:val="24"/>
          <w:szCs w:val="24"/>
        </w:rPr>
        <w:t xml:space="preserve">pelo gerenciador e pelos </w:t>
      </w:r>
      <w:r>
        <w:rPr>
          <w:rFonts w:eastAsia="Arial"/>
          <w:sz w:val="24"/>
          <w:szCs w:val="24"/>
        </w:rPr>
        <w:t>participantes, quando houver, durante a vigência da Ata de Registro de Preços.</w:t>
      </w:r>
    </w:p>
    <w:p w14:paraId="4C73EAD2">
      <w:pPr>
        <w:autoSpaceDE w:val="0"/>
        <w:autoSpaceDN w:val="0"/>
        <w:adjustRightInd w:val="0"/>
        <w:spacing w:line="288" w:lineRule="auto"/>
        <w:contextualSpacing/>
        <w:jc w:val="both"/>
        <w:rPr>
          <w:rFonts w:eastAsia="Arial"/>
          <w:sz w:val="24"/>
          <w:szCs w:val="24"/>
        </w:rPr>
      </w:pPr>
    </w:p>
    <w:p w14:paraId="16045AFB">
      <w:pPr>
        <w:autoSpaceDE w:val="0"/>
        <w:autoSpaceDN w:val="0"/>
        <w:adjustRightInd w:val="0"/>
        <w:spacing w:line="288" w:lineRule="auto"/>
        <w:contextualSpacing/>
        <w:jc w:val="both"/>
        <w:rPr>
          <w:sz w:val="24"/>
          <w:szCs w:val="24"/>
        </w:rPr>
      </w:pPr>
      <w:r>
        <w:rPr>
          <w:sz w:val="24"/>
          <w:szCs w:val="24"/>
        </w:rPr>
        <w:t>5.3 As contratações adicionais de que trata o item 4 não poderão exceder, por órgão ou entidade aderente, conforme estipulado no decreto Municipal n° 46/2025, art.33,</w:t>
      </w:r>
      <w:r>
        <w:rPr>
          <w:bCs/>
          <w:sz w:val="24"/>
          <w:szCs w:val="24"/>
        </w:rPr>
        <w:t xml:space="preserve"> </w:t>
      </w:r>
      <w:r>
        <w:rPr>
          <w:sz w:val="24"/>
          <w:szCs w:val="24"/>
        </w:rPr>
        <w:t xml:space="preserve">dos quantitativos dos itens registrados na Ata de Registro de Preços para o gerenciador e para os </w:t>
      </w:r>
      <w:r>
        <w:rPr>
          <w:rFonts w:eastAsia="Arial"/>
          <w:sz w:val="24"/>
          <w:szCs w:val="24"/>
        </w:rPr>
        <w:t>participantes, quando houver</w:t>
      </w:r>
      <w:r>
        <w:rPr>
          <w:sz w:val="24"/>
          <w:szCs w:val="24"/>
        </w:rPr>
        <w:t xml:space="preserve">. </w:t>
      </w:r>
    </w:p>
    <w:p w14:paraId="40231DDC">
      <w:pPr>
        <w:autoSpaceDE w:val="0"/>
        <w:autoSpaceDN w:val="0"/>
        <w:adjustRightInd w:val="0"/>
        <w:spacing w:line="288" w:lineRule="auto"/>
        <w:contextualSpacing/>
        <w:jc w:val="both"/>
        <w:rPr>
          <w:sz w:val="24"/>
          <w:szCs w:val="24"/>
        </w:rPr>
      </w:pPr>
    </w:p>
    <w:p w14:paraId="1E3D5020">
      <w:pPr>
        <w:autoSpaceDE w:val="0"/>
        <w:autoSpaceDN w:val="0"/>
        <w:adjustRightInd w:val="0"/>
        <w:spacing w:line="288" w:lineRule="auto"/>
        <w:contextualSpacing/>
        <w:jc w:val="both"/>
        <w:rPr>
          <w:bCs/>
          <w:color w:val="231F20"/>
          <w:sz w:val="24"/>
          <w:szCs w:val="24"/>
        </w:rPr>
      </w:pPr>
      <w:r>
        <w:rPr>
          <w:sz w:val="24"/>
          <w:szCs w:val="24"/>
        </w:rPr>
        <w:t xml:space="preserve">5.3.1 O quantitativo decorrente das adesões à Ata de Registro de Preços não poderá exceder, na totalidade, </w:t>
      </w:r>
      <w:r>
        <w:rPr>
          <w:bCs/>
          <w:sz w:val="24"/>
          <w:szCs w:val="24"/>
        </w:rPr>
        <w:t xml:space="preserve">ao limite </w:t>
      </w:r>
      <w:r>
        <w:rPr>
          <w:sz w:val="24"/>
          <w:szCs w:val="24"/>
        </w:rPr>
        <w:t>estipulado no decreto Municipal n° 46/2025, art.33</w:t>
      </w:r>
      <w:r>
        <w:rPr>
          <w:bCs/>
          <w:sz w:val="24"/>
          <w:szCs w:val="24"/>
        </w:rPr>
        <w:t xml:space="preserve"> </w:t>
      </w:r>
      <w:r>
        <w:rPr>
          <w:sz w:val="24"/>
          <w:szCs w:val="24"/>
        </w:rPr>
        <w:t xml:space="preserve">do quantitativo de cada item registrado nesta Ata para o gerenciador e pelos </w:t>
      </w:r>
      <w:r>
        <w:rPr>
          <w:rFonts w:eastAsia="Arial"/>
          <w:sz w:val="24"/>
          <w:szCs w:val="24"/>
        </w:rPr>
        <w:t>participantes</w:t>
      </w:r>
      <w:r>
        <w:rPr>
          <w:sz w:val="24"/>
          <w:szCs w:val="24"/>
        </w:rPr>
        <w:t>, quando houver, independentemente do número de órgãos ou entidades não-participantes que aderirem.</w:t>
      </w:r>
    </w:p>
    <w:p w14:paraId="31378EE1">
      <w:pPr>
        <w:spacing w:line="288" w:lineRule="auto"/>
        <w:contextualSpacing/>
        <w:jc w:val="both"/>
        <w:rPr>
          <w:sz w:val="24"/>
          <w:szCs w:val="24"/>
        </w:rPr>
      </w:pPr>
    </w:p>
    <w:p w14:paraId="3B710A81">
      <w:pPr>
        <w:spacing w:line="288" w:lineRule="auto"/>
        <w:ind w:right="49"/>
        <w:contextualSpacing/>
        <w:jc w:val="both"/>
        <w:rPr>
          <w:color w:val="231F20"/>
          <w:sz w:val="24"/>
          <w:szCs w:val="24"/>
        </w:rPr>
      </w:pPr>
      <w:r>
        <w:rPr>
          <w:sz w:val="24"/>
          <w:szCs w:val="24"/>
        </w:rPr>
        <w:t>5.4 É vedado efetuar acréscimos nos quantitativos fixados na Ata de Registro de Preços, inclusive o acréscimo de que trata o art. 125 da Lei nº 14.133/2021.</w:t>
      </w:r>
    </w:p>
    <w:p w14:paraId="7AACDC9D">
      <w:pPr>
        <w:spacing w:line="288" w:lineRule="auto"/>
        <w:contextualSpacing/>
        <w:jc w:val="both"/>
        <w:rPr>
          <w:b/>
          <w:sz w:val="24"/>
          <w:szCs w:val="24"/>
        </w:rPr>
      </w:pPr>
    </w:p>
    <w:p w14:paraId="54986680">
      <w:pPr>
        <w:spacing w:line="288" w:lineRule="auto"/>
        <w:contextualSpacing/>
        <w:jc w:val="both"/>
        <w:rPr>
          <w:rFonts w:eastAsia="Arial"/>
          <w:b/>
          <w:sz w:val="24"/>
          <w:szCs w:val="24"/>
        </w:rPr>
      </w:pPr>
      <w:r>
        <w:rPr>
          <w:bCs/>
          <w:sz w:val="24"/>
          <w:szCs w:val="24"/>
        </w:rPr>
        <w:t xml:space="preserve">5.5 </w:t>
      </w:r>
      <w:r>
        <w:rPr>
          <w:sz w:val="24"/>
          <w:szCs w:val="24"/>
        </w:rPr>
        <w:t xml:space="preserve">As quantidades previstas na Ata de Registro de Preços para os itens com preços registrados poderão ser remanejadas, pelo </w:t>
      </w:r>
      <w:r>
        <w:rPr>
          <w:bCs/>
          <w:sz w:val="24"/>
          <w:szCs w:val="24"/>
        </w:rPr>
        <w:t>gerenciador</w:t>
      </w:r>
      <w:r>
        <w:rPr>
          <w:sz w:val="24"/>
          <w:szCs w:val="24"/>
        </w:rPr>
        <w:t xml:space="preserve">, entre os </w:t>
      </w:r>
      <w:r>
        <w:rPr>
          <w:rFonts w:eastAsia="Arial"/>
          <w:sz w:val="24"/>
          <w:szCs w:val="24"/>
        </w:rPr>
        <w:t>participantes</w:t>
      </w:r>
      <w:r>
        <w:rPr>
          <w:sz w:val="24"/>
          <w:szCs w:val="24"/>
        </w:rPr>
        <w:t xml:space="preserve"> do procedimento para registro de preços, quando houver. </w:t>
      </w:r>
    </w:p>
    <w:p w14:paraId="75A112E4">
      <w:pPr>
        <w:spacing w:line="288" w:lineRule="auto"/>
        <w:contextualSpacing/>
        <w:jc w:val="both"/>
        <w:rPr>
          <w:sz w:val="24"/>
          <w:szCs w:val="24"/>
        </w:rPr>
      </w:pPr>
    </w:p>
    <w:p w14:paraId="3F5E9F3A">
      <w:pPr>
        <w:spacing w:line="288" w:lineRule="auto"/>
        <w:contextualSpacing/>
        <w:jc w:val="both"/>
        <w:rPr>
          <w:rFonts w:eastAsia="Arial"/>
          <w:b/>
          <w:sz w:val="24"/>
          <w:szCs w:val="24"/>
        </w:rPr>
      </w:pPr>
      <w:r>
        <w:rPr>
          <w:bCs/>
          <w:sz w:val="24"/>
          <w:szCs w:val="24"/>
        </w:rPr>
        <w:t xml:space="preserve">5.5.1 </w:t>
      </w:r>
      <w:r>
        <w:rPr>
          <w:sz w:val="24"/>
          <w:szCs w:val="24"/>
        </w:rPr>
        <w:t xml:space="preserve">Caberá ao gerenciador autorizar o remanejamento, com a transferência dos quantitativos entre os </w:t>
      </w:r>
      <w:r>
        <w:rPr>
          <w:rFonts w:eastAsia="Arial"/>
          <w:sz w:val="24"/>
          <w:szCs w:val="24"/>
        </w:rPr>
        <w:t>participantes</w:t>
      </w:r>
      <w:r>
        <w:rPr>
          <w:sz w:val="24"/>
          <w:szCs w:val="24"/>
        </w:rPr>
        <w:t xml:space="preserve">, desde que haja anuência daquele que vier a sofrer a redução dos quantitativos informados. </w:t>
      </w:r>
    </w:p>
    <w:p w14:paraId="2C0F4B37">
      <w:pPr>
        <w:autoSpaceDE w:val="0"/>
        <w:autoSpaceDN w:val="0"/>
        <w:adjustRightInd w:val="0"/>
        <w:spacing w:line="288" w:lineRule="auto"/>
        <w:contextualSpacing/>
        <w:jc w:val="both"/>
        <w:rPr>
          <w:color w:val="231F20"/>
          <w:sz w:val="24"/>
          <w:szCs w:val="24"/>
        </w:rPr>
      </w:pPr>
    </w:p>
    <w:p w14:paraId="61C539F8">
      <w:pPr>
        <w:spacing w:line="288" w:lineRule="auto"/>
        <w:contextualSpacing/>
        <w:jc w:val="both"/>
        <w:rPr>
          <w:rFonts w:eastAsia="Arial"/>
          <w:b/>
          <w:sz w:val="24"/>
          <w:szCs w:val="24"/>
        </w:rPr>
      </w:pPr>
      <w:r>
        <w:rPr>
          <w:rFonts w:eastAsia="Arial"/>
          <w:b/>
          <w:sz w:val="24"/>
          <w:szCs w:val="24"/>
        </w:rPr>
        <w:t>CLÁUSULA SEXTA: DO PREÇO REGISTRADO</w:t>
      </w:r>
    </w:p>
    <w:p w14:paraId="664DD9C0">
      <w:pPr>
        <w:spacing w:line="288" w:lineRule="auto"/>
        <w:contextualSpacing/>
        <w:jc w:val="both"/>
        <w:rPr>
          <w:rFonts w:eastAsia="Arial"/>
          <w:sz w:val="24"/>
          <w:szCs w:val="24"/>
        </w:rPr>
      </w:pPr>
    </w:p>
    <w:p w14:paraId="53A781DA">
      <w:pPr>
        <w:spacing w:line="288" w:lineRule="auto"/>
        <w:contextualSpacing/>
        <w:jc w:val="both"/>
        <w:rPr>
          <w:sz w:val="24"/>
          <w:szCs w:val="24"/>
        </w:rPr>
      </w:pPr>
      <w:r>
        <w:rPr>
          <w:rFonts w:eastAsia="Arial"/>
          <w:sz w:val="24"/>
          <w:szCs w:val="24"/>
        </w:rPr>
        <w:t xml:space="preserve">6.1 O preço unitário de cada item registrado é o constante da(s) proposta(s) final(is), cujos valores estão reunidos </w:t>
      </w:r>
      <w:r>
        <w:rPr>
          <w:sz w:val="24"/>
          <w:szCs w:val="24"/>
        </w:rPr>
        <w:t xml:space="preserve">no Anexo I – Consolidação das Informações da Ata de Registro de Preços. </w:t>
      </w:r>
    </w:p>
    <w:p w14:paraId="5C2D5FA3">
      <w:pPr>
        <w:autoSpaceDE w:val="0"/>
        <w:autoSpaceDN w:val="0"/>
        <w:adjustRightInd w:val="0"/>
        <w:spacing w:line="288" w:lineRule="auto"/>
        <w:contextualSpacing/>
        <w:jc w:val="both"/>
        <w:rPr>
          <w:color w:val="231F20"/>
          <w:sz w:val="24"/>
          <w:szCs w:val="24"/>
        </w:rPr>
      </w:pPr>
    </w:p>
    <w:p w14:paraId="53BAC914">
      <w:pPr>
        <w:spacing w:line="288" w:lineRule="auto"/>
        <w:contextualSpacing/>
        <w:jc w:val="both"/>
        <w:rPr>
          <w:color w:val="231F20"/>
          <w:sz w:val="24"/>
          <w:szCs w:val="24"/>
        </w:rPr>
      </w:pPr>
      <w:r>
        <w:rPr>
          <w:bCs/>
          <w:sz w:val="24"/>
          <w:szCs w:val="24"/>
        </w:rPr>
        <w:t xml:space="preserve">6.2 </w:t>
      </w:r>
      <w:r>
        <w:rPr>
          <w:color w:val="231F20"/>
          <w:sz w:val="24"/>
          <w:szCs w:val="24"/>
        </w:rPr>
        <w:t xml:space="preserve">Os preços registrados poderão ser revistos e alterados </w:t>
      </w:r>
      <w:bookmarkStart w:id="46" w:name="_Hlk158811219"/>
      <w:r>
        <w:rPr>
          <w:color w:val="231F20"/>
          <w:sz w:val="24"/>
          <w:szCs w:val="24"/>
        </w:rPr>
        <w:t xml:space="preserve">em decorrência de eventual redução dos preços praticados no mercado ou de fato que eleve o custo dos bens, obras ou serviços registrados, </w:t>
      </w:r>
      <w:r>
        <w:rPr>
          <w:sz w:val="24"/>
          <w:szCs w:val="24"/>
        </w:rPr>
        <w:t xml:space="preserve">em caso de força maior, caso fortuito ou fato do príncipe ou em decorrência de fatos imprevisíveis ou previsíveis de consequências incalculáveis, que inviabilizem a execução da ata tal como pactuado, nos termos da alínea d do inciso II do </w:t>
      </w:r>
      <w:r>
        <w:rPr>
          <w:i/>
          <w:iCs/>
          <w:sz w:val="24"/>
          <w:szCs w:val="24"/>
        </w:rPr>
        <w:t>caput</w:t>
      </w:r>
      <w:r>
        <w:rPr>
          <w:sz w:val="24"/>
          <w:szCs w:val="24"/>
        </w:rPr>
        <w:t xml:space="preserve"> do art. 124 da Lei nº 14.133/2021</w:t>
      </w:r>
      <w:r>
        <w:rPr>
          <w:color w:val="231F20"/>
          <w:sz w:val="24"/>
          <w:szCs w:val="24"/>
        </w:rPr>
        <w:t>.</w:t>
      </w:r>
    </w:p>
    <w:bookmarkEnd w:id="46"/>
    <w:p w14:paraId="3FC0EE70">
      <w:pPr>
        <w:autoSpaceDE w:val="0"/>
        <w:autoSpaceDN w:val="0"/>
        <w:adjustRightInd w:val="0"/>
        <w:spacing w:line="288" w:lineRule="auto"/>
        <w:contextualSpacing/>
        <w:jc w:val="both"/>
        <w:rPr>
          <w:b/>
          <w:bCs/>
          <w:color w:val="231F20"/>
          <w:sz w:val="24"/>
          <w:szCs w:val="24"/>
        </w:rPr>
      </w:pPr>
    </w:p>
    <w:p w14:paraId="67882749">
      <w:pPr>
        <w:autoSpaceDE w:val="0"/>
        <w:autoSpaceDN w:val="0"/>
        <w:adjustRightInd w:val="0"/>
        <w:spacing w:line="288" w:lineRule="auto"/>
        <w:contextualSpacing/>
        <w:jc w:val="both"/>
        <w:rPr>
          <w:color w:val="231F20"/>
          <w:sz w:val="24"/>
          <w:szCs w:val="24"/>
        </w:rPr>
      </w:pPr>
      <w:r>
        <w:rPr>
          <w:bCs/>
          <w:sz w:val="24"/>
          <w:szCs w:val="24"/>
        </w:rPr>
        <w:t>6.3</w:t>
      </w:r>
      <w:r>
        <w:rPr>
          <w:sz w:val="24"/>
          <w:szCs w:val="24"/>
        </w:rPr>
        <w:t xml:space="preserve"> Q</w:t>
      </w:r>
      <w:r>
        <w:rPr>
          <w:color w:val="231F20"/>
          <w:sz w:val="24"/>
          <w:szCs w:val="24"/>
        </w:rPr>
        <w:t xml:space="preserve">uando o preço registrado se tornar superior ao preço praticado no mercado por motivo superveniente, o </w:t>
      </w:r>
      <w:r>
        <w:rPr>
          <w:bCs/>
          <w:color w:val="231F20"/>
          <w:sz w:val="24"/>
          <w:szCs w:val="24"/>
        </w:rPr>
        <w:t>gerenciador</w:t>
      </w:r>
      <w:r>
        <w:rPr>
          <w:color w:val="231F20"/>
          <w:sz w:val="24"/>
          <w:szCs w:val="24"/>
        </w:rPr>
        <w:t xml:space="preserve"> convocará o(s) fornecedor(es) para negociar a redução dos preços aos valores praticados pelo mercado, na ordem de classificação.</w:t>
      </w:r>
    </w:p>
    <w:p w14:paraId="6D580B3C">
      <w:pPr>
        <w:autoSpaceDE w:val="0"/>
        <w:autoSpaceDN w:val="0"/>
        <w:adjustRightInd w:val="0"/>
        <w:spacing w:line="288" w:lineRule="auto"/>
        <w:contextualSpacing/>
        <w:jc w:val="both"/>
        <w:rPr>
          <w:b/>
          <w:bCs/>
          <w:color w:val="231F20"/>
          <w:sz w:val="24"/>
          <w:szCs w:val="24"/>
        </w:rPr>
      </w:pPr>
    </w:p>
    <w:p w14:paraId="65B3F654">
      <w:pPr>
        <w:autoSpaceDE w:val="0"/>
        <w:autoSpaceDN w:val="0"/>
        <w:adjustRightInd w:val="0"/>
        <w:spacing w:line="288" w:lineRule="auto"/>
        <w:contextualSpacing/>
        <w:jc w:val="both"/>
        <w:rPr>
          <w:sz w:val="24"/>
          <w:szCs w:val="24"/>
        </w:rPr>
      </w:pPr>
      <w:r>
        <w:rPr>
          <w:sz w:val="24"/>
          <w:szCs w:val="24"/>
        </w:rPr>
        <w:t xml:space="preserve">6.3.1 Caso o(s) </w:t>
      </w:r>
      <w:r>
        <w:rPr>
          <w:color w:val="231F20"/>
          <w:sz w:val="24"/>
          <w:szCs w:val="24"/>
        </w:rPr>
        <w:t>fornecedor(es) cadastrado(s)</w:t>
      </w:r>
      <w:r>
        <w:rPr>
          <w:sz w:val="24"/>
          <w:szCs w:val="24"/>
        </w:rPr>
        <w:t xml:space="preserve"> para o item ou lote não aceite(m) reduzir seu preço ao valor praticado pelo mercado deverá(ão) ser liberado(s) do compromisso assumido, sem aplicação de penalidades administrativas.  </w:t>
      </w:r>
    </w:p>
    <w:p w14:paraId="43FDE655">
      <w:pPr>
        <w:autoSpaceDE w:val="0"/>
        <w:autoSpaceDN w:val="0"/>
        <w:adjustRightInd w:val="0"/>
        <w:spacing w:line="288" w:lineRule="auto"/>
        <w:contextualSpacing/>
        <w:jc w:val="both"/>
        <w:rPr>
          <w:sz w:val="24"/>
          <w:szCs w:val="24"/>
        </w:rPr>
      </w:pPr>
    </w:p>
    <w:p w14:paraId="7E7A2158">
      <w:pPr>
        <w:autoSpaceDE w:val="0"/>
        <w:autoSpaceDN w:val="0"/>
        <w:adjustRightInd w:val="0"/>
        <w:spacing w:line="288" w:lineRule="auto"/>
        <w:contextualSpacing/>
        <w:jc w:val="both"/>
        <w:rPr>
          <w:sz w:val="24"/>
          <w:szCs w:val="24"/>
        </w:rPr>
      </w:pPr>
      <w:r>
        <w:rPr>
          <w:sz w:val="24"/>
          <w:szCs w:val="24"/>
        </w:rPr>
        <w:t xml:space="preserve">6.3.2 Havendo a liberação do(s) </w:t>
      </w:r>
      <w:r>
        <w:rPr>
          <w:color w:val="231F20"/>
          <w:sz w:val="24"/>
          <w:szCs w:val="24"/>
        </w:rPr>
        <w:t>fornecedor(es)</w:t>
      </w:r>
      <w:r>
        <w:rPr>
          <w:sz w:val="24"/>
          <w:szCs w:val="24"/>
        </w:rPr>
        <w:t xml:space="preserve">, nos termos do item 6.3.1, o </w:t>
      </w:r>
      <w:r>
        <w:rPr>
          <w:bCs/>
          <w:color w:val="231F20"/>
          <w:sz w:val="24"/>
          <w:szCs w:val="24"/>
        </w:rPr>
        <w:t>órgão gerenciador</w:t>
      </w:r>
      <w:r>
        <w:rPr>
          <w:sz w:val="24"/>
          <w:szCs w:val="24"/>
        </w:rPr>
        <w:t xml:space="preserve"> deverá convocar os proponentes do Cadastro de Reserva, na ordem de classificação, para verificar se aceitam reduzir seus preços aos valores de mercado, observado o disposto no art. 19, § 3º, do Decreto nº 46/2025. </w:t>
      </w:r>
    </w:p>
    <w:p w14:paraId="2E5E1E56">
      <w:pPr>
        <w:autoSpaceDE w:val="0"/>
        <w:autoSpaceDN w:val="0"/>
        <w:adjustRightInd w:val="0"/>
        <w:spacing w:line="288" w:lineRule="auto"/>
        <w:contextualSpacing/>
        <w:jc w:val="both"/>
        <w:rPr>
          <w:sz w:val="24"/>
          <w:szCs w:val="24"/>
        </w:rPr>
      </w:pPr>
    </w:p>
    <w:p w14:paraId="6BBE9C56">
      <w:pPr>
        <w:autoSpaceDE w:val="0"/>
        <w:autoSpaceDN w:val="0"/>
        <w:adjustRightInd w:val="0"/>
        <w:spacing w:line="288" w:lineRule="auto"/>
        <w:contextualSpacing/>
        <w:jc w:val="both"/>
        <w:rPr>
          <w:sz w:val="24"/>
          <w:szCs w:val="24"/>
        </w:rPr>
      </w:pPr>
      <w:r>
        <w:rPr>
          <w:sz w:val="24"/>
          <w:szCs w:val="24"/>
        </w:rPr>
        <w:t xml:space="preserve">6.3.3 A ordem de classificação dos fornecedores que aceitarem reduzir seus preços aos valores de mercado observará a classificação original. </w:t>
      </w:r>
    </w:p>
    <w:p w14:paraId="0A8079F2">
      <w:pPr>
        <w:autoSpaceDE w:val="0"/>
        <w:autoSpaceDN w:val="0"/>
        <w:adjustRightInd w:val="0"/>
        <w:spacing w:line="288" w:lineRule="auto"/>
        <w:contextualSpacing/>
        <w:jc w:val="both"/>
        <w:rPr>
          <w:sz w:val="24"/>
          <w:szCs w:val="24"/>
        </w:rPr>
      </w:pPr>
    </w:p>
    <w:p w14:paraId="7DD2DF33">
      <w:pPr>
        <w:autoSpaceDE w:val="0"/>
        <w:autoSpaceDN w:val="0"/>
        <w:adjustRightInd w:val="0"/>
        <w:spacing w:line="288" w:lineRule="auto"/>
        <w:contextualSpacing/>
        <w:jc w:val="both"/>
        <w:rPr>
          <w:sz w:val="24"/>
          <w:szCs w:val="24"/>
        </w:rPr>
      </w:pPr>
      <w:r>
        <w:rPr>
          <w:sz w:val="24"/>
          <w:szCs w:val="24"/>
        </w:rPr>
        <w:t xml:space="preserve">6.3.4 Não havendo êxito nas negociações, o </w:t>
      </w:r>
      <w:r>
        <w:rPr>
          <w:bCs/>
          <w:color w:val="231F20"/>
          <w:sz w:val="24"/>
          <w:szCs w:val="24"/>
        </w:rPr>
        <w:t>gerenciador</w:t>
      </w:r>
      <w:r>
        <w:rPr>
          <w:sz w:val="24"/>
          <w:szCs w:val="24"/>
        </w:rPr>
        <w:t xml:space="preserve"> deverá proceder ao cancelamento da Ata de Registro de Preços, nos termos do art. 32 do Decreto nº 46/2025 e da cláusula décima desta Ata, com a adoção das medidas cabíveis para obtenção da contratação mais vantajosa. </w:t>
      </w:r>
    </w:p>
    <w:p w14:paraId="1DC9A0C4">
      <w:pPr>
        <w:autoSpaceDE w:val="0"/>
        <w:autoSpaceDN w:val="0"/>
        <w:adjustRightInd w:val="0"/>
        <w:spacing w:line="288" w:lineRule="auto"/>
        <w:contextualSpacing/>
        <w:jc w:val="both"/>
        <w:rPr>
          <w:sz w:val="24"/>
          <w:szCs w:val="24"/>
        </w:rPr>
      </w:pPr>
    </w:p>
    <w:p w14:paraId="5B292EC8">
      <w:pPr>
        <w:autoSpaceDE w:val="0"/>
        <w:autoSpaceDN w:val="0"/>
        <w:adjustRightInd w:val="0"/>
        <w:spacing w:line="288" w:lineRule="auto"/>
        <w:contextualSpacing/>
        <w:jc w:val="both"/>
        <w:rPr>
          <w:b/>
          <w:bCs/>
          <w:color w:val="231F20"/>
          <w:sz w:val="24"/>
          <w:szCs w:val="24"/>
        </w:rPr>
      </w:pPr>
      <w:r>
        <w:rPr>
          <w:sz w:val="24"/>
          <w:szCs w:val="24"/>
        </w:rPr>
        <w:t xml:space="preserve">6.3.5 Caso haja a redução do preço registrado, o </w:t>
      </w:r>
      <w:r>
        <w:rPr>
          <w:bCs/>
          <w:color w:val="231F20"/>
          <w:sz w:val="24"/>
          <w:szCs w:val="24"/>
        </w:rPr>
        <w:t>gerenciador</w:t>
      </w:r>
      <w:r>
        <w:rPr>
          <w:sz w:val="24"/>
          <w:szCs w:val="24"/>
        </w:rPr>
        <w:t xml:space="preserve"> deverá comunicar aos órgãos e as entidades que tiverem formalizado contratos, para que avaliem a necessidade de efetuar a revisão dos preços contratados.</w:t>
      </w:r>
    </w:p>
    <w:p w14:paraId="55F4959B">
      <w:pPr>
        <w:autoSpaceDE w:val="0"/>
        <w:autoSpaceDN w:val="0"/>
        <w:adjustRightInd w:val="0"/>
        <w:spacing w:line="288" w:lineRule="auto"/>
        <w:contextualSpacing/>
        <w:jc w:val="both"/>
        <w:rPr>
          <w:b/>
          <w:bCs/>
          <w:color w:val="231F20"/>
          <w:sz w:val="24"/>
          <w:szCs w:val="24"/>
        </w:rPr>
      </w:pPr>
    </w:p>
    <w:p w14:paraId="231C4B2E">
      <w:pPr>
        <w:autoSpaceDE w:val="0"/>
        <w:autoSpaceDN w:val="0"/>
        <w:adjustRightInd w:val="0"/>
        <w:spacing w:line="288" w:lineRule="auto"/>
        <w:contextualSpacing/>
        <w:jc w:val="both"/>
        <w:rPr>
          <w:color w:val="231F20"/>
          <w:sz w:val="24"/>
          <w:szCs w:val="24"/>
        </w:rPr>
      </w:pPr>
      <w:r>
        <w:rPr>
          <w:bCs/>
          <w:sz w:val="24"/>
          <w:szCs w:val="24"/>
        </w:rPr>
        <w:t>6.4 Q</w:t>
      </w:r>
      <w:r>
        <w:rPr>
          <w:color w:val="231F20"/>
          <w:sz w:val="24"/>
          <w:szCs w:val="24"/>
        </w:rPr>
        <w:t xml:space="preserve">uando o preço de mercado se tornar superior aos preços registrados e o fornecedor, mediante requerimento devidamente fundamentado, não puder cumprir as obrigações contidas na Ata de Registro de Preços, </w:t>
      </w:r>
      <w:r>
        <w:rPr>
          <w:sz w:val="24"/>
          <w:szCs w:val="24"/>
        </w:rPr>
        <w:t xml:space="preserve">ser-lhe-á facultado requerer ao </w:t>
      </w:r>
      <w:r>
        <w:rPr>
          <w:bCs/>
          <w:color w:val="231F20"/>
          <w:sz w:val="24"/>
          <w:szCs w:val="24"/>
        </w:rPr>
        <w:t>gerenciador</w:t>
      </w:r>
      <w:r>
        <w:rPr>
          <w:sz w:val="24"/>
          <w:szCs w:val="24"/>
        </w:rPr>
        <w:t xml:space="preserve"> a alteração dos preços registrados, mediante comprovação de fato superveniente que supostamente o impossibilite de cumprir o compromisso.</w:t>
      </w:r>
      <w:r>
        <w:rPr>
          <w:color w:val="231F20"/>
          <w:sz w:val="24"/>
          <w:szCs w:val="24"/>
        </w:rPr>
        <w:t xml:space="preserve"> </w:t>
      </w:r>
    </w:p>
    <w:p w14:paraId="0F7CDE75">
      <w:pPr>
        <w:autoSpaceDE w:val="0"/>
        <w:autoSpaceDN w:val="0"/>
        <w:adjustRightInd w:val="0"/>
        <w:spacing w:line="288" w:lineRule="auto"/>
        <w:contextualSpacing/>
        <w:jc w:val="both"/>
        <w:rPr>
          <w:color w:val="231F20"/>
          <w:sz w:val="24"/>
          <w:szCs w:val="24"/>
        </w:rPr>
      </w:pPr>
    </w:p>
    <w:p w14:paraId="446EF191">
      <w:pPr>
        <w:autoSpaceDE w:val="0"/>
        <w:autoSpaceDN w:val="0"/>
        <w:adjustRightInd w:val="0"/>
        <w:spacing w:line="288" w:lineRule="auto"/>
        <w:contextualSpacing/>
        <w:jc w:val="both"/>
        <w:rPr>
          <w:color w:val="231F20"/>
          <w:sz w:val="24"/>
          <w:szCs w:val="24"/>
        </w:rPr>
      </w:pPr>
      <w:r>
        <w:rPr>
          <w:color w:val="231F20"/>
          <w:sz w:val="24"/>
          <w:szCs w:val="24"/>
        </w:rPr>
        <w:t xml:space="preserve">6.4.1 </w:t>
      </w:r>
      <w:r>
        <w:rPr>
          <w:sz w:val="24"/>
          <w:szCs w:val="24"/>
        </w:rPr>
        <w:t xml:space="preserve">O </w:t>
      </w:r>
      <w:r>
        <w:rPr>
          <w:color w:val="231F20"/>
          <w:sz w:val="24"/>
          <w:szCs w:val="24"/>
        </w:rPr>
        <w:t>fornecedor</w:t>
      </w:r>
      <w:r>
        <w:rPr>
          <w:sz w:val="24"/>
          <w:szCs w:val="24"/>
        </w:rPr>
        <w:t xml:space="preserve"> deverá encaminhar, juntamente com o pedido de alteração, documentação comprobatória ou planilha de custos que demonstre que o preço registrado se tornou inviável frente às condições inicialmente pactuadas, cabendo ao </w:t>
      </w:r>
      <w:r>
        <w:rPr>
          <w:bCs/>
          <w:color w:val="231F20"/>
          <w:sz w:val="24"/>
          <w:szCs w:val="24"/>
        </w:rPr>
        <w:t>gerenciador</w:t>
      </w:r>
      <w:r>
        <w:rPr>
          <w:sz w:val="24"/>
          <w:szCs w:val="24"/>
        </w:rPr>
        <w:t xml:space="preserve"> a análise e deliberação a respeito do pedido.</w:t>
      </w:r>
    </w:p>
    <w:p w14:paraId="6F3610F4">
      <w:pPr>
        <w:autoSpaceDE w:val="0"/>
        <w:autoSpaceDN w:val="0"/>
        <w:adjustRightInd w:val="0"/>
        <w:spacing w:line="288" w:lineRule="auto"/>
        <w:contextualSpacing/>
        <w:jc w:val="both"/>
        <w:rPr>
          <w:color w:val="231F20"/>
          <w:sz w:val="24"/>
          <w:szCs w:val="24"/>
        </w:rPr>
      </w:pPr>
    </w:p>
    <w:p w14:paraId="08355336">
      <w:pPr>
        <w:autoSpaceDE w:val="0"/>
        <w:autoSpaceDN w:val="0"/>
        <w:adjustRightInd w:val="0"/>
        <w:spacing w:line="288" w:lineRule="auto"/>
        <w:contextualSpacing/>
        <w:jc w:val="both"/>
        <w:rPr>
          <w:sz w:val="24"/>
          <w:szCs w:val="24"/>
        </w:rPr>
      </w:pPr>
      <w:r>
        <w:rPr>
          <w:sz w:val="24"/>
          <w:szCs w:val="24"/>
        </w:rPr>
        <w:t xml:space="preserve">6.4.2 Na hipótese de deferimento do pedido, o </w:t>
      </w:r>
      <w:r>
        <w:rPr>
          <w:bCs/>
          <w:color w:val="231F20"/>
          <w:sz w:val="24"/>
          <w:szCs w:val="24"/>
        </w:rPr>
        <w:t>gerenciador</w:t>
      </w:r>
      <w:r>
        <w:rPr>
          <w:sz w:val="24"/>
          <w:szCs w:val="24"/>
        </w:rPr>
        <w:t xml:space="preserve"> procederá à atualização do preço registrado, de acordo com a realidade dos valores praticados pelo mercado. </w:t>
      </w:r>
    </w:p>
    <w:p w14:paraId="00C5E7C2">
      <w:pPr>
        <w:autoSpaceDE w:val="0"/>
        <w:autoSpaceDN w:val="0"/>
        <w:adjustRightInd w:val="0"/>
        <w:spacing w:line="288" w:lineRule="auto"/>
        <w:contextualSpacing/>
        <w:jc w:val="both"/>
        <w:rPr>
          <w:color w:val="231F20"/>
          <w:sz w:val="24"/>
          <w:szCs w:val="24"/>
        </w:rPr>
      </w:pPr>
    </w:p>
    <w:p w14:paraId="4358A63D">
      <w:pPr>
        <w:autoSpaceDE w:val="0"/>
        <w:autoSpaceDN w:val="0"/>
        <w:adjustRightInd w:val="0"/>
        <w:spacing w:line="288" w:lineRule="auto"/>
        <w:contextualSpacing/>
        <w:jc w:val="both"/>
        <w:rPr>
          <w:color w:val="231F20"/>
          <w:sz w:val="24"/>
          <w:szCs w:val="24"/>
        </w:rPr>
      </w:pPr>
      <w:r>
        <w:rPr>
          <w:color w:val="231F20"/>
          <w:sz w:val="24"/>
          <w:szCs w:val="24"/>
        </w:rPr>
        <w:t xml:space="preserve">6.4.3 O </w:t>
      </w:r>
      <w:r>
        <w:rPr>
          <w:bCs/>
          <w:color w:val="231F20"/>
          <w:sz w:val="24"/>
          <w:szCs w:val="24"/>
        </w:rPr>
        <w:t xml:space="preserve">fornecedor </w:t>
      </w:r>
      <w:r>
        <w:rPr>
          <w:color w:val="231F20"/>
          <w:sz w:val="24"/>
          <w:szCs w:val="24"/>
        </w:rPr>
        <w:t xml:space="preserve">do compromisso assumido poderá ser liberado pelo </w:t>
      </w:r>
      <w:r>
        <w:rPr>
          <w:bCs/>
          <w:color w:val="231F20"/>
          <w:sz w:val="24"/>
          <w:szCs w:val="24"/>
        </w:rPr>
        <w:t>gerenciador</w:t>
      </w:r>
      <w:r>
        <w:rPr>
          <w:color w:val="231F20"/>
          <w:sz w:val="24"/>
          <w:szCs w:val="24"/>
        </w:rPr>
        <w:t>, caso a comunicação ocorra antes do pedido de fornecimento, e sem aplicação de penalidades administrativas, se confirmada a veracidade dos motivos e comprovantes apresentados.</w:t>
      </w:r>
    </w:p>
    <w:p w14:paraId="3AEE44CF">
      <w:pPr>
        <w:autoSpaceDE w:val="0"/>
        <w:autoSpaceDN w:val="0"/>
        <w:adjustRightInd w:val="0"/>
        <w:spacing w:line="288" w:lineRule="auto"/>
        <w:contextualSpacing/>
        <w:jc w:val="both"/>
        <w:rPr>
          <w:color w:val="231F20"/>
          <w:sz w:val="24"/>
          <w:szCs w:val="24"/>
        </w:rPr>
      </w:pPr>
    </w:p>
    <w:p w14:paraId="61D2858D">
      <w:pPr>
        <w:autoSpaceDE w:val="0"/>
        <w:autoSpaceDN w:val="0"/>
        <w:adjustRightInd w:val="0"/>
        <w:spacing w:line="288" w:lineRule="auto"/>
        <w:contextualSpacing/>
        <w:jc w:val="both"/>
        <w:rPr>
          <w:color w:val="231F20"/>
          <w:sz w:val="24"/>
          <w:szCs w:val="24"/>
        </w:rPr>
      </w:pPr>
      <w:r>
        <w:rPr>
          <w:color w:val="231F20"/>
          <w:sz w:val="24"/>
          <w:szCs w:val="24"/>
        </w:rPr>
        <w:t xml:space="preserve">6.4.4 </w:t>
      </w:r>
      <w:r>
        <w:rPr>
          <w:sz w:val="24"/>
          <w:szCs w:val="24"/>
        </w:rPr>
        <w:t xml:space="preserve">Caso não demonstrada a existência de fato superveniente que torne insubsistente o preço registrado, o pedido será indeferido pelo </w:t>
      </w:r>
      <w:r>
        <w:rPr>
          <w:bCs/>
          <w:color w:val="231F20"/>
          <w:sz w:val="24"/>
          <w:szCs w:val="24"/>
        </w:rPr>
        <w:t>gerenciador,</w:t>
      </w:r>
      <w:r>
        <w:rPr>
          <w:sz w:val="24"/>
          <w:szCs w:val="24"/>
        </w:rPr>
        <w:t xml:space="preserve"> ficando o fornecedor obrigado a cumprir as obrigações contidas na Ata de Registro de Preços, sob pena de cancelamento do seu registro, nos termos do art. 31 do Decreto nº 46/2025, sem prejuízo das sanções previstas na Lei nº 14.133/2021, no instrumento convocatório, quando houver,</w:t>
      </w:r>
      <w:r>
        <w:rPr>
          <w:rFonts w:eastAsia="Arial"/>
          <w:sz w:val="24"/>
          <w:szCs w:val="24"/>
        </w:rPr>
        <w:t xml:space="preserve"> e no Termo de Referência</w:t>
      </w:r>
      <w:r>
        <w:rPr>
          <w:sz w:val="24"/>
          <w:szCs w:val="24"/>
        </w:rPr>
        <w:t>, e em outras legislações aplicáveis.</w:t>
      </w:r>
    </w:p>
    <w:p w14:paraId="645A4F95">
      <w:pPr>
        <w:autoSpaceDE w:val="0"/>
        <w:autoSpaceDN w:val="0"/>
        <w:adjustRightInd w:val="0"/>
        <w:spacing w:line="288" w:lineRule="auto"/>
        <w:contextualSpacing/>
        <w:jc w:val="both"/>
        <w:rPr>
          <w:b/>
          <w:bCs/>
          <w:color w:val="231F20"/>
          <w:sz w:val="24"/>
          <w:szCs w:val="24"/>
        </w:rPr>
      </w:pPr>
    </w:p>
    <w:p w14:paraId="77ABED67">
      <w:pPr>
        <w:autoSpaceDE w:val="0"/>
        <w:autoSpaceDN w:val="0"/>
        <w:adjustRightInd w:val="0"/>
        <w:spacing w:line="288" w:lineRule="auto"/>
        <w:contextualSpacing/>
        <w:jc w:val="both"/>
        <w:rPr>
          <w:sz w:val="24"/>
          <w:szCs w:val="24"/>
        </w:rPr>
      </w:pPr>
      <w:r>
        <w:rPr>
          <w:sz w:val="24"/>
          <w:szCs w:val="24"/>
        </w:rPr>
        <w:t xml:space="preserve">6.4.4.1 Havendo cancelamento do registro do fornecedor, nos termos do item 6.4.4, o </w:t>
      </w:r>
      <w:r>
        <w:rPr>
          <w:bCs/>
          <w:color w:val="231F20"/>
          <w:sz w:val="24"/>
          <w:szCs w:val="24"/>
        </w:rPr>
        <w:t>gerenciador</w:t>
      </w:r>
      <w:r>
        <w:rPr>
          <w:sz w:val="24"/>
          <w:szCs w:val="24"/>
        </w:rPr>
        <w:t xml:space="preserve"> deverá convocar os proponentes do Cadastro de Reserva, observada a ordem de classificação, para verificar se aceitam manter seus preços registrados, observado o disposto no art. 19, § 3º, do Decreto nº 56/2025. </w:t>
      </w:r>
    </w:p>
    <w:p w14:paraId="19BF864D">
      <w:pPr>
        <w:autoSpaceDE w:val="0"/>
        <w:autoSpaceDN w:val="0"/>
        <w:adjustRightInd w:val="0"/>
        <w:spacing w:line="288" w:lineRule="auto"/>
        <w:contextualSpacing/>
        <w:jc w:val="both"/>
        <w:rPr>
          <w:sz w:val="24"/>
          <w:szCs w:val="24"/>
        </w:rPr>
      </w:pPr>
    </w:p>
    <w:p w14:paraId="638FF171">
      <w:pPr>
        <w:autoSpaceDE w:val="0"/>
        <w:autoSpaceDN w:val="0"/>
        <w:adjustRightInd w:val="0"/>
        <w:spacing w:line="288" w:lineRule="auto"/>
        <w:contextualSpacing/>
        <w:jc w:val="both"/>
        <w:rPr>
          <w:sz w:val="24"/>
          <w:szCs w:val="24"/>
        </w:rPr>
      </w:pPr>
      <w:r>
        <w:rPr>
          <w:sz w:val="24"/>
          <w:szCs w:val="24"/>
        </w:rPr>
        <w:t xml:space="preserve">6.4.4.2 Não havendo êxito nas negociações, o </w:t>
      </w:r>
      <w:r>
        <w:rPr>
          <w:bCs/>
          <w:color w:val="231F20"/>
          <w:sz w:val="24"/>
          <w:szCs w:val="24"/>
        </w:rPr>
        <w:t>gerenciador</w:t>
      </w:r>
      <w:r>
        <w:rPr>
          <w:sz w:val="24"/>
          <w:szCs w:val="24"/>
        </w:rPr>
        <w:t xml:space="preserve"> deverá proceder ao cancelamento da Ata de Registro de Preços, adotando as medidas cabíveis para obtenção da contratação mais vantajosa. </w:t>
      </w:r>
    </w:p>
    <w:p w14:paraId="242E621B">
      <w:pPr>
        <w:autoSpaceDE w:val="0"/>
        <w:autoSpaceDN w:val="0"/>
        <w:adjustRightInd w:val="0"/>
        <w:spacing w:line="288" w:lineRule="auto"/>
        <w:contextualSpacing/>
        <w:jc w:val="both"/>
        <w:rPr>
          <w:sz w:val="24"/>
          <w:szCs w:val="24"/>
        </w:rPr>
      </w:pPr>
    </w:p>
    <w:p w14:paraId="2276686C">
      <w:pPr>
        <w:autoSpaceDE w:val="0"/>
        <w:autoSpaceDN w:val="0"/>
        <w:adjustRightInd w:val="0"/>
        <w:spacing w:line="288" w:lineRule="auto"/>
        <w:contextualSpacing/>
        <w:jc w:val="both"/>
        <w:rPr>
          <w:sz w:val="24"/>
          <w:szCs w:val="24"/>
        </w:rPr>
      </w:pPr>
      <w:r>
        <w:rPr>
          <w:sz w:val="24"/>
          <w:szCs w:val="24"/>
        </w:rPr>
        <w:t xml:space="preserve">6.5 Os novos valores a serem registrados, conforme itens 6.3.5 e 6.4.2, deverão ser formalizados mediante termo aditivo à Ata de Registro de Preços. </w:t>
      </w:r>
    </w:p>
    <w:p w14:paraId="3390BD12">
      <w:pPr>
        <w:autoSpaceDE w:val="0"/>
        <w:autoSpaceDN w:val="0"/>
        <w:adjustRightInd w:val="0"/>
        <w:spacing w:line="288" w:lineRule="auto"/>
        <w:contextualSpacing/>
        <w:jc w:val="both"/>
        <w:rPr>
          <w:sz w:val="24"/>
          <w:szCs w:val="24"/>
        </w:rPr>
      </w:pPr>
    </w:p>
    <w:p w14:paraId="52B21A1A">
      <w:pPr>
        <w:autoSpaceDE w:val="0"/>
        <w:autoSpaceDN w:val="0"/>
        <w:adjustRightInd w:val="0"/>
        <w:spacing w:line="288" w:lineRule="auto"/>
        <w:contextualSpacing/>
        <w:jc w:val="both"/>
        <w:rPr>
          <w:sz w:val="24"/>
          <w:szCs w:val="24"/>
        </w:rPr>
      </w:pPr>
      <w:r>
        <w:rPr>
          <w:sz w:val="24"/>
          <w:szCs w:val="24"/>
        </w:rPr>
        <w:t>6.6 Os preços registrados poderão, ainda, ser reajustados ou repactuados, conforme estabelecido no instrumento convocatório, quando houver,</w:t>
      </w:r>
      <w:r>
        <w:rPr>
          <w:rFonts w:eastAsia="Arial"/>
          <w:sz w:val="24"/>
          <w:szCs w:val="24"/>
        </w:rPr>
        <w:t xml:space="preserve"> e no Termo de Referência</w:t>
      </w:r>
      <w:r>
        <w:rPr>
          <w:sz w:val="24"/>
          <w:szCs w:val="24"/>
        </w:rPr>
        <w:t>, nos termos da Lei nº 14.133/ 2021.</w:t>
      </w:r>
    </w:p>
    <w:p w14:paraId="15A04AFD">
      <w:pPr>
        <w:autoSpaceDE w:val="0"/>
        <w:autoSpaceDN w:val="0"/>
        <w:adjustRightInd w:val="0"/>
        <w:spacing w:line="288" w:lineRule="auto"/>
        <w:contextualSpacing/>
        <w:jc w:val="both"/>
        <w:rPr>
          <w:sz w:val="24"/>
          <w:szCs w:val="24"/>
        </w:rPr>
      </w:pPr>
    </w:p>
    <w:p w14:paraId="416982D5">
      <w:pPr>
        <w:autoSpaceDE w:val="0"/>
        <w:autoSpaceDN w:val="0"/>
        <w:adjustRightInd w:val="0"/>
        <w:spacing w:line="288" w:lineRule="auto"/>
        <w:contextualSpacing/>
        <w:jc w:val="both"/>
        <w:rPr>
          <w:sz w:val="24"/>
          <w:szCs w:val="24"/>
        </w:rPr>
      </w:pPr>
      <w:r>
        <w:rPr>
          <w:sz w:val="24"/>
          <w:szCs w:val="24"/>
        </w:rPr>
        <w:t>6.6.1 O reajustamento ou repactuação poderá ser efetuado mediante apostilamento.</w:t>
      </w:r>
    </w:p>
    <w:p w14:paraId="07CD04B1">
      <w:pPr>
        <w:spacing w:line="288" w:lineRule="auto"/>
        <w:contextualSpacing/>
        <w:jc w:val="both"/>
        <w:rPr>
          <w:sz w:val="24"/>
          <w:szCs w:val="24"/>
        </w:rPr>
      </w:pPr>
    </w:p>
    <w:p w14:paraId="5F39AF93">
      <w:pPr>
        <w:spacing w:line="288" w:lineRule="auto"/>
        <w:contextualSpacing/>
        <w:jc w:val="both"/>
        <w:rPr>
          <w:rFonts w:eastAsia="Arial"/>
          <w:b/>
          <w:sz w:val="24"/>
          <w:szCs w:val="24"/>
        </w:rPr>
      </w:pPr>
      <w:r>
        <w:rPr>
          <w:rFonts w:eastAsia="Arial"/>
          <w:b/>
          <w:sz w:val="24"/>
          <w:szCs w:val="24"/>
        </w:rPr>
        <w:t>CLÁUSULA SÉTIMA: DOS LOCAIS DE PRESTAÇÃO DOS SERVIÇOS</w:t>
      </w:r>
    </w:p>
    <w:p w14:paraId="431179DC">
      <w:pPr>
        <w:autoSpaceDE w:val="0"/>
        <w:autoSpaceDN w:val="0"/>
        <w:adjustRightInd w:val="0"/>
        <w:spacing w:line="288" w:lineRule="auto"/>
        <w:contextualSpacing/>
        <w:jc w:val="both"/>
        <w:rPr>
          <w:color w:val="231F20"/>
          <w:sz w:val="24"/>
          <w:szCs w:val="24"/>
        </w:rPr>
      </w:pPr>
    </w:p>
    <w:p w14:paraId="107CD680">
      <w:pPr>
        <w:autoSpaceDE w:val="0"/>
        <w:autoSpaceDN w:val="0"/>
        <w:adjustRightInd w:val="0"/>
        <w:spacing w:line="288" w:lineRule="auto"/>
        <w:contextualSpacing/>
        <w:jc w:val="both"/>
        <w:rPr>
          <w:color w:val="231F20"/>
          <w:sz w:val="24"/>
          <w:szCs w:val="24"/>
        </w:rPr>
      </w:pPr>
      <w:r>
        <w:rPr>
          <w:color w:val="231F20"/>
          <w:sz w:val="24"/>
          <w:szCs w:val="24"/>
        </w:rPr>
        <w:t xml:space="preserve">7.1 Os locais </w:t>
      </w:r>
      <w:r>
        <w:rPr>
          <w:color w:val="000000" w:themeColor="text1"/>
          <w:sz w:val="24"/>
          <w:szCs w:val="24"/>
          <w14:textFill>
            <w14:solidFill>
              <w14:schemeClr w14:val="tx1"/>
            </w14:solidFill>
          </w14:textFill>
        </w:rPr>
        <w:t xml:space="preserve">de entrega dos bens objeto </w:t>
      </w:r>
      <w:r>
        <w:rPr>
          <w:color w:val="231F20"/>
          <w:sz w:val="24"/>
          <w:szCs w:val="24"/>
        </w:rPr>
        <w:t>do registro de preços estão listados no Termo de Referência.</w:t>
      </w:r>
    </w:p>
    <w:p w14:paraId="203D9D5B">
      <w:pPr>
        <w:spacing w:line="288" w:lineRule="auto"/>
        <w:contextualSpacing/>
        <w:jc w:val="both"/>
        <w:rPr>
          <w:rFonts w:eastAsia="Arial"/>
          <w:b/>
          <w:sz w:val="24"/>
          <w:szCs w:val="24"/>
          <w:u w:val="single"/>
        </w:rPr>
      </w:pPr>
    </w:p>
    <w:p w14:paraId="76CA7004">
      <w:pPr>
        <w:spacing w:line="288" w:lineRule="auto"/>
        <w:contextualSpacing/>
        <w:jc w:val="both"/>
        <w:rPr>
          <w:rFonts w:eastAsia="Arial"/>
          <w:b/>
          <w:sz w:val="24"/>
          <w:szCs w:val="24"/>
        </w:rPr>
      </w:pPr>
      <w:r>
        <w:rPr>
          <w:rFonts w:eastAsia="Arial"/>
          <w:b/>
          <w:sz w:val="24"/>
          <w:szCs w:val="24"/>
        </w:rPr>
        <w:t>CLÁUSULA OITAVA: DO PRAZO DE VALIDADE DA ATA DE REGISTRO DE PREÇOS</w:t>
      </w:r>
    </w:p>
    <w:p w14:paraId="4F383FFD">
      <w:pPr>
        <w:autoSpaceDE w:val="0"/>
        <w:autoSpaceDN w:val="0"/>
        <w:adjustRightInd w:val="0"/>
        <w:spacing w:line="288" w:lineRule="auto"/>
        <w:contextualSpacing/>
        <w:jc w:val="both"/>
        <w:rPr>
          <w:color w:val="231F20"/>
          <w:sz w:val="24"/>
          <w:szCs w:val="24"/>
        </w:rPr>
      </w:pPr>
    </w:p>
    <w:p w14:paraId="3BFBB489">
      <w:pPr>
        <w:autoSpaceDE w:val="0"/>
        <w:autoSpaceDN w:val="0"/>
        <w:adjustRightInd w:val="0"/>
        <w:spacing w:line="288" w:lineRule="auto"/>
        <w:contextualSpacing/>
        <w:jc w:val="both"/>
        <w:rPr>
          <w:color w:val="231F20"/>
          <w:sz w:val="24"/>
          <w:szCs w:val="24"/>
        </w:rPr>
      </w:pPr>
      <w:r>
        <w:rPr>
          <w:color w:val="231F20"/>
          <w:sz w:val="24"/>
          <w:szCs w:val="24"/>
        </w:rPr>
        <w:t xml:space="preserve">8.1 O prazo de validade da Ata de Registro de Preços é de 1 (um) ano, </w:t>
      </w:r>
      <w:r>
        <w:rPr>
          <w:color w:val="000000"/>
          <w:sz w:val="24"/>
          <w:szCs w:val="24"/>
        </w:rPr>
        <w:t xml:space="preserve">contado a partir </w:t>
      </w:r>
      <w:r>
        <w:rPr>
          <w:sz w:val="24"/>
          <w:szCs w:val="24"/>
        </w:rPr>
        <w:t>do 1º (primeiro) dia útil subsequente à data de divulgação no PNCP.</w:t>
      </w:r>
      <w:r>
        <w:rPr>
          <w:color w:val="231F20"/>
          <w:sz w:val="24"/>
          <w:szCs w:val="24"/>
        </w:rPr>
        <w:t xml:space="preserve"> </w:t>
      </w:r>
    </w:p>
    <w:p w14:paraId="4249CDA0">
      <w:pPr>
        <w:autoSpaceDE w:val="0"/>
        <w:autoSpaceDN w:val="0"/>
        <w:adjustRightInd w:val="0"/>
        <w:spacing w:line="288" w:lineRule="auto"/>
        <w:contextualSpacing/>
        <w:jc w:val="both"/>
        <w:rPr>
          <w:color w:val="231F20"/>
          <w:sz w:val="24"/>
          <w:szCs w:val="24"/>
        </w:rPr>
      </w:pPr>
    </w:p>
    <w:p w14:paraId="24625582">
      <w:pPr>
        <w:autoSpaceDE w:val="0"/>
        <w:autoSpaceDN w:val="0"/>
        <w:adjustRightInd w:val="0"/>
        <w:spacing w:line="288" w:lineRule="auto"/>
        <w:contextualSpacing/>
        <w:jc w:val="both"/>
        <w:rPr>
          <w:sz w:val="24"/>
          <w:szCs w:val="24"/>
        </w:rPr>
      </w:pPr>
      <w:r>
        <w:rPr>
          <w:color w:val="231F20"/>
          <w:sz w:val="24"/>
          <w:szCs w:val="24"/>
        </w:rPr>
        <w:t xml:space="preserve">8.2 </w:t>
      </w:r>
      <w:r>
        <w:rPr>
          <w:sz w:val="24"/>
          <w:szCs w:val="24"/>
        </w:rPr>
        <w:t>O prazo de vigência da Ata de Registro de Preços poderá ser prorrogado, por igual período, mediante termo aditivo, desde que as condições e os preços permaneçam vantajosos, observados os seguintes requisitos:</w:t>
      </w:r>
    </w:p>
    <w:p w14:paraId="6B7722A8">
      <w:pPr>
        <w:autoSpaceDE w:val="0"/>
        <w:autoSpaceDN w:val="0"/>
        <w:adjustRightInd w:val="0"/>
        <w:spacing w:line="288" w:lineRule="auto"/>
        <w:contextualSpacing/>
        <w:jc w:val="both"/>
        <w:rPr>
          <w:sz w:val="24"/>
          <w:szCs w:val="24"/>
        </w:rPr>
      </w:pPr>
    </w:p>
    <w:p w14:paraId="54797D58">
      <w:pPr>
        <w:autoSpaceDE w:val="0"/>
        <w:autoSpaceDN w:val="0"/>
        <w:adjustRightInd w:val="0"/>
        <w:spacing w:line="288" w:lineRule="auto"/>
        <w:contextualSpacing/>
        <w:jc w:val="both"/>
        <w:rPr>
          <w:sz w:val="24"/>
          <w:szCs w:val="24"/>
        </w:rPr>
      </w:pPr>
      <w:r>
        <w:rPr>
          <w:sz w:val="24"/>
          <w:szCs w:val="24"/>
        </w:rPr>
        <w:t xml:space="preserve">8.2.1 somente o saldo remanescente será mantido; </w:t>
      </w:r>
    </w:p>
    <w:p w14:paraId="53CA6B9D">
      <w:pPr>
        <w:autoSpaceDE w:val="0"/>
        <w:autoSpaceDN w:val="0"/>
        <w:adjustRightInd w:val="0"/>
        <w:spacing w:line="288" w:lineRule="auto"/>
        <w:contextualSpacing/>
        <w:jc w:val="both"/>
        <w:rPr>
          <w:sz w:val="24"/>
          <w:szCs w:val="24"/>
        </w:rPr>
      </w:pPr>
    </w:p>
    <w:p w14:paraId="178F4D4A">
      <w:pPr>
        <w:autoSpaceDE w:val="0"/>
        <w:autoSpaceDN w:val="0"/>
        <w:adjustRightInd w:val="0"/>
        <w:spacing w:line="288" w:lineRule="auto"/>
        <w:contextualSpacing/>
        <w:jc w:val="both"/>
        <w:rPr>
          <w:sz w:val="24"/>
          <w:szCs w:val="24"/>
        </w:rPr>
      </w:pPr>
      <w:r>
        <w:rPr>
          <w:sz w:val="24"/>
          <w:szCs w:val="24"/>
        </w:rPr>
        <w:t>8.2.2 deverá ser indicado expressamente o prazo de prorrogação; e</w:t>
      </w:r>
    </w:p>
    <w:p w14:paraId="6F94CEE5">
      <w:pPr>
        <w:autoSpaceDE w:val="0"/>
        <w:autoSpaceDN w:val="0"/>
        <w:adjustRightInd w:val="0"/>
        <w:spacing w:line="288" w:lineRule="auto"/>
        <w:contextualSpacing/>
        <w:jc w:val="both"/>
        <w:rPr>
          <w:sz w:val="24"/>
          <w:szCs w:val="24"/>
        </w:rPr>
      </w:pPr>
    </w:p>
    <w:p w14:paraId="3AD21E2E">
      <w:pPr>
        <w:autoSpaceDE w:val="0"/>
        <w:autoSpaceDN w:val="0"/>
        <w:adjustRightInd w:val="0"/>
        <w:spacing w:line="288" w:lineRule="auto"/>
        <w:contextualSpacing/>
        <w:jc w:val="both"/>
        <w:rPr>
          <w:sz w:val="24"/>
          <w:szCs w:val="24"/>
        </w:rPr>
      </w:pPr>
      <w:r>
        <w:rPr>
          <w:sz w:val="24"/>
          <w:szCs w:val="24"/>
        </w:rPr>
        <w:t>8.2.3 deverá ser confirmado se os preços registrados permanecem atualizados, por meio de pesquisa de preços realizada na forma do Decreto nº 46/2025.</w:t>
      </w:r>
    </w:p>
    <w:p w14:paraId="29DC8F46">
      <w:pPr>
        <w:spacing w:line="288" w:lineRule="auto"/>
        <w:contextualSpacing/>
        <w:jc w:val="both"/>
        <w:rPr>
          <w:sz w:val="24"/>
          <w:szCs w:val="24"/>
        </w:rPr>
      </w:pPr>
    </w:p>
    <w:p w14:paraId="0D712BA0">
      <w:pPr>
        <w:spacing w:line="288" w:lineRule="auto"/>
        <w:contextualSpacing/>
        <w:jc w:val="both"/>
        <w:rPr>
          <w:sz w:val="24"/>
          <w:szCs w:val="24"/>
        </w:rPr>
      </w:pPr>
      <w:r>
        <w:rPr>
          <w:b/>
          <w:sz w:val="24"/>
          <w:szCs w:val="24"/>
        </w:rPr>
        <w:t>CLÁUSULA NONA: DO CADASTRO DE RESERVA</w:t>
      </w:r>
    </w:p>
    <w:p w14:paraId="49A35FA2">
      <w:pPr>
        <w:spacing w:line="288" w:lineRule="auto"/>
        <w:contextualSpacing/>
        <w:jc w:val="both"/>
        <w:rPr>
          <w:rFonts w:eastAsia="Arial"/>
          <w:sz w:val="24"/>
          <w:szCs w:val="24"/>
        </w:rPr>
      </w:pPr>
    </w:p>
    <w:p w14:paraId="1B98A0C5">
      <w:pPr>
        <w:spacing w:line="288" w:lineRule="auto"/>
        <w:contextualSpacing/>
        <w:jc w:val="both"/>
        <w:rPr>
          <w:rFonts w:eastAsia="Arial"/>
          <w:sz w:val="24"/>
          <w:szCs w:val="24"/>
        </w:rPr>
      </w:pPr>
      <w:r>
        <w:rPr>
          <w:rFonts w:eastAsia="Arial"/>
          <w:sz w:val="24"/>
          <w:szCs w:val="24"/>
        </w:rPr>
        <w:t xml:space="preserve">9.1 Fazem parte do Cadastro de Reserva os </w:t>
      </w:r>
      <w:r>
        <w:rPr>
          <w:sz w:val="24"/>
          <w:szCs w:val="24"/>
        </w:rPr>
        <w:t xml:space="preserve">proponentes que aceitaram cotar os bens ou serviços em preços iguais aos do proponente vencedor do certame, observada a ordem de classificação, e os proponentes que mantiveram sua proposta original, conforme informações reunidas no Anexo II – Cadastro de Reserva. </w:t>
      </w:r>
    </w:p>
    <w:p w14:paraId="495C7404">
      <w:pPr>
        <w:autoSpaceDE w:val="0"/>
        <w:autoSpaceDN w:val="0"/>
        <w:adjustRightInd w:val="0"/>
        <w:spacing w:line="288" w:lineRule="auto"/>
        <w:contextualSpacing/>
        <w:jc w:val="both"/>
        <w:rPr>
          <w:color w:val="231F20"/>
          <w:sz w:val="24"/>
          <w:szCs w:val="24"/>
        </w:rPr>
      </w:pPr>
    </w:p>
    <w:p w14:paraId="7ADB9E1B">
      <w:pPr>
        <w:autoSpaceDE w:val="0"/>
        <w:autoSpaceDN w:val="0"/>
        <w:adjustRightInd w:val="0"/>
        <w:spacing w:line="288" w:lineRule="auto"/>
        <w:contextualSpacing/>
        <w:jc w:val="both"/>
        <w:rPr>
          <w:color w:val="231F20"/>
          <w:sz w:val="24"/>
          <w:szCs w:val="24"/>
        </w:rPr>
      </w:pPr>
      <w:r>
        <w:rPr>
          <w:color w:val="231F20"/>
          <w:sz w:val="24"/>
          <w:szCs w:val="24"/>
        </w:rPr>
        <w:t>9.2 A ordem de classificação dos registrados na ata deverá ser respeitada para as contratações, cabendo ao gerenciador realizar os devidos registros na Ata de Registro de Preços, para a sua atualização.</w:t>
      </w:r>
    </w:p>
    <w:p w14:paraId="564D7E26">
      <w:pPr>
        <w:autoSpaceDE w:val="0"/>
        <w:autoSpaceDN w:val="0"/>
        <w:adjustRightInd w:val="0"/>
        <w:spacing w:line="288" w:lineRule="auto"/>
        <w:contextualSpacing/>
        <w:jc w:val="both"/>
        <w:rPr>
          <w:color w:val="231F20"/>
          <w:sz w:val="24"/>
          <w:szCs w:val="24"/>
        </w:rPr>
      </w:pPr>
    </w:p>
    <w:p w14:paraId="75ED59E2">
      <w:pPr>
        <w:autoSpaceDE w:val="0"/>
        <w:autoSpaceDN w:val="0"/>
        <w:adjustRightInd w:val="0"/>
        <w:spacing w:line="288" w:lineRule="auto"/>
        <w:contextualSpacing/>
        <w:jc w:val="both"/>
        <w:rPr>
          <w:color w:val="231F20"/>
          <w:sz w:val="24"/>
          <w:szCs w:val="24"/>
        </w:rPr>
      </w:pPr>
      <w:r>
        <w:rPr>
          <w:color w:val="231F20"/>
          <w:sz w:val="24"/>
          <w:szCs w:val="24"/>
        </w:rPr>
        <w:t xml:space="preserve">9.3 </w:t>
      </w:r>
      <w:r>
        <w:rPr>
          <w:sz w:val="24"/>
          <w:szCs w:val="24"/>
        </w:rPr>
        <w:t>A habilitação dos proponentes que irão compor o Cadastro de Reserva somente será efetuada quando houver necessidade de contratação dos proponentes remanescentes, na forma do parágrafo 3º do art. 19 do Decreto nº 46/2025.</w:t>
      </w:r>
    </w:p>
    <w:p w14:paraId="2D9E2A64">
      <w:pPr>
        <w:autoSpaceDE w:val="0"/>
        <w:autoSpaceDN w:val="0"/>
        <w:adjustRightInd w:val="0"/>
        <w:spacing w:line="288" w:lineRule="auto"/>
        <w:contextualSpacing/>
        <w:jc w:val="both"/>
        <w:rPr>
          <w:color w:val="231F20"/>
          <w:sz w:val="24"/>
          <w:szCs w:val="24"/>
        </w:rPr>
      </w:pPr>
    </w:p>
    <w:p w14:paraId="27CCF866">
      <w:pPr>
        <w:autoSpaceDE w:val="0"/>
        <w:autoSpaceDN w:val="0"/>
        <w:adjustRightInd w:val="0"/>
        <w:spacing w:line="288" w:lineRule="auto"/>
        <w:contextualSpacing/>
        <w:jc w:val="both"/>
        <w:rPr>
          <w:color w:val="231F20"/>
          <w:sz w:val="24"/>
          <w:szCs w:val="24"/>
        </w:rPr>
      </w:pPr>
      <w:r>
        <w:rPr>
          <w:color w:val="231F20"/>
          <w:sz w:val="24"/>
          <w:szCs w:val="24"/>
        </w:rPr>
        <w:t xml:space="preserve">9.4 </w:t>
      </w:r>
      <w:r>
        <w:rPr>
          <w:sz w:val="24"/>
          <w:szCs w:val="24"/>
        </w:rPr>
        <w:t>É facultado à Administração, quando o convocado não assinar a Ata de Registro de Preços no prazo e condições estabelecidos no instrumento convocatório, quando houver,</w:t>
      </w:r>
      <w:r>
        <w:rPr>
          <w:rFonts w:eastAsia="Arial"/>
          <w:sz w:val="24"/>
          <w:szCs w:val="24"/>
        </w:rPr>
        <w:t xml:space="preserve"> e no Termo de Referência</w:t>
      </w:r>
      <w:r>
        <w:rPr>
          <w:sz w:val="24"/>
          <w:szCs w:val="24"/>
        </w:rPr>
        <w:t xml:space="preserve">, convocar os proponentes do Cadastro de Reserva, na ordem de classificação, para fazê-lo em igual prazo e nas mesmas condições propostas pelo primeiro classificado. </w:t>
      </w:r>
    </w:p>
    <w:p w14:paraId="7D623220">
      <w:pPr>
        <w:autoSpaceDE w:val="0"/>
        <w:autoSpaceDN w:val="0"/>
        <w:adjustRightInd w:val="0"/>
        <w:spacing w:line="288" w:lineRule="auto"/>
        <w:contextualSpacing/>
        <w:jc w:val="both"/>
        <w:rPr>
          <w:color w:val="231F20"/>
          <w:sz w:val="24"/>
          <w:szCs w:val="24"/>
        </w:rPr>
      </w:pPr>
    </w:p>
    <w:p w14:paraId="3B29E3FF">
      <w:pPr>
        <w:autoSpaceDE w:val="0"/>
        <w:autoSpaceDN w:val="0"/>
        <w:adjustRightInd w:val="0"/>
        <w:spacing w:line="288" w:lineRule="auto"/>
        <w:contextualSpacing/>
        <w:jc w:val="both"/>
        <w:rPr>
          <w:color w:val="231F20"/>
          <w:sz w:val="24"/>
          <w:szCs w:val="24"/>
        </w:rPr>
      </w:pPr>
      <w:r>
        <w:rPr>
          <w:color w:val="231F20"/>
          <w:sz w:val="24"/>
          <w:szCs w:val="24"/>
        </w:rPr>
        <w:t xml:space="preserve">9.5 O Cadastro de Reserva poderá ser empregado no caso de exclusão do fornecedor da Ata de Registro de Preços, nas seguintes ocorrências: </w:t>
      </w:r>
    </w:p>
    <w:p w14:paraId="511C768B">
      <w:pPr>
        <w:autoSpaceDE w:val="0"/>
        <w:autoSpaceDN w:val="0"/>
        <w:adjustRightInd w:val="0"/>
        <w:spacing w:line="288" w:lineRule="auto"/>
        <w:contextualSpacing/>
        <w:jc w:val="both"/>
        <w:rPr>
          <w:color w:val="231F20"/>
          <w:sz w:val="24"/>
          <w:szCs w:val="24"/>
        </w:rPr>
      </w:pPr>
      <w:r>
        <w:rPr>
          <w:color w:val="231F20"/>
          <w:sz w:val="24"/>
          <w:szCs w:val="24"/>
        </w:rPr>
        <w:t xml:space="preserve"> </w:t>
      </w:r>
    </w:p>
    <w:p w14:paraId="4BFC8238">
      <w:pPr>
        <w:autoSpaceDE w:val="0"/>
        <w:autoSpaceDN w:val="0"/>
        <w:adjustRightInd w:val="0"/>
        <w:spacing w:line="288" w:lineRule="auto"/>
        <w:contextualSpacing/>
        <w:jc w:val="both"/>
        <w:rPr>
          <w:color w:val="231F20"/>
          <w:sz w:val="24"/>
          <w:szCs w:val="24"/>
        </w:rPr>
      </w:pPr>
      <w:r>
        <w:rPr>
          <w:color w:val="231F20"/>
          <w:sz w:val="24"/>
          <w:szCs w:val="24"/>
        </w:rPr>
        <w:t xml:space="preserve">a) cancelamento do registro do fornecedor, nas hipóteses previstas na cláusula décima; ou </w:t>
      </w:r>
    </w:p>
    <w:p w14:paraId="311C8260">
      <w:pPr>
        <w:autoSpaceDE w:val="0"/>
        <w:autoSpaceDN w:val="0"/>
        <w:adjustRightInd w:val="0"/>
        <w:spacing w:line="288" w:lineRule="auto"/>
        <w:contextualSpacing/>
        <w:jc w:val="both"/>
        <w:rPr>
          <w:color w:val="231F20"/>
          <w:sz w:val="24"/>
          <w:szCs w:val="24"/>
        </w:rPr>
      </w:pPr>
    </w:p>
    <w:p w14:paraId="2DC26329">
      <w:pPr>
        <w:autoSpaceDE w:val="0"/>
        <w:autoSpaceDN w:val="0"/>
        <w:adjustRightInd w:val="0"/>
        <w:spacing w:line="288" w:lineRule="auto"/>
        <w:contextualSpacing/>
        <w:jc w:val="both"/>
        <w:rPr>
          <w:color w:val="231F20"/>
          <w:sz w:val="24"/>
          <w:szCs w:val="24"/>
        </w:rPr>
      </w:pPr>
      <w:r>
        <w:rPr>
          <w:color w:val="231F20"/>
          <w:sz w:val="24"/>
          <w:szCs w:val="24"/>
        </w:rPr>
        <w:t>b) cancelamento do registro de preços, nas hipóteses previstas nos arts. 28, § 4º, 29 e 31, do Decreto nº 46/2025, e itens 6.3.4 e 6.4 da cláusula sexta.</w:t>
      </w:r>
    </w:p>
    <w:p w14:paraId="1562DDE9">
      <w:pPr>
        <w:pStyle w:val="15"/>
        <w:spacing w:line="288" w:lineRule="auto"/>
        <w:contextualSpacing/>
        <w:jc w:val="both"/>
        <w:rPr>
          <w:rFonts w:ascii="Times New Roman" w:hAnsi="Times New Roman" w:cs="Times New Roman"/>
        </w:rPr>
      </w:pPr>
    </w:p>
    <w:p w14:paraId="0CE7E819">
      <w:pPr>
        <w:spacing w:line="288" w:lineRule="auto"/>
        <w:contextualSpacing/>
        <w:jc w:val="both"/>
        <w:rPr>
          <w:b/>
          <w:sz w:val="24"/>
          <w:szCs w:val="24"/>
        </w:rPr>
      </w:pPr>
      <w:r>
        <w:rPr>
          <w:b/>
          <w:sz w:val="24"/>
          <w:szCs w:val="24"/>
        </w:rPr>
        <w:t xml:space="preserve">CLÁUSULA DÉCIMA: DO CANCELAMENTO DO REGISTRO DO FORNECEDOR </w:t>
      </w:r>
    </w:p>
    <w:p w14:paraId="37BFC041">
      <w:pPr>
        <w:spacing w:line="288" w:lineRule="auto"/>
        <w:contextualSpacing/>
        <w:jc w:val="both"/>
        <w:rPr>
          <w:color w:val="231F20"/>
          <w:sz w:val="24"/>
          <w:szCs w:val="24"/>
        </w:rPr>
      </w:pPr>
    </w:p>
    <w:p w14:paraId="523F47CB">
      <w:pPr>
        <w:spacing w:line="288" w:lineRule="auto"/>
        <w:contextualSpacing/>
        <w:jc w:val="both"/>
        <w:rPr>
          <w:sz w:val="24"/>
          <w:szCs w:val="24"/>
        </w:rPr>
      </w:pPr>
      <w:r>
        <w:rPr>
          <w:color w:val="231F20"/>
          <w:sz w:val="24"/>
          <w:szCs w:val="24"/>
        </w:rPr>
        <w:t>10.1 O registro do fornecedor será cancelado quando:</w:t>
      </w:r>
    </w:p>
    <w:p w14:paraId="60B209D7">
      <w:pPr>
        <w:autoSpaceDE w:val="0"/>
        <w:autoSpaceDN w:val="0"/>
        <w:adjustRightInd w:val="0"/>
        <w:spacing w:line="288" w:lineRule="auto"/>
        <w:contextualSpacing/>
        <w:jc w:val="both"/>
        <w:rPr>
          <w:b/>
          <w:bCs/>
          <w:color w:val="231F20"/>
          <w:sz w:val="24"/>
          <w:szCs w:val="24"/>
        </w:rPr>
      </w:pPr>
    </w:p>
    <w:p w14:paraId="293067CE">
      <w:pPr>
        <w:autoSpaceDE w:val="0"/>
        <w:autoSpaceDN w:val="0"/>
        <w:adjustRightInd w:val="0"/>
        <w:spacing w:line="288" w:lineRule="auto"/>
        <w:contextualSpacing/>
        <w:jc w:val="both"/>
        <w:rPr>
          <w:color w:val="231F20"/>
          <w:sz w:val="24"/>
          <w:szCs w:val="24"/>
        </w:rPr>
      </w:pPr>
      <w:r>
        <w:rPr>
          <w:color w:val="231F20"/>
          <w:sz w:val="24"/>
          <w:szCs w:val="24"/>
        </w:rPr>
        <w:t>a) forem descumpridas as condições da ata de registro de preços, sem motivo justificado;</w:t>
      </w:r>
    </w:p>
    <w:p w14:paraId="410B167D">
      <w:pPr>
        <w:autoSpaceDE w:val="0"/>
        <w:autoSpaceDN w:val="0"/>
        <w:adjustRightInd w:val="0"/>
        <w:spacing w:line="288" w:lineRule="auto"/>
        <w:contextualSpacing/>
        <w:jc w:val="both"/>
        <w:rPr>
          <w:color w:val="231F20"/>
          <w:sz w:val="24"/>
          <w:szCs w:val="24"/>
        </w:rPr>
      </w:pPr>
    </w:p>
    <w:p w14:paraId="616A8C47">
      <w:pPr>
        <w:autoSpaceDE w:val="0"/>
        <w:autoSpaceDN w:val="0"/>
        <w:adjustRightInd w:val="0"/>
        <w:spacing w:line="288" w:lineRule="auto"/>
        <w:contextualSpacing/>
        <w:jc w:val="both"/>
        <w:rPr>
          <w:color w:val="231F20"/>
          <w:sz w:val="24"/>
          <w:szCs w:val="24"/>
        </w:rPr>
      </w:pPr>
      <w:r>
        <w:rPr>
          <w:color w:val="231F20"/>
          <w:sz w:val="24"/>
          <w:szCs w:val="24"/>
        </w:rPr>
        <w:t xml:space="preserve">b) </w:t>
      </w:r>
      <w:r>
        <w:rPr>
          <w:sz w:val="24"/>
          <w:szCs w:val="24"/>
        </w:rPr>
        <w:t>não assinar o contrato ou não retirar a nota de empenho ou instrumento equivalente no prazo estabelecido pela Administração, sem justificativa aceitável;</w:t>
      </w:r>
    </w:p>
    <w:p w14:paraId="4F947BF3">
      <w:pPr>
        <w:autoSpaceDE w:val="0"/>
        <w:autoSpaceDN w:val="0"/>
        <w:adjustRightInd w:val="0"/>
        <w:spacing w:line="288" w:lineRule="auto"/>
        <w:contextualSpacing/>
        <w:jc w:val="both"/>
        <w:rPr>
          <w:color w:val="231F20"/>
          <w:sz w:val="24"/>
          <w:szCs w:val="24"/>
        </w:rPr>
      </w:pPr>
    </w:p>
    <w:p w14:paraId="0E63F24C">
      <w:pPr>
        <w:autoSpaceDE w:val="0"/>
        <w:autoSpaceDN w:val="0"/>
        <w:adjustRightInd w:val="0"/>
        <w:spacing w:line="288" w:lineRule="auto"/>
        <w:contextualSpacing/>
        <w:jc w:val="both"/>
        <w:rPr>
          <w:color w:val="231F20"/>
          <w:sz w:val="24"/>
          <w:szCs w:val="24"/>
        </w:rPr>
      </w:pPr>
      <w:r>
        <w:rPr>
          <w:color w:val="231F20"/>
          <w:sz w:val="24"/>
          <w:szCs w:val="24"/>
        </w:rPr>
        <w:t>c) não aceitar reduzir o seu preço registrado, na hipótese deste se tornar superior àqueles praticados no mercado; ou</w:t>
      </w:r>
    </w:p>
    <w:p w14:paraId="2B52F8FF">
      <w:pPr>
        <w:autoSpaceDE w:val="0"/>
        <w:autoSpaceDN w:val="0"/>
        <w:adjustRightInd w:val="0"/>
        <w:spacing w:line="288" w:lineRule="auto"/>
        <w:contextualSpacing/>
        <w:jc w:val="both"/>
        <w:rPr>
          <w:color w:val="231F20"/>
          <w:sz w:val="24"/>
          <w:szCs w:val="24"/>
        </w:rPr>
      </w:pPr>
    </w:p>
    <w:p w14:paraId="292708A2">
      <w:pPr>
        <w:autoSpaceDE w:val="0"/>
        <w:autoSpaceDN w:val="0"/>
        <w:adjustRightInd w:val="0"/>
        <w:spacing w:line="288" w:lineRule="auto"/>
        <w:contextualSpacing/>
        <w:jc w:val="both"/>
        <w:rPr>
          <w:sz w:val="24"/>
          <w:szCs w:val="24"/>
        </w:rPr>
      </w:pPr>
      <w:r>
        <w:rPr>
          <w:color w:val="231F20"/>
          <w:sz w:val="24"/>
          <w:szCs w:val="24"/>
        </w:rPr>
        <w:t xml:space="preserve">d) </w:t>
      </w:r>
      <w:r>
        <w:rPr>
          <w:sz w:val="24"/>
          <w:szCs w:val="24"/>
        </w:rPr>
        <w:t xml:space="preserve">sofrer sanção prevista nos incisos III ou IV do </w:t>
      </w:r>
      <w:r>
        <w:rPr>
          <w:i/>
          <w:iCs/>
          <w:sz w:val="24"/>
          <w:szCs w:val="24"/>
        </w:rPr>
        <w:t>caput</w:t>
      </w:r>
      <w:r>
        <w:rPr>
          <w:sz w:val="24"/>
          <w:szCs w:val="24"/>
        </w:rPr>
        <w:t xml:space="preserve"> do art. 156 da Lei nº 14.133/2021, observado os parágrafos 4º e 5º do referido dispositivo. </w:t>
      </w:r>
    </w:p>
    <w:p w14:paraId="5982F8F4">
      <w:pPr>
        <w:autoSpaceDE w:val="0"/>
        <w:autoSpaceDN w:val="0"/>
        <w:adjustRightInd w:val="0"/>
        <w:spacing w:line="288" w:lineRule="auto"/>
        <w:contextualSpacing/>
        <w:jc w:val="both"/>
        <w:rPr>
          <w:sz w:val="24"/>
          <w:szCs w:val="24"/>
        </w:rPr>
      </w:pPr>
    </w:p>
    <w:p w14:paraId="10959B22">
      <w:pPr>
        <w:autoSpaceDE w:val="0"/>
        <w:autoSpaceDN w:val="0"/>
        <w:adjustRightInd w:val="0"/>
        <w:spacing w:line="288" w:lineRule="auto"/>
        <w:contextualSpacing/>
        <w:jc w:val="both"/>
        <w:rPr>
          <w:sz w:val="24"/>
          <w:szCs w:val="24"/>
        </w:rPr>
      </w:pPr>
      <w:r>
        <w:rPr>
          <w:sz w:val="24"/>
          <w:szCs w:val="24"/>
        </w:rPr>
        <w:t xml:space="preserve">10.2 Na hipótese de que trata a alínea d do item 10.1, caso a penalidade aplicada ao </w:t>
      </w:r>
      <w:r>
        <w:rPr>
          <w:color w:val="231F20"/>
          <w:sz w:val="24"/>
          <w:szCs w:val="24"/>
        </w:rPr>
        <w:t>fornecedor</w:t>
      </w:r>
      <w:r>
        <w:rPr>
          <w:sz w:val="24"/>
          <w:szCs w:val="24"/>
        </w:rPr>
        <w:t xml:space="preserve"> não ultrapasse o prazo de vigência da ata, poderá o gerenciador, desde que não seja o responsável pela aplicação da sanção, mediante decisão fundamentada, garantido o contraditório e a ampla defesa, decidir pela manutenção do registro de preços. </w:t>
      </w:r>
    </w:p>
    <w:p w14:paraId="566D2FCE">
      <w:pPr>
        <w:autoSpaceDE w:val="0"/>
        <w:autoSpaceDN w:val="0"/>
        <w:adjustRightInd w:val="0"/>
        <w:spacing w:line="288" w:lineRule="auto"/>
        <w:contextualSpacing/>
        <w:jc w:val="both"/>
        <w:rPr>
          <w:sz w:val="24"/>
          <w:szCs w:val="24"/>
        </w:rPr>
      </w:pPr>
    </w:p>
    <w:p w14:paraId="35CFE47A">
      <w:pPr>
        <w:autoSpaceDE w:val="0"/>
        <w:autoSpaceDN w:val="0"/>
        <w:adjustRightInd w:val="0"/>
        <w:spacing w:line="288" w:lineRule="auto"/>
        <w:contextualSpacing/>
        <w:jc w:val="both"/>
        <w:rPr>
          <w:b/>
          <w:bCs/>
          <w:color w:val="231F20"/>
          <w:sz w:val="24"/>
          <w:szCs w:val="24"/>
        </w:rPr>
      </w:pPr>
      <w:r>
        <w:rPr>
          <w:sz w:val="24"/>
          <w:szCs w:val="24"/>
        </w:rPr>
        <w:t xml:space="preserve">10.3 O cancelamento do registro nas hipóteses previstas das alíneas a, b e d do item 10.1 será formalizado por decisão do gerenciador, assegurado o contraditório e a ampla defesa ao </w:t>
      </w:r>
      <w:r>
        <w:rPr>
          <w:color w:val="231F20"/>
          <w:sz w:val="24"/>
          <w:szCs w:val="24"/>
        </w:rPr>
        <w:t>fornecedor</w:t>
      </w:r>
      <w:r>
        <w:rPr>
          <w:sz w:val="24"/>
          <w:szCs w:val="24"/>
        </w:rPr>
        <w:t>.</w:t>
      </w:r>
    </w:p>
    <w:p w14:paraId="037CF2B7">
      <w:pPr>
        <w:spacing w:line="288" w:lineRule="auto"/>
        <w:contextualSpacing/>
        <w:jc w:val="both"/>
        <w:rPr>
          <w:b/>
          <w:sz w:val="24"/>
          <w:szCs w:val="24"/>
          <w:u w:val="single"/>
        </w:rPr>
      </w:pPr>
    </w:p>
    <w:p w14:paraId="6B781A83">
      <w:pPr>
        <w:spacing w:line="288" w:lineRule="auto"/>
        <w:contextualSpacing/>
        <w:jc w:val="both"/>
        <w:rPr>
          <w:b/>
          <w:sz w:val="24"/>
          <w:szCs w:val="24"/>
        </w:rPr>
      </w:pPr>
      <w:r>
        <w:rPr>
          <w:b/>
          <w:sz w:val="24"/>
          <w:szCs w:val="24"/>
        </w:rPr>
        <w:t xml:space="preserve">CLÁUSULA DÉCIMA PRIMEIRA: DO CANCELAMENTO DO REGISTRO DE PREÇOS: </w:t>
      </w:r>
    </w:p>
    <w:p w14:paraId="799E1117">
      <w:pPr>
        <w:autoSpaceDE w:val="0"/>
        <w:autoSpaceDN w:val="0"/>
        <w:adjustRightInd w:val="0"/>
        <w:spacing w:line="288" w:lineRule="auto"/>
        <w:contextualSpacing/>
        <w:jc w:val="both"/>
        <w:rPr>
          <w:color w:val="231F20"/>
          <w:sz w:val="24"/>
          <w:szCs w:val="24"/>
        </w:rPr>
      </w:pPr>
    </w:p>
    <w:p w14:paraId="4002A926">
      <w:pPr>
        <w:autoSpaceDE w:val="0"/>
        <w:autoSpaceDN w:val="0"/>
        <w:adjustRightInd w:val="0"/>
        <w:spacing w:line="288" w:lineRule="auto"/>
        <w:contextualSpacing/>
        <w:jc w:val="both"/>
        <w:rPr>
          <w:sz w:val="24"/>
          <w:szCs w:val="24"/>
        </w:rPr>
      </w:pPr>
      <w:r>
        <w:rPr>
          <w:color w:val="231F20"/>
          <w:sz w:val="24"/>
          <w:szCs w:val="24"/>
        </w:rPr>
        <w:t>11.1 O cancelamento do registro de preços poderá ocorrer</w:t>
      </w:r>
      <w:r>
        <w:rPr>
          <w:sz w:val="24"/>
          <w:szCs w:val="24"/>
        </w:rPr>
        <w:t xml:space="preserve">, total ou parcialmente, pelo gerenciador, desde que devidamente comprovados e justificados: </w:t>
      </w:r>
    </w:p>
    <w:p w14:paraId="411FF224">
      <w:pPr>
        <w:autoSpaceDE w:val="0"/>
        <w:autoSpaceDN w:val="0"/>
        <w:adjustRightInd w:val="0"/>
        <w:spacing w:line="288" w:lineRule="auto"/>
        <w:contextualSpacing/>
        <w:jc w:val="both"/>
        <w:rPr>
          <w:sz w:val="24"/>
          <w:szCs w:val="24"/>
        </w:rPr>
      </w:pPr>
    </w:p>
    <w:p w14:paraId="01993908">
      <w:pPr>
        <w:autoSpaceDE w:val="0"/>
        <w:autoSpaceDN w:val="0"/>
        <w:adjustRightInd w:val="0"/>
        <w:spacing w:line="288" w:lineRule="auto"/>
        <w:contextualSpacing/>
        <w:jc w:val="both"/>
        <w:rPr>
          <w:sz w:val="24"/>
          <w:szCs w:val="24"/>
        </w:rPr>
      </w:pPr>
      <w:r>
        <w:rPr>
          <w:sz w:val="24"/>
          <w:szCs w:val="24"/>
        </w:rPr>
        <w:t xml:space="preserve">a)  por razão de interesse público; </w:t>
      </w:r>
    </w:p>
    <w:p w14:paraId="6E2D953C">
      <w:pPr>
        <w:autoSpaceDE w:val="0"/>
        <w:autoSpaceDN w:val="0"/>
        <w:adjustRightInd w:val="0"/>
        <w:spacing w:line="288" w:lineRule="auto"/>
        <w:contextualSpacing/>
        <w:jc w:val="both"/>
        <w:rPr>
          <w:sz w:val="24"/>
          <w:szCs w:val="24"/>
        </w:rPr>
      </w:pPr>
    </w:p>
    <w:p w14:paraId="65C31AE1">
      <w:pPr>
        <w:autoSpaceDE w:val="0"/>
        <w:autoSpaceDN w:val="0"/>
        <w:adjustRightInd w:val="0"/>
        <w:spacing w:line="288" w:lineRule="auto"/>
        <w:contextualSpacing/>
        <w:jc w:val="both"/>
        <w:rPr>
          <w:sz w:val="24"/>
          <w:szCs w:val="24"/>
        </w:rPr>
      </w:pPr>
      <w:r>
        <w:rPr>
          <w:sz w:val="24"/>
          <w:szCs w:val="24"/>
        </w:rPr>
        <w:t xml:space="preserve">b) pelo cancelamento de todos os preços registrados; ou </w:t>
      </w:r>
    </w:p>
    <w:p w14:paraId="08EB0754">
      <w:pPr>
        <w:autoSpaceDE w:val="0"/>
        <w:autoSpaceDN w:val="0"/>
        <w:adjustRightInd w:val="0"/>
        <w:spacing w:line="288" w:lineRule="auto"/>
        <w:contextualSpacing/>
        <w:jc w:val="both"/>
        <w:rPr>
          <w:sz w:val="24"/>
          <w:szCs w:val="24"/>
        </w:rPr>
      </w:pPr>
    </w:p>
    <w:p w14:paraId="3B84CFF9">
      <w:pPr>
        <w:autoSpaceDE w:val="0"/>
        <w:autoSpaceDN w:val="0"/>
        <w:adjustRightInd w:val="0"/>
        <w:spacing w:line="288" w:lineRule="auto"/>
        <w:contextualSpacing/>
        <w:jc w:val="both"/>
        <w:rPr>
          <w:sz w:val="24"/>
          <w:szCs w:val="24"/>
        </w:rPr>
      </w:pPr>
      <w:r>
        <w:rPr>
          <w:sz w:val="24"/>
          <w:szCs w:val="24"/>
        </w:rPr>
        <w:t xml:space="preserve">c) a pedido do </w:t>
      </w:r>
      <w:r>
        <w:rPr>
          <w:color w:val="231F20"/>
          <w:sz w:val="24"/>
          <w:szCs w:val="24"/>
        </w:rPr>
        <w:t>fornecedor</w:t>
      </w:r>
      <w:r>
        <w:rPr>
          <w:sz w:val="24"/>
          <w:szCs w:val="24"/>
        </w:rPr>
        <w:t>, decorrente de fato superveniente, de caso fortuito ou força maior, que prejudique o cumprimento da Ata.</w:t>
      </w:r>
    </w:p>
    <w:p w14:paraId="712B4E9C">
      <w:pPr>
        <w:spacing w:line="288" w:lineRule="auto"/>
        <w:contextualSpacing/>
        <w:jc w:val="both"/>
        <w:rPr>
          <w:sz w:val="24"/>
          <w:szCs w:val="24"/>
        </w:rPr>
      </w:pPr>
    </w:p>
    <w:p w14:paraId="257397A2">
      <w:pPr>
        <w:spacing w:line="288" w:lineRule="auto"/>
        <w:contextualSpacing/>
        <w:jc w:val="both"/>
        <w:rPr>
          <w:rFonts w:eastAsia="Arial"/>
          <w:b/>
          <w:sz w:val="24"/>
          <w:szCs w:val="24"/>
        </w:rPr>
      </w:pPr>
      <w:r>
        <w:rPr>
          <w:rFonts w:eastAsia="Arial"/>
          <w:b/>
          <w:sz w:val="24"/>
          <w:szCs w:val="24"/>
        </w:rPr>
        <w:t xml:space="preserve">CLÁUSULA DÉCIMA SEGUNDA: DOS CONTRATOS DECORRENTES DA ATA DE REGISTRO DE PREÇOS </w:t>
      </w:r>
    </w:p>
    <w:p w14:paraId="5E8CD720">
      <w:pPr>
        <w:pStyle w:val="83"/>
        <w:numPr>
          <w:ilvl w:val="1"/>
          <w:numId w:val="0"/>
        </w:numPr>
        <w:autoSpaceDE w:val="0"/>
        <w:autoSpaceDN w:val="0"/>
        <w:adjustRightInd w:val="0"/>
        <w:spacing w:before="0" w:line="288" w:lineRule="auto"/>
        <w:contextualSpacing/>
        <w:rPr>
          <w:rFonts w:ascii="Times New Roman" w:hAnsi="Times New Roman" w:cs="Times New Roman"/>
          <w:sz w:val="24"/>
          <w:szCs w:val="24"/>
        </w:rPr>
      </w:pPr>
    </w:p>
    <w:p w14:paraId="5C25C615">
      <w:pPr>
        <w:pStyle w:val="83"/>
        <w:numPr>
          <w:ilvl w:val="1"/>
          <w:numId w:val="0"/>
        </w:numPr>
        <w:autoSpaceDE w:val="0"/>
        <w:autoSpaceDN w:val="0"/>
        <w:adjustRightInd w:val="0"/>
        <w:spacing w:before="0" w:after="0" w:line="288" w:lineRule="auto"/>
        <w:contextualSpacing/>
        <w:rPr>
          <w:rFonts w:ascii="Times New Roman" w:hAnsi="Times New Roman" w:cs="Times New Roman"/>
          <w:b/>
          <w:sz w:val="24"/>
          <w:szCs w:val="24"/>
          <w:highlight w:val="yellow"/>
        </w:rPr>
      </w:pPr>
      <w:r>
        <w:rPr>
          <w:rFonts w:ascii="Times New Roman" w:hAnsi="Times New Roman" w:cs="Times New Roman"/>
          <w:sz w:val="24"/>
          <w:szCs w:val="24"/>
        </w:rPr>
        <w:t xml:space="preserve">12.1 As </w:t>
      </w:r>
      <w:bookmarkStart w:id="47" w:name="_Hlk158816472"/>
      <w:r>
        <w:rPr>
          <w:rFonts w:ascii="Times New Roman" w:hAnsi="Times New Roman" w:cs="Times New Roman"/>
          <w:sz w:val="24"/>
          <w:szCs w:val="24"/>
        </w:rPr>
        <w:t xml:space="preserve">condições gerais de execução do objeto, tais como os prazos para entrega e recebimento, as obrigações da Administração e do </w:t>
      </w:r>
      <w:r>
        <w:rPr>
          <w:rFonts w:ascii="Times New Roman" w:hAnsi="Times New Roman" w:cs="Times New Roman"/>
          <w:color w:val="231F20"/>
          <w:sz w:val="24"/>
          <w:szCs w:val="24"/>
        </w:rPr>
        <w:t>fornecedor</w:t>
      </w:r>
      <w:r>
        <w:rPr>
          <w:rFonts w:ascii="Times New Roman" w:hAnsi="Times New Roman" w:cs="Times New Roman"/>
          <w:sz w:val="24"/>
          <w:szCs w:val="24"/>
        </w:rPr>
        <w:t xml:space="preserve"> registrado, penalidades e demais condições do ajuste, inclusive, o prazo de vigência dos contratos a serem celebrados, a garantia, o pagamento, o reajuste ou repactuação, encontram-se definidos no instrumento convocatório, quando houver,</w:t>
      </w:r>
      <w:r>
        <w:rPr>
          <w:rFonts w:ascii="Times New Roman" w:hAnsi="Times New Roman" w:eastAsia="Arial" w:cs="Times New Roman"/>
          <w:sz w:val="24"/>
          <w:szCs w:val="24"/>
        </w:rPr>
        <w:t xml:space="preserve"> </w:t>
      </w:r>
      <w:r>
        <w:rPr>
          <w:rFonts w:ascii="Times New Roman" w:hAnsi="Times New Roman" w:cs="Times New Roman"/>
          <w:color w:val="231F20"/>
          <w:sz w:val="24"/>
          <w:szCs w:val="24"/>
        </w:rPr>
        <w:t>no Termo de Referência e no contrato</w:t>
      </w:r>
      <w:bookmarkEnd w:id="47"/>
      <w:r>
        <w:rPr>
          <w:rFonts w:ascii="Times New Roman" w:hAnsi="Times New Roman" w:cs="Times New Roman"/>
          <w:color w:val="231F20"/>
          <w:sz w:val="24"/>
          <w:szCs w:val="24"/>
        </w:rPr>
        <w:t>.</w:t>
      </w:r>
    </w:p>
    <w:p w14:paraId="302CFD34">
      <w:pPr>
        <w:tabs>
          <w:tab w:val="left" w:pos="1404"/>
        </w:tabs>
        <w:spacing w:line="288" w:lineRule="auto"/>
        <w:contextualSpacing/>
        <w:jc w:val="both"/>
        <w:rPr>
          <w:rFonts w:eastAsia="Arial"/>
          <w:sz w:val="24"/>
          <w:szCs w:val="24"/>
        </w:rPr>
      </w:pPr>
    </w:p>
    <w:p w14:paraId="48FA8B1B">
      <w:pPr>
        <w:tabs>
          <w:tab w:val="left" w:pos="1404"/>
        </w:tabs>
        <w:spacing w:line="288" w:lineRule="auto"/>
        <w:contextualSpacing/>
        <w:jc w:val="both"/>
        <w:rPr>
          <w:rFonts w:eastAsia="Arial"/>
          <w:sz w:val="24"/>
          <w:szCs w:val="24"/>
        </w:rPr>
      </w:pPr>
      <w:r>
        <w:rPr>
          <w:rFonts w:eastAsia="Arial"/>
          <w:sz w:val="24"/>
          <w:szCs w:val="24"/>
        </w:rPr>
        <w:t xml:space="preserve">12.1.1 </w:t>
      </w:r>
      <w:r>
        <w:rPr>
          <w:sz w:val="24"/>
          <w:szCs w:val="24"/>
        </w:rPr>
        <w:t>Os contratos decorrentes de registro de preços poderão ser alterados, observado o disposto no art. 124 da Lei nº 14.133/2021.</w:t>
      </w:r>
    </w:p>
    <w:p w14:paraId="4EB77522">
      <w:pPr>
        <w:tabs>
          <w:tab w:val="left" w:pos="1404"/>
        </w:tabs>
        <w:spacing w:line="288" w:lineRule="auto"/>
        <w:contextualSpacing/>
        <w:jc w:val="both"/>
        <w:rPr>
          <w:rFonts w:eastAsia="Arial"/>
          <w:sz w:val="24"/>
          <w:szCs w:val="24"/>
        </w:rPr>
      </w:pPr>
    </w:p>
    <w:p w14:paraId="6F156986">
      <w:pPr>
        <w:tabs>
          <w:tab w:val="left" w:pos="1404"/>
        </w:tabs>
        <w:spacing w:line="288" w:lineRule="auto"/>
        <w:contextualSpacing/>
        <w:jc w:val="both"/>
        <w:rPr>
          <w:color w:val="000000" w:themeColor="text1"/>
          <w:sz w:val="24"/>
          <w:szCs w:val="24"/>
          <w14:textFill>
            <w14:solidFill>
              <w14:schemeClr w14:val="tx1"/>
            </w14:solidFill>
          </w14:textFill>
        </w:rPr>
      </w:pPr>
      <w:r>
        <w:rPr>
          <w:rFonts w:eastAsia="Arial"/>
          <w:sz w:val="24"/>
          <w:szCs w:val="24"/>
        </w:rPr>
        <w:t xml:space="preserve">12.2 </w:t>
      </w:r>
      <w:r>
        <w:rPr>
          <w:sz w:val="24"/>
          <w:szCs w:val="24"/>
        </w:rPr>
        <w:t xml:space="preserve">A contratação realizada pelo </w:t>
      </w:r>
      <w:r>
        <w:rPr>
          <w:bCs/>
          <w:sz w:val="24"/>
          <w:szCs w:val="24"/>
        </w:rPr>
        <w:t>gerenciador e pelos participantes</w:t>
      </w:r>
      <w:r>
        <w:rPr>
          <w:b/>
          <w:sz w:val="24"/>
          <w:szCs w:val="24"/>
        </w:rPr>
        <w:t xml:space="preserve"> </w:t>
      </w:r>
      <w:r>
        <w:rPr>
          <w:sz w:val="24"/>
          <w:szCs w:val="24"/>
        </w:rPr>
        <w:t xml:space="preserve">será formalizada, dentro do prazo de validade da Ata de Registro de Preços, por intermédio de </w:t>
      </w:r>
      <w:r>
        <w:rPr>
          <w:color w:val="000000" w:themeColor="text1"/>
          <w:sz w:val="24"/>
          <w:szCs w:val="24"/>
          <w14:textFill>
            <w14:solidFill>
              <w14:schemeClr w14:val="tx1"/>
            </w14:solidFill>
          </w14:textFill>
        </w:rPr>
        <w:t>instrumento contratual A</w:t>
      </w:r>
      <w:r>
        <w:rPr>
          <w:bCs/>
          <w:color w:val="000000" w:themeColor="text1"/>
          <w:sz w:val="24"/>
          <w:szCs w:val="24"/>
          <w14:textFill>
            <w14:solidFill>
              <w14:schemeClr w14:val="tx1"/>
            </w14:solidFill>
          </w14:textFill>
        </w:rPr>
        <w:t>nexo IX do Edital – Minuta de Contrato</w:t>
      </w:r>
      <w:r>
        <w:rPr>
          <w:color w:val="000000" w:themeColor="text1"/>
          <w:sz w:val="24"/>
          <w:szCs w:val="24"/>
          <w14:textFill>
            <w14:solidFill>
              <w14:schemeClr w14:val="tx1"/>
            </w14:solidFill>
          </w14:textFill>
        </w:rPr>
        <w:t>.</w:t>
      </w:r>
    </w:p>
    <w:p w14:paraId="237E2128">
      <w:pPr>
        <w:tabs>
          <w:tab w:val="left" w:pos="0"/>
        </w:tabs>
        <w:spacing w:line="360" w:lineRule="auto"/>
        <w:jc w:val="both"/>
        <w:rPr>
          <w:sz w:val="24"/>
          <w:szCs w:val="24"/>
          <w:highlight w:val="yellow"/>
        </w:rPr>
      </w:pPr>
    </w:p>
    <w:p w14:paraId="38CACF87">
      <w:pPr>
        <w:spacing w:line="288" w:lineRule="auto"/>
        <w:contextualSpacing/>
        <w:jc w:val="both"/>
        <w:rPr>
          <w:b/>
          <w:bCs/>
          <w:sz w:val="24"/>
          <w:szCs w:val="24"/>
        </w:rPr>
      </w:pPr>
      <w:r>
        <w:rPr>
          <w:b/>
          <w:bCs/>
          <w:sz w:val="24"/>
          <w:szCs w:val="24"/>
        </w:rPr>
        <w:t>CLÁUSULA DÉCIMA TERCEIRA: DAS INFRAÇÕES ADMINISTRATIVAS E SANÇÕES</w:t>
      </w:r>
    </w:p>
    <w:p w14:paraId="57883945">
      <w:pPr>
        <w:spacing w:line="288" w:lineRule="auto"/>
        <w:contextualSpacing/>
        <w:jc w:val="both"/>
        <w:rPr>
          <w:sz w:val="24"/>
          <w:szCs w:val="24"/>
        </w:rPr>
      </w:pPr>
    </w:p>
    <w:p w14:paraId="2009F3FF">
      <w:pPr>
        <w:pStyle w:val="83"/>
        <w:numPr>
          <w:ilvl w:val="1"/>
          <w:numId w:val="0"/>
        </w:numPr>
        <w:autoSpaceDE w:val="0"/>
        <w:autoSpaceDN w:val="0"/>
        <w:adjustRightInd w:val="0"/>
        <w:spacing w:after="0" w:line="288" w:lineRule="auto"/>
        <w:contextualSpacing/>
        <w:rPr>
          <w:rFonts w:ascii="Times New Roman" w:hAnsi="Times New Roman" w:cs="Times New Roman"/>
          <w:sz w:val="24"/>
          <w:szCs w:val="24"/>
        </w:rPr>
      </w:pPr>
      <w:r>
        <w:rPr>
          <w:rFonts w:ascii="Times New Roman" w:hAnsi="Times New Roman" w:cs="Times New Roman"/>
          <w:sz w:val="24"/>
          <w:szCs w:val="24"/>
        </w:rPr>
        <w:t>13.1 O descumprimento da Ata de Registro de Preços ensejará a aplicação das penalidades estabelecidas no instrumento convocatório, quando houver,</w:t>
      </w:r>
      <w:r>
        <w:rPr>
          <w:rFonts w:ascii="Times New Roman" w:hAnsi="Times New Roman" w:eastAsia="Arial" w:cs="Times New Roman"/>
          <w:sz w:val="24"/>
          <w:szCs w:val="24"/>
        </w:rPr>
        <w:t xml:space="preserve"> e no Termo de Referência</w:t>
      </w:r>
      <w:r>
        <w:rPr>
          <w:rFonts w:ascii="Times New Roman" w:hAnsi="Times New Roman" w:cs="Times New Roman"/>
          <w:sz w:val="24"/>
          <w:szCs w:val="24"/>
        </w:rPr>
        <w:t>.</w:t>
      </w:r>
    </w:p>
    <w:p w14:paraId="38E22EA4">
      <w:pPr>
        <w:spacing w:line="288" w:lineRule="auto"/>
        <w:contextualSpacing/>
        <w:jc w:val="both"/>
        <w:rPr>
          <w:sz w:val="24"/>
          <w:szCs w:val="24"/>
        </w:rPr>
      </w:pPr>
    </w:p>
    <w:p w14:paraId="58241B79">
      <w:pPr>
        <w:spacing w:line="288" w:lineRule="auto"/>
        <w:contextualSpacing/>
        <w:jc w:val="both"/>
        <w:rPr>
          <w:sz w:val="24"/>
          <w:szCs w:val="24"/>
        </w:rPr>
      </w:pPr>
      <w:r>
        <w:rPr>
          <w:sz w:val="24"/>
          <w:szCs w:val="24"/>
        </w:rPr>
        <w:t>13.2 Compete ao gerenciador aplicar, garantida a ampla defesa e o contraditório, as penalidades decorrentes do descumprimento do pactuado na Ata de Registro de Preços ou do descumprimento das obrigações contratuais, em relação às suas próprias contratações, e promover as publicações, encaminhamentos e registros cabíveis.</w:t>
      </w:r>
    </w:p>
    <w:p w14:paraId="7C3EDF40">
      <w:pPr>
        <w:spacing w:line="288" w:lineRule="auto"/>
        <w:contextualSpacing/>
        <w:jc w:val="both"/>
        <w:rPr>
          <w:sz w:val="24"/>
          <w:szCs w:val="24"/>
        </w:rPr>
      </w:pPr>
    </w:p>
    <w:p w14:paraId="1307827A">
      <w:pPr>
        <w:spacing w:line="288" w:lineRule="auto"/>
        <w:contextualSpacing/>
        <w:jc w:val="both"/>
        <w:rPr>
          <w:sz w:val="24"/>
          <w:szCs w:val="24"/>
        </w:rPr>
      </w:pPr>
      <w:r>
        <w:rPr>
          <w:sz w:val="24"/>
          <w:szCs w:val="24"/>
        </w:rPr>
        <w:t xml:space="preserve">13.3 Compete aos participantes e aos </w:t>
      </w:r>
      <w:r>
        <w:rPr>
          <w:bCs/>
          <w:color w:val="231F20"/>
          <w:sz w:val="24"/>
          <w:szCs w:val="24"/>
        </w:rPr>
        <w:t xml:space="preserve">não-participantes </w:t>
      </w:r>
      <w:r>
        <w:rPr>
          <w:sz w:val="24"/>
          <w:szCs w:val="24"/>
        </w:rPr>
        <w:t>aplicar, garantida a ampla defesa e o contraditório, as penalidades decorrentes do descumprimento das obrigações contratuais, em relação às suas próprias contratações, e promover as publicações, encaminhamentos e registros cabíveis.</w:t>
      </w:r>
    </w:p>
    <w:p w14:paraId="22254F46">
      <w:pPr>
        <w:spacing w:line="288" w:lineRule="auto"/>
        <w:contextualSpacing/>
        <w:jc w:val="both"/>
        <w:rPr>
          <w:sz w:val="24"/>
          <w:szCs w:val="24"/>
        </w:rPr>
      </w:pPr>
    </w:p>
    <w:p w14:paraId="0C5EF8D0">
      <w:pPr>
        <w:spacing w:line="288" w:lineRule="auto"/>
        <w:contextualSpacing/>
        <w:jc w:val="both"/>
        <w:rPr>
          <w:sz w:val="24"/>
          <w:szCs w:val="24"/>
        </w:rPr>
      </w:pPr>
      <w:r>
        <w:rPr>
          <w:sz w:val="24"/>
          <w:szCs w:val="24"/>
        </w:rPr>
        <w:t>13.5 A aplicação das penalidades deverá observar o procedimento estabelecido no instrumento convocatório e contrato, quando houver,</w:t>
      </w:r>
      <w:r>
        <w:rPr>
          <w:rFonts w:eastAsia="Arial"/>
          <w:sz w:val="24"/>
          <w:szCs w:val="24"/>
        </w:rPr>
        <w:t xml:space="preserve"> e no Termo de Referência</w:t>
      </w:r>
      <w:r>
        <w:rPr>
          <w:sz w:val="24"/>
          <w:szCs w:val="24"/>
        </w:rPr>
        <w:t>.</w:t>
      </w:r>
    </w:p>
    <w:p w14:paraId="327C08DF">
      <w:pPr>
        <w:spacing w:line="288" w:lineRule="auto"/>
        <w:contextualSpacing/>
        <w:jc w:val="both"/>
        <w:rPr>
          <w:sz w:val="24"/>
          <w:szCs w:val="24"/>
        </w:rPr>
      </w:pPr>
    </w:p>
    <w:p w14:paraId="5B6D2D86">
      <w:pPr>
        <w:spacing w:line="288" w:lineRule="auto"/>
        <w:contextualSpacing/>
        <w:jc w:val="both"/>
        <w:rPr>
          <w:rFonts w:eastAsia="Arial"/>
          <w:b/>
          <w:sz w:val="24"/>
          <w:szCs w:val="24"/>
        </w:rPr>
      </w:pPr>
      <w:r>
        <w:rPr>
          <w:rFonts w:eastAsia="Arial"/>
          <w:b/>
          <w:sz w:val="24"/>
          <w:szCs w:val="24"/>
        </w:rPr>
        <w:t>CLÁUSULA DÉCIMA QUARTA: DOS RECURSOS ORÇAMENTÁRIOS</w:t>
      </w:r>
    </w:p>
    <w:p w14:paraId="067857B5">
      <w:pPr>
        <w:spacing w:line="288" w:lineRule="auto"/>
        <w:contextualSpacing/>
        <w:jc w:val="both"/>
        <w:rPr>
          <w:rFonts w:eastAsia="Arial"/>
          <w:sz w:val="24"/>
          <w:szCs w:val="24"/>
        </w:rPr>
      </w:pPr>
    </w:p>
    <w:p w14:paraId="51C96F0E">
      <w:pPr>
        <w:spacing w:line="288" w:lineRule="auto"/>
        <w:contextualSpacing/>
        <w:jc w:val="both"/>
        <w:rPr>
          <w:bCs/>
          <w:sz w:val="24"/>
          <w:szCs w:val="24"/>
        </w:rPr>
      </w:pPr>
      <w:r>
        <w:rPr>
          <w:rFonts w:eastAsia="Arial"/>
          <w:sz w:val="24"/>
          <w:szCs w:val="24"/>
        </w:rPr>
        <w:t xml:space="preserve">14.1 Os recursos necessários para as contratações decorrentes desta Ata de Registro de Preços correrão por conta da Natureza da Despesa e do Programa de Trabalho próprios do </w:t>
      </w:r>
      <w:r>
        <w:rPr>
          <w:bCs/>
          <w:sz w:val="24"/>
          <w:szCs w:val="24"/>
        </w:rPr>
        <w:t>gerenciador, dos participantes e dos não-participantes.</w:t>
      </w:r>
    </w:p>
    <w:p w14:paraId="37B63DAF">
      <w:pPr>
        <w:spacing w:line="288" w:lineRule="auto"/>
        <w:contextualSpacing/>
        <w:jc w:val="both"/>
        <w:rPr>
          <w:b/>
          <w:sz w:val="24"/>
          <w:szCs w:val="24"/>
          <w:highlight w:val="yellow"/>
        </w:rPr>
      </w:pPr>
    </w:p>
    <w:p w14:paraId="656934FE">
      <w:pPr>
        <w:spacing w:line="288" w:lineRule="auto"/>
        <w:contextualSpacing/>
        <w:jc w:val="both"/>
        <w:rPr>
          <w:b/>
          <w:sz w:val="24"/>
          <w:szCs w:val="24"/>
        </w:rPr>
      </w:pPr>
      <w:r>
        <w:rPr>
          <w:b/>
          <w:sz w:val="24"/>
          <w:szCs w:val="24"/>
        </w:rPr>
        <w:t>CLÁUSULA DÉCIMA QUINTA:</w:t>
      </w:r>
      <w:r>
        <w:rPr>
          <w:rFonts w:eastAsia="Arial"/>
          <w:b/>
          <w:sz w:val="24"/>
          <w:szCs w:val="24"/>
        </w:rPr>
        <w:t xml:space="preserve"> </w:t>
      </w:r>
      <w:r>
        <w:rPr>
          <w:b/>
          <w:sz w:val="24"/>
          <w:szCs w:val="24"/>
        </w:rPr>
        <w:t>DO FORO DE ELEIÇÃO</w:t>
      </w:r>
    </w:p>
    <w:p w14:paraId="1022ECFC">
      <w:pPr>
        <w:spacing w:line="288" w:lineRule="auto"/>
        <w:contextualSpacing/>
        <w:jc w:val="both"/>
        <w:rPr>
          <w:sz w:val="24"/>
          <w:szCs w:val="24"/>
        </w:rPr>
      </w:pPr>
    </w:p>
    <w:p w14:paraId="26EA4AED">
      <w:pPr>
        <w:spacing w:line="288" w:lineRule="auto"/>
        <w:contextualSpacing/>
        <w:jc w:val="both"/>
        <w:rPr>
          <w:sz w:val="24"/>
          <w:szCs w:val="24"/>
        </w:rPr>
      </w:pPr>
      <w:r>
        <w:rPr>
          <w:sz w:val="24"/>
          <w:szCs w:val="24"/>
        </w:rPr>
        <w:t xml:space="preserve">15.1 Fica eleito o Foro da Comarca de Valença RJ para dirimir qualquer litígio decorrente da presente Ata de Registro de Preços que não possa ser resolvido por meio amigável, com expressa renúncia a qualquer outro, por mais privilegiado que seja. </w:t>
      </w:r>
    </w:p>
    <w:p w14:paraId="0549359A">
      <w:pPr>
        <w:widowControl w:val="0"/>
        <w:autoSpaceDE w:val="0"/>
        <w:autoSpaceDN w:val="0"/>
        <w:adjustRightInd w:val="0"/>
        <w:spacing w:before="120" w:after="120" w:line="288" w:lineRule="auto"/>
        <w:contextualSpacing/>
        <w:jc w:val="both"/>
        <w:rPr>
          <w:sz w:val="24"/>
          <w:szCs w:val="24"/>
        </w:rPr>
      </w:pPr>
    </w:p>
    <w:p w14:paraId="6499FDB4">
      <w:pPr>
        <w:widowControl w:val="0"/>
        <w:autoSpaceDE w:val="0"/>
        <w:autoSpaceDN w:val="0"/>
        <w:adjustRightInd w:val="0"/>
        <w:spacing w:before="120" w:after="120" w:line="288" w:lineRule="auto"/>
        <w:contextualSpacing/>
        <w:jc w:val="both"/>
        <w:rPr>
          <w:i/>
          <w:iCs/>
          <w:color w:val="FF0000"/>
          <w:sz w:val="24"/>
          <w:szCs w:val="24"/>
        </w:rPr>
      </w:pPr>
      <w:r>
        <w:rPr>
          <w:sz w:val="24"/>
          <w:szCs w:val="24"/>
        </w:rPr>
        <w:t xml:space="preserve">Para firmeza e validade do pactuado, a presente Ata foi lavrada em 02 (duas) vias de igual teor, que, depois de lida e achada em ordem, vai assinada pelas partes e encaminhada cópia aos demais órgãos participantes. </w:t>
      </w:r>
    </w:p>
    <w:p w14:paraId="02A6DB67">
      <w:pPr>
        <w:spacing w:line="288" w:lineRule="auto"/>
        <w:contextualSpacing/>
        <w:jc w:val="both"/>
        <w:rPr>
          <w:sz w:val="24"/>
          <w:szCs w:val="24"/>
        </w:rPr>
      </w:pPr>
    </w:p>
    <w:p w14:paraId="563BBF4E">
      <w:pPr>
        <w:spacing w:line="288" w:lineRule="auto"/>
        <w:contextualSpacing/>
        <w:jc w:val="both"/>
        <w:rPr>
          <w:sz w:val="24"/>
          <w:szCs w:val="24"/>
        </w:rPr>
      </w:pPr>
    </w:p>
    <w:p w14:paraId="4D26F8B7">
      <w:pPr>
        <w:pStyle w:val="83"/>
        <w:spacing w:before="0" w:after="0" w:line="288" w:lineRule="auto"/>
        <w:ind w:left="0" w:firstLine="567"/>
        <w:contextualSpacing/>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Valença, xxx de xxx de 2025</w:t>
      </w:r>
    </w:p>
    <w:p w14:paraId="6B206C1B">
      <w:pPr>
        <w:pStyle w:val="83"/>
        <w:spacing w:before="0" w:after="0" w:line="288" w:lineRule="auto"/>
        <w:ind w:left="0" w:firstLine="567"/>
        <w:contextualSpacing/>
        <w:jc w:val="center"/>
        <w:rPr>
          <w:rFonts w:ascii="Times New Roman" w:hAnsi="Times New Roman" w:cs="Times New Roman"/>
          <w:color w:val="FF0000"/>
          <w:sz w:val="24"/>
          <w:szCs w:val="24"/>
        </w:rPr>
      </w:pPr>
    </w:p>
    <w:p w14:paraId="55E029AA">
      <w:pPr>
        <w:pStyle w:val="83"/>
        <w:spacing w:before="0" w:after="0" w:line="288" w:lineRule="auto"/>
        <w:ind w:left="0" w:firstLine="567"/>
        <w:contextualSpacing/>
        <w:jc w:val="center"/>
        <w:rPr>
          <w:rFonts w:ascii="Times New Roman" w:hAnsi="Times New Roman" w:cs="Times New Roman"/>
          <w:color w:val="auto"/>
          <w:sz w:val="24"/>
          <w:szCs w:val="24"/>
        </w:rPr>
      </w:pPr>
    </w:p>
    <w:p w14:paraId="13AB414B">
      <w:pPr>
        <w:spacing w:line="288" w:lineRule="auto"/>
        <w:ind w:firstLine="567"/>
        <w:contextualSpacing/>
        <w:jc w:val="center"/>
        <w:rPr>
          <w:bCs/>
          <w:sz w:val="24"/>
          <w:szCs w:val="24"/>
        </w:rPr>
      </w:pPr>
      <w:r>
        <w:rPr>
          <w:bCs/>
          <w:sz w:val="24"/>
          <w:szCs w:val="24"/>
        </w:rPr>
        <w:t>_________________________</w:t>
      </w:r>
    </w:p>
    <w:p w14:paraId="2BF48841">
      <w:pPr>
        <w:spacing w:line="288" w:lineRule="auto"/>
        <w:ind w:firstLine="567"/>
        <w:contextualSpacing/>
        <w:jc w:val="center"/>
        <w:rPr>
          <w:sz w:val="24"/>
          <w:szCs w:val="24"/>
        </w:rPr>
      </w:pPr>
      <w:r>
        <w:rPr>
          <w:sz w:val="24"/>
          <w:szCs w:val="24"/>
        </w:rPr>
        <w:t>Renata Andrade Leite</w:t>
      </w:r>
    </w:p>
    <w:p w14:paraId="5F1BED51">
      <w:pPr>
        <w:spacing w:line="288" w:lineRule="auto"/>
        <w:ind w:firstLine="567"/>
        <w:contextualSpacing/>
        <w:jc w:val="center"/>
        <w:rPr>
          <w:bCs/>
          <w:sz w:val="24"/>
          <w:szCs w:val="24"/>
        </w:rPr>
      </w:pPr>
      <w:r>
        <w:rPr>
          <w:sz w:val="24"/>
          <w:szCs w:val="24"/>
        </w:rPr>
        <w:t>Secretária Municipal de Educação</w:t>
      </w:r>
    </w:p>
    <w:p w14:paraId="4D6C361C">
      <w:pPr>
        <w:spacing w:line="288" w:lineRule="auto"/>
        <w:ind w:firstLine="567"/>
        <w:contextualSpacing/>
        <w:jc w:val="center"/>
        <w:rPr>
          <w:bCs/>
          <w:sz w:val="24"/>
          <w:szCs w:val="24"/>
        </w:rPr>
      </w:pPr>
      <w:r>
        <w:rPr>
          <w:bCs/>
          <w:sz w:val="24"/>
          <w:szCs w:val="24"/>
        </w:rPr>
        <w:t>MUNICÍPIO DE VALENÇA</w:t>
      </w:r>
    </w:p>
    <w:p w14:paraId="4B64A969">
      <w:pPr>
        <w:spacing w:line="288" w:lineRule="auto"/>
        <w:ind w:firstLine="567"/>
        <w:contextualSpacing/>
        <w:jc w:val="center"/>
        <w:rPr>
          <w:bCs/>
          <w:sz w:val="24"/>
          <w:szCs w:val="24"/>
        </w:rPr>
      </w:pPr>
    </w:p>
    <w:p w14:paraId="6FC407CB">
      <w:pPr>
        <w:spacing w:line="288" w:lineRule="auto"/>
        <w:ind w:firstLine="567"/>
        <w:contextualSpacing/>
        <w:jc w:val="center"/>
        <w:rPr>
          <w:sz w:val="24"/>
          <w:szCs w:val="24"/>
        </w:rPr>
      </w:pPr>
      <w:r>
        <w:rPr>
          <w:sz w:val="24"/>
          <w:szCs w:val="24"/>
        </w:rPr>
        <w:t>_________________________</w:t>
      </w:r>
    </w:p>
    <w:p w14:paraId="4E6BF11A">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14:paraId="1E0D641D">
      <w:pPr>
        <w:spacing w:line="288" w:lineRule="auto"/>
        <w:contextualSpacing/>
        <w:jc w:val="both"/>
        <w:rPr>
          <w:color w:val="FF0000"/>
          <w:sz w:val="24"/>
          <w:szCs w:val="24"/>
        </w:rPr>
      </w:pPr>
    </w:p>
    <w:p w14:paraId="02C67512">
      <w:pPr>
        <w:spacing w:line="288" w:lineRule="auto"/>
        <w:contextualSpacing/>
        <w:jc w:val="both"/>
        <w:rPr>
          <w:sz w:val="24"/>
          <w:szCs w:val="24"/>
        </w:rPr>
      </w:pPr>
      <w:r>
        <w:rPr>
          <w:sz w:val="24"/>
          <w:szCs w:val="24"/>
        </w:rPr>
        <w:t>TESTEMUNHAS:</w:t>
      </w:r>
    </w:p>
    <w:p w14:paraId="1285E06D">
      <w:pPr>
        <w:spacing w:line="288" w:lineRule="auto"/>
        <w:contextualSpacing/>
        <w:rPr>
          <w:sz w:val="24"/>
          <w:szCs w:val="24"/>
        </w:rPr>
      </w:pPr>
      <w:r>
        <w:rPr>
          <w:sz w:val="24"/>
          <w:szCs w:val="24"/>
        </w:rPr>
        <w:t>1-</w:t>
      </w:r>
    </w:p>
    <w:p w14:paraId="34FF6182">
      <w:pPr>
        <w:spacing w:line="288" w:lineRule="auto"/>
        <w:contextualSpacing/>
        <w:rPr>
          <w:sz w:val="24"/>
          <w:szCs w:val="24"/>
        </w:rPr>
      </w:pPr>
      <w:r>
        <w:rPr>
          <w:sz w:val="24"/>
          <w:szCs w:val="24"/>
        </w:rPr>
        <w:t xml:space="preserve">2- </w:t>
      </w:r>
    </w:p>
    <w:p w14:paraId="444C93A4">
      <w:pPr>
        <w:spacing w:line="360" w:lineRule="auto"/>
        <w:jc w:val="both"/>
        <w:rPr>
          <w:b/>
          <w:sz w:val="24"/>
          <w:szCs w:val="24"/>
        </w:rPr>
      </w:pPr>
    </w:p>
    <w:p w14:paraId="4B60840F">
      <w:pPr>
        <w:spacing w:line="360" w:lineRule="auto"/>
        <w:jc w:val="both"/>
        <w:rPr>
          <w:b/>
          <w:sz w:val="24"/>
          <w:szCs w:val="24"/>
        </w:rPr>
      </w:pPr>
    </w:p>
    <w:p w14:paraId="1AC79313">
      <w:pPr>
        <w:spacing w:line="360" w:lineRule="auto"/>
        <w:jc w:val="both"/>
        <w:rPr>
          <w:b/>
          <w:sz w:val="24"/>
          <w:szCs w:val="24"/>
        </w:rPr>
      </w:pPr>
    </w:p>
    <w:p w14:paraId="498364C1">
      <w:pPr>
        <w:spacing w:line="360" w:lineRule="auto"/>
        <w:jc w:val="both"/>
        <w:rPr>
          <w:b/>
          <w:sz w:val="24"/>
          <w:szCs w:val="24"/>
        </w:rPr>
      </w:pPr>
    </w:p>
    <w:p w14:paraId="48C8C522">
      <w:pPr>
        <w:spacing w:line="360" w:lineRule="auto"/>
        <w:jc w:val="both"/>
        <w:rPr>
          <w:b/>
          <w:sz w:val="24"/>
          <w:szCs w:val="24"/>
        </w:rPr>
      </w:pPr>
      <w:r>
        <w:rPr>
          <w:b/>
          <w:sz w:val="24"/>
          <w:szCs w:val="24"/>
        </w:rPr>
        <w:t xml:space="preserve">Anexos: </w:t>
      </w:r>
    </w:p>
    <w:p w14:paraId="593F78ED">
      <w:pPr>
        <w:spacing w:line="360" w:lineRule="auto"/>
        <w:jc w:val="both"/>
        <w:rPr>
          <w:sz w:val="24"/>
          <w:szCs w:val="24"/>
        </w:rPr>
      </w:pPr>
      <w:r>
        <w:rPr>
          <w:sz w:val="24"/>
          <w:szCs w:val="24"/>
        </w:rPr>
        <w:t>Anexo I – Consolidação das Informações da Ata de Registro de Preços</w:t>
      </w:r>
    </w:p>
    <w:p w14:paraId="730EF230">
      <w:pPr>
        <w:spacing w:line="360" w:lineRule="auto"/>
        <w:jc w:val="both"/>
        <w:rPr>
          <w:sz w:val="24"/>
          <w:szCs w:val="24"/>
        </w:rPr>
      </w:pPr>
      <w:r>
        <w:rPr>
          <w:sz w:val="24"/>
          <w:szCs w:val="24"/>
        </w:rPr>
        <w:t xml:space="preserve">Anexo II – Cadastro de Reserva </w:t>
      </w:r>
    </w:p>
    <w:p w14:paraId="1F6E1054">
      <w:pPr>
        <w:spacing w:line="360" w:lineRule="auto"/>
        <w:jc w:val="both"/>
        <w:rPr>
          <w:b/>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Anexo III – Relação de órgãos/entidades participantes</w:t>
      </w:r>
    </w:p>
    <w:p w14:paraId="11263F70">
      <w:pPr>
        <w:spacing w:line="288" w:lineRule="auto"/>
        <w:contextualSpacing/>
        <w:rPr>
          <w:rFonts w:eastAsia="Calibri"/>
          <w:b/>
          <w:bCs/>
          <w:sz w:val="24"/>
          <w:szCs w:val="24"/>
          <w:lang w:eastAsia="en-US"/>
        </w:rPr>
      </w:pPr>
    </w:p>
    <w:p w14:paraId="0B622CEC">
      <w:pPr>
        <w:spacing w:line="288" w:lineRule="auto"/>
        <w:contextualSpacing/>
        <w:jc w:val="center"/>
        <w:rPr>
          <w:rFonts w:eastAsia="Calibri"/>
          <w:b/>
          <w:bCs/>
          <w:sz w:val="24"/>
          <w:szCs w:val="24"/>
          <w:lang w:eastAsia="en-US"/>
        </w:rPr>
      </w:pPr>
    </w:p>
    <w:p w14:paraId="5DC3F53A">
      <w:pPr>
        <w:spacing w:line="288" w:lineRule="auto"/>
        <w:contextualSpacing/>
        <w:jc w:val="center"/>
        <w:rPr>
          <w:rFonts w:eastAsia="Calibri"/>
          <w:b/>
          <w:bCs/>
          <w:sz w:val="24"/>
          <w:szCs w:val="24"/>
          <w:lang w:eastAsia="en-US"/>
        </w:rPr>
      </w:pPr>
    </w:p>
    <w:p w14:paraId="13C6694F">
      <w:pPr>
        <w:jc w:val="center"/>
        <w:rPr>
          <w:b/>
          <w:sz w:val="24"/>
          <w:szCs w:val="24"/>
          <w:u w:val="single"/>
        </w:rPr>
      </w:pPr>
      <w:r>
        <w:rPr>
          <w:b/>
          <w:sz w:val="24"/>
          <w:szCs w:val="24"/>
          <w:u w:val="single"/>
        </w:rPr>
        <w:t>Anexo I – Consolidação das Informações da Ata de Registro de Preços</w:t>
      </w:r>
    </w:p>
    <w:p w14:paraId="3DC2B039">
      <w:pPr>
        <w:jc w:val="center"/>
        <w:rPr>
          <w:b/>
          <w:sz w:val="24"/>
          <w:szCs w:val="24"/>
          <w:u w:val="single"/>
        </w:rPr>
      </w:pPr>
    </w:p>
    <w:p w14:paraId="70EF6135">
      <w:pPr>
        <w:jc w:val="center"/>
        <w:rPr>
          <w:rFonts w:eastAsia="Arial"/>
          <w:b/>
          <w:sz w:val="24"/>
          <w:szCs w:val="24"/>
        </w:rPr>
      </w:pPr>
    </w:p>
    <w:p w14:paraId="2A711AAD">
      <w:pPr>
        <w:ind w:hanging="426"/>
        <w:rPr>
          <w:rFonts w:eastAsia="Arial"/>
          <w:b/>
          <w:sz w:val="24"/>
          <w:szCs w:val="24"/>
        </w:rPr>
      </w:pPr>
      <w:r>
        <w:rPr>
          <w:rFonts w:eastAsia="Arial"/>
          <w:b/>
          <w:sz w:val="24"/>
          <w:szCs w:val="24"/>
        </w:rPr>
        <w:t>ATA DE REGISTRO DE PREÇOS nº ___/___</w:t>
      </w:r>
    </w:p>
    <w:p w14:paraId="50193264">
      <w:pPr>
        <w:ind w:hanging="426"/>
        <w:rPr>
          <w:rFonts w:eastAsia="Arial"/>
          <w:b/>
          <w:sz w:val="24"/>
          <w:szCs w:val="24"/>
        </w:rPr>
      </w:pPr>
      <w:r>
        <w:rPr>
          <w:rFonts w:eastAsia="Arial"/>
          <w:b/>
          <w:sz w:val="24"/>
          <w:szCs w:val="24"/>
        </w:rPr>
        <w:t>ÓRGÃO GERENCIADOR:</w:t>
      </w:r>
    </w:p>
    <w:p w14:paraId="71AF1478">
      <w:pPr>
        <w:ind w:hanging="426"/>
        <w:rPr>
          <w:rFonts w:eastAsia="Arial"/>
          <w:b/>
          <w:sz w:val="24"/>
          <w:szCs w:val="24"/>
        </w:rPr>
      </w:pPr>
      <w:r>
        <w:rPr>
          <w:rFonts w:eastAsia="Arial"/>
          <w:b/>
          <w:sz w:val="24"/>
          <w:szCs w:val="24"/>
        </w:rPr>
        <w:t>OBJETO:</w:t>
      </w:r>
    </w:p>
    <w:p w14:paraId="64B1403E">
      <w:pPr>
        <w:ind w:hanging="426"/>
        <w:rPr>
          <w:rFonts w:eastAsia="Arial"/>
          <w:b/>
          <w:sz w:val="24"/>
          <w:szCs w:val="24"/>
        </w:rPr>
      </w:pPr>
      <w:r>
        <w:rPr>
          <w:rFonts w:eastAsia="Arial"/>
          <w:b/>
          <w:sz w:val="24"/>
          <w:szCs w:val="24"/>
        </w:rPr>
        <w:t xml:space="preserve">FORNECEDOR: </w:t>
      </w:r>
    </w:p>
    <w:p w14:paraId="7EFA8614">
      <w:pPr>
        <w:ind w:hanging="426"/>
        <w:rPr>
          <w:rFonts w:eastAsia="Arial"/>
          <w:b/>
          <w:sz w:val="24"/>
          <w:szCs w:val="24"/>
        </w:rPr>
      </w:pPr>
    </w:p>
    <w:p w14:paraId="6BF69B42">
      <w:pPr>
        <w:jc w:val="center"/>
        <w:rPr>
          <w:rFonts w:eastAsia="Arial"/>
          <w:b/>
          <w:sz w:val="24"/>
          <w:szCs w:val="24"/>
        </w:rPr>
      </w:pPr>
    </w:p>
    <w:tbl>
      <w:tblPr>
        <w:tblStyle w:val="9"/>
        <w:tblW w:w="9639"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851"/>
        <w:gridCol w:w="1135"/>
        <w:gridCol w:w="2126"/>
        <w:gridCol w:w="1701"/>
        <w:gridCol w:w="1560"/>
        <w:gridCol w:w="1417"/>
      </w:tblGrid>
      <w:tr w14:paraId="4FE4E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6EAF25B0">
            <w:pPr>
              <w:jc w:val="center"/>
              <w:rPr>
                <w:rFonts w:eastAsia="Arial"/>
                <w:b/>
                <w:color w:val="FF0000"/>
                <w:sz w:val="24"/>
                <w:szCs w:val="24"/>
              </w:rPr>
            </w:pPr>
          </w:p>
        </w:tc>
        <w:tc>
          <w:tcPr>
            <w:tcW w:w="851" w:type="dxa"/>
            <w:shd w:val="clear" w:color="auto" w:fill="auto"/>
          </w:tcPr>
          <w:p w14:paraId="5045D4BC">
            <w:pPr>
              <w:jc w:val="center"/>
              <w:rPr>
                <w:rFonts w:eastAsia="Arial"/>
                <w:b/>
                <w:sz w:val="24"/>
                <w:szCs w:val="24"/>
              </w:rPr>
            </w:pPr>
            <w:r>
              <w:rPr>
                <w:rFonts w:eastAsia="Arial"/>
                <w:b/>
                <w:sz w:val="24"/>
                <w:szCs w:val="24"/>
              </w:rPr>
              <w:t>ITEM</w:t>
            </w:r>
          </w:p>
          <w:p w14:paraId="21FF1D9F">
            <w:pPr>
              <w:jc w:val="center"/>
              <w:rPr>
                <w:rFonts w:eastAsia="Arial"/>
                <w:b/>
                <w:sz w:val="24"/>
                <w:szCs w:val="24"/>
              </w:rPr>
            </w:pPr>
          </w:p>
        </w:tc>
        <w:tc>
          <w:tcPr>
            <w:tcW w:w="1134" w:type="dxa"/>
            <w:shd w:val="clear" w:color="auto" w:fill="auto"/>
          </w:tcPr>
          <w:p w14:paraId="532010C3">
            <w:pPr>
              <w:jc w:val="center"/>
              <w:rPr>
                <w:rFonts w:eastAsia="Arial"/>
                <w:b/>
                <w:sz w:val="24"/>
                <w:szCs w:val="24"/>
              </w:rPr>
            </w:pPr>
            <w:r>
              <w:rPr>
                <w:rFonts w:eastAsia="Arial"/>
                <w:b/>
                <w:sz w:val="24"/>
                <w:szCs w:val="24"/>
              </w:rPr>
              <w:t>CÓD.</w:t>
            </w:r>
          </w:p>
          <w:p w14:paraId="102FE4EE">
            <w:pPr>
              <w:jc w:val="center"/>
              <w:rPr>
                <w:rFonts w:eastAsia="Arial"/>
                <w:b/>
                <w:sz w:val="24"/>
                <w:szCs w:val="24"/>
              </w:rPr>
            </w:pPr>
            <w:r>
              <w:rPr>
                <w:rFonts w:eastAsia="Arial"/>
                <w:b/>
                <w:sz w:val="24"/>
                <w:szCs w:val="24"/>
              </w:rPr>
              <w:t>ID SIGA</w:t>
            </w:r>
          </w:p>
        </w:tc>
        <w:tc>
          <w:tcPr>
            <w:tcW w:w="2126" w:type="dxa"/>
            <w:shd w:val="clear" w:color="auto" w:fill="auto"/>
          </w:tcPr>
          <w:p w14:paraId="186E3B01">
            <w:pPr>
              <w:jc w:val="center"/>
              <w:rPr>
                <w:rFonts w:eastAsia="Arial"/>
                <w:b/>
                <w:sz w:val="24"/>
                <w:szCs w:val="24"/>
              </w:rPr>
            </w:pPr>
            <w:r>
              <w:rPr>
                <w:rFonts w:eastAsia="Arial"/>
                <w:b/>
                <w:sz w:val="24"/>
                <w:szCs w:val="24"/>
              </w:rPr>
              <w:t>DESCRIÇÃO/</w:t>
            </w:r>
          </w:p>
          <w:p w14:paraId="57DA6636">
            <w:pPr>
              <w:jc w:val="center"/>
              <w:rPr>
                <w:rFonts w:eastAsia="Arial"/>
                <w:b/>
                <w:sz w:val="24"/>
                <w:szCs w:val="24"/>
              </w:rPr>
            </w:pPr>
            <w:r>
              <w:rPr>
                <w:rFonts w:eastAsia="Arial"/>
                <w:b/>
                <w:sz w:val="24"/>
                <w:szCs w:val="24"/>
              </w:rPr>
              <w:t>ESPECIFICAÇÃO</w:t>
            </w:r>
          </w:p>
        </w:tc>
        <w:tc>
          <w:tcPr>
            <w:tcW w:w="1701" w:type="dxa"/>
            <w:shd w:val="clear" w:color="auto" w:fill="auto"/>
          </w:tcPr>
          <w:p w14:paraId="708FFF14">
            <w:pPr>
              <w:spacing w:line="288" w:lineRule="auto"/>
              <w:jc w:val="center"/>
              <w:rPr>
                <w:rFonts w:eastAsia="Arial"/>
                <w:b/>
                <w:sz w:val="24"/>
                <w:szCs w:val="24"/>
              </w:rPr>
            </w:pPr>
            <w:r>
              <w:rPr>
                <w:rFonts w:eastAsia="Arial"/>
                <w:b/>
                <w:sz w:val="24"/>
                <w:szCs w:val="24"/>
              </w:rPr>
              <w:t>QUANTIDADE TOTAL REGISTRADA</w:t>
            </w:r>
          </w:p>
          <w:p w14:paraId="5F399DD2">
            <w:pPr>
              <w:jc w:val="center"/>
              <w:rPr>
                <w:rFonts w:eastAsia="Arial"/>
                <w:b/>
                <w:sz w:val="24"/>
                <w:szCs w:val="24"/>
              </w:rPr>
            </w:pPr>
          </w:p>
        </w:tc>
        <w:tc>
          <w:tcPr>
            <w:tcW w:w="1560" w:type="dxa"/>
            <w:shd w:val="clear" w:color="auto" w:fill="auto"/>
          </w:tcPr>
          <w:p w14:paraId="40686F5C">
            <w:pPr>
              <w:spacing w:line="288" w:lineRule="auto"/>
              <w:jc w:val="center"/>
              <w:rPr>
                <w:rFonts w:eastAsia="Arial"/>
                <w:b/>
                <w:sz w:val="24"/>
                <w:szCs w:val="24"/>
              </w:rPr>
            </w:pPr>
            <w:r>
              <w:rPr>
                <w:rFonts w:eastAsia="Arial"/>
                <w:b/>
                <w:sz w:val="24"/>
                <w:szCs w:val="24"/>
              </w:rPr>
              <w:t>UNIDADE DE MEDIDA</w:t>
            </w:r>
          </w:p>
          <w:p w14:paraId="0184EFBF">
            <w:pPr>
              <w:spacing w:line="288" w:lineRule="auto"/>
              <w:jc w:val="center"/>
              <w:rPr>
                <w:rFonts w:eastAsia="Arial"/>
                <w:b/>
                <w:color w:val="FF0000"/>
                <w:sz w:val="24"/>
                <w:szCs w:val="24"/>
              </w:rPr>
            </w:pPr>
            <w:r>
              <w:rPr>
                <w:rFonts w:eastAsia="Arial"/>
                <w:b/>
                <w:color w:val="FF0000"/>
                <w:sz w:val="24"/>
                <w:szCs w:val="24"/>
              </w:rPr>
              <w:t>(ex.: m</w:t>
            </w:r>
            <w:r>
              <w:rPr>
                <w:rFonts w:eastAsia="Arial"/>
                <w:b/>
                <w:color w:val="FF0000"/>
                <w:sz w:val="24"/>
                <w:szCs w:val="24"/>
                <w:vertAlign w:val="superscript"/>
              </w:rPr>
              <w:t>2</w:t>
            </w:r>
            <w:r>
              <w:rPr>
                <w:rFonts w:eastAsia="Arial"/>
                <w:b/>
                <w:color w:val="FF0000"/>
                <w:sz w:val="24"/>
                <w:szCs w:val="24"/>
              </w:rPr>
              <w:t>, item, litros, kg, pacote etc.)</w:t>
            </w:r>
          </w:p>
          <w:p w14:paraId="63EE2543">
            <w:pPr>
              <w:jc w:val="center"/>
              <w:rPr>
                <w:rFonts w:eastAsia="Arial"/>
                <w:b/>
                <w:sz w:val="24"/>
                <w:szCs w:val="24"/>
              </w:rPr>
            </w:pPr>
          </w:p>
        </w:tc>
        <w:tc>
          <w:tcPr>
            <w:tcW w:w="1417" w:type="dxa"/>
            <w:shd w:val="clear" w:color="auto" w:fill="auto"/>
          </w:tcPr>
          <w:p w14:paraId="421861FE">
            <w:pPr>
              <w:spacing w:line="288" w:lineRule="auto"/>
              <w:jc w:val="center"/>
              <w:rPr>
                <w:rFonts w:eastAsia="Arial"/>
                <w:b/>
                <w:sz w:val="24"/>
                <w:szCs w:val="24"/>
              </w:rPr>
            </w:pPr>
            <w:r>
              <w:rPr>
                <w:rFonts w:eastAsia="Arial"/>
                <w:b/>
                <w:sz w:val="24"/>
                <w:szCs w:val="24"/>
              </w:rPr>
              <w:t>PREÇO UNITÁRIO</w:t>
            </w:r>
          </w:p>
          <w:p w14:paraId="3C742CBC">
            <w:pPr>
              <w:jc w:val="center"/>
              <w:rPr>
                <w:rFonts w:eastAsia="Arial"/>
                <w:b/>
                <w:sz w:val="24"/>
                <w:szCs w:val="24"/>
              </w:rPr>
            </w:pPr>
          </w:p>
        </w:tc>
      </w:tr>
      <w:tr w14:paraId="24756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1C2BB172">
            <w:pPr>
              <w:jc w:val="center"/>
              <w:rPr>
                <w:rFonts w:eastAsia="Arial"/>
                <w:b/>
                <w:sz w:val="24"/>
                <w:szCs w:val="24"/>
              </w:rPr>
            </w:pPr>
          </w:p>
        </w:tc>
        <w:tc>
          <w:tcPr>
            <w:tcW w:w="851" w:type="dxa"/>
            <w:shd w:val="clear" w:color="auto" w:fill="auto"/>
          </w:tcPr>
          <w:p w14:paraId="53432660">
            <w:pPr>
              <w:jc w:val="center"/>
              <w:rPr>
                <w:rFonts w:eastAsia="Arial"/>
                <w:b/>
                <w:sz w:val="24"/>
                <w:szCs w:val="24"/>
              </w:rPr>
            </w:pPr>
          </w:p>
        </w:tc>
        <w:tc>
          <w:tcPr>
            <w:tcW w:w="1135" w:type="dxa"/>
            <w:shd w:val="clear" w:color="auto" w:fill="auto"/>
          </w:tcPr>
          <w:p w14:paraId="5224010C">
            <w:pPr>
              <w:jc w:val="center"/>
              <w:rPr>
                <w:rFonts w:eastAsia="Arial"/>
                <w:b/>
                <w:sz w:val="24"/>
                <w:szCs w:val="24"/>
              </w:rPr>
            </w:pPr>
          </w:p>
        </w:tc>
        <w:tc>
          <w:tcPr>
            <w:tcW w:w="2125" w:type="dxa"/>
            <w:shd w:val="clear" w:color="auto" w:fill="auto"/>
          </w:tcPr>
          <w:p w14:paraId="4A4910D6">
            <w:pPr>
              <w:jc w:val="center"/>
              <w:rPr>
                <w:rFonts w:eastAsia="Arial"/>
                <w:b/>
                <w:sz w:val="24"/>
                <w:szCs w:val="24"/>
              </w:rPr>
            </w:pPr>
          </w:p>
        </w:tc>
        <w:tc>
          <w:tcPr>
            <w:tcW w:w="1701" w:type="dxa"/>
            <w:shd w:val="clear" w:color="auto" w:fill="auto"/>
          </w:tcPr>
          <w:p w14:paraId="7017B5A9">
            <w:pPr>
              <w:spacing w:line="288" w:lineRule="auto"/>
              <w:jc w:val="center"/>
              <w:rPr>
                <w:rFonts w:eastAsia="Arial"/>
                <w:b/>
                <w:sz w:val="24"/>
                <w:szCs w:val="24"/>
              </w:rPr>
            </w:pPr>
          </w:p>
        </w:tc>
        <w:tc>
          <w:tcPr>
            <w:tcW w:w="1560" w:type="dxa"/>
            <w:shd w:val="clear" w:color="auto" w:fill="auto"/>
          </w:tcPr>
          <w:p w14:paraId="58A0FF04">
            <w:pPr>
              <w:spacing w:line="288" w:lineRule="auto"/>
              <w:jc w:val="center"/>
              <w:rPr>
                <w:rFonts w:eastAsia="Arial"/>
                <w:b/>
                <w:sz w:val="24"/>
                <w:szCs w:val="24"/>
              </w:rPr>
            </w:pPr>
          </w:p>
        </w:tc>
        <w:tc>
          <w:tcPr>
            <w:tcW w:w="1417" w:type="dxa"/>
            <w:shd w:val="clear" w:color="auto" w:fill="auto"/>
          </w:tcPr>
          <w:p w14:paraId="33642893">
            <w:pPr>
              <w:spacing w:line="288" w:lineRule="auto"/>
              <w:jc w:val="center"/>
              <w:rPr>
                <w:rFonts w:eastAsia="Arial"/>
                <w:b/>
                <w:sz w:val="24"/>
                <w:szCs w:val="24"/>
              </w:rPr>
            </w:pPr>
          </w:p>
        </w:tc>
      </w:tr>
      <w:tr w14:paraId="4131A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47F15A15">
            <w:pPr>
              <w:jc w:val="center"/>
              <w:rPr>
                <w:rFonts w:eastAsia="Arial"/>
                <w:b/>
                <w:sz w:val="24"/>
                <w:szCs w:val="24"/>
              </w:rPr>
            </w:pPr>
          </w:p>
        </w:tc>
        <w:tc>
          <w:tcPr>
            <w:tcW w:w="851" w:type="dxa"/>
            <w:shd w:val="clear" w:color="auto" w:fill="auto"/>
          </w:tcPr>
          <w:p w14:paraId="1119B48B">
            <w:pPr>
              <w:jc w:val="center"/>
              <w:rPr>
                <w:rFonts w:eastAsia="Arial"/>
                <w:b/>
                <w:sz w:val="24"/>
                <w:szCs w:val="24"/>
              </w:rPr>
            </w:pPr>
          </w:p>
        </w:tc>
        <w:tc>
          <w:tcPr>
            <w:tcW w:w="1135" w:type="dxa"/>
            <w:shd w:val="clear" w:color="auto" w:fill="auto"/>
          </w:tcPr>
          <w:p w14:paraId="222FF4F7">
            <w:pPr>
              <w:jc w:val="center"/>
              <w:rPr>
                <w:rFonts w:eastAsia="Arial"/>
                <w:b/>
                <w:sz w:val="24"/>
                <w:szCs w:val="24"/>
              </w:rPr>
            </w:pPr>
          </w:p>
        </w:tc>
        <w:tc>
          <w:tcPr>
            <w:tcW w:w="2125" w:type="dxa"/>
            <w:shd w:val="clear" w:color="auto" w:fill="auto"/>
          </w:tcPr>
          <w:p w14:paraId="24D5719D">
            <w:pPr>
              <w:jc w:val="center"/>
              <w:rPr>
                <w:rFonts w:eastAsia="Arial"/>
                <w:b/>
                <w:sz w:val="24"/>
                <w:szCs w:val="24"/>
              </w:rPr>
            </w:pPr>
          </w:p>
        </w:tc>
        <w:tc>
          <w:tcPr>
            <w:tcW w:w="1701" w:type="dxa"/>
            <w:shd w:val="clear" w:color="auto" w:fill="auto"/>
          </w:tcPr>
          <w:p w14:paraId="2B744B42">
            <w:pPr>
              <w:spacing w:line="288" w:lineRule="auto"/>
              <w:jc w:val="center"/>
              <w:rPr>
                <w:rFonts w:eastAsia="Arial"/>
                <w:b/>
                <w:sz w:val="24"/>
                <w:szCs w:val="24"/>
              </w:rPr>
            </w:pPr>
          </w:p>
        </w:tc>
        <w:tc>
          <w:tcPr>
            <w:tcW w:w="1560" w:type="dxa"/>
            <w:shd w:val="clear" w:color="auto" w:fill="auto"/>
          </w:tcPr>
          <w:p w14:paraId="2777F7CC">
            <w:pPr>
              <w:spacing w:line="288" w:lineRule="auto"/>
              <w:jc w:val="center"/>
              <w:rPr>
                <w:rFonts w:eastAsia="Arial"/>
                <w:b/>
                <w:sz w:val="24"/>
                <w:szCs w:val="24"/>
              </w:rPr>
            </w:pPr>
          </w:p>
        </w:tc>
        <w:tc>
          <w:tcPr>
            <w:tcW w:w="1417" w:type="dxa"/>
            <w:shd w:val="clear" w:color="auto" w:fill="auto"/>
          </w:tcPr>
          <w:p w14:paraId="406A1843">
            <w:pPr>
              <w:spacing w:line="288" w:lineRule="auto"/>
              <w:jc w:val="center"/>
              <w:rPr>
                <w:rFonts w:eastAsia="Arial"/>
                <w:b/>
                <w:sz w:val="24"/>
                <w:szCs w:val="24"/>
              </w:rPr>
            </w:pPr>
          </w:p>
        </w:tc>
      </w:tr>
      <w:tr w14:paraId="3C693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28527619">
            <w:pPr>
              <w:jc w:val="center"/>
              <w:rPr>
                <w:rFonts w:eastAsia="Arial"/>
                <w:b/>
                <w:sz w:val="24"/>
                <w:szCs w:val="24"/>
              </w:rPr>
            </w:pPr>
          </w:p>
        </w:tc>
        <w:tc>
          <w:tcPr>
            <w:tcW w:w="851" w:type="dxa"/>
            <w:shd w:val="clear" w:color="auto" w:fill="auto"/>
          </w:tcPr>
          <w:p w14:paraId="7E896E9A">
            <w:pPr>
              <w:jc w:val="center"/>
              <w:rPr>
                <w:rFonts w:eastAsia="Arial"/>
                <w:b/>
                <w:sz w:val="24"/>
                <w:szCs w:val="24"/>
              </w:rPr>
            </w:pPr>
          </w:p>
        </w:tc>
        <w:tc>
          <w:tcPr>
            <w:tcW w:w="1135" w:type="dxa"/>
            <w:shd w:val="clear" w:color="auto" w:fill="auto"/>
          </w:tcPr>
          <w:p w14:paraId="7964FBC2">
            <w:pPr>
              <w:jc w:val="center"/>
              <w:rPr>
                <w:rFonts w:eastAsia="Arial"/>
                <w:b/>
                <w:sz w:val="24"/>
                <w:szCs w:val="24"/>
              </w:rPr>
            </w:pPr>
          </w:p>
        </w:tc>
        <w:tc>
          <w:tcPr>
            <w:tcW w:w="2125" w:type="dxa"/>
            <w:shd w:val="clear" w:color="auto" w:fill="auto"/>
          </w:tcPr>
          <w:p w14:paraId="321B3E62">
            <w:pPr>
              <w:jc w:val="center"/>
              <w:rPr>
                <w:rFonts w:eastAsia="Arial"/>
                <w:b/>
                <w:sz w:val="24"/>
                <w:szCs w:val="24"/>
              </w:rPr>
            </w:pPr>
          </w:p>
        </w:tc>
        <w:tc>
          <w:tcPr>
            <w:tcW w:w="1701" w:type="dxa"/>
            <w:shd w:val="clear" w:color="auto" w:fill="auto"/>
          </w:tcPr>
          <w:p w14:paraId="5A3507A6">
            <w:pPr>
              <w:spacing w:line="288" w:lineRule="auto"/>
              <w:jc w:val="center"/>
              <w:rPr>
                <w:rFonts w:eastAsia="Arial"/>
                <w:b/>
                <w:sz w:val="24"/>
                <w:szCs w:val="24"/>
              </w:rPr>
            </w:pPr>
          </w:p>
        </w:tc>
        <w:tc>
          <w:tcPr>
            <w:tcW w:w="1560" w:type="dxa"/>
            <w:shd w:val="clear" w:color="auto" w:fill="auto"/>
          </w:tcPr>
          <w:p w14:paraId="3F73412C">
            <w:pPr>
              <w:spacing w:line="288" w:lineRule="auto"/>
              <w:jc w:val="center"/>
              <w:rPr>
                <w:rFonts w:eastAsia="Arial"/>
                <w:b/>
                <w:sz w:val="24"/>
                <w:szCs w:val="24"/>
              </w:rPr>
            </w:pPr>
          </w:p>
        </w:tc>
        <w:tc>
          <w:tcPr>
            <w:tcW w:w="1417" w:type="dxa"/>
            <w:shd w:val="clear" w:color="auto" w:fill="auto"/>
          </w:tcPr>
          <w:p w14:paraId="439814F8">
            <w:pPr>
              <w:spacing w:line="288" w:lineRule="auto"/>
              <w:jc w:val="center"/>
              <w:rPr>
                <w:rFonts w:eastAsia="Arial"/>
                <w:b/>
                <w:sz w:val="24"/>
                <w:szCs w:val="24"/>
              </w:rPr>
            </w:pPr>
          </w:p>
        </w:tc>
      </w:tr>
    </w:tbl>
    <w:p w14:paraId="123E2612">
      <w:pPr>
        <w:rPr>
          <w:b/>
          <w:sz w:val="24"/>
          <w:szCs w:val="24"/>
          <w:u w:val="single"/>
        </w:rPr>
      </w:pPr>
    </w:p>
    <w:p w14:paraId="15FC7785">
      <w:pPr>
        <w:jc w:val="center"/>
        <w:rPr>
          <w:b/>
          <w:sz w:val="24"/>
          <w:szCs w:val="24"/>
          <w:u w:val="single"/>
        </w:rPr>
      </w:pPr>
    </w:p>
    <w:p w14:paraId="1181E57D">
      <w:pPr>
        <w:jc w:val="center"/>
        <w:rPr>
          <w:b/>
          <w:sz w:val="24"/>
          <w:szCs w:val="24"/>
          <w:u w:val="single"/>
        </w:rPr>
      </w:pPr>
    </w:p>
    <w:p w14:paraId="3F4D9A6B">
      <w:pPr>
        <w:jc w:val="center"/>
        <w:rPr>
          <w:b/>
          <w:sz w:val="24"/>
          <w:szCs w:val="24"/>
          <w:u w:val="single"/>
        </w:rPr>
      </w:pPr>
      <w:r>
        <w:rPr>
          <w:b/>
          <w:sz w:val="24"/>
          <w:szCs w:val="24"/>
          <w:u w:val="single"/>
        </w:rPr>
        <w:t>Anexo II – Cadastro de Reserva</w:t>
      </w:r>
    </w:p>
    <w:p w14:paraId="1F29C294">
      <w:pPr>
        <w:rPr>
          <w:rFonts w:eastAsia="Arial"/>
          <w:b/>
          <w:sz w:val="24"/>
          <w:szCs w:val="24"/>
        </w:rPr>
      </w:pPr>
    </w:p>
    <w:p w14:paraId="201A7B17">
      <w:pPr>
        <w:rPr>
          <w:rFonts w:eastAsia="Arial"/>
          <w:b/>
          <w:sz w:val="24"/>
          <w:szCs w:val="24"/>
        </w:rPr>
      </w:pPr>
      <w:r>
        <w:rPr>
          <w:rFonts w:eastAsia="Arial"/>
          <w:b/>
          <w:sz w:val="24"/>
          <w:szCs w:val="24"/>
        </w:rPr>
        <w:t>ATA DE REGISTRO DE PREÇOS nº ___/202</w:t>
      </w:r>
      <w:r>
        <w:rPr>
          <w:rFonts w:eastAsia="Arial"/>
          <w:b/>
          <w:color w:val="FF0000"/>
          <w:sz w:val="24"/>
          <w:szCs w:val="24"/>
        </w:rPr>
        <w:t>...._</w:t>
      </w:r>
      <w:r>
        <w:rPr>
          <w:rFonts w:eastAsia="Arial"/>
          <w:b/>
          <w:sz w:val="24"/>
          <w:szCs w:val="24"/>
        </w:rPr>
        <w:t>__</w:t>
      </w:r>
    </w:p>
    <w:p w14:paraId="32F0D43C">
      <w:pPr>
        <w:rPr>
          <w:rFonts w:eastAsia="Arial"/>
          <w:b/>
          <w:sz w:val="24"/>
          <w:szCs w:val="24"/>
        </w:rPr>
      </w:pPr>
      <w:r>
        <w:rPr>
          <w:rFonts w:eastAsia="Arial"/>
          <w:b/>
          <w:sz w:val="24"/>
          <w:szCs w:val="24"/>
        </w:rPr>
        <w:t>ÓRGÃO GERENCIADOR:</w:t>
      </w:r>
    </w:p>
    <w:p w14:paraId="5C0AC215">
      <w:pPr>
        <w:rPr>
          <w:rFonts w:eastAsia="Arial"/>
          <w:b/>
          <w:sz w:val="24"/>
          <w:szCs w:val="24"/>
        </w:rPr>
      </w:pPr>
      <w:r>
        <w:rPr>
          <w:rFonts w:eastAsia="Arial"/>
          <w:b/>
          <w:sz w:val="24"/>
          <w:szCs w:val="24"/>
        </w:rPr>
        <w:t>OBJETO:</w:t>
      </w:r>
    </w:p>
    <w:p w14:paraId="23C499FD">
      <w:pPr>
        <w:rPr>
          <w:rFonts w:eastAsia="Arial"/>
          <w:b/>
          <w:sz w:val="24"/>
          <w:szCs w:val="24"/>
        </w:rPr>
      </w:pPr>
    </w:p>
    <w:p w14:paraId="48544A23">
      <w:pPr>
        <w:jc w:val="both"/>
        <w:rPr>
          <w:rFonts w:eastAsia="Arial"/>
          <w:b/>
          <w:sz w:val="24"/>
          <w:szCs w:val="24"/>
        </w:rPr>
      </w:pPr>
      <w:r>
        <w:rPr>
          <w:rFonts w:eastAsia="Arial"/>
          <w:b/>
          <w:sz w:val="24"/>
          <w:szCs w:val="24"/>
        </w:rPr>
        <w:t xml:space="preserve">FORNECEDOR nº1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64AD08A3">
      <w:pPr>
        <w:rPr>
          <w:rFonts w:eastAsia="Arial"/>
          <w:b/>
          <w:sz w:val="24"/>
          <w:szCs w:val="24"/>
        </w:rPr>
      </w:pPr>
    </w:p>
    <w:p w14:paraId="5D3152F1">
      <w:pPr>
        <w:rPr>
          <w:rFonts w:eastAsia="Arial"/>
          <w:b/>
          <w:sz w:val="24"/>
          <w:szCs w:val="24"/>
        </w:rPr>
      </w:pPr>
    </w:p>
    <w:p w14:paraId="4847DFCF">
      <w:pPr>
        <w:jc w:val="both"/>
        <w:rPr>
          <w:rFonts w:eastAsia="Arial"/>
          <w:b/>
          <w:sz w:val="24"/>
          <w:szCs w:val="24"/>
        </w:rPr>
      </w:pPr>
      <w:r>
        <w:rPr>
          <w:rFonts w:eastAsia="Arial"/>
          <w:b/>
          <w:sz w:val="24"/>
          <w:szCs w:val="24"/>
        </w:rPr>
        <w:t xml:space="preserve">FORNECEDOR nº2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0861F67F">
      <w:pPr>
        <w:rPr>
          <w:rFonts w:eastAsia="Arial"/>
          <w:b/>
          <w:sz w:val="24"/>
          <w:szCs w:val="24"/>
        </w:rPr>
      </w:pPr>
    </w:p>
    <w:p w14:paraId="313A2800">
      <w:pPr>
        <w:rPr>
          <w:rFonts w:eastAsia="Arial"/>
          <w:b/>
          <w:sz w:val="24"/>
          <w:szCs w:val="24"/>
        </w:rPr>
      </w:pPr>
    </w:p>
    <w:p w14:paraId="1F1D54E1">
      <w:pPr>
        <w:jc w:val="both"/>
        <w:rPr>
          <w:rFonts w:eastAsia="Arial"/>
          <w:b/>
          <w:sz w:val="24"/>
          <w:szCs w:val="24"/>
        </w:rPr>
      </w:pPr>
      <w:r>
        <w:rPr>
          <w:rFonts w:eastAsia="Arial"/>
          <w:b/>
          <w:sz w:val="24"/>
          <w:szCs w:val="24"/>
        </w:rPr>
        <w:t xml:space="preserve">FORNECEDOR nº3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434DFD27">
      <w:pPr>
        <w:rPr>
          <w:rFonts w:eastAsia="Arial"/>
          <w:b/>
          <w:sz w:val="24"/>
          <w:szCs w:val="24"/>
        </w:rPr>
      </w:pPr>
    </w:p>
    <w:p w14:paraId="72CFD3B2">
      <w:pPr>
        <w:rPr>
          <w:rFonts w:eastAsia="Arial"/>
          <w:b/>
          <w:sz w:val="24"/>
          <w:szCs w:val="24"/>
        </w:rPr>
      </w:pPr>
    </w:p>
    <w:p w14:paraId="21F58A9A">
      <w:pPr>
        <w:spacing w:line="288" w:lineRule="auto"/>
        <w:jc w:val="center"/>
        <w:rPr>
          <w:rFonts w:eastAsia="Arial"/>
          <w:b/>
          <w:sz w:val="24"/>
          <w:szCs w:val="24"/>
        </w:rPr>
      </w:pP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3"/>
        <w:gridCol w:w="4223"/>
      </w:tblGrid>
      <w:tr w14:paraId="69703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4" w:type="dxa"/>
            <w:shd w:val="clear" w:color="auto" w:fill="auto"/>
          </w:tcPr>
          <w:p w14:paraId="63D2E9B8">
            <w:pPr>
              <w:spacing w:line="288" w:lineRule="auto"/>
              <w:jc w:val="center"/>
              <w:rPr>
                <w:rFonts w:eastAsia="Arial"/>
                <w:b/>
                <w:sz w:val="24"/>
                <w:szCs w:val="24"/>
              </w:rPr>
            </w:pPr>
            <w:r>
              <w:rPr>
                <w:rFonts w:eastAsia="Arial"/>
                <w:b/>
                <w:sz w:val="24"/>
                <w:szCs w:val="24"/>
              </w:rPr>
              <w:t>FORNECEDOR</w:t>
            </w:r>
          </w:p>
        </w:tc>
        <w:tc>
          <w:tcPr>
            <w:tcW w:w="7072" w:type="dxa"/>
            <w:shd w:val="clear" w:color="auto" w:fill="auto"/>
          </w:tcPr>
          <w:p w14:paraId="2D5D2564">
            <w:pPr>
              <w:spacing w:line="288" w:lineRule="auto"/>
              <w:jc w:val="center"/>
              <w:rPr>
                <w:rFonts w:eastAsia="Arial"/>
                <w:b/>
                <w:sz w:val="24"/>
                <w:szCs w:val="24"/>
              </w:rPr>
            </w:pPr>
            <w:r>
              <w:rPr>
                <w:rFonts w:eastAsia="Arial"/>
                <w:b/>
                <w:sz w:val="24"/>
                <w:szCs w:val="24"/>
              </w:rPr>
              <w:t>ITEM</w:t>
            </w:r>
          </w:p>
        </w:tc>
      </w:tr>
      <w:tr w14:paraId="600A6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4" w:type="dxa"/>
            <w:shd w:val="clear" w:color="auto" w:fill="auto"/>
          </w:tcPr>
          <w:p w14:paraId="10DD6B86">
            <w:pPr>
              <w:spacing w:line="288" w:lineRule="auto"/>
              <w:jc w:val="center"/>
              <w:rPr>
                <w:rFonts w:eastAsia="Arial"/>
                <w:b/>
                <w:sz w:val="24"/>
                <w:szCs w:val="24"/>
              </w:rPr>
            </w:pPr>
          </w:p>
        </w:tc>
        <w:tc>
          <w:tcPr>
            <w:tcW w:w="7072" w:type="dxa"/>
            <w:shd w:val="clear" w:color="auto" w:fill="auto"/>
          </w:tcPr>
          <w:p w14:paraId="1972B159">
            <w:pPr>
              <w:spacing w:line="288" w:lineRule="auto"/>
              <w:jc w:val="center"/>
              <w:rPr>
                <w:rFonts w:eastAsia="Arial"/>
                <w:b/>
                <w:sz w:val="24"/>
                <w:szCs w:val="24"/>
              </w:rPr>
            </w:pPr>
          </w:p>
        </w:tc>
      </w:tr>
    </w:tbl>
    <w:p w14:paraId="6A013EE6">
      <w:pPr>
        <w:spacing w:line="360" w:lineRule="auto"/>
        <w:jc w:val="center"/>
        <w:rPr>
          <w:b/>
          <w:bCs/>
          <w:color w:val="FF0000"/>
          <w:sz w:val="24"/>
          <w:szCs w:val="24"/>
          <w:u w:val="single"/>
        </w:rPr>
      </w:pPr>
    </w:p>
    <w:p w14:paraId="0B6CB54D">
      <w:pPr>
        <w:pStyle w:val="81"/>
        <w:spacing w:before="0" w:beforeAutospacing="0" w:after="0" w:afterAutospacing="0" w:line="360" w:lineRule="auto"/>
        <w:ind w:right="-1" w:firstLine="993"/>
        <w:rPr>
          <w:rFonts w:eastAsia="Calibri"/>
          <w:b/>
          <w:bCs/>
          <w:lang w:eastAsia="en-US"/>
        </w:rPr>
      </w:pPr>
      <w:r>
        <w:rPr>
          <w:rFonts w:eastAsia="Calibri"/>
          <w:b/>
          <w:bCs/>
          <w:lang w:eastAsia="en-US"/>
        </w:rPr>
        <w:t xml:space="preserve">                                                                                                               </w:t>
      </w:r>
    </w:p>
    <w:p w14:paraId="4EED0ADB">
      <w:pPr>
        <w:pStyle w:val="81"/>
        <w:spacing w:before="0" w:beforeAutospacing="0" w:after="0" w:afterAutospacing="0" w:line="360" w:lineRule="auto"/>
        <w:ind w:right="-1" w:firstLine="993"/>
        <w:rPr>
          <w:rFonts w:eastAsia="Calibri"/>
          <w:b/>
          <w:bCs/>
          <w:lang w:eastAsia="en-US"/>
        </w:rPr>
      </w:pPr>
    </w:p>
    <w:p w14:paraId="330F5726">
      <w:pPr>
        <w:pStyle w:val="81"/>
        <w:spacing w:before="0" w:beforeAutospacing="0" w:after="0" w:afterAutospacing="0" w:line="360" w:lineRule="auto"/>
        <w:ind w:right="-1" w:firstLine="993"/>
        <w:rPr>
          <w:rFonts w:eastAsia="Calibri"/>
          <w:b/>
          <w:bCs/>
          <w:lang w:eastAsia="en-US"/>
        </w:rPr>
      </w:pPr>
    </w:p>
    <w:p w14:paraId="6C4FC310">
      <w:pPr>
        <w:pStyle w:val="81"/>
        <w:spacing w:before="0" w:beforeAutospacing="0" w:after="0" w:afterAutospacing="0" w:line="360" w:lineRule="auto"/>
        <w:ind w:right="-1" w:firstLine="993"/>
        <w:rPr>
          <w:rFonts w:eastAsia="Calibri"/>
          <w:b/>
          <w:bCs/>
          <w:lang w:eastAsia="en-US"/>
        </w:rPr>
      </w:pPr>
      <w:r>
        <w:rPr>
          <w:rFonts w:eastAsia="Calibri"/>
          <w:b/>
          <w:bCs/>
          <w:lang w:eastAsia="en-US"/>
        </w:rPr>
        <w:t xml:space="preserve">                                            ANEXO VII</w:t>
      </w:r>
    </w:p>
    <w:p w14:paraId="556371DF">
      <w:pPr>
        <w:pStyle w:val="81"/>
        <w:spacing w:before="0" w:beforeAutospacing="0" w:after="0" w:afterAutospacing="0" w:line="360" w:lineRule="auto"/>
        <w:ind w:right="-1" w:firstLine="993"/>
        <w:rPr>
          <w:rFonts w:eastAsia="Calibri"/>
          <w:b/>
          <w:bCs/>
          <w:lang w:eastAsia="en-US"/>
        </w:rPr>
      </w:pPr>
    </w:p>
    <w:p w14:paraId="4AFB24E3">
      <w:pPr>
        <w:spacing w:line="288" w:lineRule="auto"/>
        <w:contextualSpacing/>
        <w:jc w:val="center"/>
        <w:rPr>
          <w:b/>
          <w:bCs/>
          <w:sz w:val="24"/>
          <w:szCs w:val="24"/>
          <w:u w:val="single"/>
        </w:rPr>
      </w:pPr>
      <w:r>
        <w:rPr>
          <w:b/>
          <w:bCs/>
          <w:sz w:val="24"/>
          <w:szCs w:val="24"/>
          <w:highlight w:val="yellow"/>
          <w:u w:val="single"/>
        </w:rPr>
        <w:t>MINUTA - CONTRATO</w:t>
      </w:r>
    </w:p>
    <w:p w14:paraId="143557EB">
      <w:pPr>
        <w:spacing w:line="288" w:lineRule="auto"/>
        <w:contextualSpacing/>
        <w:jc w:val="center"/>
        <w:rPr>
          <w:b/>
          <w:bCs/>
          <w:sz w:val="24"/>
          <w:szCs w:val="24"/>
        </w:rPr>
      </w:pPr>
    </w:p>
    <w:p w14:paraId="1FC2FDD8">
      <w:pPr>
        <w:spacing w:line="288" w:lineRule="auto"/>
        <w:contextualSpacing/>
        <w:jc w:val="center"/>
        <w:rPr>
          <w:b/>
          <w:bCs/>
          <w:sz w:val="24"/>
          <w:szCs w:val="24"/>
        </w:rPr>
      </w:pPr>
    </w:p>
    <w:p w14:paraId="4F9E2C94">
      <w:pPr>
        <w:spacing w:line="288" w:lineRule="auto"/>
        <w:contextualSpacing/>
        <w:jc w:val="both"/>
        <w:rPr>
          <w:sz w:val="24"/>
          <w:szCs w:val="24"/>
        </w:rPr>
      </w:pPr>
    </w:p>
    <w:p w14:paraId="3A0F6923">
      <w:pPr>
        <w:spacing w:line="288" w:lineRule="auto"/>
        <w:ind w:left="3544"/>
        <w:contextualSpacing/>
        <w:jc w:val="both"/>
        <w:rPr>
          <w:b/>
          <w:sz w:val="24"/>
          <w:szCs w:val="24"/>
        </w:rPr>
      </w:pPr>
      <w:r>
        <w:rPr>
          <w:b/>
          <w:sz w:val="24"/>
          <w:szCs w:val="24"/>
        </w:rPr>
        <w:t>CONTRATO Nº xxx/xxxx, DE</w:t>
      </w:r>
      <w:r>
        <w:rPr>
          <w:rFonts w:eastAsia="Cambria"/>
          <w:sz w:val="24"/>
          <w:szCs w:val="24"/>
        </w:rPr>
        <w:t xml:space="preserve"> </w:t>
      </w:r>
      <w:r>
        <w:rPr>
          <w:rFonts w:eastAsia="Cambria"/>
          <w:b/>
          <w:sz w:val="24"/>
          <w:szCs w:val="24"/>
        </w:rPr>
        <w:t xml:space="preserve">AQUISIÇÃO DE KITS DE  LANCHES  </w:t>
      </w:r>
      <w:r>
        <w:rPr>
          <w:b/>
          <w:sz w:val="24"/>
          <w:szCs w:val="24"/>
        </w:rPr>
        <w:t xml:space="preserve">- QUE FAZEM ENTRE SI O </w:t>
      </w:r>
      <w:r>
        <w:rPr>
          <w:b/>
          <w:bCs/>
          <w:sz w:val="24"/>
          <w:szCs w:val="24"/>
        </w:rPr>
        <w:t>MUNICÍPIO DE VALENÇA, PELA SECRETARIA DE EDUCAÇÃO.</w:t>
      </w:r>
    </w:p>
    <w:p w14:paraId="7C414844">
      <w:pPr>
        <w:spacing w:line="288" w:lineRule="auto"/>
        <w:contextualSpacing/>
        <w:jc w:val="both"/>
        <w:rPr>
          <w:rFonts w:eastAsia="Arial"/>
          <w:b/>
          <w:bCs/>
          <w:color w:val="FF0000"/>
          <w:sz w:val="24"/>
          <w:szCs w:val="24"/>
        </w:rPr>
      </w:pPr>
    </w:p>
    <w:p w14:paraId="6F7E4FC3">
      <w:pPr>
        <w:spacing w:line="288" w:lineRule="auto"/>
        <w:contextualSpacing/>
        <w:jc w:val="both"/>
        <w:rPr>
          <w:sz w:val="24"/>
          <w:szCs w:val="24"/>
        </w:rPr>
      </w:pPr>
      <w:r>
        <w:rPr>
          <w:rFonts w:eastAsia="Arial"/>
          <w:b/>
          <w:bCs/>
          <w:sz w:val="24"/>
          <w:szCs w:val="24"/>
        </w:rPr>
        <w:t xml:space="preserve">O MUNICÍPIO DE VALENÇA, </w:t>
      </w:r>
      <w:r>
        <w:rPr>
          <w:b/>
          <w:bCs/>
          <w:sz w:val="24"/>
          <w:szCs w:val="24"/>
        </w:rPr>
        <w:t>pela SECRETARIA MUNICIPAL DE EDUCAÇÃO</w:t>
      </w:r>
      <w:r>
        <w:rPr>
          <w:sz w:val="24"/>
          <w:szCs w:val="24"/>
        </w:rPr>
        <w:t xml:space="preserve">, com sede na </w:t>
      </w:r>
      <w:r>
        <w:rPr>
          <w:rFonts w:eastAsia="Calibri"/>
          <w:sz w:val="24"/>
          <w:szCs w:val="24"/>
          <w:lang w:eastAsia="en-US"/>
        </w:rPr>
        <w:t xml:space="preserve">Rua Dr. Figueiredo, 320, Centro </w:t>
      </w:r>
      <w:r>
        <w:rPr>
          <w:sz w:val="24"/>
          <w:szCs w:val="24"/>
        </w:rPr>
        <w:t xml:space="preserve">na cidade de Valença, no Estado do Rio de Janeiro, inscrita no CNPJ sob o nº </w:t>
      </w:r>
      <w:r>
        <w:rPr>
          <w:rFonts w:eastAsia="Calibri"/>
          <w:sz w:val="24"/>
          <w:szCs w:val="24"/>
          <w:lang w:eastAsia="en-US"/>
        </w:rPr>
        <w:t>29.076.130/0001-90</w:t>
      </w:r>
      <w:r>
        <w:rPr>
          <w:sz w:val="24"/>
          <w:szCs w:val="24"/>
        </w:rPr>
        <w:t xml:space="preserve">, neste ato representada </w:t>
      </w:r>
      <w:r>
        <w:rPr>
          <w:rFonts w:eastAsia="Calibri"/>
          <w:sz w:val="24"/>
          <w:szCs w:val="24"/>
          <w:lang w:eastAsia="en-US"/>
        </w:rPr>
        <w:t xml:space="preserve">por sua Secretária Municipal de Educação, </w:t>
      </w:r>
      <w:r>
        <w:rPr>
          <w:sz w:val="24"/>
          <w:szCs w:val="24"/>
        </w:rPr>
        <w:t xml:space="preserve">Sra. Renata Andrade Leite, portadora do  CPF nº 074.315.257-37, doravante denominado </w:t>
      </w:r>
      <w:r>
        <w:rPr>
          <w:b/>
          <w:bCs/>
          <w:sz w:val="24"/>
          <w:szCs w:val="24"/>
        </w:rPr>
        <w:t>CONTRATANTE</w:t>
      </w:r>
      <w:r>
        <w:rPr>
          <w:sz w:val="24"/>
          <w:szCs w:val="24"/>
        </w:rPr>
        <w:t>, e .............................., com sede na ............, inscrita no CNPJ/MF sob o nº ............................, neste ato representada por .................................. (nome e função), conforme atos constitutivos da empresa &lt;</w:t>
      </w:r>
      <w:r>
        <w:rPr>
          <w:bCs/>
          <w:sz w:val="24"/>
          <w:szCs w:val="24"/>
        </w:rPr>
        <w:t>OU&gt;</w:t>
      </w:r>
      <w:r>
        <w:rPr>
          <w:sz w:val="24"/>
          <w:szCs w:val="24"/>
        </w:rPr>
        <w:t xml:space="preserve"> procuração apresentada nos autos, doravante denominado </w:t>
      </w:r>
      <w:r>
        <w:rPr>
          <w:b/>
          <w:bCs/>
          <w:sz w:val="24"/>
          <w:szCs w:val="24"/>
        </w:rPr>
        <w:t>CONTRATADO</w:t>
      </w:r>
      <w:r>
        <w:rPr>
          <w:sz w:val="24"/>
          <w:szCs w:val="24"/>
        </w:rPr>
        <w:t xml:space="preserve">, com fundamento no Processo SEI nº .............................., que se regerá pelas disposições da Lei nº 14.133, de 1º de abril de 2021, </w:t>
      </w:r>
      <w:r>
        <w:rPr>
          <w:rFonts w:eastAsia="Arial"/>
          <w:sz w:val="24"/>
          <w:szCs w:val="24"/>
        </w:rPr>
        <w:t xml:space="preserve">e pelos normativos municipais aplicáveis, todos disponíveis </w:t>
      </w:r>
      <w:r>
        <w:rPr>
          <w:sz w:val="24"/>
          <w:szCs w:val="24"/>
        </w:rPr>
        <w:t>no endereço eletrônico ........, resolvem celebrar o presente instrumento de Contrato, decorrente do instrumento convocatório nº ..., mediante as cláusulas e condições a seguir enunciadas.</w:t>
      </w:r>
    </w:p>
    <w:p w14:paraId="00383093">
      <w:pPr>
        <w:spacing w:line="288" w:lineRule="auto"/>
        <w:contextualSpacing/>
        <w:jc w:val="both"/>
        <w:rPr>
          <w:sz w:val="24"/>
          <w:szCs w:val="24"/>
        </w:rPr>
      </w:pPr>
    </w:p>
    <w:p w14:paraId="06AC30BA">
      <w:pPr>
        <w:pStyle w:val="85"/>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PRIMEIRA – OBJETO</w:t>
      </w:r>
    </w:p>
    <w:p w14:paraId="16D60154">
      <w:pPr>
        <w:spacing w:line="288" w:lineRule="auto"/>
        <w:contextualSpacing/>
        <w:rPr>
          <w:sz w:val="24"/>
          <w:szCs w:val="24"/>
        </w:rPr>
      </w:pPr>
    </w:p>
    <w:p w14:paraId="6C247621">
      <w:pPr>
        <w:spacing w:line="288" w:lineRule="auto"/>
        <w:contextualSpacing/>
        <w:jc w:val="both"/>
        <w:rPr>
          <w:color w:val="000000"/>
          <w:sz w:val="24"/>
          <w:szCs w:val="24"/>
        </w:rPr>
      </w:pPr>
      <w:r>
        <w:rPr>
          <w:rFonts w:eastAsia="Cambria"/>
          <w:sz w:val="24"/>
          <w:szCs w:val="24"/>
        </w:rPr>
        <w:t xml:space="preserve">1.1 </w:t>
      </w:r>
      <w:r>
        <w:rPr>
          <w:color w:val="000000"/>
          <w:sz w:val="24"/>
          <w:szCs w:val="24"/>
        </w:rPr>
        <w:t>Aq</w:t>
      </w:r>
      <w:r>
        <w:rPr>
          <w:b/>
          <w:bCs/>
          <w:color w:val="000000"/>
          <w:sz w:val="24"/>
          <w:szCs w:val="24"/>
        </w:rPr>
        <w:t>uisição de KITS DE LANCHES,  </w:t>
      </w:r>
      <w:r>
        <w:rPr>
          <w:color w:val="000000"/>
          <w:sz w:val="24"/>
          <w:szCs w:val="24"/>
        </w:rPr>
        <w:t> destinados aos participantes do</w:t>
      </w:r>
      <w:r>
        <w:rPr>
          <w:b/>
          <w:bCs/>
          <w:color w:val="000000"/>
          <w:sz w:val="24"/>
          <w:szCs w:val="24"/>
        </w:rPr>
        <w:t> DESFILE CÍVICO DO DIA 07 DE SETEMBRO DE 2026,  </w:t>
      </w:r>
      <w:r>
        <w:rPr>
          <w:color w:val="000000"/>
          <w:sz w:val="24"/>
          <w:szCs w:val="24"/>
        </w:rPr>
        <w:t>na modalidade</w:t>
      </w:r>
      <w:r>
        <w:rPr>
          <w:b/>
          <w:bCs/>
          <w:color w:val="000000"/>
          <w:sz w:val="24"/>
          <w:szCs w:val="24"/>
        </w:rPr>
        <w:t> PREGÃO ELETRÔNICO </w:t>
      </w:r>
      <w:r>
        <w:rPr>
          <w:color w:val="000000"/>
          <w:sz w:val="24"/>
          <w:szCs w:val="24"/>
        </w:rPr>
        <w:t>no sistema de</w:t>
      </w:r>
      <w:r>
        <w:rPr>
          <w:b/>
          <w:bCs/>
          <w:color w:val="000000"/>
          <w:sz w:val="24"/>
          <w:szCs w:val="24"/>
        </w:rPr>
        <w:t> </w:t>
      </w:r>
      <w:r>
        <w:rPr>
          <w:color w:val="000000"/>
          <w:sz w:val="24"/>
          <w:szCs w:val="24"/>
        </w:rPr>
        <w:t>REGISTRO DE PREÇOS,   cujas especificações mínimas do objeto e demais condições gerais para o fornecimento estão descritas no Termo de Referência, em atendimento a Secretaria Municipal de Educação.</w:t>
      </w:r>
    </w:p>
    <w:p w14:paraId="5FE4D501">
      <w:pPr>
        <w:pStyle w:val="83"/>
        <w:spacing w:before="0" w:after="0" w:line="288" w:lineRule="auto"/>
        <w:ind w:left="0" w:firstLine="0"/>
        <w:contextualSpacing/>
        <w:rPr>
          <w:rFonts w:ascii="Times New Roman" w:hAnsi="Times New Roman" w:cs="Times New Roman"/>
          <w:sz w:val="24"/>
          <w:szCs w:val="24"/>
        </w:rPr>
      </w:pPr>
    </w:p>
    <w:p w14:paraId="68CC6FEC">
      <w:pPr>
        <w:pStyle w:val="83"/>
        <w:numPr>
          <w:ilvl w:val="1"/>
          <w:numId w:val="4"/>
        </w:numPr>
        <w:spacing w:before="0" w:after="0" w:line="288" w:lineRule="auto"/>
        <w:contextualSpacing/>
        <w:rPr>
          <w:rFonts w:ascii="Times New Roman" w:hAnsi="Times New Roman" w:cs="Times New Roman"/>
          <w:sz w:val="24"/>
          <w:szCs w:val="24"/>
        </w:rPr>
      </w:pPr>
      <w:r>
        <w:rPr>
          <w:rFonts w:ascii="Times New Roman" w:hAnsi="Times New Roman" w:cs="Times New Roman"/>
          <w:sz w:val="24"/>
          <w:szCs w:val="24"/>
        </w:rPr>
        <w:t xml:space="preserve">Objeto da contratação: </w:t>
      </w:r>
    </w:p>
    <w:p w14:paraId="05EEB01E">
      <w:pPr>
        <w:pStyle w:val="83"/>
        <w:spacing w:before="0" w:after="0" w:line="288" w:lineRule="auto"/>
        <w:ind w:left="0" w:firstLine="0"/>
        <w:contextualSpacing/>
        <w:rPr>
          <w:rFonts w:ascii="Times New Roman" w:hAnsi="Times New Roman" w:cs="Times New Roman"/>
          <w:sz w:val="24"/>
          <w:szCs w:val="24"/>
        </w:rPr>
      </w:pPr>
    </w:p>
    <w:tbl>
      <w:tblPr>
        <w:tblStyle w:val="9"/>
        <w:tblW w:w="9649" w:type="dxa"/>
        <w:tblInd w:w="0" w:type="dxa"/>
        <w:tblLayout w:type="fixed"/>
        <w:tblCellMar>
          <w:top w:w="0" w:type="dxa"/>
          <w:left w:w="108" w:type="dxa"/>
          <w:bottom w:w="0" w:type="dxa"/>
          <w:right w:w="108" w:type="dxa"/>
        </w:tblCellMar>
      </w:tblPr>
      <w:tblGrid>
        <w:gridCol w:w="1021"/>
        <w:gridCol w:w="2240"/>
        <w:gridCol w:w="1277"/>
        <w:gridCol w:w="1134"/>
        <w:gridCol w:w="1709"/>
        <w:gridCol w:w="1279"/>
        <w:gridCol w:w="989"/>
      </w:tblGrid>
      <w:tr w14:paraId="009770A3">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30E71A48">
            <w:pPr>
              <w:widowControl w:val="0"/>
              <w:spacing w:line="288" w:lineRule="auto"/>
              <w:contextualSpacing/>
              <w:jc w:val="both"/>
              <w:rPr>
                <w:rFonts w:eastAsia="Arial"/>
                <w:b/>
                <w:bCs/>
                <w:color w:val="000000"/>
                <w:sz w:val="24"/>
                <w:szCs w:val="24"/>
              </w:rPr>
            </w:pPr>
            <w:r>
              <w:rPr>
                <w:rFonts w:eastAsia="Arial"/>
                <w:b/>
                <w:bCs/>
                <w:color w:val="000000"/>
                <w:sz w:val="24"/>
                <w:szCs w:val="24"/>
              </w:rPr>
              <w:t>ITEM</w:t>
            </w:r>
          </w:p>
          <w:p w14:paraId="2CE81C84">
            <w:pPr>
              <w:widowControl w:val="0"/>
              <w:spacing w:line="288" w:lineRule="auto"/>
              <w:contextualSpacing/>
              <w:jc w:val="both"/>
              <w:rPr>
                <w:rFonts w:eastAsia="Arial"/>
                <w:b/>
                <w:bCs/>
                <w:color w:val="000000"/>
                <w:sz w:val="24"/>
                <w:szCs w:val="24"/>
              </w:rPr>
            </w:pPr>
          </w:p>
        </w:tc>
        <w:tc>
          <w:tcPr>
            <w:tcW w:w="2240" w:type="dxa"/>
            <w:tcBorders>
              <w:top w:val="single" w:color="000000" w:sz="4" w:space="0"/>
              <w:left w:val="single" w:color="000000" w:sz="4" w:space="0"/>
              <w:bottom w:val="single" w:color="000000" w:sz="4" w:space="0"/>
              <w:right w:val="single" w:color="000000" w:sz="4" w:space="0"/>
            </w:tcBorders>
          </w:tcPr>
          <w:p w14:paraId="5F9ABE0E">
            <w:pPr>
              <w:widowControl w:val="0"/>
              <w:spacing w:line="288" w:lineRule="auto"/>
              <w:contextualSpacing/>
              <w:jc w:val="both"/>
              <w:rPr>
                <w:rFonts w:eastAsia="Arial"/>
                <w:color w:val="000000"/>
                <w:sz w:val="24"/>
                <w:szCs w:val="24"/>
              </w:rPr>
            </w:pPr>
            <w:r>
              <w:rPr>
                <w:rFonts w:eastAsia="Arial"/>
                <w:b/>
                <w:bCs/>
                <w:color w:val="000000"/>
                <w:sz w:val="24"/>
                <w:szCs w:val="24"/>
              </w:rPr>
              <w:t>ESPECIFICAÇÃO</w:t>
            </w:r>
          </w:p>
        </w:tc>
        <w:tc>
          <w:tcPr>
            <w:tcW w:w="1277" w:type="dxa"/>
            <w:tcBorders>
              <w:top w:val="single" w:color="000000" w:sz="4" w:space="0"/>
              <w:left w:val="single" w:color="000000" w:sz="4" w:space="0"/>
              <w:bottom w:val="single" w:color="000000" w:sz="4" w:space="0"/>
              <w:right w:val="single" w:color="000000" w:sz="4" w:space="0"/>
            </w:tcBorders>
          </w:tcPr>
          <w:p w14:paraId="4E7A1193">
            <w:pPr>
              <w:widowControl w:val="0"/>
              <w:spacing w:line="288" w:lineRule="auto"/>
              <w:contextualSpacing/>
              <w:jc w:val="both"/>
              <w:rPr>
                <w:rFonts w:eastAsia="Arial"/>
                <w:color w:val="000000"/>
                <w:sz w:val="24"/>
                <w:szCs w:val="24"/>
              </w:rPr>
            </w:pPr>
            <w:r>
              <w:rPr>
                <w:rFonts w:eastAsia="Arial"/>
                <w:b/>
                <w:bCs/>
                <w:color w:val="000000"/>
                <w:sz w:val="24"/>
                <w:szCs w:val="24"/>
              </w:rPr>
              <w:t>CATMAT</w:t>
            </w:r>
          </w:p>
        </w:tc>
        <w:tc>
          <w:tcPr>
            <w:tcW w:w="1134" w:type="dxa"/>
            <w:tcBorders>
              <w:top w:val="single" w:color="000000" w:sz="4" w:space="0"/>
              <w:left w:val="single" w:color="000000" w:sz="4" w:space="0"/>
              <w:bottom w:val="single" w:color="000000" w:sz="4" w:space="0"/>
              <w:right w:val="single" w:color="000000" w:sz="4" w:space="0"/>
            </w:tcBorders>
          </w:tcPr>
          <w:p w14:paraId="3C012339">
            <w:pPr>
              <w:widowControl w:val="0"/>
              <w:spacing w:line="288" w:lineRule="auto"/>
              <w:contextualSpacing/>
              <w:jc w:val="both"/>
              <w:rPr>
                <w:rFonts w:eastAsia="Arial"/>
                <w:color w:val="000000"/>
                <w:sz w:val="24"/>
                <w:szCs w:val="24"/>
              </w:rPr>
            </w:pPr>
            <w:r>
              <w:rPr>
                <w:rFonts w:eastAsia="Arial"/>
                <w:b/>
                <w:bCs/>
                <w:color w:val="000000"/>
                <w:sz w:val="24"/>
                <w:szCs w:val="24"/>
              </w:rPr>
              <w:t>UNIDADE DE MEDIDA</w:t>
            </w:r>
          </w:p>
        </w:tc>
        <w:tc>
          <w:tcPr>
            <w:tcW w:w="1709" w:type="dxa"/>
            <w:tcBorders>
              <w:top w:val="single" w:color="000000" w:sz="4" w:space="0"/>
              <w:left w:val="single" w:color="000000" w:sz="4" w:space="0"/>
              <w:bottom w:val="single" w:color="000000" w:sz="4" w:space="0"/>
              <w:right w:val="single" w:color="000000" w:sz="4" w:space="0"/>
            </w:tcBorders>
          </w:tcPr>
          <w:p w14:paraId="12B10DFD">
            <w:pPr>
              <w:widowControl w:val="0"/>
              <w:spacing w:line="288" w:lineRule="auto"/>
              <w:contextualSpacing/>
              <w:jc w:val="both"/>
              <w:rPr>
                <w:rFonts w:eastAsia="Arial"/>
                <w:b/>
                <w:bCs/>
                <w:sz w:val="24"/>
                <w:szCs w:val="24"/>
              </w:rPr>
            </w:pPr>
            <w:r>
              <w:rPr>
                <w:rFonts w:eastAsia="Arial"/>
                <w:b/>
                <w:bCs/>
                <w:sz w:val="24"/>
                <w:szCs w:val="24"/>
              </w:rPr>
              <w:t>QUANTIDADE</w:t>
            </w:r>
          </w:p>
        </w:tc>
        <w:tc>
          <w:tcPr>
            <w:tcW w:w="1279" w:type="dxa"/>
            <w:tcBorders>
              <w:top w:val="single" w:color="000000" w:sz="4" w:space="0"/>
              <w:left w:val="single" w:color="000000" w:sz="4" w:space="0"/>
              <w:bottom w:val="single" w:color="000000" w:sz="4" w:space="0"/>
              <w:right w:val="single" w:color="000000" w:sz="4" w:space="0"/>
            </w:tcBorders>
          </w:tcPr>
          <w:p w14:paraId="2D7252F1">
            <w:pPr>
              <w:widowControl w:val="0"/>
              <w:spacing w:line="288" w:lineRule="auto"/>
              <w:contextualSpacing/>
              <w:jc w:val="both"/>
              <w:rPr>
                <w:rFonts w:eastAsia="Arial"/>
                <w:b/>
                <w:bCs/>
                <w:sz w:val="24"/>
                <w:szCs w:val="24"/>
              </w:rPr>
            </w:pPr>
            <w:r>
              <w:rPr>
                <w:rFonts w:eastAsia="Arial"/>
                <w:b/>
                <w:bCs/>
                <w:sz w:val="24"/>
                <w:szCs w:val="24"/>
              </w:rPr>
              <w:t>VALOR UNITÁRIO</w:t>
            </w:r>
          </w:p>
        </w:tc>
        <w:tc>
          <w:tcPr>
            <w:tcW w:w="989" w:type="dxa"/>
            <w:tcBorders>
              <w:top w:val="single" w:color="000000" w:sz="4" w:space="0"/>
              <w:left w:val="single" w:color="000000" w:sz="4" w:space="0"/>
              <w:bottom w:val="single" w:color="000000" w:sz="4" w:space="0"/>
              <w:right w:val="single" w:color="000000" w:sz="4" w:space="0"/>
            </w:tcBorders>
          </w:tcPr>
          <w:p w14:paraId="15E4AB97">
            <w:pPr>
              <w:widowControl w:val="0"/>
              <w:spacing w:line="288" w:lineRule="auto"/>
              <w:contextualSpacing/>
              <w:jc w:val="both"/>
              <w:rPr>
                <w:rFonts w:eastAsia="Arial"/>
                <w:b/>
                <w:bCs/>
                <w:sz w:val="24"/>
                <w:szCs w:val="24"/>
              </w:rPr>
            </w:pPr>
            <w:r>
              <w:rPr>
                <w:rFonts w:eastAsia="Arial"/>
                <w:b/>
                <w:bCs/>
                <w:sz w:val="24"/>
                <w:szCs w:val="24"/>
              </w:rPr>
              <w:t>VALOR TOTAL</w:t>
            </w:r>
          </w:p>
        </w:tc>
      </w:tr>
      <w:tr w14:paraId="5234B0D8">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4CC8DA35">
            <w:pPr>
              <w:widowControl w:val="0"/>
              <w:spacing w:line="288" w:lineRule="auto"/>
              <w:contextualSpacing/>
              <w:jc w:val="both"/>
              <w:rPr>
                <w:rFonts w:eastAsia="Arial"/>
                <w:b/>
                <w:bCs/>
                <w:color w:val="000000"/>
                <w:sz w:val="24"/>
                <w:szCs w:val="24"/>
              </w:rPr>
            </w:pPr>
            <w:r>
              <w:rPr>
                <w:rFonts w:eastAsia="Arial"/>
                <w:b/>
                <w:bCs/>
                <w:color w:val="000000"/>
                <w:sz w:val="24"/>
                <w:szCs w:val="24"/>
              </w:rPr>
              <w:t>1</w:t>
            </w:r>
          </w:p>
        </w:tc>
        <w:tc>
          <w:tcPr>
            <w:tcW w:w="2240" w:type="dxa"/>
            <w:tcBorders>
              <w:top w:val="single" w:color="000000" w:sz="4" w:space="0"/>
              <w:left w:val="single" w:color="000000" w:sz="4" w:space="0"/>
              <w:bottom w:val="single" w:color="000000" w:sz="4" w:space="0"/>
              <w:right w:val="single" w:color="000000" w:sz="4" w:space="0"/>
            </w:tcBorders>
          </w:tcPr>
          <w:p w14:paraId="5067F78C">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3F90A86D">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2B9A2D06">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54BE0756">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192C4503">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5260449A">
            <w:pPr>
              <w:widowControl w:val="0"/>
              <w:spacing w:line="288" w:lineRule="auto"/>
              <w:contextualSpacing/>
              <w:jc w:val="both"/>
              <w:rPr>
                <w:rFonts w:eastAsia="Arial"/>
                <w:color w:val="000000"/>
                <w:sz w:val="24"/>
                <w:szCs w:val="24"/>
              </w:rPr>
            </w:pPr>
          </w:p>
        </w:tc>
      </w:tr>
      <w:tr w14:paraId="4A64B0C5">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4A7133B2">
            <w:pPr>
              <w:widowControl w:val="0"/>
              <w:spacing w:line="288" w:lineRule="auto"/>
              <w:contextualSpacing/>
              <w:jc w:val="both"/>
              <w:rPr>
                <w:rFonts w:eastAsia="Arial"/>
                <w:b/>
                <w:bCs/>
                <w:color w:val="000000"/>
                <w:sz w:val="24"/>
                <w:szCs w:val="24"/>
              </w:rPr>
            </w:pPr>
            <w:r>
              <w:rPr>
                <w:rFonts w:eastAsia="Arial"/>
                <w:b/>
                <w:bCs/>
                <w:color w:val="000000"/>
                <w:sz w:val="24"/>
                <w:szCs w:val="24"/>
              </w:rPr>
              <w:t>2</w:t>
            </w:r>
          </w:p>
        </w:tc>
        <w:tc>
          <w:tcPr>
            <w:tcW w:w="2240" w:type="dxa"/>
            <w:tcBorders>
              <w:top w:val="single" w:color="000000" w:sz="4" w:space="0"/>
              <w:left w:val="single" w:color="000000" w:sz="4" w:space="0"/>
              <w:bottom w:val="single" w:color="000000" w:sz="4" w:space="0"/>
              <w:right w:val="single" w:color="000000" w:sz="4" w:space="0"/>
            </w:tcBorders>
          </w:tcPr>
          <w:p w14:paraId="73D91CB6">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6B2F6548">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144D5C0B">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76D0C039">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416B4DAF">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4C8FF988">
            <w:pPr>
              <w:widowControl w:val="0"/>
              <w:spacing w:line="288" w:lineRule="auto"/>
              <w:contextualSpacing/>
              <w:jc w:val="both"/>
              <w:rPr>
                <w:rFonts w:eastAsia="Arial"/>
                <w:color w:val="000000"/>
                <w:sz w:val="24"/>
                <w:szCs w:val="24"/>
              </w:rPr>
            </w:pPr>
          </w:p>
        </w:tc>
      </w:tr>
      <w:tr w14:paraId="3D840CA1">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13DE51A8">
            <w:pPr>
              <w:widowControl w:val="0"/>
              <w:spacing w:line="288" w:lineRule="auto"/>
              <w:contextualSpacing/>
              <w:jc w:val="both"/>
              <w:rPr>
                <w:rFonts w:eastAsia="Arial"/>
                <w:b/>
                <w:bCs/>
                <w:color w:val="000000"/>
                <w:sz w:val="24"/>
                <w:szCs w:val="24"/>
              </w:rPr>
            </w:pPr>
            <w:r>
              <w:rPr>
                <w:rFonts w:eastAsia="Arial"/>
                <w:b/>
                <w:bCs/>
                <w:color w:val="000000"/>
                <w:sz w:val="24"/>
                <w:szCs w:val="24"/>
              </w:rPr>
              <w:t>3</w:t>
            </w:r>
          </w:p>
        </w:tc>
        <w:tc>
          <w:tcPr>
            <w:tcW w:w="2240" w:type="dxa"/>
            <w:tcBorders>
              <w:top w:val="single" w:color="000000" w:sz="4" w:space="0"/>
              <w:left w:val="single" w:color="000000" w:sz="4" w:space="0"/>
              <w:bottom w:val="single" w:color="000000" w:sz="4" w:space="0"/>
              <w:right w:val="single" w:color="000000" w:sz="4" w:space="0"/>
            </w:tcBorders>
          </w:tcPr>
          <w:p w14:paraId="52EF5693">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42D91640">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1D376EB8">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729F37AC">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6127AF7A">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4A83CE09">
            <w:pPr>
              <w:widowControl w:val="0"/>
              <w:spacing w:line="288" w:lineRule="auto"/>
              <w:contextualSpacing/>
              <w:jc w:val="both"/>
              <w:rPr>
                <w:rFonts w:eastAsia="Arial"/>
                <w:color w:val="000000"/>
                <w:sz w:val="24"/>
                <w:szCs w:val="24"/>
              </w:rPr>
            </w:pPr>
          </w:p>
        </w:tc>
      </w:tr>
      <w:tr w14:paraId="1100C7D5">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0DE562C5">
            <w:pPr>
              <w:widowControl w:val="0"/>
              <w:spacing w:line="288" w:lineRule="auto"/>
              <w:contextualSpacing/>
              <w:jc w:val="both"/>
              <w:rPr>
                <w:rFonts w:eastAsia="Arial"/>
                <w:b/>
                <w:bCs/>
                <w:color w:val="000000"/>
                <w:sz w:val="24"/>
                <w:szCs w:val="24"/>
              </w:rPr>
            </w:pPr>
            <w:r>
              <w:rPr>
                <w:rFonts w:eastAsia="Arial"/>
                <w:b/>
                <w:bCs/>
                <w:color w:val="000000"/>
                <w:sz w:val="24"/>
                <w:szCs w:val="24"/>
              </w:rPr>
              <w:t>...</w:t>
            </w:r>
          </w:p>
        </w:tc>
        <w:tc>
          <w:tcPr>
            <w:tcW w:w="2240" w:type="dxa"/>
            <w:tcBorders>
              <w:top w:val="single" w:color="000000" w:sz="4" w:space="0"/>
              <w:left w:val="single" w:color="000000" w:sz="4" w:space="0"/>
              <w:bottom w:val="single" w:color="000000" w:sz="4" w:space="0"/>
              <w:right w:val="single" w:color="000000" w:sz="4" w:space="0"/>
            </w:tcBorders>
          </w:tcPr>
          <w:p w14:paraId="340AD0B8">
            <w:pPr>
              <w:widowControl w:val="0"/>
              <w:spacing w:line="288" w:lineRule="auto"/>
              <w:contextualSpacing/>
              <w:jc w:val="both"/>
              <w:rPr>
                <w:rFonts w:eastAsia="Arial"/>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1DF602AE">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01D18CE7">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5F173C87">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1979F33F">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76756717">
            <w:pPr>
              <w:widowControl w:val="0"/>
              <w:spacing w:line="288" w:lineRule="auto"/>
              <w:contextualSpacing/>
              <w:jc w:val="both"/>
              <w:rPr>
                <w:rFonts w:eastAsia="Arial"/>
                <w:color w:val="000000"/>
                <w:sz w:val="24"/>
                <w:szCs w:val="24"/>
              </w:rPr>
            </w:pPr>
          </w:p>
        </w:tc>
      </w:tr>
    </w:tbl>
    <w:p w14:paraId="65FEEE33">
      <w:pPr>
        <w:autoSpaceDE w:val="0"/>
        <w:spacing w:line="288" w:lineRule="auto"/>
        <w:contextualSpacing/>
        <w:jc w:val="both"/>
        <w:rPr>
          <w:sz w:val="24"/>
          <w:szCs w:val="24"/>
          <w:lang w:val="zh-CN"/>
        </w:rPr>
      </w:pPr>
      <w:r>
        <w:rPr>
          <w:sz w:val="24"/>
          <w:szCs w:val="24"/>
          <w:lang w:val="zh-CN"/>
        </w:rPr>
        <w:tab/>
      </w:r>
    </w:p>
    <w:p w14:paraId="26D930C2">
      <w:pPr>
        <w:pStyle w:val="83"/>
        <w:tabs>
          <w:tab w:val="left" w:pos="1620"/>
        </w:tabs>
        <w:spacing w:before="0" w:after="0" w:line="288" w:lineRule="auto"/>
        <w:ind w:left="0" w:firstLine="0"/>
        <w:contextualSpacing/>
        <w:rPr>
          <w:rFonts w:ascii="Times New Roman" w:hAnsi="Times New Roman" w:cs="Times New Roman"/>
          <w:sz w:val="24"/>
          <w:szCs w:val="24"/>
          <w:lang w:val="zh-CN"/>
        </w:rPr>
      </w:pPr>
      <w:r>
        <w:rPr>
          <w:rFonts w:ascii="Times New Roman" w:hAnsi="Times New Roman" w:cs="Times New Roman"/>
          <w:sz w:val="24"/>
          <w:szCs w:val="24"/>
        </w:rPr>
        <w:t xml:space="preserve"> 1.3    São anexos a este instrumento e vinculam esta contratação, independentemente de transcrição:</w:t>
      </w:r>
    </w:p>
    <w:p w14:paraId="75303965">
      <w:pPr>
        <w:pStyle w:val="83"/>
        <w:spacing w:before="0" w:after="0" w:line="288" w:lineRule="auto"/>
        <w:ind w:left="0" w:firstLine="0"/>
        <w:contextualSpacing/>
        <w:rPr>
          <w:rFonts w:ascii="Times New Roman" w:hAnsi="Times New Roman" w:cs="Times New Roman"/>
          <w:sz w:val="24"/>
          <w:szCs w:val="24"/>
          <w:lang w:val="zh-CN"/>
        </w:rPr>
      </w:pPr>
    </w:p>
    <w:p w14:paraId="5616DD5D">
      <w:pPr>
        <w:pStyle w:val="86"/>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1.3.1 O Termo de Referência que embasou a contratação;</w:t>
      </w:r>
    </w:p>
    <w:p w14:paraId="4637146C">
      <w:pPr>
        <w:pStyle w:val="86"/>
        <w:spacing w:before="0" w:after="0" w:line="288" w:lineRule="auto"/>
        <w:ind w:left="0" w:firstLine="0"/>
        <w:contextualSpacing/>
        <w:rPr>
          <w:rFonts w:ascii="Times New Roman" w:hAnsi="Times New Roman" w:cs="Times New Roman"/>
          <w:color w:val="auto"/>
          <w:sz w:val="24"/>
          <w:szCs w:val="24"/>
          <w:lang w:val="zh-CN"/>
        </w:rPr>
      </w:pPr>
    </w:p>
    <w:p w14:paraId="4A1752B1">
      <w:pPr>
        <w:pStyle w:val="86"/>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sz w:val="24"/>
          <w:szCs w:val="24"/>
        </w:rPr>
        <w:t>1.3.2 O instrumento convocatório, assim considerado o Edital de Licitação ou o Aviso de Contratação Direta, conforme o caso</w:t>
      </w:r>
      <w:r>
        <w:rPr>
          <w:rFonts w:ascii="Times New Roman" w:hAnsi="Times New Roman" w:cs="Times New Roman"/>
          <w:color w:val="auto"/>
          <w:sz w:val="24"/>
          <w:szCs w:val="24"/>
        </w:rPr>
        <w:t>;</w:t>
      </w:r>
    </w:p>
    <w:p w14:paraId="7BCC39DF">
      <w:pPr>
        <w:pStyle w:val="86"/>
        <w:spacing w:before="0" w:after="0" w:line="288" w:lineRule="auto"/>
        <w:ind w:left="0" w:firstLine="0"/>
        <w:contextualSpacing/>
        <w:rPr>
          <w:rFonts w:ascii="Times New Roman" w:hAnsi="Times New Roman" w:cs="Times New Roman"/>
          <w:color w:val="auto"/>
          <w:sz w:val="24"/>
          <w:szCs w:val="24"/>
          <w:lang w:val="zh-CN"/>
        </w:rPr>
      </w:pPr>
    </w:p>
    <w:p w14:paraId="64D51D97">
      <w:pPr>
        <w:pStyle w:val="86"/>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 xml:space="preserve">1.3.3 A Proposta do </w:t>
      </w:r>
      <w:r>
        <w:rPr>
          <w:rFonts w:ascii="Times New Roman" w:hAnsi="Times New Roman" w:eastAsia="Arial" w:cs="Times New Roman"/>
          <w:b/>
          <w:bCs/>
          <w:sz w:val="24"/>
          <w:szCs w:val="24"/>
        </w:rPr>
        <w:t>CONTRATADO</w:t>
      </w:r>
      <w:r>
        <w:rPr>
          <w:rFonts w:ascii="Times New Roman" w:hAnsi="Times New Roman" w:cs="Times New Roman"/>
          <w:color w:val="auto"/>
          <w:sz w:val="24"/>
          <w:szCs w:val="24"/>
        </w:rPr>
        <w:t xml:space="preserve">, </w:t>
      </w:r>
      <w:r>
        <w:rPr>
          <w:rFonts w:ascii="Times New Roman" w:hAnsi="Times New Roman" w:cs="Times New Roman"/>
          <w:sz w:val="24"/>
          <w:szCs w:val="24"/>
        </w:rPr>
        <w:t>que, em caso de divergência com as condições estabelecidas neste Contrato e nos demais instrumentos anexos, cederá àquelas</w:t>
      </w:r>
      <w:r>
        <w:rPr>
          <w:rFonts w:ascii="Times New Roman" w:hAnsi="Times New Roman" w:cs="Times New Roman"/>
          <w:color w:val="auto"/>
          <w:sz w:val="24"/>
          <w:szCs w:val="24"/>
        </w:rPr>
        <w:t>;</w:t>
      </w:r>
    </w:p>
    <w:p w14:paraId="5EDD142D">
      <w:pPr>
        <w:pStyle w:val="86"/>
        <w:spacing w:before="0" w:after="0" w:line="288" w:lineRule="auto"/>
        <w:ind w:left="0" w:firstLine="0"/>
        <w:contextualSpacing/>
        <w:rPr>
          <w:rFonts w:ascii="Times New Roman" w:hAnsi="Times New Roman" w:cs="Times New Roman"/>
          <w:color w:val="auto"/>
          <w:sz w:val="24"/>
          <w:szCs w:val="24"/>
          <w:lang w:val="zh-CN"/>
        </w:rPr>
      </w:pPr>
    </w:p>
    <w:p w14:paraId="625BF8E2">
      <w:pPr>
        <w:pStyle w:val="86"/>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1.3.4 Eventuais </w:t>
      </w:r>
      <w:r>
        <w:rPr>
          <w:rFonts w:ascii="Times New Roman" w:hAnsi="Times New Roman" w:cs="Times New Roman"/>
          <w:sz w:val="24"/>
          <w:szCs w:val="24"/>
        </w:rPr>
        <w:t>anexos dos documentos supracitados.</w:t>
      </w:r>
    </w:p>
    <w:p w14:paraId="7D67DD93">
      <w:pPr>
        <w:pStyle w:val="86"/>
        <w:spacing w:before="0" w:after="0" w:line="288" w:lineRule="auto"/>
        <w:ind w:left="0" w:firstLine="0"/>
        <w:contextualSpacing/>
        <w:rPr>
          <w:rFonts w:ascii="Times New Roman" w:hAnsi="Times New Roman" w:cs="Times New Roman"/>
          <w:sz w:val="24"/>
          <w:szCs w:val="24"/>
          <w:lang w:val="zh-CN"/>
        </w:rPr>
      </w:pPr>
    </w:p>
    <w:p w14:paraId="14AC4AB0">
      <w:pPr>
        <w:spacing w:line="288" w:lineRule="auto"/>
        <w:contextualSpacing/>
        <w:jc w:val="both"/>
        <w:rPr>
          <w:sz w:val="24"/>
          <w:szCs w:val="24"/>
        </w:rPr>
      </w:pPr>
      <w:r>
        <w:rPr>
          <w:sz w:val="24"/>
          <w:szCs w:val="24"/>
        </w:rPr>
        <w:t>1.4 Havendo qualquer divergência entre as disposições deste instrumento e dos seus Anexos, como o Termo de Referência, prevalecerá o disposto no presente Contrato.</w:t>
      </w:r>
    </w:p>
    <w:p w14:paraId="30BA0633">
      <w:pPr>
        <w:spacing w:line="288" w:lineRule="auto"/>
        <w:contextualSpacing/>
        <w:jc w:val="both"/>
        <w:rPr>
          <w:sz w:val="24"/>
          <w:szCs w:val="24"/>
        </w:rPr>
      </w:pPr>
    </w:p>
    <w:p w14:paraId="2F5C5730">
      <w:pPr>
        <w:pStyle w:val="90"/>
        <w:numPr>
          <w:ilvl w:val="0"/>
          <w:numId w:val="0"/>
        </w:numPr>
        <w:spacing w:before="0" w:after="0" w:line="288" w:lineRule="auto"/>
        <w:contextualSpacing/>
        <w:rPr>
          <w:rFonts w:ascii="Times New Roman" w:hAnsi="Times New Roman" w:cs="Times New Roman"/>
          <w:color w:val="auto"/>
          <w:sz w:val="24"/>
          <w:szCs w:val="24"/>
        </w:rPr>
      </w:pPr>
      <w:r>
        <w:rPr>
          <w:rFonts w:ascii="Times New Roman" w:hAnsi="Times New Roman" w:cs="Times New Roman"/>
          <w:color w:val="auto"/>
          <w:sz w:val="24"/>
          <w:szCs w:val="24"/>
        </w:rPr>
        <w:t>CLÁUSULA SEGUNDA – VIGÊNCIA E PRORROGAÇÃO</w:t>
      </w:r>
    </w:p>
    <w:p w14:paraId="04898D41">
      <w:pPr>
        <w:spacing w:line="288" w:lineRule="auto"/>
        <w:contextualSpacing/>
        <w:jc w:val="both"/>
        <w:rPr>
          <w:sz w:val="24"/>
          <w:szCs w:val="24"/>
        </w:rPr>
      </w:pPr>
    </w:p>
    <w:p w14:paraId="2BFCAEA9">
      <w:pPr>
        <w:tabs>
          <w:tab w:val="left" w:pos="7938"/>
        </w:tabs>
        <w:spacing w:line="288" w:lineRule="auto"/>
        <w:ind w:right="849"/>
        <w:contextualSpacing/>
        <w:jc w:val="both"/>
        <w:rPr>
          <w:bCs/>
          <w:color w:val="000000" w:themeColor="text1"/>
          <w:sz w:val="24"/>
          <w:szCs w:val="24"/>
          <w14:textFill>
            <w14:solidFill>
              <w14:schemeClr w14:val="tx1"/>
            </w14:solidFill>
          </w14:textFill>
        </w:rPr>
      </w:pPr>
      <w:r>
        <w:rPr>
          <w:bCs/>
          <w:color w:val="000000" w:themeColor="text1"/>
          <w:sz w:val="24"/>
          <w:szCs w:val="24"/>
          <w14:textFill>
            <w14:solidFill>
              <w14:schemeClr w14:val="tx1"/>
            </w14:solidFill>
          </w14:textFill>
        </w:rPr>
        <w:t>2.1 O prazo de vigência do Contrato é de 12</w:t>
      </w:r>
      <w:r>
        <w:rPr>
          <w:rFonts w:eastAsia="Arial"/>
          <w:color w:val="000000" w:themeColor="text1"/>
          <w:sz w:val="24"/>
          <w:szCs w:val="24"/>
          <w14:textFill>
            <w14:solidFill>
              <w14:schemeClr w14:val="tx1"/>
            </w14:solidFill>
          </w14:textFill>
        </w:rPr>
        <w:t xml:space="preserve"> (doze) meses, contado da expedição da </w:t>
      </w:r>
      <w:r>
        <w:rPr>
          <w:color w:val="000000" w:themeColor="text1"/>
          <w:sz w:val="24"/>
          <w:szCs w:val="24"/>
          <w14:textFill>
            <w14:solidFill>
              <w14:schemeClr w14:val="tx1"/>
            </w14:solidFill>
          </w14:textFill>
        </w:rPr>
        <w:t>Autorização de Fornecimento</w:t>
      </w:r>
      <w:r>
        <w:rPr>
          <w:rFonts w:eastAsia="Arial"/>
          <w:color w:val="000000" w:themeColor="text1"/>
          <w:sz w:val="24"/>
          <w:szCs w:val="24"/>
          <w14:textFill>
            <w14:solidFill>
              <w14:schemeClr w14:val="tx1"/>
            </w14:solidFill>
          </w14:textFill>
        </w:rPr>
        <w:t>, desde que previamente divulgado no Portal Nacional de Contratações Públicas.</w:t>
      </w:r>
      <w:r>
        <w:rPr>
          <w:bCs/>
          <w:color w:val="000000" w:themeColor="text1"/>
          <w:sz w:val="24"/>
          <w:szCs w:val="24"/>
          <w14:textFill>
            <w14:solidFill>
              <w14:schemeClr w14:val="tx1"/>
            </w14:solidFill>
          </w14:textFill>
        </w:rPr>
        <w:t xml:space="preserve"> </w:t>
      </w:r>
    </w:p>
    <w:p w14:paraId="17C55E24">
      <w:pPr>
        <w:spacing w:line="288" w:lineRule="auto"/>
        <w:ind w:left="567" w:right="565"/>
        <w:contextualSpacing/>
        <w:jc w:val="both"/>
        <w:rPr>
          <w:color w:val="000000" w:themeColor="text1"/>
          <w:sz w:val="24"/>
          <w:szCs w:val="24"/>
          <w14:textFill>
            <w14:solidFill>
              <w14:schemeClr w14:val="tx1"/>
            </w14:solidFill>
          </w14:textFill>
        </w:rPr>
      </w:pPr>
    </w:p>
    <w:p w14:paraId="09B94F44">
      <w:pPr>
        <w:spacing w:line="288" w:lineRule="auto"/>
        <w:ind w:right="565"/>
        <w:contextualSpacing/>
        <w:jc w:val="both"/>
        <w:rPr>
          <w:rFonts w:eastAsia="Arial"/>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2.2 O prazo de vigência do Contrato poderá</w:t>
      </w:r>
      <w:r>
        <w:rPr>
          <w:rFonts w:eastAsia="Arial"/>
          <w:color w:val="000000" w:themeColor="text1"/>
          <w:sz w:val="24"/>
          <w:szCs w:val="24"/>
          <w14:textFill>
            <w14:solidFill>
              <w14:schemeClr w14:val="tx1"/>
            </w14:solidFill>
          </w14:textFill>
        </w:rPr>
        <w:t xml:space="preserve"> ser prorrogado, sucessivamente, até o máximo de 10 (dez) anos, na forma dos artigos 106 e 107 da </w:t>
      </w:r>
      <w:r>
        <w:fldChar w:fldCharType="begin"/>
      </w:r>
      <w:r>
        <w:instrText xml:space="preserve"> HYPERLINK "http://www.planalto.gov.br/ccivil_03/_ato2019-2022/2021/lei/L14133.htm" </w:instrText>
      </w:r>
      <w:r>
        <w:fldChar w:fldCharType="separate"/>
      </w:r>
      <w:r>
        <w:rPr>
          <w:rStyle w:val="14"/>
          <w:rFonts w:eastAsia="Arial"/>
          <w:color w:val="000000" w:themeColor="text1"/>
          <w:sz w:val="24"/>
          <w:szCs w:val="24"/>
          <w14:textFill>
            <w14:solidFill>
              <w14:schemeClr w14:val="tx1"/>
            </w14:solidFill>
          </w14:textFill>
        </w:rPr>
        <w:t>Lei nº 14.133/2021</w:t>
      </w:r>
      <w:r>
        <w:rPr>
          <w:rStyle w:val="14"/>
          <w:rFonts w:eastAsia="Arial"/>
          <w:color w:val="000000" w:themeColor="text1"/>
          <w:sz w:val="24"/>
          <w:szCs w:val="24"/>
          <w14:textFill>
            <w14:solidFill>
              <w14:schemeClr w14:val="tx1"/>
            </w14:solidFill>
          </w14:textFill>
        </w:rPr>
        <w:fldChar w:fldCharType="end"/>
      </w:r>
      <w:r>
        <w:rPr>
          <w:rFonts w:eastAsia="Arial"/>
          <w:color w:val="000000" w:themeColor="text1"/>
          <w:sz w:val="24"/>
          <w:szCs w:val="24"/>
          <w14:textFill>
            <w14:solidFill>
              <w14:schemeClr w14:val="tx1"/>
            </w14:solidFill>
          </w14:textFill>
        </w:rPr>
        <w:t>.</w:t>
      </w:r>
    </w:p>
    <w:p w14:paraId="2522A26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2.2.1 A prorrogação de que trata este item é condicionada ao ateste, pela autoridade competente, de que as condições e os preços permanecem vantajosos para a Administração, permitida a negociação com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desde que observados, ainda, os seguintes requisitos:</w:t>
      </w:r>
    </w:p>
    <w:p w14:paraId="3CBDBDF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 demonstração formal, no processo, de que a forma do fornecimento tem natureza continuada;</w:t>
      </w:r>
    </w:p>
    <w:p w14:paraId="562E4197">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b) juntada de relatório sobre a execução do Contrato, com informações de que o fornecimento tenha sido realizado regularmente;  </w:t>
      </w:r>
    </w:p>
    <w:p w14:paraId="47971DEA">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c) juntada de justificativa de que a Administração mantém interesse na continuidade do fornecimento;  </w:t>
      </w:r>
    </w:p>
    <w:p w14:paraId="0B636E9B">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d) manifestação expressa do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informando o interesse na prorrogação; </w:t>
      </w:r>
    </w:p>
    <w:p w14:paraId="0096E690">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e) comprovação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mantém as condições de habilitação; e</w:t>
      </w:r>
    </w:p>
    <w:p w14:paraId="3817C2E8">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f) informação quanto à existência de disponibilidade orçamentário-financeira para as despesas vindouras.</w:t>
      </w:r>
    </w:p>
    <w:p w14:paraId="029D18A6">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2.3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tem direito subjetivo à prorrogação do prazo de vigência contratual.</w:t>
      </w:r>
    </w:p>
    <w:p w14:paraId="5FC7597E">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2.4 A prorrogação do Contrato deverá ser promovida mediante a celebração de termo aditivo.</w:t>
      </w:r>
    </w:p>
    <w:p w14:paraId="7DC111A9">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 2.5 O Contrato não poderá ser prorrogado quando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tiver sido penalizado com as sanções de declaração de inidoneidade ou impedimento de licitar e contratar com o Poder Público, observadas as abrangências de aplicação.</w:t>
      </w:r>
    </w:p>
    <w:p w14:paraId="72CF7DE6">
      <w:pPr>
        <w:pStyle w:val="92"/>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D1DC3FD">
      <w:pPr>
        <w:pStyle w:val="92"/>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9F475E3">
      <w:pPr>
        <w:pStyle w:val="85"/>
        <w:tabs>
          <w:tab w:val="left" w:pos="32"/>
          <w:tab w:val="clear" w:pos="567"/>
        </w:tabs>
        <w:spacing w:before="288" w:beforeLines="120" w:after="288" w:afterLines="120" w:line="288" w:lineRule="auto"/>
        <w:ind w:left="34" w:firstLine="0"/>
        <w:contextualSpacing/>
        <w:rPr>
          <w:rFonts w:ascii="Times New Roman" w:hAnsi="Times New Roman" w:cs="Times New Roman"/>
          <w:sz w:val="24"/>
          <w:szCs w:val="24"/>
        </w:rPr>
      </w:pPr>
      <w:r>
        <w:rPr>
          <w:rFonts w:ascii="Times New Roman" w:hAnsi="Times New Roman" w:cs="Times New Roman"/>
          <w:sz w:val="24"/>
          <w:szCs w:val="24"/>
        </w:rPr>
        <w:t>CLÁUSULA TERCEIRA – EXECUÇÃO, GESTÃO E FISCALIZAÇÃO CONTRATUAIS</w:t>
      </w:r>
    </w:p>
    <w:p w14:paraId="525B490D">
      <w:pPr>
        <w:pStyle w:val="85"/>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p>
    <w:p w14:paraId="130E4B6C">
      <w:pPr>
        <w:pStyle w:val="85"/>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3.1 O regime de execução contratual, o modelo de gestão e a fiscalização, assim como os prazos e condições de conclusão, entrega, observação e recebimento se submetem ao disposto no Termo de Referência anexo a este Contrato e no Decreto nº 40, 25 de fevereiro de 2025.</w:t>
      </w:r>
    </w:p>
    <w:p w14:paraId="26701D97">
      <w:pPr>
        <w:pStyle w:val="85"/>
        <w:spacing w:before="0" w:line="288" w:lineRule="auto"/>
        <w:ind w:left="0" w:firstLine="0"/>
        <w:contextualSpacing/>
        <w:rPr>
          <w:rFonts w:ascii="Times New Roman" w:hAnsi="Times New Roman" w:cs="Times New Roman"/>
          <w:sz w:val="24"/>
          <w:szCs w:val="24"/>
        </w:rPr>
      </w:pPr>
    </w:p>
    <w:p w14:paraId="362BFBE7">
      <w:pPr>
        <w:pStyle w:val="85"/>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QUARTA – SUBCONTRATAÇÃO</w:t>
      </w:r>
    </w:p>
    <w:p w14:paraId="506BA2C9">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4C50D901">
      <w:pPr>
        <w:pStyle w:val="83"/>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 Não será admitida a subcontratação do objeto contratual.</w:t>
      </w:r>
    </w:p>
    <w:p w14:paraId="54A1C8FD">
      <w:pPr>
        <w:pStyle w:val="95"/>
        <w:spacing w:before="0" w:after="0" w:line="288" w:lineRule="auto"/>
        <w:contextualSpacing/>
        <w:jc w:val="both"/>
        <w:rPr>
          <w:rFonts w:ascii="Times New Roman" w:hAnsi="Times New Roman" w:cs="Times New Roman"/>
          <w:lang w:eastAsia="zh-CN" w:bidi="hi-IN"/>
        </w:rPr>
      </w:pPr>
    </w:p>
    <w:p w14:paraId="5DA872A4">
      <w:pPr>
        <w:pStyle w:val="85"/>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QUINTA – PREÇO</w:t>
      </w:r>
    </w:p>
    <w:p w14:paraId="2242EA87">
      <w:pPr>
        <w:pStyle w:val="95"/>
        <w:spacing w:before="0" w:after="0" w:line="288" w:lineRule="auto"/>
        <w:contextualSpacing/>
        <w:jc w:val="both"/>
        <w:rPr>
          <w:rFonts w:ascii="Times New Roman" w:hAnsi="Times New Roman" w:cs="Times New Roman"/>
          <w:b w:val="0"/>
          <w:bCs w:val="0"/>
          <w:i w:val="0"/>
          <w:iCs w:val="0"/>
          <w:u w:val="none"/>
        </w:rPr>
      </w:pPr>
    </w:p>
    <w:p w14:paraId="7C2BF490">
      <w:pPr>
        <w:pStyle w:val="91"/>
        <w:numPr>
          <w:ilvl w:val="0"/>
          <w:numId w:val="0"/>
        </w:numPr>
        <w:spacing w:before="0" w:after="0" w:line="288" w:lineRule="auto"/>
        <w:contextualSpacing/>
        <w:rPr>
          <w:rFonts w:ascii="Times New Roman" w:hAnsi="Times New Roman" w:cs="Times New Roman"/>
          <w:i w:val="0"/>
          <w:iCs w:val="0"/>
          <w:color w:val="auto"/>
          <w:sz w:val="24"/>
          <w:szCs w:val="24"/>
          <w:lang w:eastAsia="en-US"/>
        </w:rPr>
      </w:pPr>
      <w:r>
        <w:rPr>
          <w:rFonts w:ascii="Times New Roman" w:hAnsi="Times New Roman" w:cs="Times New Roman"/>
          <w:i w:val="0"/>
          <w:iCs w:val="0"/>
          <w:color w:val="auto"/>
          <w:sz w:val="24"/>
          <w:szCs w:val="24"/>
        </w:rPr>
        <w:t xml:space="preserve">5.1 O valor total máximo do Contrato é de R$ </w:t>
      </w:r>
      <w:r>
        <w:rPr>
          <w:rFonts w:ascii="Times New Roman" w:hAnsi="Times New Roman" w:cs="Times New Roman"/>
          <w:i w:val="0"/>
          <w:iCs w:val="0"/>
          <w:sz w:val="24"/>
          <w:szCs w:val="24"/>
          <w:lang w:eastAsia="en-US"/>
        </w:rPr>
        <w:t xml:space="preserve">......... </w:t>
      </w:r>
      <w:r>
        <w:rPr>
          <w:rFonts w:ascii="Times New Roman" w:hAnsi="Times New Roman" w:cs="Times New Roman"/>
          <w:i w:val="0"/>
          <w:iCs w:val="0"/>
          <w:color w:val="auto"/>
          <w:sz w:val="24"/>
          <w:szCs w:val="24"/>
          <w:lang w:eastAsia="en-US"/>
        </w:rPr>
        <w:t>(</w:t>
      </w:r>
      <w:r>
        <w:rPr>
          <w:rFonts w:ascii="Times New Roman" w:hAnsi="Times New Roman" w:cs="Times New Roman"/>
          <w:iCs w:val="0"/>
          <w:sz w:val="24"/>
          <w:szCs w:val="24"/>
        </w:rPr>
        <w:t>.....</w:t>
      </w:r>
      <w:r>
        <w:rPr>
          <w:rFonts w:ascii="Times New Roman" w:hAnsi="Times New Roman" w:cs="Times New Roman"/>
          <w:i w:val="0"/>
          <w:iCs w:val="0"/>
          <w:color w:val="auto"/>
          <w:sz w:val="24"/>
          <w:szCs w:val="24"/>
          <w:lang w:eastAsia="en-US"/>
        </w:rPr>
        <w:t>).</w:t>
      </w:r>
    </w:p>
    <w:p w14:paraId="3D522901">
      <w:pPr>
        <w:pStyle w:val="91"/>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13FBEC66">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5.2 No valor acima estão incluídas todas as despesas ordinárias diretas e indiretas decorrentes da execução do objeto, inclusive tributos, encargos sociais, trabalhistas, previdenciários, fiscais e comerciais incidentes, taxa de administração, frete, seguro e outros necessários ao cumprimento integral do objeto da contratação.</w:t>
      </w:r>
    </w:p>
    <w:p w14:paraId="42A8C126">
      <w:pPr>
        <w:pStyle w:val="91"/>
        <w:numPr>
          <w:ilvl w:val="0"/>
          <w:numId w:val="0"/>
        </w:numPr>
        <w:spacing w:before="0" w:after="0" w:line="288" w:lineRule="auto"/>
        <w:contextualSpacing/>
        <w:rPr>
          <w:rFonts w:ascii="Times New Roman" w:hAnsi="Times New Roman" w:cs="Times New Roman"/>
          <w:i w:val="0"/>
          <w:iCs w:val="0"/>
          <w:sz w:val="24"/>
          <w:szCs w:val="24"/>
        </w:rPr>
      </w:pPr>
    </w:p>
    <w:p w14:paraId="5F069C34">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5.3 Os pagamentos devidos ao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xml:space="preserve"> dependerão dos quantitativos efetivamente fornecidos.</w:t>
      </w:r>
    </w:p>
    <w:p w14:paraId="1BA36915">
      <w:pPr>
        <w:pStyle w:val="91"/>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67031D93">
      <w:pPr>
        <w:pStyle w:val="85"/>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SEXTA – PAGAMENTO</w:t>
      </w:r>
    </w:p>
    <w:p w14:paraId="7D926D29">
      <w:pPr>
        <w:spacing w:line="288" w:lineRule="auto"/>
        <w:contextualSpacing/>
        <w:jc w:val="both"/>
        <w:rPr>
          <w:sz w:val="24"/>
          <w:szCs w:val="24"/>
        </w:rPr>
      </w:pPr>
    </w:p>
    <w:p w14:paraId="256E477C">
      <w:pPr>
        <w:pStyle w:val="15"/>
        <w:numPr>
          <w:ilvl w:val="1"/>
          <w:numId w:val="75"/>
        </w:numPr>
        <w:spacing w:line="288" w:lineRule="auto"/>
        <w:contextualSpacing/>
        <w:jc w:val="both"/>
        <w:rPr>
          <w:rFonts w:ascii="Times New Roman" w:hAnsi="Times New Roman" w:cs="Times New Roman"/>
        </w:rPr>
      </w:pPr>
      <w:r>
        <w:rPr>
          <w:rFonts w:ascii="Times New Roman" w:hAnsi="Times New Roman" w:cs="Times New Roman"/>
        </w:rPr>
        <w:t xml:space="preserve">O </w:t>
      </w:r>
      <w:r>
        <w:rPr>
          <w:rFonts w:ascii="Times New Roman" w:hAnsi="Times New Roman" w:cs="Times New Roman"/>
          <w:b/>
        </w:rPr>
        <w:t>CONTRATANTE</w:t>
      </w:r>
      <w:r>
        <w:rPr>
          <w:rFonts w:ascii="Times New Roman" w:hAnsi="Times New Roman" w:cs="Times New Roman"/>
          <w:bCs/>
        </w:rPr>
        <w:t xml:space="preserve"> deverá pagar ao </w:t>
      </w:r>
      <w:r>
        <w:rPr>
          <w:rFonts w:ascii="Times New Roman" w:hAnsi="Times New Roman" w:cs="Times New Roman"/>
          <w:b/>
        </w:rPr>
        <w:t>CONTRATADO</w:t>
      </w:r>
      <w:r>
        <w:rPr>
          <w:rFonts w:ascii="Times New Roman" w:hAnsi="Times New Roman" w:cs="Times New Roman"/>
        </w:rPr>
        <w:t xml:space="preserve"> o valor total de R$ </w:t>
      </w:r>
      <w:r>
        <w:rPr>
          <w:rFonts w:ascii="Times New Roman" w:hAnsi="Times New Roman" w:cs="Times New Roman"/>
          <w:color w:val="FF0000"/>
        </w:rPr>
        <w:t xml:space="preserve">xxx </w:t>
      </w:r>
      <w:r>
        <w:rPr>
          <w:rFonts w:ascii="Times New Roman" w:hAnsi="Times New Roman" w:cs="Times New Roman"/>
        </w:rPr>
        <w:t>(</w:t>
      </w:r>
      <w:r>
        <w:rPr>
          <w:rFonts w:ascii="Times New Roman" w:hAnsi="Times New Roman" w:cs="Times New Roman"/>
          <w:iCs/>
          <w:color w:val="FF0000"/>
        </w:rPr>
        <w:t>xx</w:t>
      </w:r>
      <w:r>
        <w:rPr>
          <w:rFonts w:ascii="Times New Roman" w:hAnsi="Times New Roman" w:cs="Times New Roman"/>
        </w:rPr>
        <w:t xml:space="preserve">), em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w:t>
      </w:r>
      <w:r>
        <w:rPr>
          <w:rFonts w:ascii="Times New Roman" w:hAnsi="Times New Roman" w:cs="Times New Roman"/>
          <w:color w:val="FF0000"/>
        </w:rPr>
        <w:t xml:space="preserve"> </w:t>
      </w:r>
      <w:r>
        <w:rPr>
          <w:rFonts w:ascii="Times New Roman" w:hAnsi="Times New Roman" w:cs="Times New Roman"/>
        </w:rPr>
        <w:t xml:space="preserve">parcelas, no valor de R$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 xml:space="preserve">), cada uma delas, conforme cronograma de pagamento em anexo, diretamente na conta corrente nº </w:t>
      </w:r>
      <w:r>
        <w:rPr>
          <w:rFonts w:ascii="Times New Roman" w:hAnsi="Times New Roman" w:cs="Times New Roman"/>
          <w:color w:val="FF0000"/>
        </w:rPr>
        <w:t>......</w:t>
      </w:r>
      <w:r>
        <w:rPr>
          <w:rFonts w:ascii="Times New Roman" w:hAnsi="Times New Roman" w:cs="Times New Roman"/>
        </w:rPr>
        <w:t xml:space="preserve"> da agência </w:t>
      </w:r>
      <w:r>
        <w:rPr>
          <w:rFonts w:ascii="Times New Roman" w:hAnsi="Times New Roman" w:cs="Times New Roman"/>
          <w:color w:val="FF0000"/>
        </w:rPr>
        <w:t>......</w:t>
      </w:r>
      <w:r>
        <w:rPr>
          <w:rFonts w:ascii="Times New Roman" w:hAnsi="Times New Roman" w:cs="Times New Roman"/>
        </w:rPr>
        <w:t>, de titularidade d</w:t>
      </w:r>
      <w:r>
        <w:rPr>
          <w:rFonts w:ascii="Times New Roman" w:hAnsi="Times New Roman" w:cs="Times New Roman"/>
          <w:bCs/>
        </w:rPr>
        <w:t xml:space="preserve">o </w:t>
      </w:r>
      <w:r>
        <w:rPr>
          <w:rFonts w:ascii="Times New Roman" w:hAnsi="Times New Roman" w:cs="Times New Roman"/>
          <w:b/>
        </w:rPr>
        <w:t>CONTRATADO</w:t>
      </w:r>
      <w:r>
        <w:rPr>
          <w:rFonts w:ascii="Times New Roman" w:hAnsi="Times New Roman" w:cs="Times New Roman"/>
        </w:rPr>
        <w:t xml:space="preserve">, junto à instituição indicada pelo mesmo, observando-se o disposto no item 5.3. deste Contrato. </w:t>
      </w:r>
    </w:p>
    <w:p w14:paraId="78020FA2">
      <w:pPr>
        <w:pStyle w:val="15"/>
        <w:spacing w:line="288" w:lineRule="auto"/>
        <w:ind w:left="360"/>
        <w:contextualSpacing/>
        <w:jc w:val="both"/>
        <w:rPr>
          <w:rFonts w:ascii="Times New Roman" w:hAnsi="Times New Roman" w:cs="Times New Roman"/>
        </w:rPr>
      </w:pPr>
    </w:p>
    <w:p w14:paraId="17A1B241">
      <w:pPr>
        <w:pStyle w:val="15"/>
        <w:spacing w:line="288" w:lineRule="auto"/>
        <w:contextualSpacing/>
        <w:jc w:val="both"/>
        <w:rPr>
          <w:rFonts w:ascii="Times New Roman" w:hAnsi="Times New Roman" w:cs="Times New Roman"/>
        </w:rPr>
      </w:pPr>
      <w:r>
        <w:rPr>
          <w:rFonts w:ascii="Times New Roman" w:hAnsi="Times New Roman" w:cs="Times New Roman"/>
        </w:rPr>
        <w:t xml:space="preserve">6.2 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rFonts w:ascii="Times New Roman" w:hAnsi="Times New Roman" w:cs="Times New Roman"/>
          <w:b/>
        </w:rPr>
        <w:t>Banco Itaú S.A</w:t>
      </w:r>
      <w:r>
        <w:rPr>
          <w:rFonts w:ascii="Times New Roman" w:hAnsi="Times New Roman" w:cs="Times New Roman"/>
        </w:rPr>
        <w:t>, cujo número e agência deverão ser informados pelo adjudicatário.</w:t>
      </w:r>
    </w:p>
    <w:p w14:paraId="4D35DF5D">
      <w:pPr>
        <w:spacing w:line="288" w:lineRule="auto"/>
        <w:contextualSpacing/>
        <w:jc w:val="both"/>
        <w:rPr>
          <w:sz w:val="24"/>
          <w:szCs w:val="24"/>
        </w:rPr>
      </w:pPr>
    </w:p>
    <w:p w14:paraId="26C6D6AB">
      <w:pPr>
        <w:spacing w:line="288" w:lineRule="auto"/>
        <w:contextualSpacing/>
        <w:jc w:val="both"/>
        <w:rPr>
          <w:rFonts w:eastAsia="Arial"/>
          <w:sz w:val="24"/>
          <w:szCs w:val="24"/>
        </w:rPr>
      </w:pPr>
      <w:r>
        <w:rPr>
          <w:sz w:val="24"/>
          <w:szCs w:val="24"/>
        </w:rPr>
        <w:t xml:space="preserve">6.3 </w:t>
      </w:r>
      <w:r>
        <w:rPr>
          <w:rFonts w:eastAsia="Arial"/>
          <w:sz w:val="24"/>
          <w:szCs w:val="24"/>
        </w:rPr>
        <w:t xml:space="preserve"> A emissão da Nota Fiscal ou Fatura será precedida do recebimento definitivo do objeto ou de cada parcela, mediante atestação, que não poderá ser realizada pelo ordenador de despesas, conforme disposto neste instrumento e/ou no Termo de Referência, bem ainda no artigo 140, II, alínea b, da Lei nº 14.133/2021 e nos arts. 20 e 22, XXIII, do Decreto nº 40/2025.</w:t>
      </w:r>
    </w:p>
    <w:p w14:paraId="6AC5EDAC">
      <w:pPr>
        <w:spacing w:line="288" w:lineRule="auto"/>
        <w:contextualSpacing/>
        <w:jc w:val="both"/>
        <w:rPr>
          <w:rFonts w:eastAsia="Arial"/>
          <w:sz w:val="24"/>
          <w:szCs w:val="24"/>
        </w:rPr>
      </w:pPr>
    </w:p>
    <w:p w14:paraId="2DDC5826">
      <w:pPr>
        <w:spacing w:line="288" w:lineRule="auto"/>
        <w:contextualSpacing/>
        <w:jc w:val="both"/>
        <w:rPr>
          <w:sz w:val="24"/>
          <w:szCs w:val="24"/>
        </w:rPr>
      </w:pPr>
      <w:r>
        <w:rPr>
          <w:rFonts w:eastAsia="Arial"/>
          <w:sz w:val="24"/>
          <w:szCs w:val="24"/>
        </w:rPr>
        <w:t xml:space="preserve">6.4 </w:t>
      </w:r>
      <w:r>
        <w:rPr>
          <w:sz w:val="24"/>
          <w:szCs w:val="24"/>
        </w:rPr>
        <w:t xml:space="preserve">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b/>
          <w:sz w:val="24"/>
          <w:szCs w:val="24"/>
        </w:rPr>
        <w:t>Banco Itaú S.A</w:t>
      </w:r>
      <w:r>
        <w:rPr>
          <w:sz w:val="24"/>
          <w:szCs w:val="24"/>
        </w:rPr>
        <w:t>, cujo número e agência deverão ser informados pelo adjudicatário.</w:t>
      </w:r>
    </w:p>
    <w:p w14:paraId="35261678">
      <w:pPr>
        <w:spacing w:line="288" w:lineRule="auto"/>
        <w:contextualSpacing/>
        <w:jc w:val="both"/>
        <w:rPr>
          <w:sz w:val="24"/>
          <w:szCs w:val="24"/>
        </w:rPr>
      </w:pPr>
    </w:p>
    <w:p w14:paraId="1138C3DA">
      <w:pPr>
        <w:spacing w:line="288" w:lineRule="auto"/>
        <w:contextualSpacing/>
        <w:jc w:val="both"/>
        <w:rPr>
          <w:rFonts w:eastAsia="Arial"/>
          <w:sz w:val="24"/>
          <w:szCs w:val="24"/>
        </w:rPr>
      </w:pPr>
      <w:r>
        <w:rPr>
          <w:rFonts w:eastAsia="Arial"/>
          <w:sz w:val="24"/>
          <w:szCs w:val="24"/>
        </w:rPr>
        <w:t xml:space="preserve">6.5 Quando houver glosa parcial do objeto, o </w:t>
      </w:r>
      <w:r>
        <w:rPr>
          <w:rFonts w:eastAsia="Arial"/>
          <w:b/>
          <w:bCs/>
          <w:sz w:val="24"/>
          <w:szCs w:val="24"/>
        </w:rPr>
        <w:t>CONTRATANTE</w:t>
      </w:r>
      <w:r>
        <w:rPr>
          <w:rFonts w:eastAsia="Arial"/>
          <w:sz w:val="24"/>
          <w:szCs w:val="24"/>
        </w:rPr>
        <w:t xml:space="preserve"> deverá comunicar ao </w:t>
      </w:r>
      <w:r>
        <w:rPr>
          <w:rFonts w:eastAsia="Arial"/>
          <w:b/>
          <w:bCs/>
          <w:sz w:val="24"/>
          <w:szCs w:val="24"/>
        </w:rPr>
        <w:t>CONTRATADO</w:t>
      </w:r>
      <w:r>
        <w:rPr>
          <w:rFonts w:eastAsia="Arial"/>
          <w:sz w:val="24"/>
          <w:szCs w:val="24"/>
        </w:rPr>
        <w:t xml:space="preserve"> para que emita Nota Fiscal ou Fatura com o valor exato dimensionado.</w:t>
      </w:r>
    </w:p>
    <w:p w14:paraId="49BE35E5">
      <w:pPr>
        <w:spacing w:line="288" w:lineRule="auto"/>
        <w:contextualSpacing/>
        <w:jc w:val="both"/>
        <w:rPr>
          <w:sz w:val="24"/>
          <w:szCs w:val="24"/>
        </w:rPr>
      </w:pPr>
    </w:p>
    <w:p w14:paraId="212678C5">
      <w:pPr>
        <w:spacing w:line="288" w:lineRule="auto"/>
        <w:contextualSpacing/>
        <w:jc w:val="both"/>
        <w:rPr>
          <w:rFonts w:eastAsia="Arial"/>
          <w:sz w:val="24"/>
          <w:szCs w:val="24"/>
        </w:rPr>
      </w:pPr>
      <w:r>
        <w:rPr>
          <w:sz w:val="24"/>
          <w:szCs w:val="24"/>
        </w:rPr>
        <w:t xml:space="preserve">6.6 O </w:t>
      </w:r>
      <w:r>
        <w:rPr>
          <w:b/>
          <w:bCs/>
          <w:sz w:val="24"/>
          <w:szCs w:val="24"/>
        </w:rPr>
        <w:t>CONTRATADO</w:t>
      </w:r>
      <w:r>
        <w:rPr>
          <w:sz w:val="24"/>
          <w:szCs w:val="24"/>
        </w:rPr>
        <w:t xml:space="preserve"> deverá encaminhar a Nota Fiscal ou Fatura para pagamento à </w:t>
      </w:r>
      <w:r>
        <w:rPr>
          <w:color w:val="FF0000"/>
          <w:sz w:val="24"/>
          <w:szCs w:val="24"/>
        </w:rPr>
        <w:t>......</w:t>
      </w:r>
      <w:r>
        <w:rPr>
          <w:rFonts w:eastAsia="Arial"/>
          <w:sz w:val="24"/>
          <w:szCs w:val="24"/>
        </w:rPr>
        <w:t xml:space="preserve">, situada </w:t>
      </w:r>
      <w:r>
        <w:rPr>
          <w:rFonts w:eastAsia="Arial"/>
          <w:color w:val="FF0000"/>
          <w:sz w:val="24"/>
          <w:szCs w:val="24"/>
        </w:rPr>
        <w:t xml:space="preserve">na </w:t>
      </w:r>
      <w:r>
        <w:rPr>
          <w:color w:val="FF0000"/>
          <w:sz w:val="24"/>
          <w:szCs w:val="24"/>
        </w:rPr>
        <w:t>......</w:t>
      </w:r>
      <w:r>
        <w:rPr>
          <w:rFonts w:eastAsia="Arial"/>
          <w:sz w:val="24"/>
          <w:szCs w:val="24"/>
        </w:rPr>
        <w:t xml:space="preserve">, na cidade </w:t>
      </w:r>
      <w:r>
        <w:rPr>
          <w:rFonts w:eastAsia="Arial"/>
          <w:color w:val="FF0000"/>
          <w:sz w:val="24"/>
          <w:szCs w:val="24"/>
        </w:rPr>
        <w:t xml:space="preserve">do </w:t>
      </w:r>
      <w:r>
        <w:rPr>
          <w:color w:val="FF0000"/>
          <w:sz w:val="24"/>
          <w:szCs w:val="24"/>
        </w:rPr>
        <w:t>......</w:t>
      </w:r>
      <w:r>
        <w:rPr>
          <w:rFonts w:eastAsia="Arial"/>
          <w:sz w:val="24"/>
          <w:szCs w:val="24"/>
        </w:rPr>
        <w:t xml:space="preserve">, no Estado do Rio de Janeiro ou para o endereço eletrônico </w:t>
      </w:r>
      <w:r>
        <w:rPr>
          <w:color w:val="FF0000"/>
          <w:sz w:val="24"/>
          <w:szCs w:val="24"/>
        </w:rPr>
        <w:t>......</w:t>
      </w:r>
      <w:r>
        <w:rPr>
          <w:rFonts w:eastAsia="Arial"/>
          <w:sz w:val="24"/>
          <w:szCs w:val="24"/>
        </w:rPr>
        <w:t>.</w:t>
      </w:r>
    </w:p>
    <w:p w14:paraId="5BF3EA97">
      <w:pPr>
        <w:spacing w:line="288" w:lineRule="auto"/>
        <w:contextualSpacing/>
        <w:jc w:val="both"/>
        <w:rPr>
          <w:rFonts w:eastAsia="Arial"/>
          <w:sz w:val="24"/>
          <w:szCs w:val="24"/>
        </w:rPr>
      </w:pPr>
    </w:p>
    <w:p w14:paraId="377B9892">
      <w:pPr>
        <w:spacing w:line="288" w:lineRule="auto"/>
        <w:contextualSpacing/>
        <w:jc w:val="both"/>
        <w:rPr>
          <w:rFonts w:eastAsia="Arial"/>
          <w:sz w:val="24"/>
          <w:szCs w:val="24"/>
        </w:rPr>
      </w:pPr>
      <w:r>
        <w:rPr>
          <w:rFonts w:eastAsia="Arial"/>
          <w:sz w:val="24"/>
          <w:szCs w:val="24"/>
        </w:rPr>
        <w:t>6.7  Recebida a Nota Fiscal ou Fatura, o órgão competente deverá realizar consulta ao SICAF para verificar:</w:t>
      </w:r>
    </w:p>
    <w:p w14:paraId="1B98DA3B">
      <w:pPr>
        <w:spacing w:line="288" w:lineRule="auto"/>
        <w:contextualSpacing/>
        <w:jc w:val="both"/>
        <w:rPr>
          <w:sz w:val="24"/>
          <w:szCs w:val="24"/>
        </w:rPr>
      </w:pPr>
      <w:r>
        <w:rPr>
          <w:sz w:val="24"/>
          <w:szCs w:val="24"/>
        </w:rPr>
        <w:t xml:space="preserve">a) a manutenção das condições de habilitação exigidas pelo instrumento convocatório; </w:t>
      </w:r>
    </w:p>
    <w:p w14:paraId="51F8BDF5">
      <w:pPr>
        <w:spacing w:line="288" w:lineRule="auto"/>
        <w:contextualSpacing/>
        <w:jc w:val="both"/>
        <w:rPr>
          <w:sz w:val="24"/>
          <w:szCs w:val="24"/>
        </w:rPr>
      </w:pPr>
      <w:r>
        <w:rPr>
          <w:sz w:val="24"/>
          <w:szCs w:val="24"/>
        </w:rPr>
        <w:t xml:space="preserve">b) se o </w:t>
      </w:r>
      <w:r>
        <w:rPr>
          <w:b/>
          <w:bCs/>
          <w:sz w:val="24"/>
          <w:szCs w:val="24"/>
        </w:rPr>
        <w:t>CONTRATADO</w:t>
      </w:r>
      <w:r>
        <w:rPr>
          <w:sz w:val="24"/>
          <w:szCs w:val="24"/>
        </w:rPr>
        <w:t xml:space="preserve"> foi penalizado com as sanções de declaração de inidoneidade ou impedimento de licitar e contratar com o Poder Público, observadas as abrangências de aplicação; e</w:t>
      </w:r>
    </w:p>
    <w:p w14:paraId="4E9C4681">
      <w:pPr>
        <w:spacing w:line="288" w:lineRule="auto"/>
        <w:contextualSpacing/>
        <w:jc w:val="both"/>
        <w:rPr>
          <w:sz w:val="24"/>
          <w:szCs w:val="24"/>
        </w:rPr>
      </w:pPr>
      <w:r>
        <w:rPr>
          <w:sz w:val="24"/>
          <w:szCs w:val="24"/>
        </w:rPr>
        <w:t>c) eventuais ocorrências impeditivas indiretas, hipótese na qual o gestor deverá verificar se houve fraude por parte das empresas apontadas no Relatório de Ocorrências Impeditivas Indiretas;</w:t>
      </w:r>
    </w:p>
    <w:p w14:paraId="5C49AF48">
      <w:pPr>
        <w:spacing w:line="288" w:lineRule="auto"/>
        <w:contextualSpacing/>
        <w:jc w:val="both"/>
        <w:rPr>
          <w:sz w:val="24"/>
          <w:szCs w:val="24"/>
        </w:rPr>
      </w:pPr>
    </w:p>
    <w:p w14:paraId="11D656FE">
      <w:pPr>
        <w:spacing w:line="288" w:lineRule="auto"/>
        <w:contextualSpacing/>
        <w:jc w:val="both"/>
        <w:rPr>
          <w:sz w:val="24"/>
          <w:szCs w:val="24"/>
        </w:rPr>
      </w:pPr>
      <w:r>
        <w:rPr>
          <w:sz w:val="24"/>
          <w:szCs w:val="24"/>
        </w:rPr>
        <w:t xml:space="preserve">6.7.1 Constatando-se a situação de irregularidade do </w:t>
      </w:r>
      <w:r>
        <w:rPr>
          <w:b/>
          <w:bCs/>
          <w:sz w:val="24"/>
          <w:szCs w:val="24"/>
        </w:rPr>
        <w:t>CONTRATADO</w:t>
      </w:r>
      <w:r>
        <w:rPr>
          <w:sz w:val="24"/>
          <w:szCs w:val="24"/>
        </w:rPr>
        <w:t xml:space="preserve">, será providenciada sua notificação, por escrito, para que, no prazo de 15 (quinze) dias úteis, regularize sua situação ou, no mesmo prazo, apresente sua defesa e especifique as provas que pretende produzir. O prazo poderá ser prorrogado uma vez, por igual período, a critério do </w:t>
      </w:r>
      <w:r>
        <w:rPr>
          <w:b/>
          <w:bCs/>
          <w:sz w:val="24"/>
          <w:szCs w:val="24"/>
        </w:rPr>
        <w:t>CONTRATANTE</w:t>
      </w:r>
      <w:r>
        <w:rPr>
          <w:sz w:val="24"/>
          <w:szCs w:val="24"/>
        </w:rPr>
        <w:t>.</w:t>
      </w:r>
    </w:p>
    <w:p w14:paraId="66D40F16">
      <w:pPr>
        <w:spacing w:line="288" w:lineRule="auto"/>
        <w:contextualSpacing/>
        <w:jc w:val="both"/>
        <w:rPr>
          <w:sz w:val="24"/>
          <w:szCs w:val="24"/>
        </w:rPr>
      </w:pPr>
    </w:p>
    <w:p w14:paraId="70539D66">
      <w:pPr>
        <w:spacing w:line="288" w:lineRule="auto"/>
        <w:contextualSpacing/>
        <w:jc w:val="both"/>
        <w:rPr>
          <w:sz w:val="24"/>
          <w:szCs w:val="24"/>
        </w:rPr>
      </w:pPr>
      <w:r>
        <w:rPr>
          <w:sz w:val="24"/>
          <w:szCs w:val="24"/>
        </w:rPr>
        <w:t xml:space="preserve">6.7.2 Não havendo regularização ou sendo a defesa considerada improcedente, o </w:t>
      </w:r>
      <w:r>
        <w:rPr>
          <w:b/>
          <w:bCs/>
          <w:sz w:val="24"/>
          <w:szCs w:val="24"/>
        </w:rPr>
        <w:t>CONTRATANTE</w:t>
      </w:r>
      <w:r>
        <w:rPr>
          <w:sz w:val="24"/>
          <w:szCs w:val="24"/>
        </w:rPr>
        <w:t xml:space="preserve"> deverá comunicar aos órgãos responsáveis pela fiscalização da regularidade fiscal quanto à inadimplência do </w:t>
      </w:r>
      <w:r>
        <w:rPr>
          <w:b/>
          <w:bCs/>
          <w:sz w:val="24"/>
          <w:szCs w:val="24"/>
        </w:rPr>
        <w:t>CONTRATADO</w:t>
      </w:r>
      <w:r>
        <w:rPr>
          <w:sz w:val="24"/>
          <w:szCs w:val="24"/>
        </w:rPr>
        <w:t xml:space="preserve">, bem como quanto à existência de pagamento a ser efetuado, para que sejam acionados os meios pertinentes e necessários para garantir o recebimento de seus créditos.  </w:t>
      </w:r>
    </w:p>
    <w:p w14:paraId="52CA4D29">
      <w:pPr>
        <w:spacing w:line="288" w:lineRule="auto"/>
        <w:contextualSpacing/>
        <w:jc w:val="both"/>
        <w:rPr>
          <w:sz w:val="24"/>
          <w:szCs w:val="24"/>
        </w:rPr>
      </w:pPr>
    </w:p>
    <w:p w14:paraId="35FF0885">
      <w:pPr>
        <w:spacing w:line="288" w:lineRule="auto"/>
        <w:contextualSpacing/>
        <w:jc w:val="both"/>
        <w:rPr>
          <w:sz w:val="24"/>
          <w:szCs w:val="24"/>
        </w:rPr>
      </w:pPr>
      <w:r>
        <w:rPr>
          <w:sz w:val="24"/>
          <w:szCs w:val="24"/>
        </w:rPr>
        <w:t xml:space="preserve">6.7.3 Persistindo a irregularidade, o </w:t>
      </w:r>
      <w:r>
        <w:rPr>
          <w:b/>
          <w:bCs/>
          <w:sz w:val="24"/>
          <w:szCs w:val="24"/>
        </w:rPr>
        <w:t>CONTRATANTE</w:t>
      </w:r>
      <w:r>
        <w:rPr>
          <w:sz w:val="24"/>
          <w:szCs w:val="24"/>
        </w:rPr>
        <w:t xml:space="preserve"> deverá adotar as medidas necessárias à rescisão do Contrato nos autos do processo administrativo correspondente, assegurada ao </w:t>
      </w:r>
      <w:r>
        <w:rPr>
          <w:b/>
          <w:bCs/>
          <w:sz w:val="24"/>
          <w:szCs w:val="24"/>
        </w:rPr>
        <w:t>CONTRATADO</w:t>
      </w:r>
      <w:r>
        <w:rPr>
          <w:sz w:val="24"/>
          <w:szCs w:val="24"/>
        </w:rPr>
        <w:t xml:space="preserve"> a ampla defesa.</w:t>
      </w:r>
    </w:p>
    <w:p w14:paraId="13F69C01">
      <w:pPr>
        <w:spacing w:line="288" w:lineRule="auto"/>
        <w:contextualSpacing/>
        <w:jc w:val="both"/>
        <w:rPr>
          <w:sz w:val="24"/>
          <w:szCs w:val="24"/>
        </w:rPr>
      </w:pPr>
    </w:p>
    <w:p w14:paraId="76CB82FD">
      <w:pPr>
        <w:spacing w:line="288" w:lineRule="auto"/>
        <w:contextualSpacing/>
        <w:jc w:val="both"/>
        <w:rPr>
          <w:sz w:val="24"/>
          <w:szCs w:val="24"/>
        </w:rPr>
      </w:pPr>
      <w:r>
        <w:rPr>
          <w:sz w:val="24"/>
          <w:szCs w:val="24"/>
        </w:rPr>
        <w:t xml:space="preserve">6.7.4 Havendo a efetiva execução do objeto, os pagamentos serão realizados normalmente, até que se decida pela rescisão do Contrato, caso o </w:t>
      </w:r>
      <w:r>
        <w:rPr>
          <w:b/>
          <w:bCs/>
          <w:sz w:val="24"/>
          <w:szCs w:val="24"/>
        </w:rPr>
        <w:t>CONTRATADO</w:t>
      </w:r>
      <w:r>
        <w:rPr>
          <w:sz w:val="24"/>
          <w:szCs w:val="24"/>
        </w:rPr>
        <w:t xml:space="preserve"> não regularize sua situação. </w:t>
      </w:r>
    </w:p>
    <w:p w14:paraId="786D1FB0">
      <w:pPr>
        <w:spacing w:line="288" w:lineRule="auto"/>
        <w:contextualSpacing/>
        <w:jc w:val="both"/>
        <w:rPr>
          <w:sz w:val="24"/>
          <w:szCs w:val="24"/>
        </w:rPr>
      </w:pPr>
    </w:p>
    <w:p w14:paraId="0D65A5D7">
      <w:pPr>
        <w:spacing w:line="288" w:lineRule="auto"/>
        <w:contextualSpacing/>
        <w:jc w:val="both"/>
        <w:rPr>
          <w:sz w:val="24"/>
          <w:szCs w:val="24"/>
        </w:rPr>
      </w:pPr>
      <w:r>
        <w:rPr>
          <w:sz w:val="24"/>
          <w:szCs w:val="24"/>
        </w:rPr>
        <w:t>6.8 O pagamento será efetuado no prazo máximo de até 30</w:t>
      </w:r>
      <w:r>
        <w:rPr>
          <w:color w:val="FF0000"/>
          <w:sz w:val="24"/>
          <w:szCs w:val="24"/>
        </w:rPr>
        <w:t xml:space="preserve"> </w:t>
      </w:r>
      <w:r>
        <w:rPr>
          <w:sz w:val="24"/>
          <w:szCs w:val="24"/>
        </w:rPr>
        <w:t>(trinta)</w:t>
      </w:r>
      <w:r>
        <w:rPr>
          <w:color w:val="FF0000"/>
          <w:sz w:val="24"/>
          <w:szCs w:val="24"/>
        </w:rPr>
        <w:t xml:space="preserve"> </w:t>
      </w:r>
      <w:r>
        <w:rPr>
          <w:sz w:val="24"/>
          <w:szCs w:val="24"/>
        </w:rPr>
        <w:t>dias, contado do recebimento da Nota Fiscal ou Fatura.</w:t>
      </w:r>
    </w:p>
    <w:p w14:paraId="0F97E92C">
      <w:pPr>
        <w:spacing w:line="288" w:lineRule="auto"/>
        <w:contextualSpacing/>
        <w:jc w:val="both"/>
        <w:rPr>
          <w:color w:val="FF0000"/>
          <w:sz w:val="24"/>
          <w:szCs w:val="24"/>
        </w:rPr>
      </w:pPr>
    </w:p>
    <w:p w14:paraId="51D8FC13">
      <w:pPr>
        <w:spacing w:line="288" w:lineRule="auto"/>
        <w:contextualSpacing/>
        <w:jc w:val="both"/>
        <w:rPr>
          <w:sz w:val="24"/>
          <w:szCs w:val="24"/>
        </w:rPr>
      </w:pPr>
      <w:r>
        <w:rPr>
          <w:sz w:val="24"/>
          <w:szCs w:val="24"/>
        </w:rPr>
        <w:t xml:space="preserve">6.8.1 Havendo erro na apresentação da Nota Fiscal ou Fatura, ou circunstância que impeça a liquidação da despesa, o pagamento ficará sobrestado até que o </w:t>
      </w:r>
      <w:r>
        <w:rPr>
          <w:b/>
          <w:bCs/>
          <w:sz w:val="24"/>
          <w:szCs w:val="24"/>
        </w:rPr>
        <w:t>CONTRATADO</w:t>
      </w:r>
      <w:r>
        <w:rPr>
          <w:sz w:val="24"/>
          <w:szCs w:val="24"/>
        </w:rPr>
        <w:t xml:space="preserve"> providencie as medidas saneadoras. Nessa hipótese, o prazo para pagamento iniciar-se-á após a comprovação da regularização da situação, não acarretando qualquer ônus para o </w:t>
      </w:r>
      <w:r>
        <w:rPr>
          <w:b/>
          <w:bCs/>
          <w:sz w:val="24"/>
          <w:szCs w:val="24"/>
        </w:rPr>
        <w:t>CONTRATANTE</w:t>
      </w:r>
      <w:r>
        <w:rPr>
          <w:sz w:val="24"/>
          <w:szCs w:val="24"/>
        </w:rPr>
        <w:t>.</w:t>
      </w:r>
    </w:p>
    <w:p w14:paraId="0C4B3C7F">
      <w:pPr>
        <w:spacing w:line="288" w:lineRule="auto"/>
        <w:contextualSpacing/>
        <w:jc w:val="both"/>
        <w:rPr>
          <w:sz w:val="24"/>
          <w:szCs w:val="24"/>
        </w:rPr>
      </w:pPr>
    </w:p>
    <w:p w14:paraId="3D5C9493">
      <w:pPr>
        <w:spacing w:line="288" w:lineRule="auto"/>
        <w:contextualSpacing/>
        <w:jc w:val="both"/>
        <w:rPr>
          <w:sz w:val="24"/>
          <w:szCs w:val="24"/>
        </w:rPr>
      </w:pPr>
      <w:r>
        <w:rPr>
          <w:sz w:val="24"/>
          <w:szCs w:val="24"/>
        </w:rPr>
        <w:t>6.9 Quando do pagamento, será efetuada a retenção tributária prevista na legislação aplicável.</w:t>
      </w:r>
    </w:p>
    <w:p w14:paraId="23BCAD56">
      <w:pPr>
        <w:spacing w:line="288" w:lineRule="auto"/>
        <w:contextualSpacing/>
        <w:jc w:val="both"/>
        <w:rPr>
          <w:sz w:val="24"/>
          <w:szCs w:val="24"/>
        </w:rPr>
      </w:pPr>
    </w:p>
    <w:p w14:paraId="18527F3B">
      <w:pPr>
        <w:spacing w:line="288" w:lineRule="auto"/>
        <w:contextualSpacing/>
        <w:jc w:val="both"/>
        <w:rPr>
          <w:sz w:val="24"/>
          <w:szCs w:val="24"/>
        </w:rPr>
      </w:pPr>
      <w:r>
        <w:rPr>
          <w:sz w:val="24"/>
          <w:szCs w:val="24"/>
        </w:rPr>
        <w:t>6.9.1 Independentemente do percentual de tributo inserido na planilha, no pagamento serão retidos na fonte os percentuais estabelecidos na legislação vigente.</w:t>
      </w:r>
    </w:p>
    <w:p w14:paraId="2FE7BCBF">
      <w:pPr>
        <w:spacing w:line="288" w:lineRule="auto"/>
        <w:contextualSpacing/>
        <w:jc w:val="both"/>
        <w:rPr>
          <w:sz w:val="24"/>
          <w:szCs w:val="24"/>
        </w:rPr>
      </w:pPr>
    </w:p>
    <w:p w14:paraId="6840BBB5">
      <w:pPr>
        <w:spacing w:line="288" w:lineRule="auto"/>
        <w:contextualSpacing/>
        <w:jc w:val="both"/>
        <w:rPr>
          <w:sz w:val="24"/>
          <w:szCs w:val="24"/>
        </w:rPr>
      </w:pPr>
      <w:r>
        <w:rPr>
          <w:sz w:val="24"/>
          <w:szCs w:val="24"/>
        </w:rPr>
        <w:t xml:space="preserve">6.9.2 O </w:t>
      </w:r>
      <w:r>
        <w:rPr>
          <w:b/>
          <w:bCs/>
          <w:sz w:val="24"/>
          <w:szCs w:val="24"/>
        </w:rPr>
        <w:t>CONTRATADO</w:t>
      </w:r>
      <w:r>
        <w:rPr>
          <w:sz w:val="24"/>
          <w:szCs w:val="24"/>
        </w:rPr>
        <w:t xml:space="preserve">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166E042B">
      <w:pPr>
        <w:spacing w:line="288" w:lineRule="auto"/>
        <w:contextualSpacing/>
        <w:jc w:val="both"/>
        <w:rPr>
          <w:sz w:val="24"/>
          <w:szCs w:val="24"/>
        </w:rPr>
      </w:pPr>
    </w:p>
    <w:p w14:paraId="15A2B14D">
      <w:pPr>
        <w:spacing w:line="288" w:lineRule="auto"/>
        <w:contextualSpacing/>
        <w:jc w:val="both"/>
        <w:rPr>
          <w:iCs/>
          <w:sz w:val="24"/>
          <w:szCs w:val="24"/>
        </w:rPr>
      </w:pPr>
      <w:r>
        <w:rPr>
          <w:color w:val="000000"/>
          <w:sz w:val="24"/>
          <w:szCs w:val="24"/>
        </w:rPr>
        <w:t>6.10 Os pagamentos eventualmente realizados com atraso, desde</w:t>
      </w:r>
      <w:r>
        <w:rPr>
          <w:sz w:val="24"/>
          <w:szCs w:val="24"/>
        </w:rPr>
        <w:t xml:space="preserve"> que não decorram de ato ou fato atribuível ao </w:t>
      </w:r>
      <w:r>
        <w:rPr>
          <w:b/>
          <w:bCs/>
          <w:sz w:val="24"/>
          <w:szCs w:val="24"/>
        </w:rPr>
        <w:t>CONTRATADO</w:t>
      </w:r>
      <w:r>
        <w:rPr>
          <w:sz w:val="24"/>
          <w:szCs w:val="24"/>
        </w:rPr>
        <w:t xml:space="preserve">, sofrerão a incidência de atualização monetária e juros de mora pelo IPCA-E, calculado </w:t>
      </w:r>
      <w:r>
        <w:rPr>
          <w:i/>
          <w:sz w:val="24"/>
          <w:szCs w:val="24"/>
        </w:rPr>
        <w:t>pro rata die</w:t>
      </w:r>
      <w:r>
        <w:rPr>
          <w:sz w:val="24"/>
          <w:szCs w:val="24"/>
        </w:rPr>
        <w:t xml:space="preserve">, e aqueles pagos em prazo inferior ao estabelecido no instrumento convocatório serão feitos mediante desconto de 0,5% (um meio por cento) ao mês, calculado </w:t>
      </w:r>
      <w:r>
        <w:rPr>
          <w:i/>
          <w:sz w:val="24"/>
          <w:szCs w:val="24"/>
        </w:rPr>
        <w:t>pro rata die</w:t>
      </w:r>
      <w:r>
        <w:rPr>
          <w:iCs/>
          <w:sz w:val="24"/>
          <w:szCs w:val="24"/>
        </w:rPr>
        <w:t>.</w:t>
      </w:r>
    </w:p>
    <w:p w14:paraId="1D789BFC">
      <w:pPr>
        <w:spacing w:line="288" w:lineRule="auto"/>
        <w:contextualSpacing/>
        <w:jc w:val="both"/>
        <w:rPr>
          <w:color w:val="000000"/>
          <w:sz w:val="24"/>
          <w:szCs w:val="24"/>
        </w:rPr>
      </w:pPr>
    </w:p>
    <w:p w14:paraId="3704D130">
      <w:pPr>
        <w:spacing w:line="288" w:lineRule="auto"/>
        <w:contextualSpacing/>
        <w:jc w:val="both"/>
        <w:rPr>
          <w:sz w:val="24"/>
          <w:szCs w:val="24"/>
        </w:rPr>
      </w:pPr>
      <w:r>
        <w:rPr>
          <w:color w:val="000000"/>
          <w:sz w:val="24"/>
          <w:szCs w:val="24"/>
        </w:rPr>
        <w:t xml:space="preserve">6.11 </w:t>
      </w:r>
      <w:r>
        <w:rPr>
          <w:sz w:val="24"/>
          <w:szCs w:val="24"/>
        </w:rPr>
        <w:t xml:space="preserve">O </w:t>
      </w:r>
      <w:r>
        <w:rPr>
          <w:b/>
          <w:bCs/>
          <w:sz w:val="24"/>
          <w:szCs w:val="24"/>
        </w:rPr>
        <w:t>CONTRATADO</w:t>
      </w:r>
      <w:r>
        <w:rPr>
          <w:sz w:val="24"/>
          <w:szCs w:val="24"/>
        </w:rPr>
        <w:t xml:space="preserve"> deverá emitir a Nota Fiscal Eletrônica – NF-e, consoante o Protocolo ICMS nº 42/2009, com a redação conferida pelo Protocolo ICMS nº 85/2010, e caso seu estabelecimento esteja localizado no Estado do Rio de Janeiro, deverá observar a forma prescrita nas alíneas </w:t>
      </w:r>
      <w:r>
        <w:rPr>
          <w:iCs/>
          <w:sz w:val="24"/>
          <w:szCs w:val="24"/>
        </w:rPr>
        <w:t>a, b, c, d e e</w:t>
      </w:r>
      <w:r>
        <w:rPr>
          <w:i/>
          <w:sz w:val="24"/>
          <w:szCs w:val="24"/>
        </w:rPr>
        <w:t xml:space="preserve"> </w:t>
      </w:r>
      <w:r>
        <w:rPr>
          <w:sz w:val="24"/>
          <w:szCs w:val="24"/>
        </w:rPr>
        <w:t>do parágrafo 1º do artigo 2º da Resolução SEFAZ nº 971/2016.</w:t>
      </w:r>
    </w:p>
    <w:p w14:paraId="4ED9F295">
      <w:pPr>
        <w:spacing w:line="288" w:lineRule="auto"/>
        <w:contextualSpacing/>
        <w:jc w:val="both"/>
        <w:rPr>
          <w:sz w:val="24"/>
          <w:szCs w:val="24"/>
        </w:rPr>
      </w:pPr>
    </w:p>
    <w:p w14:paraId="1A3C174C">
      <w:pPr>
        <w:spacing w:line="288" w:lineRule="auto"/>
        <w:contextualSpacing/>
        <w:jc w:val="both"/>
        <w:rPr>
          <w:sz w:val="24"/>
          <w:szCs w:val="24"/>
        </w:rPr>
      </w:pPr>
      <w:r>
        <w:rPr>
          <w:sz w:val="24"/>
          <w:szCs w:val="24"/>
        </w:rPr>
        <w:t xml:space="preserve">6.12 Caso o Edital admita a subcontratação, os pagamentos aos subcontratados serão realizados diretamente pelo </w:t>
      </w:r>
      <w:r>
        <w:rPr>
          <w:b/>
          <w:bCs/>
          <w:sz w:val="24"/>
          <w:szCs w:val="24"/>
        </w:rPr>
        <w:t>CONTRATADO</w:t>
      </w:r>
      <w:r>
        <w:rPr>
          <w:sz w:val="24"/>
          <w:szCs w:val="24"/>
        </w:rPr>
        <w:t xml:space="preserve">, ficando vedada a emissão de nota de empenho do </w:t>
      </w:r>
      <w:r>
        <w:rPr>
          <w:b/>
          <w:bCs/>
          <w:sz w:val="24"/>
          <w:szCs w:val="24"/>
        </w:rPr>
        <w:t>CONTRATANTE</w:t>
      </w:r>
      <w:r>
        <w:rPr>
          <w:sz w:val="24"/>
          <w:szCs w:val="24"/>
        </w:rPr>
        <w:t xml:space="preserve"> diretamente aos subcontratados. </w:t>
      </w:r>
    </w:p>
    <w:p w14:paraId="0E5677EF">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2643BD94">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6.12.1 A subcontratação porventura realizada será integralmente custeada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0FCCA19F">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386115D9">
      <w:pPr>
        <w:pStyle w:val="85"/>
        <w:spacing w:before="0" w:line="288" w:lineRule="auto"/>
        <w:ind w:left="0" w:firstLine="0"/>
        <w:contextualSpacing/>
        <w:rPr>
          <w:rStyle w:val="14"/>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SÉTIMA - REAJUSTE </w:t>
      </w:r>
    </w:p>
    <w:p w14:paraId="7F8FEB70">
      <w:pPr>
        <w:spacing w:line="288" w:lineRule="auto"/>
        <w:contextualSpacing/>
        <w:jc w:val="both"/>
        <w:rPr>
          <w:sz w:val="24"/>
          <w:szCs w:val="24"/>
        </w:rPr>
      </w:pPr>
    </w:p>
    <w:p w14:paraId="4F481E13">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 Os preços contratados serão reajustados após o interregno de 1 (um) ano, mediante solicitação do </w:t>
      </w:r>
      <w:r>
        <w:rPr>
          <w:rFonts w:ascii="Times New Roman" w:hAnsi="Times New Roman" w:cs="Times New Roman"/>
          <w:b/>
          <w:bCs/>
          <w:sz w:val="24"/>
          <w:szCs w:val="24"/>
        </w:rPr>
        <w:t>CONTRATADO</w:t>
      </w:r>
      <w:r>
        <w:rPr>
          <w:rFonts w:ascii="Times New Roman" w:hAnsi="Times New Roman" w:cs="Times New Roman"/>
          <w:sz w:val="24"/>
          <w:szCs w:val="24"/>
        </w:rPr>
        <w:t>.</w:t>
      </w:r>
    </w:p>
    <w:p w14:paraId="1CB69872">
      <w:pPr>
        <w:pStyle w:val="83"/>
        <w:spacing w:before="0" w:after="0" w:line="288" w:lineRule="auto"/>
        <w:ind w:left="0" w:firstLine="0"/>
        <w:contextualSpacing/>
        <w:rPr>
          <w:rFonts w:ascii="Times New Roman" w:hAnsi="Times New Roman" w:cs="Times New Roman"/>
          <w:sz w:val="24"/>
          <w:szCs w:val="24"/>
        </w:rPr>
      </w:pPr>
    </w:p>
    <w:p w14:paraId="24030337">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7.2 O interregno mínimo de 1 (um) ano para o primeiro reajuste será contado da data do orçamento estimado. </w:t>
      </w:r>
    </w:p>
    <w:p w14:paraId="229F187E">
      <w:pPr>
        <w:pStyle w:val="83"/>
        <w:spacing w:before="0" w:after="0" w:line="288" w:lineRule="auto"/>
        <w:ind w:left="0" w:firstLine="0"/>
        <w:contextualSpacing/>
        <w:rPr>
          <w:rFonts w:ascii="Times New Roman" w:hAnsi="Times New Roman" w:cs="Times New Roman"/>
          <w:sz w:val="24"/>
          <w:szCs w:val="24"/>
        </w:rPr>
      </w:pPr>
    </w:p>
    <w:p w14:paraId="4C7B6680">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7.3 Nos reajustes subsequentes ao primeiro, o interregno mínimo de 1 (um) ano será contado a partir do fato gerador que deu ensejo ao último reajuste.</w:t>
      </w:r>
    </w:p>
    <w:p w14:paraId="35181657">
      <w:pPr>
        <w:pStyle w:val="83"/>
        <w:spacing w:before="0" w:after="0" w:line="288" w:lineRule="auto"/>
        <w:ind w:left="0" w:firstLine="0"/>
        <w:contextualSpacing/>
        <w:rPr>
          <w:rFonts w:ascii="Times New Roman" w:hAnsi="Times New Roman" w:cs="Times New Roman"/>
          <w:sz w:val="24"/>
          <w:szCs w:val="24"/>
        </w:rPr>
      </w:pPr>
    </w:p>
    <w:p w14:paraId="781DD946">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7.4 Os preços iniciais serão reajustados, mediante a aplicação, pelo </w:t>
      </w:r>
      <w:r>
        <w:rPr>
          <w:rFonts w:ascii="Times New Roman" w:hAnsi="Times New Roman" w:cs="Times New Roman"/>
          <w:b/>
          <w:bCs/>
          <w:sz w:val="24"/>
          <w:szCs w:val="24"/>
        </w:rPr>
        <w:t>CONTRATANTE</w:t>
      </w:r>
      <w:r>
        <w:rPr>
          <w:rFonts w:ascii="Times New Roman" w:hAnsi="Times New Roman" w:cs="Times New Roman"/>
          <w:sz w:val="24"/>
          <w:szCs w:val="24"/>
        </w:rPr>
        <w:t>, do índice IPCA-E</w:t>
      </w:r>
      <w:r>
        <w:rPr>
          <w:rFonts w:ascii="Times New Roman" w:hAnsi="Times New Roman" w:cs="Times New Roman"/>
          <w:i/>
          <w:iCs/>
          <w:sz w:val="24"/>
          <w:szCs w:val="24"/>
        </w:rPr>
        <w:t>,</w:t>
      </w:r>
      <w:r>
        <w:rPr>
          <w:rFonts w:ascii="Times New Roman" w:hAnsi="Times New Roman" w:cs="Times New Roman"/>
          <w:sz w:val="24"/>
          <w:szCs w:val="24"/>
        </w:rPr>
        <w:t xml:space="preserve"> exclusivamente para as obrigações </w:t>
      </w:r>
      <w:r>
        <w:rPr>
          <w:rFonts w:ascii="Times New Roman" w:hAnsi="Times New Roman" w:cs="Times New Roman"/>
          <w:color w:val="auto"/>
          <w:sz w:val="24"/>
          <w:szCs w:val="24"/>
        </w:rPr>
        <w:t>que se iniciem após a anualidade</w:t>
      </w:r>
      <w:r>
        <w:rPr>
          <w:rFonts w:ascii="Times New Roman" w:hAnsi="Times New Roman" w:cs="Times New Roman"/>
          <w:sz w:val="24"/>
          <w:szCs w:val="24"/>
        </w:rPr>
        <w:t>.</w:t>
      </w:r>
    </w:p>
    <w:p w14:paraId="2C25522F">
      <w:pPr>
        <w:pStyle w:val="83"/>
        <w:spacing w:before="0" w:after="0" w:line="288" w:lineRule="auto"/>
        <w:ind w:left="0" w:firstLine="0"/>
        <w:contextualSpacing/>
        <w:rPr>
          <w:rFonts w:ascii="Times New Roman" w:hAnsi="Times New Roman" w:cs="Times New Roman"/>
          <w:sz w:val="24"/>
          <w:szCs w:val="24"/>
        </w:rPr>
      </w:pPr>
    </w:p>
    <w:p w14:paraId="2ECEA360">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 No caso de atraso ou não divulgação do(s) índice(s) de reajustamento, o </w:t>
      </w:r>
      <w:r>
        <w:rPr>
          <w:rFonts w:ascii="Times New Roman" w:hAnsi="Times New Roman" w:cs="Times New Roman"/>
          <w:b/>
          <w:bCs/>
          <w:sz w:val="24"/>
          <w:szCs w:val="24"/>
        </w:rPr>
        <w:t>CONTRATANTE</w:t>
      </w:r>
      <w:r>
        <w:rPr>
          <w:rFonts w:ascii="Times New Roman" w:hAnsi="Times New Roman" w:cs="Times New Roman"/>
          <w:sz w:val="24"/>
          <w:szCs w:val="24"/>
        </w:rPr>
        <w:t xml:space="preserve"> pagará ao </w:t>
      </w:r>
      <w:r>
        <w:rPr>
          <w:rFonts w:ascii="Times New Roman" w:hAnsi="Times New Roman" w:cs="Times New Roman"/>
          <w:b/>
          <w:bCs/>
          <w:sz w:val="24"/>
          <w:szCs w:val="24"/>
        </w:rPr>
        <w:t>CONTRATADO</w:t>
      </w:r>
      <w:r>
        <w:rPr>
          <w:rFonts w:ascii="Times New Roman" w:hAnsi="Times New Roman" w:cs="Times New Roman"/>
          <w:sz w:val="24"/>
          <w:szCs w:val="24"/>
        </w:rPr>
        <w:t xml:space="preserve"> a importância calculada pela última variação conhecida, liquidando a diferença correspondente tão logo seja(m) divulgado(s) o(s) índice(s) definitivo(s). </w:t>
      </w:r>
    </w:p>
    <w:p w14:paraId="485E6C98">
      <w:pPr>
        <w:pStyle w:val="83"/>
        <w:spacing w:before="0" w:after="0" w:line="288" w:lineRule="auto"/>
        <w:ind w:left="0" w:firstLine="0"/>
        <w:contextualSpacing/>
        <w:rPr>
          <w:rFonts w:ascii="Times New Roman" w:hAnsi="Times New Roman" w:cs="Times New Roman"/>
          <w:sz w:val="24"/>
          <w:szCs w:val="24"/>
        </w:rPr>
      </w:pPr>
    </w:p>
    <w:p w14:paraId="6978F170">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Fica o </w:t>
      </w:r>
      <w:r>
        <w:rPr>
          <w:rFonts w:ascii="Times New Roman" w:hAnsi="Times New Roman" w:cs="Times New Roman"/>
          <w:b/>
          <w:bCs/>
          <w:sz w:val="24"/>
          <w:szCs w:val="24"/>
        </w:rPr>
        <w:t>CONTRATADO</w:t>
      </w:r>
      <w:r>
        <w:rPr>
          <w:rFonts w:ascii="Times New Roman" w:hAnsi="Times New Roman" w:cs="Times New Roman"/>
          <w:sz w:val="24"/>
          <w:szCs w:val="24"/>
        </w:rPr>
        <w:t xml:space="preserve"> obrigado a apresentar memória de cálculo referente ao reajustamento de preços do valor remanescente, sempre que este ocorrer, sendo adotado na aferição final o índice definitivo.</w:t>
      </w:r>
    </w:p>
    <w:p w14:paraId="5FD336F1">
      <w:pPr>
        <w:pStyle w:val="83"/>
        <w:spacing w:before="0" w:after="0" w:line="288" w:lineRule="auto"/>
        <w:ind w:left="0" w:firstLine="0"/>
        <w:contextualSpacing/>
        <w:rPr>
          <w:rFonts w:ascii="Times New Roman" w:hAnsi="Times New Roman" w:cs="Times New Roman"/>
          <w:sz w:val="24"/>
          <w:szCs w:val="24"/>
        </w:rPr>
      </w:pPr>
    </w:p>
    <w:p w14:paraId="44EFB2E9">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7.6 Caso o(s) índice(s) estabelecido(s) para reajustamento venha(m) a ser extinto(s) ou de qualquer forma não possa(m) mais ser utilizado(s), será(ão) adotado(s), em substituição, o(s) que vier(em) a ser determinado(s) pela legislação então em vigor.</w:t>
      </w:r>
    </w:p>
    <w:p w14:paraId="3AAF7C0C">
      <w:pPr>
        <w:pStyle w:val="83"/>
        <w:spacing w:before="0" w:after="0" w:line="288" w:lineRule="auto"/>
        <w:ind w:left="0" w:firstLine="0"/>
        <w:contextualSpacing/>
        <w:rPr>
          <w:rFonts w:ascii="Times New Roman" w:hAnsi="Times New Roman" w:cs="Times New Roman"/>
          <w:sz w:val="24"/>
          <w:szCs w:val="24"/>
        </w:rPr>
      </w:pPr>
    </w:p>
    <w:p w14:paraId="7936A54F">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7.7 Na ausência de previsão legal quanto ao índice substituto, as partes elegerão novo índice oficial, para reajustamento do preço do valor remanescente, por meio de termo aditivo.</w:t>
      </w:r>
    </w:p>
    <w:p w14:paraId="4070B672">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p w14:paraId="3F13F8DF">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7.8 O pedido de reajuste deverá ser formulado durante a vigência do Contrato e antes de eventual prorrogação contratual, sob pena de preclusão.</w:t>
      </w:r>
    </w:p>
    <w:p w14:paraId="7C3F6B75">
      <w:pPr>
        <w:spacing w:after="160" w:line="288" w:lineRule="auto"/>
        <w:contextualSpacing/>
        <w:jc w:val="both"/>
        <w:rPr>
          <w:sz w:val="24"/>
          <w:szCs w:val="24"/>
        </w:rPr>
      </w:pPr>
    </w:p>
    <w:p w14:paraId="280A6FA7">
      <w:pPr>
        <w:spacing w:after="160" w:line="288" w:lineRule="auto"/>
        <w:contextualSpacing/>
        <w:jc w:val="both"/>
        <w:rPr>
          <w:sz w:val="24"/>
          <w:szCs w:val="24"/>
        </w:rPr>
      </w:pPr>
      <w:r>
        <w:rPr>
          <w:sz w:val="24"/>
          <w:szCs w:val="24"/>
        </w:rPr>
        <w:t>7.8.1 Os efeitos financeiros do pedido de reajuste serão contados:</w:t>
      </w:r>
    </w:p>
    <w:p w14:paraId="336A0ECB">
      <w:pPr>
        <w:spacing w:line="288" w:lineRule="auto"/>
        <w:contextualSpacing/>
        <w:jc w:val="both"/>
        <w:rPr>
          <w:sz w:val="24"/>
          <w:szCs w:val="24"/>
        </w:rPr>
      </w:pPr>
      <w:r>
        <w:rPr>
          <w:sz w:val="24"/>
          <w:szCs w:val="24"/>
        </w:rPr>
        <w:t>a) da data-base prevista no Contrato, desde que requerido o reajuste no prazo de 60 (sessenta) dias da data de publicação do índice ajustado contratualmente;</w:t>
      </w:r>
    </w:p>
    <w:p w14:paraId="06C65346">
      <w:pPr>
        <w:spacing w:line="288" w:lineRule="auto"/>
        <w:ind w:left="40"/>
        <w:contextualSpacing/>
        <w:jc w:val="both"/>
        <w:rPr>
          <w:sz w:val="24"/>
          <w:szCs w:val="24"/>
        </w:rPr>
      </w:pPr>
      <w:r>
        <w:rPr>
          <w:sz w:val="24"/>
          <w:szCs w:val="24"/>
        </w:rPr>
        <w:t xml:space="preserve">b) a partir da data do requerimento do </w:t>
      </w:r>
      <w:r>
        <w:rPr>
          <w:b/>
          <w:bCs/>
          <w:sz w:val="24"/>
          <w:szCs w:val="24"/>
        </w:rPr>
        <w:t>CONTRATADO</w:t>
      </w:r>
      <w:r>
        <w:rPr>
          <w:sz w:val="24"/>
          <w:szCs w:val="24"/>
        </w:rPr>
        <w:t xml:space="preserve">, caso o pedido seja formulado após o prazo fixado na alínea </w:t>
      </w:r>
      <w:r>
        <w:rPr>
          <w:sz w:val="24"/>
          <w:szCs w:val="24"/>
          <w:u w:val="single"/>
        </w:rPr>
        <w:t>a</w:t>
      </w:r>
      <w:r>
        <w:rPr>
          <w:sz w:val="24"/>
          <w:szCs w:val="24"/>
        </w:rPr>
        <w:t>, acima, o que não acarretará a alteração do marco para cômputo da anualidade do reajustamento, já adotado no Edital e no Contrato.</w:t>
      </w:r>
    </w:p>
    <w:p w14:paraId="01754986">
      <w:pPr>
        <w:spacing w:line="288" w:lineRule="auto"/>
        <w:ind w:left="40"/>
        <w:contextualSpacing/>
        <w:jc w:val="both"/>
        <w:rPr>
          <w:sz w:val="24"/>
          <w:szCs w:val="24"/>
        </w:rPr>
      </w:pPr>
    </w:p>
    <w:p w14:paraId="0B9249CA">
      <w:pPr>
        <w:spacing w:line="288" w:lineRule="auto"/>
        <w:ind w:left="40"/>
        <w:contextualSpacing/>
        <w:jc w:val="both"/>
        <w:rPr>
          <w:sz w:val="24"/>
          <w:szCs w:val="24"/>
        </w:rPr>
      </w:pPr>
      <w:r>
        <w:rPr>
          <w:sz w:val="24"/>
          <w:szCs w:val="24"/>
        </w:rPr>
        <w:t xml:space="preserve">7.9 Caso, na data de eventual prorrogação contratual, ainda não tenha sido divulgado o índice de reajuste, deverá, a requerimento do </w:t>
      </w:r>
      <w:r>
        <w:rPr>
          <w:b/>
          <w:bCs/>
          <w:sz w:val="24"/>
          <w:szCs w:val="24"/>
        </w:rPr>
        <w:t>CONTRATADO</w:t>
      </w:r>
      <w:r>
        <w:rPr>
          <w:sz w:val="24"/>
          <w:szCs w:val="24"/>
        </w:rPr>
        <w:t xml:space="preserve">, ser inserida cláusula no termo aditivo de prorrogação para resguardar o direito futuro do </w:t>
      </w:r>
      <w:r>
        <w:rPr>
          <w:b/>
          <w:bCs/>
          <w:sz w:val="24"/>
          <w:szCs w:val="24"/>
        </w:rPr>
        <w:t>CONTRATADO</w:t>
      </w:r>
      <w:r>
        <w:rPr>
          <w:sz w:val="24"/>
          <w:szCs w:val="24"/>
        </w:rPr>
        <w:t>, a ser exercido tão logo se disponha dos valores reajustados, sob pena de preclusão.</w:t>
      </w:r>
    </w:p>
    <w:p w14:paraId="06256F07">
      <w:pPr>
        <w:spacing w:line="288" w:lineRule="auto"/>
        <w:ind w:left="40"/>
        <w:contextualSpacing/>
        <w:jc w:val="both"/>
        <w:rPr>
          <w:sz w:val="24"/>
          <w:szCs w:val="24"/>
        </w:rPr>
      </w:pPr>
    </w:p>
    <w:p w14:paraId="652117B3">
      <w:pPr>
        <w:spacing w:line="288" w:lineRule="auto"/>
        <w:ind w:left="40"/>
        <w:contextualSpacing/>
        <w:jc w:val="both"/>
        <w:rPr>
          <w:sz w:val="24"/>
          <w:szCs w:val="24"/>
        </w:rPr>
      </w:pPr>
      <w:r>
        <w:rPr>
          <w:sz w:val="24"/>
          <w:szCs w:val="24"/>
        </w:rPr>
        <w:t>7.10 A extinção do Contrato não configurará óbice para o deferimento do reajuste solicitado tempestivamente, hipótese em que será concedido por meio de termo indenizatório.</w:t>
      </w:r>
    </w:p>
    <w:p w14:paraId="41972068">
      <w:pPr>
        <w:pStyle w:val="83"/>
        <w:spacing w:before="0" w:after="0" w:line="288" w:lineRule="auto"/>
        <w:ind w:left="0" w:firstLine="0"/>
        <w:contextualSpacing/>
        <w:rPr>
          <w:rFonts w:ascii="Times New Roman" w:hAnsi="Times New Roman" w:cs="Times New Roman"/>
          <w:sz w:val="24"/>
          <w:szCs w:val="24"/>
        </w:rPr>
      </w:pPr>
    </w:p>
    <w:p w14:paraId="5DC30701">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O reajuste será realizado por apostilamento, se esta for a única alteração contratual a ser realizada.</w:t>
      </w:r>
    </w:p>
    <w:p w14:paraId="1DF0874F">
      <w:pPr>
        <w:pStyle w:val="83"/>
        <w:spacing w:before="0" w:after="0" w:line="288" w:lineRule="auto"/>
        <w:ind w:left="0" w:firstLine="0"/>
        <w:contextualSpacing/>
        <w:rPr>
          <w:rFonts w:ascii="Times New Roman" w:hAnsi="Times New Roman" w:cs="Times New Roman"/>
          <w:color w:val="auto"/>
          <w:sz w:val="24"/>
          <w:szCs w:val="24"/>
        </w:rPr>
      </w:pPr>
    </w:p>
    <w:p w14:paraId="2F83A24A">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7.12 O reajuste de preços não interfere no direito das partes de solicitar, a qualquer momento, a manutenção do equilíbrio econômico dos contratos com base no disposto no art. 124, inciso II, alínea d, da Lei nº 14.133/2021. </w:t>
      </w:r>
    </w:p>
    <w:p w14:paraId="67F5BA63">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58FC4912">
      <w:pPr>
        <w:pStyle w:val="91"/>
        <w:numPr>
          <w:ilvl w:val="0"/>
          <w:numId w:val="0"/>
        </w:numPr>
        <w:spacing w:before="0" w:after="0" w:line="288" w:lineRule="auto"/>
        <w:contextualSpacing/>
        <w:rPr>
          <w:rFonts w:ascii="Times New Roman" w:hAnsi="Times New Roman" w:cs="Times New Roman"/>
          <w:b/>
          <w:bCs/>
          <w:i w:val="0"/>
          <w:iCs w:val="0"/>
          <w:color w:val="auto"/>
          <w:sz w:val="24"/>
          <w:szCs w:val="24"/>
        </w:rPr>
      </w:pPr>
      <w:r>
        <w:rPr>
          <w:rFonts w:ascii="Times New Roman" w:hAnsi="Times New Roman" w:cs="Times New Roman"/>
          <w:b/>
          <w:bCs/>
          <w:i w:val="0"/>
          <w:iCs w:val="0"/>
          <w:color w:val="auto"/>
          <w:sz w:val="24"/>
          <w:szCs w:val="24"/>
        </w:rPr>
        <w:t>CLÁUSULA OITAVA – OBRIGAÇÕES DO CONTRATANTE</w:t>
      </w:r>
    </w:p>
    <w:p w14:paraId="618C20F6">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57D96D02">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 São obrigações do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w:t>
      </w:r>
    </w:p>
    <w:p w14:paraId="4B37D84B">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387184AC">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8.1.1 Exigir o cumprimento de todas as obrigações assumidas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de acordo com o Contrato e seus Anexos.</w:t>
      </w:r>
    </w:p>
    <w:p w14:paraId="75FB82A3">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4CCFA458">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8.1.2 Receber o objeto no prazo e condições estabelecidas no Termo de Referência.</w:t>
      </w:r>
    </w:p>
    <w:p w14:paraId="54E0AAFF">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4A0CC91C">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8.1.3 Notificar 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por escrito, sobre vícios, defeitos ou incorreções verificadas no objeto fornecido, para que seja por ele substituído, reparado ou corrigido, no total ou em parte, às suas expensas.</w:t>
      </w:r>
    </w:p>
    <w:p w14:paraId="678C1428">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03EE2C56">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8.1.4 Acompanhar e fiscalizar a execução do Contrato e o cumprimento das obrigações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63277EA3">
      <w:pPr>
        <w:pStyle w:val="85"/>
        <w:spacing w:before="0" w:line="288" w:lineRule="auto"/>
        <w:ind w:left="0" w:firstLine="0"/>
        <w:contextualSpacing/>
        <w:rPr>
          <w:rFonts w:ascii="Times New Roman" w:hAnsi="Times New Roman" w:cs="Times New Roman"/>
          <w:b w:val="0"/>
          <w:bCs w:val="0"/>
          <w:sz w:val="24"/>
          <w:szCs w:val="24"/>
        </w:rPr>
      </w:pPr>
    </w:p>
    <w:p w14:paraId="7D32112C">
      <w:pPr>
        <w:pStyle w:val="85"/>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8.1.5 Comunicar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para que emita Nota Fiscal relativa à parcela incontroversa da execução do objeto, com vistas à liquidação e pagamento, no caso de divergência acerca do cumprimento das obrigações assumidas, quanto à dimensão, qualidade e quantidade, conforme o </w:t>
      </w:r>
      <w:r>
        <w:fldChar w:fldCharType="begin"/>
      </w:r>
      <w:r>
        <w:instrText xml:space="preserve"> HYPERLINK "http://www.planalto.gov.br/ccivil_03/_ato2019-2022/2021/lei/L14133.htm" \l "art143" </w:instrText>
      </w:r>
      <w:r>
        <w:fldChar w:fldCharType="separate"/>
      </w:r>
      <w:r>
        <w:rPr>
          <w:rStyle w:val="14"/>
          <w:rFonts w:ascii="Times New Roman" w:hAnsi="Times New Roman" w:cs="Times New Roman" w:eastAsiaTheme="minorHAnsi"/>
          <w:b w:val="0"/>
          <w:bCs w:val="0"/>
          <w:sz w:val="24"/>
          <w:szCs w:val="24"/>
        </w:rPr>
        <w:t>art. 143 da Lei nº 14.133/2021</w:t>
      </w:r>
      <w:r>
        <w:rPr>
          <w:rStyle w:val="14"/>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04C9BCA6">
      <w:pPr>
        <w:pStyle w:val="85"/>
        <w:spacing w:before="0" w:line="288" w:lineRule="auto"/>
        <w:ind w:left="0" w:firstLine="0"/>
        <w:contextualSpacing/>
        <w:rPr>
          <w:rFonts w:ascii="Times New Roman" w:hAnsi="Times New Roman" w:cs="Times New Roman"/>
          <w:b w:val="0"/>
          <w:bCs w:val="0"/>
          <w:sz w:val="24"/>
          <w:szCs w:val="24"/>
        </w:rPr>
      </w:pPr>
    </w:p>
    <w:p w14:paraId="4A56E2ED">
      <w:pPr>
        <w:pStyle w:val="85"/>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8.1.6 Efetuar o pagamento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do valor correspondente ao fornecimento do objeto, no prazo, forma e condições estabelecidos no presente Contrato.</w:t>
      </w:r>
    </w:p>
    <w:p w14:paraId="024C87E7">
      <w:pPr>
        <w:pStyle w:val="85"/>
        <w:spacing w:before="0" w:line="288" w:lineRule="auto"/>
        <w:ind w:left="0" w:firstLine="0"/>
        <w:contextualSpacing/>
        <w:rPr>
          <w:rFonts w:ascii="Times New Roman" w:hAnsi="Times New Roman" w:cs="Times New Roman"/>
          <w:b w:val="0"/>
          <w:bCs w:val="0"/>
          <w:sz w:val="24"/>
          <w:szCs w:val="24"/>
        </w:rPr>
      </w:pPr>
    </w:p>
    <w:p w14:paraId="4D064850">
      <w:pPr>
        <w:pStyle w:val="85"/>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8.1.7 Aplicar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sanções motivadas pela inexecução total ou parcial das obrigações contratuais, na forma prevista na lei e neste Contrato.</w:t>
      </w:r>
    </w:p>
    <w:p w14:paraId="05110307">
      <w:pPr>
        <w:pStyle w:val="83"/>
        <w:spacing w:before="0" w:after="0" w:line="288" w:lineRule="auto"/>
        <w:ind w:left="0" w:firstLine="0"/>
        <w:contextualSpacing/>
        <w:rPr>
          <w:rFonts w:ascii="Times New Roman" w:hAnsi="Times New Roman" w:cs="Times New Roman"/>
          <w:sz w:val="24"/>
          <w:szCs w:val="24"/>
        </w:rPr>
      </w:pPr>
    </w:p>
    <w:p w14:paraId="78ADE57A">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8.1.8 Dar ciência à Assessoria Jurídica do órgão ou entidade para as providências junto à Procuradoria Geral do Município, com vistas à adoção de eventuais medidas judiciais, em caso de descumprimento de obrigações pelo </w:t>
      </w:r>
      <w:r>
        <w:rPr>
          <w:rFonts w:ascii="Times New Roman" w:hAnsi="Times New Roman" w:cs="Times New Roman"/>
          <w:b/>
          <w:bCs/>
          <w:sz w:val="24"/>
          <w:szCs w:val="24"/>
        </w:rPr>
        <w:t>CONTRATADO</w:t>
      </w:r>
      <w:r>
        <w:rPr>
          <w:rFonts w:ascii="Times New Roman" w:hAnsi="Times New Roman" w:cs="Times New Roman"/>
          <w:sz w:val="24"/>
          <w:szCs w:val="24"/>
        </w:rPr>
        <w:t>.</w:t>
      </w:r>
    </w:p>
    <w:p w14:paraId="42497387">
      <w:pPr>
        <w:pStyle w:val="83"/>
        <w:spacing w:before="0" w:after="0" w:line="288" w:lineRule="auto"/>
        <w:ind w:left="0" w:firstLine="0"/>
        <w:contextualSpacing/>
        <w:rPr>
          <w:rFonts w:ascii="Times New Roman" w:hAnsi="Times New Roman" w:cs="Times New Roman"/>
          <w:sz w:val="24"/>
          <w:szCs w:val="24"/>
        </w:rPr>
      </w:pPr>
    </w:p>
    <w:p w14:paraId="16E1E5C6">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8.1.9 Emitir decisão fundamentada sobre todas as solicitações e reclamações relacionadas à execução do presente Contrato, ressalvados os requerimentos manifestamente impertinentes, meramente protelatórios ou de nenhum interesse para a boa execução do ajuste.</w:t>
      </w:r>
    </w:p>
    <w:p w14:paraId="7338ADB3">
      <w:pPr>
        <w:pStyle w:val="83"/>
        <w:spacing w:before="0" w:after="0" w:line="288" w:lineRule="auto"/>
        <w:ind w:left="0" w:firstLine="0"/>
        <w:contextualSpacing/>
        <w:rPr>
          <w:rFonts w:ascii="Times New Roman" w:hAnsi="Times New Roman" w:cs="Times New Roman"/>
          <w:sz w:val="24"/>
          <w:szCs w:val="24"/>
        </w:rPr>
      </w:pPr>
    </w:p>
    <w:p w14:paraId="606CA4E3">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8.1.9.1 O </w:t>
      </w:r>
      <w:r>
        <w:rPr>
          <w:rFonts w:ascii="Times New Roman" w:hAnsi="Times New Roman" w:cs="Times New Roman"/>
          <w:b/>
          <w:bCs/>
          <w:sz w:val="24"/>
          <w:szCs w:val="24"/>
        </w:rPr>
        <w:t>CONTRATANTE</w:t>
      </w:r>
      <w:r>
        <w:rPr>
          <w:rFonts w:ascii="Times New Roman" w:hAnsi="Times New Roman" w:cs="Times New Roman"/>
          <w:sz w:val="24"/>
          <w:szCs w:val="24"/>
        </w:rPr>
        <w:t xml:space="preserve"> terá o prazo de 1 (um) mês, a contar da data do protocolo do requerimento, para decidir, admitida a prorrogação motivada, por igual período. </w:t>
      </w:r>
    </w:p>
    <w:p w14:paraId="42FE71DB">
      <w:pPr>
        <w:pStyle w:val="83"/>
        <w:spacing w:before="0" w:after="0" w:line="288" w:lineRule="auto"/>
        <w:ind w:left="0" w:firstLine="0"/>
        <w:contextualSpacing/>
        <w:rPr>
          <w:rFonts w:ascii="Times New Roman" w:hAnsi="Times New Roman" w:cs="Times New Roman"/>
          <w:sz w:val="24"/>
          <w:szCs w:val="24"/>
        </w:rPr>
      </w:pPr>
    </w:p>
    <w:p w14:paraId="3662ACC9">
      <w:pPr>
        <w:pStyle w:val="83"/>
        <w:spacing w:before="0" w:after="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 xml:space="preserve">8.1.10 Responder aos eventuais pedidos de reestabelecimento do equilíbrio econômico-financeiro feitos pelo </w:t>
      </w:r>
      <w:r>
        <w:rPr>
          <w:rFonts w:ascii="Times New Roman" w:hAnsi="Times New Roman" w:cs="Times New Roman"/>
          <w:b/>
          <w:bCs/>
          <w:sz w:val="24"/>
          <w:szCs w:val="24"/>
        </w:rPr>
        <w:t>CONTRATADO</w:t>
      </w:r>
      <w:r>
        <w:rPr>
          <w:rFonts w:ascii="Times New Roman" w:hAnsi="Times New Roman" w:cs="Times New Roman"/>
          <w:sz w:val="24"/>
          <w:szCs w:val="24"/>
        </w:rPr>
        <w:t xml:space="preserve"> no prazo máximo de </w:t>
      </w:r>
      <w:r>
        <w:rPr>
          <w:rFonts w:ascii="Times New Roman" w:hAnsi="Times New Roman" w:cs="Times New Roman"/>
          <w:color w:val="000000" w:themeColor="text1"/>
          <w:sz w:val="24"/>
          <w:szCs w:val="24"/>
          <w14:textFill>
            <w14:solidFill>
              <w14:schemeClr w14:val="tx1"/>
            </w14:solidFill>
          </w14:textFill>
        </w:rPr>
        <w:t>45 (quarenta e cinco) dias, admitida a prorrogação motivada, por uma única vez, por igual período.</w:t>
      </w:r>
    </w:p>
    <w:p w14:paraId="028B66C7">
      <w:pPr>
        <w:pStyle w:val="83"/>
        <w:spacing w:before="0" w:after="0" w:line="288" w:lineRule="auto"/>
        <w:ind w:left="0" w:firstLine="0"/>
        <w:contextualSpacing/>
        <w:rPr>
          <w:rFonts w:ascii="Times New Roman" w:hAnsi="Times New Roman" w:cs="Times New Roman"/>
          <w:color w:val="FF0000"/>
          <w:sz w:val="24"/>
          <w:szCs w:val="24"/>
        </w:rPr>
      </w:pPr>
    </w:p>
    <w:p w14:paraId="38F285E8">
      <w:pPr>
        <w:pStyle w:val="83"/>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8.1.11 Notificar os emitentes das garantias quanto ao início de processo administrativo para apuração de descumprimento de cláusulas contratuais, na forma do art. 137, § 4º, da Lei nº 14.133/2021.</w:t>
      </w:r>
    </w:p>
    <w:p w14:paraId="4B07F62A">
      <w:pPr>
        <w:pStyle w:val="83"/>
        <w:spacing w:before="0" w:after="0" w:line="288" w:lineRule="auto"/>
        <w:ind w:left="0" w:firstLine="0"/>
        <w:contextualSpacing/>
        <w:rPr>
          <w:rFonts w:ascii="Times New Roman" w:hAnsi="Times New Roman" w:cs="Times New Roman"/>
          <w:sz w:val="24"/>
          <w:szCs w:val="24"/>
        </w:rPr>
      </w:pPr>
    </w:p>
    <w:p w14:paraId="0B7B94C9">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8.1.12 A Administração não responderá por quaisquer compromissos assumidos pelo </w:t>
      </w:r>
      <w:r>
        <w:rPr>
          <w:rFonts w:ascii="Times New Roman" w:hAnsi="Times New Roman" w:cs="Times New Roman"/>
          <w:b/>
          <w:bCs/>
          <w:sz w:val="24"/>
          <w:szCs w:val="24"/>
        </w:rPr>
        <w:t>CONTRATADO</w:t>
      </w:r>
      <w:r>
        <w:rPr>
          <w:rFonts w:ascii="Times New Roman" w:hAnsi="Times New Roman" w:cs="Times New Roman"/>
          <w:sz w:val="24"/>
          <w:szCs w:val="24"/>
        </w:rPr>
        <w:t xml:space="preserve"> perante terceiros, ainda que vinculados à execução do Contrato, bem como por qualquer dano causado a terceiros em decorrência de ato do </w:t>
      </w:r>
      <w:r>
        <w:rPr>
          <w:rFonts w:ascii="Times New Roman" w:hAnsi="Times New Roman" w:cs="Times New Roman"/>
          <w:b/>
          <w:bCs/>
          <w:sz w:val="24"/>
          <w:szCs w:val="24"/>
        </w:rPr>
        <w:t>CONTRATADO</w:t>
      </w:r>
      <w:r>
        <w:rPr>
          <w:rFonts w:ascii="Times New Roman" w:hAnsi="Times New Roman" w:cs="Times New Roman"/>
          <w:sz w:val="24"/>
          <w:szCs w:val="24"/>
        </w:rPr>
        <w:t>, de seus empregados, prepostos ou subordinados.</w:t>
      </w:r>
    </w:p>
    <w:p w14:paraId="1F07893C">
      <w:pPr>
        <w:spacing w:line="288" w:lineRule="auto"/>
        <w:contextualSpacing/>
        <w:jc w:val="both"/>
        <w:rPr>
          <w:sz w:val="24"/>
          <w:szCs w:val="24"/>
        </w:rPr>
      </w:pPr>
    </w:p>
    <w:p w14:paraId="7F288EB2">
      <w:pPr>
        <w:spacing w:line="288" w:lineRule="auto"/>
        <w:contextualSpacing/>
        <w:jc w:val="both"/>
        <w:rPr>
          <w:sz w:val="24"/>
          <w:szCs w:val="24"/>
        </w:rPr>
      </w:pPr>
      <w:r>
        <w:rPr>
          <w:sz w:val="24"/>
          <w:szCs w:val="24"/>
        </w:rPr>
        <w:t xml:space="preserve">8.1.13 O presente Contrato não configura vínculo empregatício entre os trabalhadores ou sócios do </w:t>
      </w:r>
      <w:r>
        <w:rPr>
          <w:b/>
          <w:bCs/>
          <w:sz w:val="24"/>
          <w:szCs w:val="24"/>
        </w:rPr>
        <w:t>CONTRATADO</w:t>
      </w:r>
      <w:r>
        <w:rPr>
          <w:sz w:val="24"/>
          <w:szCs w:val="24"/>
        </w:rPr>
        <w:t xml:space="preserve"> e o </w:t>
      </w:r>
      <w:r>
        <w:rPr>
          <w:b/>
          <w:bCs/>
          <w:sz w:val="24"/>
          <w:szCs w:val="24"/>
        </w:rPr>
        <w:t>CONTRATANTE</w:t>
      </w:r>
      <w:r>
        <w:rPr>
          <w:sz w:val="24"/>
          <w:szCs w:val="24"/>
        </w:rPr>
        <w:t>.</w:t>
      </w:r>
    </w:p>
    <w:p w14:paraId="51F742F1">
      <w:pPr>
        <w:spacing w:line="288" w:lineRule="auto"/>
        <w:contextualSpacing/>
        <w:jc w:val="both"/>
        <w:rPr>
          <w:sz w:val="24"/>
          <w:szCs w:val="24"/>
        </w:rPr>
      </w:pPr>
    </w:p>
    <w:p w14:paraId="15CFF032">
      <w:pPr>
        <w:pStyle w:val="85"/>
        <w:spacing w:before="0" w:line="288" w:lineRule="auto"/>
        <w:ind w:left="0" w:firstLine="0"/>
        <w:contextualSpacing/>
        <w:rPr>
          <w:rStyle w:val="14"/>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NONA – OBRIGAÇÕES DO CONTRATADO </w:t>
      </w:r>
    </w:p>
    <w:p w14:paraId="653E5D11">
      <w:pPr>
        <w:spacing w:line="288" w:lineRule="auto"/>
        <w:contextualSpacing/>
        <w:rPr>
          <w:sz w:val="24"/>
          <w:szCs w:val="24"/>
        </w:rPr>
      </w:pPr>
    </w:p>
    <w:p w14:paraId="24854A24">
      <w:pPr>
        <w:pStyle w:val="85"/>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9.1 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deverá cumprir todas as obrigações constantes deste Contrato e em seus Anexos, assumindo como exclusivamente seus os riscos e as despesas decorrentes da boa e perfeita execução do objeto, observando, ainda, as obrigações a seguir dispostas:</w:t>
      </w:r>
    </w:p>
    <w:p w14:paraId="287A0F50">
      <w:pPr>
        <w:pStyle w:val="85"/>
        <w:spacing w:before="0" w:line="288" w:lineRule="auto"/>
        <w:ind w:left="0" w:firstLine="0"/>
        <w:contextualSpacing/>
        <w:rPr>
          <w:rFonts w:ascii="Times New Roman" w:hAnsi="Times New Roman" w:cs="Times New Roman"/>
          <w:b w:val="0"/>
          <w:bCs w:val="0"/>
          <w:sz w:val="24"/>
          <w:szCs w:val="24"/>
        </w:rPr>
      </w:pPr>
    </w:p>
    <w:p w14:paraId="6DAA276F">
      <w:pPr>
        <w:pStyle w:val="85"/>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9.1.1 Entregar o objeto acompanhado, se for o caso, do manual do usuário, com uma versão em português, e da relação da rede de assistência técnica autorizada.</w:t>
      </w:r>
    </w:p>
    <w:p w14:paraId="33B7B015">
      <w:pPr>
        <w:pStyle w:val="83"/>
        <w:spacing w:before="0" w:after="0" w:line="288" w:lineRule="auto"/>
        <w:ind w:left="0" w:firstLine="0"/>
        <w:contextualSpacing/>
        <w:rPr>
          <w:rFonts w:ascii="Times New Roman" w:hAnsi="Times New Roman" w:cs="Times New Roman"/>
          <w:sz w:val="24"/>
          <w:szCs w:val="24"/>
        </w:rPr>
      </w:pPr>
    </w:p>
    <w:p w14:paraId="28EAD8B1">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 Comunicar ao </w:t>
      </w:r>
      <w:r>
        <w:rPr>
          <w:rFonts w:ascii="Times New Roman" w:hAnsi="Times New Roman" w:cs="Times New Roman"/>
          <w:b/>
          <w:bCs/>
          <w:sz w:val="24"/>
          <w:szCs w:val="24"/>
        </w:rPr>
        <w:t>CONTRATANTE</w:t>
      </w:r>
      <w:r>
        <w:rPr>
          <w:rFonts w:ascii="Times New Roman" w:hAnsi="Times New Roman" w:cs="Times New Roman"/>
          <w:sz w:val="24"/>
          <w:szCs w:val="24"/>
        </w:rPr>
        <w:t>, no prazo máximo de 24 (vinte e quatro) horas que antecede a data da entrega, os motivos que impossibilitem o cumprimento do prazo previsto, com a devida comprovação.</w:t>
      </w:r>
    </w:p>
    <w:p w14:paraId="5487C794">
      <w:pPr>
        <w:pStyle w:val="83"/>
        <w:spacing w:before="0" w:after="0" w:line="288" w:lineRule="auto"/>
        <w:ind w:left="0" w:firstLine="0"/>
        <w:contextualSpacing/>
        <w:rPr>
          <w:rFonts w:ascii="Times New Roman" w:hAnsi="Times New Roman" w:cs="Times New Roman"/>
          <w:sz w:val="24"/>
          <w:szCs w:val="24"/>
        </w:rPr>
      </w:pPr>
    </w:p>
    <w:p w14:paraId="78006B54">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9.1.3 Atender às determinações regulares emitidas pelo fiscal ou gestor do Contrato ou autoridade superior </w:t>
      </w:r>
      <w:r>
        <w:rPr>
          <w:rFonts w:ascii="Times New Roman" w:hAnsi="Times New Roman" w:cs="Times New Roman"/>
          <w:color w:val="auto"/>
          <w:sz w:val="24"/>
          <w:szCs w:val="24"/>
        </w:rPr>
        <w:t>(</w:t>
      </w:r>
      <w:r>
        <w:fldChar w:fldCharType="begin"/>
      </w:r>
      <w:r>
        <w:instrText xml:space="preserve"> HYPERLINK "http://www.planalto.gov.br/ccivil_03/_ato2019-2022/2021/lei/L14133.htm" \l "art137" </w:instrText>
      </w:r>
      <w:r>
        <w:fldChar w:fldCharType="separate"/>
      </w:r>
      <w:r>
        <w:rPr>
          <w:rStyle w:val="14"/>
          <w:rFonts w:ascii="Times New Roman" w:hAnsi="Times New Roman" w:cs="Times New Roman" w:eastAsiaTheme="minorHAnsi"/>
          <w:color w:val="auto"/>
          <w:sz w:val="24"/>
          <w:szCs w:val="24"/>
        </w:rPr>
        <w:t>art. 137, II,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e prestar todo esclarecimento ou informação por eles solicitados.</w:t>
      </w:r>
    </w:p>
    <w:p w14:paraId="43226B4E">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1A7B577F">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9.1.4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08D8538B">
      <w:pPr>
        <w:pStyle w:val="83"/>
        <w:spacing w:before="0" w:after="0" w:line="288" w:lineRule="auto"/>
        <w:ind w:left="0" w:firstLine="0"/>
        <w:contextualSpacing/>
        <w:rPr>
          <w:rFonts w:ascii="Times New Roman" w:hAnsi="Times New Roman" w:cs="Times New Roman"/>
          <w:sz w:val="24"/>
          <w:szCs w:val="24"/>
        </w:rPr>
      </w:pPr>
    </w:p>
    <w:p w14:paraId="6E09BC02">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9.1.5 Reparar, corrigir, remover, reconstruir ou substituir, às suas expensas, no total ou em parte, no prazo fixado pelo fiscal do Contrato, os bens nos quais se verificarem vícios, defeitos ou incorreções resultantes da execução ou dos materiais empregados.</w:t>
      </w:r>
    </w:p>
    <w:p w14:paraId="067E81A1">
      <w:pPr>
        <w:pStyle w:val="83"/>
        <w:spacing w:before="0" w:after="0" w:line="288" w:lineRule="auto"/>
        <w:ind w:left="0" w:firstLine="0"/>
        <w:contextualSpacing/>
        <w:rPr>
          <w:rFonts w:ascii="Times New Roman" w:hAnsi="Times New Roman" w:cs="Times New Roman"/>
          <w:sz w:val="24"/>
          <w:szCs w:val="24"/>
        </w:rPr>
      </w:pPr>
    </w:p>
    <w:p w14:paraId="3E3FBC5B">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9.1.6 Responsabilizar-se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14"/>
          <w:rFonts w:ascii="Times New Roman" w:hAnsi="Times New Roman" w:cs="Times New Roman" w:eastAsiaTheme="minorHAnsi"/>
          <w:color w:val="auto"/>
          <w:sz w:val="24"/>
          <w:szCs w:val="24"/>
        </w:rPr>
        <w:t>Lei nº 8.078/1990</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xml:space="preserve">), bem como por todo e qualquer dano causado à Administração ou terceiros, não reduzindo essa responsabilidade a fiscalização ou o acompanhamento da execução contratual pelo </w:t>
      </w:r>
      <w:r>
        <w:rPr>
          <w:rFonts w:ascii="Times New Roman" w:hAnsi="Times New Roman" w:cs="Times New Roman"/>
          <w:b/>
          <w:bCs/>
          <w:sz w:val="24"/>
          <w:szCs w:val="24"/>
        </w:rPr>
        <w:t>CONTRATANTE</w:t>
      </w:r>
      <w:r>
        <w:rPr>
          <w:rFonts w:ascii="Times New Roman" w:hAnsi="Times New Roman" w:cs="Times New Roman"/>
          <w:sz w:val="24"/>
          <w:szCs w:val="24"/>
        </w:rPr>
        <w:t>, que ficará autorizado a descontar dos pagamentos devidos ou da garantia o valor correspondente aos danos sofridos.</w:t>
      </w:r>
    </w:p>
    <w:p w14:paraId="2E29B1BF">
      <w:pPr>
        <w:pStyle w:val="83"/>
        <w:spacing w:before="0" w:after="0" w:line="288" w:lineRule="auto"/>
        <w:ind w:left="0" w:firstLine="0"/>
        <w:contextualSpacing/>
        <w:rPr>
          <w:rFonts w:ascii="Times New Roman" w:hAnsi="Times New Roman" w:cs="Times New Roman"/>
          <w:sz w:val="24"/>
          <w:szCs w:val="24"/>
        </w:rPr>
      </w:pPr>
    </w:p>
    <w:p w14:paraId="1094B931">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9.1.7 Não contratar, durante a vigência do Contrato, cônjuge, companheiro ou parente em linha reta, colateral ou por afinidade, até o terceiro grau, de dirigente do </w:t>
      </w:r>
      <w:r>
        <w:rPr>
          <w:rFonts w:ascii="Times New Roman" w:hAnsi="Times New Roman" w:cs="Times New Roman"/>
          <w:b/>
          <w:bCs/>
          <w:sz w:val="24"/>
          <w:szCs w:val="24"/>
        </w:rPr>
        <w:t>CONTRATANTE</w:t>
      </w:r>
      <w:r>
        <w:rPr>
          <w:rFonts w:ascii="Times New Roman" w:hAnsi="Times New Roman" w:cs="Times New Roman"/>
          <w:sz w:val="24"/>
          <w:szCs w:val="24"/>
        </w:rPr>
        <w:t xml:space="preserve"> ou de agente público que atue na fiscalização ou na gestão do Contrato, nos termos do art. 48, parágrafo único, da Lei nº 14.133/2021.</w:t>
      </w:r>
    </w:p>
    <w:p w14:paraId="3491473F">
      <w:pPr>
        <w:pStyle w:val="83"/>
        <w:spacing w:before="0" w:after="0" w:line="288" w:lineRule="auto"/>
        <w:ind w:left="0" w:firstLine="0"/>
        <w:contextualSpacing/>
        <w:rPr>
          <w:rFonts w:ascii="Times New Roman" w:hAnsi="Times New Roman" w:cs="Times New Roman"/>
          <w:sz w:val="24"/>
          <w:szCs w:val="24"/>
        </w:rPr>
      </w:pPr>
    </w:p>
    <w:p w14:paraId="44670970">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9.1.8 Manter a regularidade junto ao SICAF.</w:t>
      </w:r>
    </w:p>
    <w:p w14:paraId="3FE1E774">
      <w:pPr>
        <w:pStyle w:val="83"/>
        <w:spacing w:before="0" w:after="0" w:line="288" w:lineRule="auto"/>
        <w:ind w:left="0" w:firstLine="0"/>
        <w:contextualSpacing/>
        <w:rPr>
          <w:rFonts w:ascii="Times New Roman" w:hAnsi="Times New Roman" w:cs="Times New Roman"/>
          <w:sz w:val="24"/>
          <w:szCs w:val="24"/>
        </w:rPr>
      </w:pPr>
    </w:p>
    <w:p w14:paraId="587917D8">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9.1.8.1 Quando não for possível a verificação da regularidade no Sistema de Cadastro de Fornecedores – SICAF, o </w:t>
      </w:r>
      <w:r>
        <w:rPr>
          <w:rFonts w:ascii="Times New Roman" w:hAnsi="Times New Roman" w:cs="Times New Roman"/>
          <w:b/>
          <w:bCs/>
          <w:sz w:val="24"/>
          <w:szCs w:val="24"/>
        </w:rPr>
        <w:t>CONTRATADO</w:t>
      </w:r>
      <w:r>
        <w:rPr>
          <w:rFonts w:ascii="Times New Roman" w:hAnsi="Times New Roman" w:cs="Times New Roman"/>
          <w:sz w:val="24"/>
          <w:szCs w:val="24"/>
        </w:rPr>
        <w:t xml:space="preserve"> deverá entregar ao setor responsável pela fiscalização do Contrato, junto com a Nota Fiscal para fins de pagamento, os seguintes documentos:</w:t>
      </w:r>
    </w:p>
    <w:p w14:paraId="389496FB">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prova de regularidade relativa à Seguridade Social;</w:t>
      </w:r>
    </w:p>
    <w:p w14:paraId="3770E909">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certidão conjunta relativa aos tributos federais e à Dívida Ativa da União;</w:t>
      </w:r>
    </w:p>
    <w:p w14:paraId="01A8CD8C">
      <w:pPr>
        <w:pStyle w:val="83"/>
        <w:spacing w:before="0" w:after="0" w:line="288" w:lineRule="auto"/>
        <w:ind w:left="0" w:firstLine="0"/>
        <w:contextualSpacing/>
        <w:rPr>
          <w:rFonts w:ascii="Times New Roman" w:hAnsi="Times New Roman" w:cs="Times New Roman"/>
          <w:iCs/>
          <w:sz w:val="24"/>
          <w:szCs w:val="24"/>
        </w:rPr>
      </w:pPr>
      <w:r>
        <w:rPr>
          <w:rFonts w:ascii="Times New Roman" w:hAnsi="Times New Roman" w:cs="Times New Roman"/>
          <w:iCs/>
          <w:sz w:val="24"/>
          <w:szCs w:val="24"/>
        </w:rPr>
        <w:t xml:space="preserve">c) certidões que comprovem a regularidade perante as Fazendas do domicílio ou sede do </w:t>
      </w:r>
      <w:r>
        <w:rPr>
          <w:rFonts w:ascii="Times New Roman" w:hAnsi="Times New Roman" w:cs="Times New Roman"/>
          <w:b/>
          <w:bCs/>
          <w:sz w:val="24"/>
          <w:szCs w:val="24"/>
        </w:rPr>
        <w:t>CONTRATADO</w:t>
      </w:r>
      <w:r>
        <w:rPr>
          <w:rFonts w:ascii="Times New Roman" w:hAnsi="Times New Roman" w:cs="Times New Roman"/>
          <w:iCs/>
          <w:sz w:val="24"/>
          <w:szCs w:val="24"/>
        </w:rPr>
        <w:t xml:space="preserve">, na mesma forma exigida no Edital ou Aviso de Contratação Direta; </w:t>
      </w:r>
    </w:p>
    <w:p w14:paraId="43E22E14">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d) Certificado de Regularidade do FGTS; e</w:t>
      </w:r>
    </w:p>
    <w:p w14:paraId="570E9446">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e) Certidão Negativa de Débitos Trabalhistas – CNDT. </w:t>
      </w:r>
    </w:p>
    <w:p w14:paraId="655B3305">
      <w:pPr>
        <w:pStyle w:val="83"/>
        <w:spacing w:before="0" w:after="0" w:line="288" w:lineRule="auto"/>
        <w:ind w:left="0" w:firstLine="0"/>
        <w:contextualSpacing/>
        <w:rPr>
          <w:rFonts w:ascii="Times New Roman" w:hAnsi="Times New Roman" w:cs="Times New Roman"/>
          <w:sz w:val="24"/>
          <w:szCs w:val="24"/>
        </w:rPr>
      </w:pPr>
    </w:p>
    <w:p w14:paraId="76C12EBD">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9.1.9 Responsabilizar-se pelo cumprimento de todas as obrigações trabalhistas, previdenciárias, fiscais, comerciais e as demais previstas em legislação específica, cuja inadimplência não transfere a responsabilidade ao </w:t>
      </w:r>
      <w:r>
        <w:rPr>
          <w:rFonts w:ascii="Times New Roman" w:hAnsi="Times New Roman" w:cs="Times New Roman"/>
          <w:b/>
          <w:bCs/>
          <w:sz w:val="24"/>
          <w:szCs w:val="24"/>
        </w:rPr>
        <w:t>CONTRATANTE</w:t>
      </w:r>
      <w:r>
        <w:rPr>
          <w:rFonts w:ascii="Times New Roman" w:hAnsi="Times New Roman" w:cs="Times New Roman"/>
          <w:sz w:val="24"/>
          <w:szCs w:val="24"/>
        </w:rPr>
        <w:t xml:space="preserve"> e não poderá onerar o objeto do Contrato.</w:t>
      </w:r>
    </w:p>
    <w:p w14:paraId="6C2B0663">
      <w:pPr>
        <w:pStyle w:val="83"/>
        <w:spacing w:before="0" w:after="0" w:line="288" w:lineRule="auto"/>
        <w:ind w:left="0" w:firstLine="0"/>
        <w:contextualSpacing/>
        <w:rPr>
          <w:rFonts w:ascii="Times New Roman" w:hAnsi="Times New Roman" w:cs="Times New Roman"/>
          <w:sz w:val="24"/>
          <w:szCs w:val="24"/>
        </w:rPr>
      </w:pPr>
    </w:p>
    <w:p w14:paraId="49A0FC60">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9.1.10 Comunicar ao Fiscal do Contrato, no prazo de 24 (vinte e quatro) horas, qualquer ocorrência anormal ou acidente que se verifique no local da execução do objeto contratual.</w:t>
      </w:r>
    </w:p>
    <w:p w14:paraId="3FFEC4D1">
      <w:pPr>
        <w:pStyle w:val="83"/>
        <w:spacing w:before="0" w:after="0" w:line="288" w:lineRule="auto"/>
        <w:ind w:left="0" w:firstLine="0"/>
        <w:contextualSpacing/>
        <w:rPr>
          <w:rFonts w:ascii="Times New Roman" w:hAnsi="Times New Roman" w:cs="Times New Roman"/>
          <w:sz w:val="24"/>
          <w:szCs w:val="24"/>
        </w:rPr>
      </w:pPr>
    </w:p>
    <w:p w14:paraId="2BD16CE1">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9.1.11 Paralisar, por determinação do </w:t>
      </w:r>
      <w:r>
        <w:rPr>
          <w:rFonts w:ascii="Times New Roman" w:hAnsi="Times New Roman" w:cs="Times New Roman"/>
          <w:b/>
          <w:bCs/>
          <w:sz w:val="24"/>
          <w:szCs w:val="24"/>
        </w:rPr>
        <w:t>CONTRATANTE</w:t>
      </w:r>
      <w:r>
        <w:rPr>
          <w:rFonts w:ascii="Times New Roman" w:hAnsi="Times New Roman" w:cs="Times New Roman"/>
          <w:sz w:val="24"/>
          <w:szCs w:val="24"/>
        </w:rPr>
        <w:t>, qualquer atividade que não esteja sendo executada de acordo com a boa técnica ou que ponha em risco a segurança de pessoas ou bens de terceiros.</w:t>
      </w:r>
    </w:p>
    <w:p w14:paraId="1C4ABD3F">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7A4AD4A1">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9.1.12 Conduzir os trabalhos com estrita observância às normas da legislação pertinente, cumprindo as determinações dos Poderes Públicos, mantendo sempre limpo o local d</w:t>
      </w:r>
      <w:r>
        <w:rPr>
          <w:rFonts w:ascii="Times New Roman" w:hAnsi="Times New Roman" w:cs="Times New Roman"/>
          <w:i w:val="0"/>
          <w:iCs w:val="0"/>
          <w:color w:val="auto"/>
          <w:sz w:val="24"/>
          <w:szCs w:val="24"/>
          <w:lang w:eastAsia="en-US"/>
        </w:rPr>
        <w:t>e execução do objeto</w:t>
      </w:r>
      <w:r>
        <w:rPr>
          <w:rFonts w:ascii="Times New Roman" w:hAnsi="Times New Roman" w:cs="Times New Roman"/>
          <w:i w:val="0"/>
          <w:iCs w:val="0"/>
          <w:color w:val="auto"/>
          <w:sz w:val="24"/>
          <w:szCs w:val="24"/>
        </w:rPr>
        <w:t xml:space="preserve"> e nas melhores condições de segurança, higiene e disciplina.</w:t>
      </w:r>
    </w:p>
    <w:p w14:paraId="23CC0DEA">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663E935C">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9.1.13 Submeter previamente, por escrito, ao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 para análise e aprovação, quaisquer mudanças nos métodos executivos que fujam às especificações do memorial descritivo ou instrumento congênere.</w:t>
      </w:r>
    </w:p>
    <w:p w14:paraId="09A829F6">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135E674F">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9.1.14 Não permitir a utilização de qualquer trabalho do menor de dezesseis anos, exceto na condição de aprendiz para os maiores de quatorze anos, nem permitir a utilização do trabalho do menor de dezoito anos em trabalho noturno, perigoso ou insalubre, na forma do art. 7º, XXXIII, da Constituição Federal.</w:t>
      </w:r>
    </w:p>
    <w:p w14:paraId="27AE0A3B">
      <w:pPr>
        <w:pStyle w:val="83"/>
        <w:spacing w:before="0" w:after="0" w:line="288" w:lineRule="auto"/>
        <w:ind w:left="0" w:firstLine="0"/>
        <w:contextualSpacing/>
        <w:rPr>
          <w:rFonts w:ascii="Times New Roman" w:hAnsi="Times New Roman" w:cs="Times New Roman"/>
          <w:sz w:val="24"/>
          <w:szCs w:val="24"/>
        </w:rPr>
      </w:pPr>
    </w:p>
    <w:p w14:paraId="5ACB4CAD">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9.1.15 Manter durante toda a vigência do Contrato, em compatibilidade com as obrigações assumidas, todas as condições exigidas para habilitação na licitação.</w:t>
      </w:r>
    </w:p>
    <w:p w14:paraId="4449817B">
      <w:pPr>
        <w:pStyle w:val="83"/>
        <w:spacing w:before="0" w:after="0" w:line="288" w:lineRule="auto"/>
        <w:ind w:left="0" w:firstLine="0"/>
        <w:contextualSpacing/>
        <w:rPr>
          <w:rFonts w:ascii="Times New Roman" w:hAnsi="Times New Roman" w:cs="Times New Roman"/>
          <w:sz w:val="24"/>
          <w:szCs w:val="24"/>
        </w:rPr>
      </w:pPr>
    </w:p>
    <w:p w14:paraId="52F93675">
      <w:pPr>
        <w:pStyle w:val="83"/>
        <w:spacing w:before="0" w:after="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sz w:val="24"/>
          <w:szCs w:val="24"/>
        </w:rPr>
        <w:t>9.1.16 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14"/>
          <w:rFonts w:ascii="Times New Roman" w:hAnsi="Times New Roman" w:cs="Times New Roman" w:eastAsiaTheme="minorHAnsi"/>
          <w:color w:val="auto"/>
          <w:sz w:val="24"/>
          <w:szCs w:val="24"/>
        </w:rPr>
        <w:t>art. 116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3DAAFA20">
      <w:pPr>
        <w:pStyle w:val="83"/>
        <w:spacing w:before="0" w:after="0" w:line="288" w:lineRule="auto"/>
        <w:ind w:left="0" w:firstLine="0"/>
        <w:contextualSpacing/>
        <w:rPr>
          <w:rFonts w:ascii="Times New Roman" w:hAnsi="Times New Roman" w:cs="Times New Roman"/>
          <w:sz w:val="24"/>
          <w:szCs w:val="24"/>
        </w:rPr>
      </w:pPr>
    </w:p>
    <w:p w14:paraId="634A6C5F">
      <w:pPr>
        <w:pStyle w:val="83"/>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sz w:val="24"/>
          <w:szCs w:val="24"/>
        </w:rPr>
        <w:t>9</w:t>
      </w:r>
      <w:r>
        <w:rPr>
          <w:rFonts w:ascii="Times New Roman" w:hAnsi="Times New Roman" w:cs="Times New Roman"/>
          <w:b/>
          <w:bCs/>
          <w:sz w:val="24"/>
          <w:szCs w:val="24"/>
        </w:rPr>
        <w:t>.</w:t>
      </w:r>
      <w:r>
        <w:rPr>
          <w:rFonts w:ascii="Times New Roman" w:hAnsi="Times New Roman" w:cs="Times New Roman"/>
          <w:sz w:val="24"/>
          <w:szCs w:val="24"/>
        </w:rPr>
        <w:t>1.16.1</w:t>
      </w:r>
      <w:r>
        <w:rPr>
          <w:rFonts w:ascii="Times New Roman" w:hAnsi="Times New Roman" w:cs="Times New Roman"/>
          <w:b/>
          <w:bCs/>
          <w:sz w:val="24"/>
          <w:szCs w:val="24"/>
        </w:rPr>
        <w:t xml:space="preserve"> </w:t>
      </w:r>
      <w:r>
        <w:rPr>
          <w:rFonts w:ascii="Times New Roman" w:hAnsi="Times New Roman" w:cs="Times New Roman"/>
          <w:sz w:val="24"/>
          <w:szCs w:val="24"/>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14"/>
          <w:rFonts w:ascii="Times New Roman" w:hAnsi="Times New Roman" w:cs="Times New Roman" w:eastAsiaTheme="minorHAnsi"/>
          <w:color w:val="auto"/>
          <w:sz w:val="24"/>
          <w:szCs w:val="24"/>
        </w:rPr>
        <w:t>art. 116, parágrafo único,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392C750B">
      <w:pPr>
        <w:pStyle w:val="83"/>
        <w:spacing w:before="0" w:after="0" w:line="288" w:lineRule="auto"/>
        <w:ind w:left="0" w:firstLine="0"/>
        <w:contextualSpacing/>
        <w:rPr>
          <w:rFonts w:ascii="Times New Roman" w:hAnsi="Times New Roman" w:cs="Times New Roman"/>
          <w:color w:val="auto"/>
          <w:sz w:val="24"/>
          <w:szCs w:val="24"/>
        </w:rPr>
      </w:pPr>
    </w:p>
    <w:p w14:paraId="7992FC7C">
      <w:pPr>
        <w:pStyle w:val="83"/>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9.1.16.2 No caso de aprendiz, a comprovação do cumprimento do art. 429 e seguintes da Consolidação das Leis do Trabalho se dará pela apresentação da certidão, expedida pelo Ministério do Trabalho e Emprego, sem prejuízo do item 9.1.16.1.</w:t>
      </w:r>
    </w:p>
    <w:p w14:paraId="16ED2AEB">
      <w:pPr>
        <w:pStyle w:val="83"/>
        <w:spacing w:before="0" w:after="0" w:line="288" w:lineRule="auto"/>
        <w:ind w:left="0" w:firstLine="0"/>
        <w:contextualSpacing/>
        <w:rPr>
          <w:rFonts w:ascii="Times New Roman" w:hAnsi="Times New Roman" w:cs="Times New Roman"/>
          <w:color w:val="auto"/>
          <w:sz w:val="24"/>
          <w:szCs w:val="24"/>
        </w:rPr>
      </w:pPr>
    </w:p>
    <w:p w14:paraId="2394353E">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9.1.17 </w:t>
      </w:r>
      <w:r>
        <w:rPr>
          <w:rFonts w:ascii="Times New Roman" w:hAnsi="Times New Roman" w:cs="Times New Roman"/>
          <w:sz w:val="24"/>
          <w:szCs w:val="24"/>
        </w:rPr>
        <w:t>Guardar sigilo sobre todas as informações obtidas em decorrência do cumprimento do Contrato.</w:t>
      </w:r>
    </w:p>
    <w:p w14:paraId="07CB4406">
      <w:pPr>
        <w:pStyle w:val="83"/>
        <w:spacing w:before="0" w:after="0" w:line="288" w:lineRule="auto"/>
        <w:ind w:left="0" w:firstLine="0"/>
        <w:contextualSpacing/>
        <w:rPr>
          <w:rFonts w:ascii="Times New Roman" w:hAnsi="Times New Roman" w:cs="Times New Roman"/>
          <w:sz w:val="24"/>
          <w:szCs w:val="24"/>
        </w:rPr>
      </w:pPr>
    </w:p>
    <w:p w14:paraId="1BFD4C02">
      <w:pPr>
        <w:pStyle w:val="83"/>
        <w:spacing w:before="0" w:after="0" w:line="288" w:lineRule="auto"/>
        <w:ind w:left="0" w:firstLine="0"/>
        <w:contextualSpacing/>
        <w:rPr>
          <w:rStyle w:val="14"/>
          <w:rFonts w:ascii="Times New Roman" w:hAnsi="Times New Roman" w:cs="Times New Roman" w:eastAsiaTheme="minorHAnsi"/>
          <w:sz w:val="24"/>
          <w:szCs w:val="24"/>
        </w:rPr>
      </w:pPr>
      <w:r>
        <w:rPr>
          <w:rFonts w:ascii="Times New Roman" w:hAnsi="Times New Roman" w:cs="Times New Roman"/>
          <w:sz w:val="24"/>
          <w:szCs w:val="24"/>
        </w:rPr>
        <w:t xml:space="preserve">9.1.18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do Contrato, exceto quando ocorrer algum dos eventos arrolados no </w:t>
      </w:r>
      <w:r>
        <w:fldChar w:fldCharType="begin"/>
      </w:r>
      <w:r>
        <w:instrText xml:space="preserve"> HYPERLINK "http://www.planalto.gov.br/ccivil_03/_ato2019-2022/2021/lei/L14133.htm" \l "art124" </w:instrText>
      </w:r>
      <w:r>
        <w:fldChar w:fldCharType="separate"/>
      </w:r>
      <w:r>
        <w:rPr>
          <w:rStyle w:val="14"/>
          <w:rFonts w:ascii="Times New Roman" w:hAnsi="Times New Roman" w:cs="Times New Roman" w:eastAsiaTheme="minorHAnsi"/>
          <w:color w:val="auto"/>
          <w:sz w:val="24"/>
          <w:szCs w:val="24"/>
        </w:rPr>
        <w:t>artigo 124, II, d, da Lei nº 14.133/2021.</w:t>
      </w:r>
      <w:r>
        <w:rPr>
          <w:rStyle w:val="14"/>
          <w:rFonts w:ascii="Times New Roman" w:hAnsi="Times New Roman" w:cs="Times New Roman" w:eastAsiaTheme="minorHAnsi"/>
          <w:color w:val="auto"/>
          <w:sz w:val="24"/>
          <w:szCs w:val="24"/>
        </w:rPr>
        <w:fldChar w:fldCharType="end"/>
      </w:r>
    </w:p>
    <w:p w14:paraId="5F59BA8C">
      <w:pPr>
        <w:pStyle w:val="83"/>
        <w:spacing w:before="0" w:after="0" w:line="288" w:lineRule="auto"/>
        <w:ind w:left="0" w:firstLine="0"/>
        <w:contextualSpacing/>
        <w:rPr>
          <w:rFonts w:ascii="Times New Roman" w:hAnsi="Times New Roman" w:cs="Times New Roman"/>
          <w:sz w:val="24"/>
          <w:szCs w:val="24"/>
        </w:rPr>
      </w:pPr>
    </w:p>
    <w:p w14:paraId="10567430">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9.1.19 Cumprir, além dos postulados legais vigentes de âmbito federal, estadual ou municipal, as normas de segurança do </w:t>
      </w:r>
      <w:r>
        <w:rPr>
          <w:rFonts w:ascii="Times New Roman" w:hAnsi="Times New Roman" w:cs="Times New Roman"/>
          <w:b/>
          <w:bCs/>
          <w:sz w:val="24"/>
          <w:szCs w:val="24"/>
        </w:rPr>
        <w:t>CONTRATANTE</w:t>
      </w:r>
      <w:r>
        <w:rPr>
          <w:rFonts w:ascii="Times New Roman" w:hAnsi="Times New Roman" w:cs="Times New Roman"/>
          <w:sz w:val="24"/>
          <w:szCs w:val="24"/>
        </w:rPr>
        <w:t>.</w:t>
      </w:r>
    </w:p>
    <w:p w14:paraId="5FB41B6B">
      <w:pPr>
        <w:pStyle w:val="83"/>
        <w:spacing w:before="0" w:after="0" w:line="288" w:lineRule="auto"/>
        <w:ind w:left="0" w:firstLine="0"/>
        <w:contextualSpacing/>
        <w:rPr>
          <w:rFonts w:ascii="Times New Roman" w:hAnsi="Times New Roman" w:cs="Times New Roman"/>
          <w:sz w:val="24"/>
          <w:szCs w:val="24"/>
        </w:rPr>
      </w:pPr>
    </w:p>
    <w:p w14:paraId="1B8CCABD">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9.1.20 Prestar esclarecimentos ou informações solicitadas pelo </w:t>
      </w:r>
      <w:r>
        <w:rPr>
          <w:rFonts w:ascii="Times New Roman" w:hAnsi="Times New Roman" w:cs="Times New Roman"/>
          <w:b/>
          <w:bCs/>
          <w:sz w:val="24"/>
          <w:szCs w:val="24"/>
        </w:rPr>
        <w:t>CONTRATANTE</w:t>
      </w:r>
      <w:r>
        <w:rPr>
          <w:rFonts w:ascii="Times New Roman" w:hAnsi="Times New Roman" w:cs="Times New Roman"/>
          <w:sz w:val="24"/>
          <w:szCs w:val="24"/>
        </w:rPr>
        <w:t xml:space="preserve"> ou por seus prepostos, garantindo-lhes o acesso, a qualquer tempo, ao local dos trabalhos, bem como aos documentos relativos à execução do empreendimento.</w:t>
      </w:r>
    </w:p>
    <w:p w14:paraId="034A7999">
      <w:pPr>
        <w:pStyle w:val="83"/>
        <w:spacing w:before="0" w:after="0" w:line="288" w:lineRule="auto"/>
        <w:ind w:left="0" w:firstLine="0"/>
        <w:contextualSpacing/>
        <w:rPr>
          <w:rFonts w:ascii="Times New Roman" w:hAnsi="Times New Roman" w:cs="Times New Roman"/>
          <w:sz w:val="24"/>
          <w:szCs w:val="24"/>
        </w:rPr>
      </w:pPr>
    </w:p>
    <w:p w14:paraId="5B279A41">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9.1.21 </w:t>
      </w:r>
      <w:bookmarkStart w:id="48" w:name="_Hlk175228415"/>
      <w:r>
        <w:rPr>
          <w:rFonts w:ascii="Times New Roman" w:hAnsi="Times New Roman" w:cs="Times New Roman"/>
          <w:sz w:val="24"/>
          <w:szCs w:val="24"/>
        </w:rPr>
        <w:t>Caso o valor do Contrato se enquadre no limite previsto na legislação vigente, manter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195587E2">
      <w:pPr>
        <w:pStyle w:val="83"/>
        <w:spacing w:before="0" w:after="0" w:line="288" w:lineRule="auto"/>
        <w:ind w:left="0" w:firstLine="0"/>
        <w:contextualSpacing/>
        <w:rPr>
          <w:rFonts w:ascii="Times New Roman" w:hAnsi="Times New Roman" w:eastAsia="Calibri" w:cs="Times New Roman"/>
          <w:color w:val="auto"/>
          <w:sz w:val="24"/>
          <w:szCs w:val="24"/>
          <w:lang w:eastAsia="en-US"/>
        </w:rPr>
      </w:pPr>
    </w:p>
    <w:p w14:paraId="014AB289">
      <w:pPr>
        <w:pStyle w:val="83"/>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color w:val="auto"/>
          <w:sz w:val="24"/>
          <w:szCs w:val="24"/>
          <w:lang w:eastAsia="en-US"/>
        </w:rPr>
        <w:t xml:space="preserve">9.1.21.1 Caso o </w:t>
      </w:r>
      <w:r>
        <w:rPr>
          <w:rFonts w:ascii="Times New Roman" w:hAnsi="Times New Roman" w:eastAsia="Calibri" w:cs="Times New Roman"/>
          <w:b/>
          <w:bCs/>
          <w:color w:val="auto"/>
          <w:sz w:val="24"/>
          <w:szCs w:val="24"/>
          <w:lang w:eastAsia="en-US"/>
        </w:rPr>
        <w:t>CONTRATADO</w:t>
      </w:r>
      <w:r>
        <w:rPr>
          <w:rFonts w:ascii="Times New Roman" w:hAnsi="Times New Roman" w:eastAsia="Calibri" w:cs="Times New Roman"/>
          <w:color w:val="auto"/>
          <w:sz w:val="24"/>
          <w:szCs w:val="24"/>
          <w:lang w:eastAsia="en-US"/>
        </w:rPr>
        <w:t xml:space="preserve"> ainda não tenha Programa de Integridade instituído, compromete-se a implantar o Programa de Integridade no prazo de até 180 (cento e oitenta) dias corridos, a partir da data de celebração do presente Contrato, </w:t>
      </w:r>
      <w:r>
        <w:rPr>
          <w:rFonts w:ascii="Times New Roman" w:hAnsi="Times New Roman" w:cs="Times New Roman"/>
          <w:color w:val="auto"/>
          <w:sz w:val="24"/>
          <w:szCs w:val="24"/>
        </w:rPr>
        <w:t>na forma da legislação vigente.</w:t>
      </w:r>
    </w:p>
    <w:bookmarkEnd w:id="48"/>
    <w:p w14:paraId="29AFE58C">
      <w:pPr>
        <w:spacing w:line="288" w:lineRule="auto"/>
        <w:contextualSpacing/>
        <w:jc w:val="both"/>
        <w:rPr>
          <w:sz w:val="24"/>
          <w:szCs w:val="24"/>
        </w:rPr>
      </w:pPr>
    </w:p>
    <w:p w14:paraId="5C05F30B">
      <w:pPr>
        <w:spacing w:line="288" w:lineRule="auto"/>
        <w:contextualSpacing/>
        <w:jc w:val="both"/>
        <w:rPr>
          <w:sz w:val="24"/>
          <w:szCs w:val="24"/>
        </w:rPr>
      </w:pPr>
      <w:r>
        <w:rPr>
          <w:sz w:val="24"/>
          <w:szCs w:val="24"/>
        </w:rPr>
        <w:t>9.1.22 Orientar e treinar seus empregados sobre os deveres previstos na Lei nº 13.709, de 14 de agosto de 2018 (LGPD), adotando medidas eficazes para proteção de dados pessoais a que tenha acesso por força da execução deste Contrato.</w:t>
      </w:r>
    </w:p>
    <w:p w14:paraId="6B49C167">
      <w:pPr>
        <w:spacing w:line="288" w:lineRule="auto"/>
        <w:contextualSpacing/>
        <w:jc w:val="both"/>
        <w:rPr>
          <w:sz w:val="24"/>
          <w:szCs w:val="24"/>
        </w:rPr>
      </w:pPr>
    </w:p>
    <w:p w14:paraId="078D6AD5">
      <w:pPr>
        <w:pStyle w:val="85"/>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DÉCIMA – GARANTIA DE EXECUÇÃO</w:t>
      </w:r>
    </w:p>
    <w:p w14:paraId="57481BC2">
      <w:pPr>
        <w:spacing w:line="288" w:lineRule="auto"/>
        <w:contextualSpacing/>
        <w:jc w:val="both"/>
        <w:rPr>
          <w:sz w:val="24"/>
          <w:szCs w:val="24"/>
        </w:rPr>
      </w:pPr>
    </w:p>
    <w:p w14:paraId="045DCC07">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 O Contrato conta com garantia de execução, nos moldes do </w:t>
      </w:r>
      <w:r>
        <w:fldChar w:fldCharType="begin"/>
      </w:r>
      <w:r>
        <w:instrText xml:space="preserve"> HYPERLINK "http://www.planalto.gov.br/ccivil_03/_ato2019-2022/2021/lei/L14133.htm" \l "art96" </w:instrText>
      </w:r>
      <w:r>
        <w:fldChar w:fldCharType="separate"/>
      </w:r>
      <w:r>
        <w:rPr>
          <w:rStyle w:val="14"/>
          <w:rFonts w:eastAsiaTheme="minorHAnsi"/>
          <w:color w:val="000000" w:themeColor="text1"/>
          <w:sz w:val="24"/>
          <w:szCs w:val="24"/>
          <w14:textFill>
            <w14:solidFill>
              <w14:schemeClr w14:val="tx1"/>
            </w14:solidFill>
          </w14:textFill>
        </w:rPr>
        <w:t>artigo 96 da Lei nº 14.133</w:t>
      </w:r>
      <w:r>
        <w:rPr>
          <w:rStyle w:val="14"/>
          <w:rFonts w:eastAsiaTheme="minorHAnsi"/>
          <w:color w:val="000000" w:themeColor="text1"/>
          <w:sz w:val="24"/>
          <w:szCs w:val="24"/>
          <w14:textFill>
            <w14:solidFill>
              <w14:schemeClr w14:val="tx1"/>
            </w14:solidFill>
          </w14:textFill>
        </w:rPr>
        <w:fldChar w:fldCharType="end"/>
      </w:r>
      <w:r>
        <w:rPr>
          <w:rStyle w:val="14"/>
          <w:rFonts w:eastAsiaTheme="minorHAnsi"/>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2021, correspondente a 5 % (cinco) de seu valor inicial/anual.</w:t>
      </w:r>
    </w:p>
    <w:p w14:paraId="1D68E743">
      <w:pPr>
        <w:pStyle w:val="86"/>
        <w:spacing w:before="288" w:beforeLines="120" w:after="288" w:afterLines="120" w:line="288" w:lineRule="auto"/>
        <w:ind w:left="0" w:right="849"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10.1.1 Na forma do art. 101 da Lei nº 14.133/2021, nos casos de contratos que impliquem a entrega de bens pela Administração, dos quais o </w:t>
      </w:r>
      <w:r>
        <w:rPr>
          <w:rFonts w:ascii="Times New Roman" w:hAnsi="Times New Roman" w:cs="Times New Roman"/>
          <w:b/>
          <w:bCs/>
          <w:color w:val="000000" w:themeColor="text1"/>
          <w:sz w:val="24"/>
          <w:szCs w:val="24"/>
          <w14:textFill>
            <w14:solidFill>
              <w14:schemeClr w14:val="tx1"/>
            </w14:solidFill>
          </w14:textFill>
        </w:rPr>
        <w:t>CONTRATADO</w:t>
      </w:r>
      <w:r>
        <w:rPr>
          <w:rFonts w:ascii="Times New Roman" w:hAnsi="Times New Roman" w:cs="Times New Roman"/>
          <w:color w:val="000000" w:themeColor="text1"/>
          <w:sz w:val="24"/>
          <w:szCs w:val="24"/>
          <w14:textFill>
            <w14:solidFill>
              <w14:schemeClr w14:val="tx1"/>
            </w14:solidFill>
          </w14:textFill>
        </w:rPr>
        <w:t xml:space="preserve"> ficará depositário, o valor desses bens deverá ser acrescido ao valor da garantia.</w:t>
      </w:r>
    </w:p>
    <w:p w14:paraId="5C7CAA17">
      <w:pPr>
        <w:pStyle w:val="91"/>
        <w:numPr>
          <w:ilvl w:val="0"/>
          <w:numId w:val="0"/>
        </w:numPr>
        <w:spacing w:after="288" w:afterLines="120" w:line="288" w:lineRule="auto"/>
        <w:ind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10.2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poderá optar pelas seguintes modalidades de garantia:</w:t>
      </w:r>
    </w:p>
    <w:p w14:paraId="35960966">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 - caução em dinheiro ou em títulos da dívida pública;</w:t>
      </w:r>
    </w:p>
    <w:p w14:paraId="57F36E1D">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II - seguro-garantia; </w:t>
      </w:r>
    </w:p>
    <w:p w14:paraId="30D42321">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III - fiança bancária; e</w:t>
      </w:r>
    </w:p>
    <w:p w14:paraId="55548599">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IV - título de capitalização custeado por pagamento único, com resgate pelo valor total.</w:t>
      </w:r>
    </w:p>
    <w:p w14:paraId="26962BE7">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A1F1747">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 Qualquer que seja a modalidade escolhida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 garantia assegurará o pagamento de: </w:t>
      </w:r>
    </w:p>
    <w:p w14:paraId="45CD013E">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4B58A6D">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10.3.1 prejuízos advindos do não cumprimento do objeto do Contrato e do não adimplemento das demais obrigações neste previstas;</w:t>
      </w:r>
    </w:p>
    <w:p w14:paraId="238C6ED0">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5D83D4AA">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10.3.2 multas moratórias, compensatórias e administrativas aplicadas pela Administração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e</w:t>
      </w:r>
    </w:p>
    <w:p w14:paraId="258252F4">
      <w:pPr>
        <w:pStyle w:val="91"/>
        <w:numPr>
          <w:ilvl w:val="0"/>
          <w:numId w:val="0"/>
        </w:numPr>
        <w:spacing w:after="288" w:afterLines="120" w:line="288" w:lineRule="auto"/>
        <w:ind w:left="567" w:right="565"/>
        <w:contextualSpacing/>
        <w:rPr>
          <w:rFonts w:ascii="Times New Roman" w:hAnsi="Times New Roman" w:cs="Times New Roman"/>
          <w:bCs/>
          <w:i w:val="0"/>
          <w:iCs w:val="0"/>
          <w:color w:val="000000" w:themeColor="text1"/>
          <w:sz w:val="24"/>
          <w:szCs w:val="24"/>
          <w14:textFill>
            <w14:solidFill>
              <w14:schemeClr w14:val="tx1"/>
            </w14:solidFill>
          </w14:textFill>
        </w:rPr>
      </w:pPr>
    </w:p>
    <w:p w14:paraId="13B52246">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bCs/>
          <w:i w:val="0"/>
          <w:iCs w:val="0"/>
          <w:color w:val="000000" w:themeColor="text1"/>
          <w:sz w:val="24"/>
          <w:szCs w:val="24"/>
          <w14:textFill>
            <w14:solidFill>
              <w14:schemeClr w14:val="tx1"/>
            </w14:solidFill>
          </w14:textFill>
        </w:rPr>
        <w:t xml:space="preserve">10.3.3 obrigações trabalhistas e   previdenciárias de </w:t>
      </w:r>
      <w:r>
        <w:rPr>
          <w:rFonts w:ascii="Times New Roman" w:hAnsi="Times New Roman" w:cs="Times New Roman"/>
          <w:i w:val="0"/>
          <w:iCs w:val="0"/>
          <w:color w:val="000000" w:themeColor="text1"/>
          <w:sz w:val="24"/>
          <w:szCs w:val="24"/>
          <w14:textFill>
            <w14:solidFill>
              <w14:schemeClr w14:val="tx1"/>
            </w14:solidFill>
          </w14:textFill>
        </w:rPr>
        <w:t xml:space="preserve">qualquer natureza, assim como as obrigações de regularidade perante o FGTS, não adimplidas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quando couber.</w:t>
      </w:r>
    </w:p>
    <w:p w14:paraId="26F0A3C9">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78C80D04">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10.4</w:t>
      </w:r>
      <w:r>
        <w:rPr>
          <w:rStyle w:val="100"/>
          <w:rFonts w:ascii="Times New Roman" w:hAnsi="Times New Roman" w:cs="Times New Roman"/>
          <w:i w:val="0"/>
          <w:iCs w:val="0"/>
          <w:color w:val="000000" w:themeColor="text1"/>
          <w:sz w:val="24"/>
          <w:szCs w:val="24"/>
          <w:shd w:val="clear" w:color="auto" w:fill="FFFFFF"/>
          <w14:textFill>
            <w14:solidFill>
              <w14:schemeClr w14:val="tx1"/>
            </w14:solidFill>
          </w14:textFill>
        </w:rPr>
        <w:t xml:space="preserve"> </w:t>
      </w:r>
      <w:r>
        <w:rPr>
          <w:rFonts w:ascii="Times New Roman" w:hAnsi="Times New Roman" w:cs="Times New Roman"/>
          <w:i w:val="0"/>
          <w:iCs w:val="0"/>
          <w:color w:val="000000" w:themeColor="text1"/>
          <w:sz w:val="24"/>
          <w:szCs w:val="24"/>
          <w14:textFill>
            <w14:solidFill>
              <w14:schemeClr w14:val="tx1"/>
            </w14:solidFill>
          </w14:textFill>
        </w:rPr>
        <w:t>A garantia, qualquer que seja a modalidade escolhida, terá validade durante a vigência do Contrato e por mais 90 (noventa) dias após o término deste prazo de vigência.</w:t>
      </w:r>
    </w:p>
    <w:p w14:paraId="2DA838BB">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29953587">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10.5 Na hipótese de suspensão do Contrato por ordem ou inadimplemento da Administração,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ficará desobrigado de renovar a garantia ou de endossar a apólice de seguro até a ordem de reinício da execução ou o adimplemento pela Administração.</w:t>
      </w:r>
    </w:p>
    <w:p w14:paraId="5C333C7B">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34A41C9E">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10.6 Ressalvada a hipótese de seguro-garantia, cuja apresentação deve ser anterior à assinatura do Contrato,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apresentará, no prazo máximo de 10 (dez) dias úteis, prorrogáveis por igual período, a critério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contado da assinatura do Contrato, o comprovante de prestação de garantia, na forma do item 10.2.</w:t>
      </w:r>
    </w:p>
    <w:p w14:paraId="16EA9C63">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 Caso oferecida a modalidade de seguro-garantia, observar-se-ão as seguintes condições:</w:t>
      </w:r>
    </w:p>
    <w:p w14:paraId="417E4447">
      <w:pPr>
        <w:spacing w:line="288" w:lineRule="auto"/>
        <w:ind w:left="567" w:right="565"/>
        <w:contextualSpacing/>
        <w:jc w:val="both"/>
        <w:rPr>
          <w:color w:val="000000" w:themeColor="text1"/>
          <w:sz w:val="24"/>
          <w:szCs w:val="24"/>
          <w14:textFill>
            <w14:solidFill>
              <w14:schemeClr w14:val="tx1"/>
            </w14:solidFill>
          </w14:textFill>
        </w:rPr>
      </w:pPr>
    </w:p>
    <w:p w14:paraId="240E281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10.7.1 a apólice permanecerá em vigor mesmo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pague o prêmio nas datas convencionadas;</w:t>
      </w:r>
    </w:p>
    <w:p w14:paraId="4E25D5F2">
      <w:pPr>
        <w:spacing w:line="288" w:lineRule="auto"/>
        <w:ind w:left="567" w:right="565"/>
        <w:contextualSpacing/>
        <w:jc w:val="both"/>
        <w:rPr>
          <w:color w:val="000000" w:themeColor="text1"/>
          <w:sz w:val="24"/>
          <w:szCs w:val="24"/>
          <w14:textFill>
            <w14:solidFill>
              <w14:schemeClr w14:val="tx1"/>
            </w14:solidFill>
          </w14:textFill>
        </w:rPr>
      </w:pPr>
    </w:p>
    <w:p w14:paraId="1C8D96F5">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10.7.2 a apólice deverá acompanhar as modificações referentes à vigência do Contrato principal, mediante a emissão do respectivo endosso pela seguradora;</w:t>
      </w:r>
    </w:p>
    <w:p w14:paraId="7EE4FA02">
      <w:pPr>
        <w:spacing w:line="288" w:lineRule="auto"/>
        <w:ind w:left="567" w:right="565"/>
        <w:contextualSpacing/>
        <w:jc w:val="both"/>
        <w:rPr>
          <w:color w:val="000000" w:themeColor="text1"/>
          <w:sz w:val="24"/>
          <w:szCs w:val="24"/>
          <w14:textFill>
            <w14:solidFill>
              <w14:schemeClr w14:val="tx1"/>
            </w14:solidFill>
          </w14:textFill>
        </w:rPr>
      </w:pPr>
    </w:p>
    <w:p w14:paraId="31582A18">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10.7.3 será permitida a substituição da apólice na data de renovação ou de aniversário, desde que mantidas as condições e coberturas da apólice vigente e nenhum período fique descoberto, ressalvado o disposto no item 10.5 deste Contrato; e</w:t>
      </w:r>
    </w:p>
    <w:p w14:paraId="1E53AEDE">
      <w:pPr>
        <w:spacing w:line="288" w:lineRule="auto"/>
        <w:ind w:left="567" w:right="565"/>
        <w:contextualSpacing/>
        <w:jc w:val="both"/>
        <w:rPr>
          <w:color w:val="000000" w:themeColor="text1"/>
          <w:sz w:val="24"/>
          <w:szCs w:val="24"/>
          <w14:textFill>
            <w14:solidFill>
              <w14:schemeClr w14:val="tx1"/>
            </w14:solidFill>
          </w14:textFill>
        </w:rPr>
      </w:pPr>
    </w:p>
    <w:p w14:paraId="0B682D74">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10.7.4 a apólice somente será aceita se contemplar todos os eventos indicados no item 10.3, observada a legislação que rege a matéria.</w:t>
      </w:r>
    </w:p>
    <w:p w14:paraId="36A47476">
      <w:pPr>
        <w:spacing w:line="288" w:lineRule="auto"/>
        <w:ind w:left="567" w:right="565"/>
        <w:contextualSpacing/>
        <w:jc w:val="both"/>
        <w:rPr>
          <w:color w:val="000000" w:themeColor="text1"/>
          <w:sz w:val="24"/>
          <w:szCs w:val="24"/>
          <w14:textFill>
            <w14:solidFill>
              <w14:schemeClr w14:val="tx1"/>
            </w14:solidFill>
          </w14:textFill>
        </w:rPr>
      </w:pPr>
    </w:p>
    <w:p w14:paraId="5E14AAFB">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59F05066">
      <w:pPr>
        <w:pStyle w:val="91"/>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73494480">
      <w:pPr>
        <w:pStyle w:val="91"/>
        <w:numPr>
          <w:ilvl w:val="0"/>
          <w:numId w:val="0"/>
        </w:numPr>
        <w:spacing w:before="0" w:after="288" w:afterLines="120" w:line="288" w:lineRule="auto"/>
        <w:ind w:left="567" w:right="565"/>
        <w:contextualSpacing/>
        <w:rPr>
          <w:rStyle w:val="14"/>
          <w:rFonts w:ascii="Times New Roman" w:hAnsi="Times New Roman" w:cs="Times New Roman" w:eastAsiaTheme="minorHAnsi"/>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10.9 Caso a opção seja por fiança bancária, esta deverá ser emitida por banco ou instituição financeira devidamente autorizada a operar no País pelo Banco Central do Brasil, e deverá constar expressa renúncia do fiador aos benefícios do </w:t>
      </w:r>
      <w:r>
        <w:fldChar w:fldCharType="begin"/>
      </w:r>
      <w:r>
        <w:instrText xml:space="preserve"> HYPERLINK "https://www.planalto.gov.br/ccivil_03/leis/2002/l10406compilada.htm" \l "art827" </w:instrText>
      </w:r>
      <w:r>
        <w:fldChar w:fldCharType="separate"/>
      </w:r>
      <w:r>
        <w:rPr>
          <w:rStyle w:val="14"/>
          <w:rFonts w:ascii="Times New Roman" w:hAnsi="Times New Roman" w:cs="Times New Roman" w:eastAsiaTheme="minorHAnsi"/>
          <w:i w:val="0"/>
          <w:iCs w:val="0"/>
          <w:color w:val="000000" w:themeColor="text1"/>
          <w:sz w:val="24"/>
          <w:szCs w:val="24"/>
          <w14:textFill>
            <w14:solidFill>
              <w14:schemeClr w14:val="tx1"/>
            </w14:solidFill>
          </w14:textFill>
        </w:rPr>
        <w:t>artigo 827 do Código Civil.</w:t>
      </w:r>
      <w:r>
        <w:rPr>
          <w:rStyle w:val="14"/>
          <w:rFonts w:ascii="Times New Roman" w:hAnsi="Times New Roman" w:cs="Times New Roman" w:eastAsiaTheme="minorHAnsi"/>
          <w:i w:val="0"/>
          <w:iCs w:val="0"/>
          <w:color w:val="000000" w:themeColor="text1"/>
          <w:sz w:val="24"/>
          <w:szCs w:val="24"/>
          <w14:textFill>
            <w14:solidFill>
              <w14:schemeClr w14:val="tx1"/>
            </w14:solidFill>
          </w14:textFill>
        </w:rPr>
        <w:fldChar w:fldCharType="end"/>
      </w:r>
    </w:p>
    <w:p w14:paraId="5CD5CE78">
      <w:pPr>
        <w:pStyle w:val="91"/>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15EC80F">
      <w:pPr>
        <w:pStyle w:val="91"/>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10.10 Caso a opção seja por garantia em dinheiro, deverá ser efetuada em favor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na conta corrente e agência  da instituição financeira contratada pelo Município a ser informada, cujo valor será corrigido monetariamente e restituído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na forma do item 10.16 deste Contrato.</w:t>
      </w:r>
    </w:p>
    <w:p w14:paraId="7C2DA197">
      <w:pPr>
        <w:pStyle w:val="91"/>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7D9D1C42">
      <w:pPr>
        <w:pStyle w:val="91"/>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10.11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10.1 desta cláusula. </w:t>
      </w:r>
    </w:p>
    <w:p w14:paraId="0F51FA4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 A inobservância do prazo fixado para apresentação, reposição, suplementação ou renovação da garantia acarretará a aplicação de multa e/ou outras penalidades, na forma disposta na cláusula décima segunda. </w:t>
      </w:r>
    </w:p>
    <w:p w14:paraId="56FC2C38">
      <w:pPr>
        <w:spacing w:line="288" w:lineRule="auto"/>
        <w:ind w:left="567" w:right="565"/>
        <w:contextualSpacing/>
        <w:jc w:val="both"/>
        <w:rPr>
          <w:color w:val="000000" w:themeColor="text1"/>
          <w:sz w:val="24"/>
          <w:szCs w:val="24"/>
          <w14:textFill>
            <w14:solidFill>
              <w14:schemeClr w14:val="tx1"/>
            </w14:solidFill>
          </w14:textFill>
        </w:rPr>
      </w:pPr>
    </w:p>
    <w:p w14:paraId="23394ECA">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10.12.1 O atraso superior a 25 (vinte e cinco) dias autoriza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a promover a rescisão do Contrato por descumprimento ou cumprimento irregular de suas cláusulas, com a aplicação das sanções cabíveis.</w:t>
      </w:r>
    </w:p>
    <w:p w14:paraId="68906B2E">
      <w:pPr>
        <w:spacing w:line="288" w:lineRule="auto"/>
        <w:ind w:left="567" w:right="565"/>
        <w:contextualSpacing/>
        <w:jc w:val="both"/>
        <w:rPr>
          <w:color w:val="000000" w:themeColor="text1"/>
          <w:sz w:val="24"/>
          <w:szCs w:val="24"/>
          <w14:textFill>
            <w14:solidFill>
              <w14:schemeClr w14:val="tx1"/>
            </w14:solidFill>
          </w14:textFill>
        </w:rPr>
      </w:pPr>
    </w:p>
    <w:p w14:paraId="076CAEB6">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10.13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executará a garantia na forma prevista na legislação que rege a matéria.</w:t>
      </w:r>
    </w:p>
    <w:p w14:paraId="6F773E47">
      <w:pPr>
        <w:spacing w:line="288" w:lineRule="auto"/>
        <w:ind w:left="567" w:right="565"/>
        <w:contextualSpacing/>
        <w:jc w:val="both"/>
        <w:rPr>
          <w:color w:val="000000" w:themeColor="text1"/>
          <w:sz w:val="24"/>
          <w:szCs w:val="24"/>
          <w14:textFill>
            <w14:solidFill>
              <w14:schemeClr w14:val="tx1"/>
            </w14:solidFill>
          </w14:textFill>
        </w:rPr>
      </w:pPr>
    </w:p>
    <w:p w14:paraId="4C9D128B">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 O emitente da garantia ofertada pelo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deverá ser notificado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quanto ao início de processo administrativo para apuração de descumprimento de cláusulas contratuais.</w:t>
      </w:r>
    </w:p>
    <w:p w14:paraId="40DD35F0">
      <w:pPr>
        <w:spacing w:line="288" w:lineRule="auto"/>
        <w:ind w:left="567" w:right="565"/>
        <w:contextualSpacing/>
        <w:jc w:val="both"/>
        <w:rPr>
          <w:color w:val="000000" w:themeColor="text1"/>
          <w:sz w:val="24"/>
          <w:szCs w:val="24"/>
          <w14:textFill>
            <w14:solidFill>
              <w14:schemeClr w14:val="tx1"/>
            </w14:solidFill>
          </w14:textFill>
        </w:rPr>
      </w:pPr>
    </w:p>
    <w:p w14:paraId="016B110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10.14.1 O garantidor não é parte para figurar em processo administrativo instaurado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com o objetivo de apurar prejuízos e/ou aplicar sanções ao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w:t>
      </w:r>
    </w:p>
    <w:p w14:paraId="037A09E6">
      <w:pPr>
        <w:spacing w:line="288" w:lineRule="auto"/>
        <w:ind w:left="567" w:right="565"/>
        <w:contextualSpacing/>
        <w:jc w:val="both"/>
        <w:rPr>
          <w:color w:val="000000" w:themeColor="text1"/>
          <w:sz w:val="24"/>
          <w:szCs w:val="24"/>
          <w14:textFill>
            <w14:solidFill>
              <w14:schemeClr w14:val="tx1"/>
            </w14:solidFill>
          </w14:textFill>
        </w:rPr>
      </w:pPr>
    </w:p>
    <w:p w14:paraId="7BDA7ECA">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083F069A">
      <w:pPr>
        <w:spacing w:line="288" w:lineRule="auto"/>
        <w:ind w:left="567" w:right="565"/>
        <w:contextualSpacing/>
        <w:jc w:val="both"/>
        <w:rPr>
          <w:color w:val="000000" w:themeColor="text1"/>
          <w:sz w:val="24"/>
          <w:szCs w:val="24"/>
          <w14:textFill>
            <w14:solidFill>
              <w14:schemeClr w14:val="tx1"/>
            </w14:solidFill>
          </w14:textFill>
        </w:rPr>
      </w:pPr>
    </w:p>
    <w:p w14:paraId="74ECF5D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10.16 Extinguir-se-á a garantia com a restituição da apólice, carta fiança, título da dívida pública ou autorização para a liberação da caução em dinheiro, atualizada monetariamente, acompanhada de declaração do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mediante termo circunstanciado,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cumpriu todas as cláusulas do Contrato.</w:t>
      </w:r>
    </w:p>
    <w:p w14:paraId="41A14121">
      <w:pPr>
        <w:spacing w:line="288" w:lineRule="auto"/>
        <w:ind w:left="567" w:right="565"/>
        <w:contextualSpacing/>
        <w:jc w:val="both"/>
        <w:rPr>
          <w:color w:val="000000" w:themeColor="text1"/>
          <w:sz w:val="24"/>
          <w:szCs w:val="24"/>
          <w14:textFill>
            <w14:solidFill>
              <w14:schemeClr w14:val="tx1"/>
            </w14:solidFill>
          </w14:textFill>
        </w:rPr>
      </w:pPr>
    </w:p>
    <w:p w14:paraId="624C7603">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10.16.1 A garantia somente será liberada ou restituída, após a fiel execução do Contrato ou pela sua extinção, por culpa exclusiva da Administração, ou quando assim convencionado, em se tratando de extinção consensual da contratação.</w:t>
      </w:r>
    </w:p>
    <w:p w14:paraId="2A5847EE">
      <w:pPr>
        <w:pStyle w:val="91"/>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7CC2C16">
      <w:pPr>
        <w:pStyle w:val="91"/>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10.17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autoriza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a reter, a qualquer tempo, a garantia, na forma prevista no Edital e neste Contrato.</w:t>
      </w:r>
    </w:p>
    <w:p w14:paraId="0EC40B6E">
      <w:pPr>
        <w:pStyle w:val="91"/>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1F740B9">
      <w:pPr>
        <w:pStyle w:val="89"/>
        <w:numPr>
          <w:ilvl w:val="0"/>
          <w:numId w:val="0"/>
        </w:numPr>
        <w:spacing w:before="0" w:line="288" w:lineRule="auto"/>
        <w:ind w:left="32"/>
        <w:contextualSpacing/>
        <w:rPr>
          <w:rFonts w:ascii="Times New Roman" w:hAnsi="Times New Roman"/>
          <w:color w:val="auto"/>
          <w:sz w:val="24"/>
          <w:szCs w:val="24"/>
        </w:rPr>
      </w:pPr>
      <w:r>
        <w:rPr>
          <w:rFonts w:ascii="Times New Roman" w:hAnsi="Times New Roman"/>
          <w:color w:val="auto"/>
          <w:sz w:val="24"/>
          <w:szCs w:val="24"/>
        </w:rPr>
        <w:t xml:space="preserve">CLÁUSULA DÉCIMA PRIMEIRA – DAS INFRAÇÕES ADMINISTRATIVAS E SANÇÕES </w:t>
      </w:r>
    </w:p>
    <w:p w14:paraId="557AB0CE">
      <w:pPr>
        <w:spacing w:line="288" w:lineRule="auto"/>
        <w:contextualSpacing/>
        <w:jc w:val="both"/>
        <w:rPr>
          <w:sz w:val="24"/>
          <w:szCs w:val="24"/>
        </w:rPr>
      </w:pPr>
    </w:p>
    <w:p w14:paraId="5EDDA022">
      <w:pPr>
        <w:spacing w:line="288" w:lineRule="auto"/>
        <w:contextualSpacing/>
        <w:jc w:val="both"/>
        <w:rPr>
          <w:color w:val="000000"/>
          <w:sz w:val="24"/>
          <w:szCs w:val="24"/>
        </w:rPr>
      </w:pPr>
      <w:r>
        <w:rPr>
          <w:color w:val="000000"/>
          <w:sz w:val="24"/>
          <w:szCs w:val="24"/>
        </w:rPr>
        <w:t xml:space="preserve">11.1 Constitui infração administrativa, a prática, pelo </w:t>
      </w:r>
      <w:r>
        <w:rPr>
          <w:b/>
          <w:bCs/>
          <w:color w:val="000000"/>
          <w:sz w:val="24"/>
          <w:szCs w:val="24"/>
        </w:rPr>
        <w:t>CONTRATADO</w:t>
      </w:r>
      <w:r>
        <w:rPr>
          <w:color w:val="000000"/>
          <w:sz w:val="24"/>
          <w:szCs w:val="24"/>
        </w:rPr>
        <w:t>, das seguintes condutas previstas no art. 155 da Lei nº 14.133/2021:</w:t>
      </w:r>
    </w:p>
    <w:p w14:paraId="77551542">
      <w:pPr>
        <w:spacing w:line="288" w:lineRule="auto"/>
        <w:contextualSpacing/>
        <w:jc w:val="both"/>
        <w:rPr>
          <w:color w:val="000000"/>
          <w:sz w:val="24"/>
          <w:szCs w:val="24"/>
        </w:rPr>
      </w:pPr>
    </w:p>
    <w:p w14:paraId="161D8E2C">
      <w:pPr>
        <w:spacing w:line="288" w:lineRule="auto"/>
        <w:contextualSpacing/>
        <w:jc w:val="both"/>
        <w:rPr>
          <w:sz w:val="24"/>
          <w:szCs w:val="24"/>
        </w:rPr>
      </w:pPr>
      <w:r>
        <w:rPr>
          <w:color w:val="000000"/>
          <w:sz w:val="24"/>
          <w:szCs w:val="24"/>
        </w:rPr>
        <w:t>11.1.1 dar causa à inexecução parcial do contrato</w:t>
      </w:r>
      <w:r>
        <w:rPr>
          <w:sz w:val="24"/>
          <w:szCs w:val="24"/>
        </w:rPr>
        <w:t>;</w:t>
      </w:r>
    </w:p>
    <w:p w14:paraId="06E3F7F1">
      <w:pPr>
        <w:spacing w:line="288" w:lineRule="auto"/>
        <w:contextualSpacing/>
        <w:jc w:val="both"/>
        <w:rPr>
          <w:sz w:val="24"/>
          <w:szCs w:val="24"/>
        </w:rPr>
      </w:pPr>
    </w:p>
    <w:p w14:paraId="72AB96BD">
      <w:pPr>
        <w:spacing w:line="288" w:lineRule="auto"/>
        <w:contextualSpacing/>
        <w:jc w:val="both"/>
        <w:rPr>
          <w:sz w:val="24"/>
          <w:szCs w:val="24"/>
        </w:rPr>
      </w:pPr>
      <w:r>
        <w:rPr>
          <w:sz w:val="24"/>
          <w:szCs w:val="24"/>
        </w:rPr>
        <w:t xml:space="preserve">11.1.2 </w:t>
      </w:r>
      <w:r>
        <w:rPr>
          <w:color w:val="000000"/>
          <w:sz w:val="24"/>
          <w:szCs w:val="24"/>
        </w:rPr>
        <w:t>dar causa à inexecução parcial do contrato que cause grave dano à Administração, ao funcionamento dos serviços públicos ou ao interesse coletivo;</w:t>
      </w:r>
    </w:p>
    <w:p w14:paraId="3BC2C7B9">
      <w:pPr>
        <w:spacing w:line="288" w:lineRule="auto"/>
        <w:contextualSpacing/>
        <w:jc w:val="both"/>
        <w:rPr>
          <w:color w:val="000000"/>
          <w:sz w:val="24"/>
          <w:szCs w:val="24"/>
        </w:rPr>
      </w:pPr>
    </w:p>
    <w:p w14:paraId="3A74CFCF">
      <w:pPr>
        <w:spacing w:line="288" w:lineRule="auto"/>
        <w:contextualSpacing/>
        <w:jc w:val="both"/>
        <w:rPr>
          <w:sz w:val="24"/>
          <w:szCs w:val="24"/>
        </w:rPr>
      </w:pPr>
      <w:r>
        <w:rPr>
          <w:color w:val="000000"/>
          <w:sz w:val="24"/>
          <w:szCs w:val="24"/>
        </w:rPr>
        <w:t>11.1.3 dar causa à inexecução total do contrato;</w:t>
      </w:r>
    </w:p>
    <w:p w14:paraId="2E551C9B">
      <w:pPr>
        <w:spacing w:line="288" w:lineRule="auto"/>
        <w:contextualSpacing/>
        <w:jc w:val="both"/>
        <w:rPr>
          <w:color w:val="000000"/>
          <w:sz w:val="24"/>
          <w:szCs w:val="24"/>
        </w:rPr>
      </w:pPr>
    </w:p>
    <w:p w14:paraId="12372913">
      <w:pPr>
        <w:spacing w:line="288" w:lineRule="auto"/>
        <w:contextualSpacing/>
        <w:jc w:val="both"/>
        <w:rPr>
          <w:sz w:val="24"/>
          <w:szCs w:val="24"/>
        </w:rPr>
      </w:pPr>
      <w:r>
        <w:rPr>
          <w:color w:val="000000"/>
          <w:sz w:val="24"/>
          <w:szCs w:val="24"/>
        </w:rPr>
        <w:t xml:space="preserve">11.1.4 deixar de entregar a documentação exigida para o certame ou não entregar qualquer documento que tenha sido solicitado pelo pregoeiro durante o certame; </w:t>
      </w:r>
    </w:p>
    <w:p w14:paraId="692F6B4F">
      <w:pPr>
        <w:spacing w:line="288" w:lineRule="auto"/>
        <w:contextualSpacing/>
        <w:jc w:val="both"/>
        <w:rPr>
          <w:color w:val="000000"/>
          <w:sz w:val="24"/>
          <w:szCs w:val="24"/>
        </w:rPr>
      </w:pPr>
    </w:p>
    <w:p w14:paraId="5B349262">
      <w:pPr>
        <w:spacing w:line="288" w:lineRule="auto"/>
        <w:contextualSpacing/>
        <w:jc w:val="both"/>
        <w:rPr>
          <w:color w:val="000000"/>
          <w:sz w:val="24"/>
          <w:szCs w:val="24"/>
        </w:rPr>
      </w:pPr>
      <w:r>
        <w:rPr>
          <w:color w:val="000000"/>
          <w:sz w:val="24"/>
          <w:szCs w:val="24"/>
        </w:rPr>
        <w:t>11.1.5 não manter a proposta, salvo em decorrência de fato superveniente devidamente justificado, em especial quando:</w:t>
      </w:r>
    </w:p>
    <w:p w14:paraId="0AE0ADE5">
      <w:pPr>
        <w:spacing w:line="288" w:lineRule="auto"/>
        <w:contextualSpacing/>
        <w:jc w:val="both"/>
        <w:rPr>
          <w:sz w:val="24"/>
          <w:szCs w:val="24"/>
        </w:rPr>
      </w:pPr>
    </w:p>
    <w:p w14:paraId="687BDA12">
      <w:pPr>
        <w:spacing w:line="288" w:lineRule="auto"/>
        <w:contextualSpacing/>
        <w:jc w:val="both"/>
        <w:rPr>
          <w:sz w:val="24"/>
          <w:szCs w:val="24"/>
        </w:rPr>
      </w:pPr>
      <w:r>
        <w:rPr>
          <w:sz w:val="24"/>
          <w:szCs w:val="24"/>
        </w:rPr>
        <w:t xml:space="preserve">11.1.5.1 não enviar a proposta adequada ao último lance ofertado ou após a negociação; </w:t>
      </w:r>
    </w:p>
    <w:p w14:paraId="7269C0FF">
      <w:pPr>
        <w:spacing w:line="288" w:lineRule="auto"/>
        <w:contextualSpacing/>
        <w:jc w:val="both"/>
        <w:rPr>
          <w:sz w:val="24"/>
          <w:szCs w:val="24"/>
        </w:rPr>
      </w:pPr>
    </w:p>
    <w:p w14:paraId="5E1DFC62">
      <w:pPr>
        <w:spacing w:line="288" w:lineRule="auto"/>
        <w:contextualSpacing/>
        <w:jc w:val="both"/>
        <w:rPr>
          <w:sz w:val="24"/>
          <w:szCs w:val="24"/>
        </w:rPr>
      </w:pPr>
      <w:r>
        <w:rPr>
          <w:sz w:val="24"/>
          <w:szCs w:val="24"/>
        </w:rPr>
        <w:t xml:space="preserve">11.1.5.2 recusar-se a enviar o detalhamento da proposta quando exigível; </w:t>
      </w:r>
    </w:p>
    <w:p w14:paraId="3F681E48">
      <w:pPr>
        <w:spacing w:line="288" w:lineRule="auto"/>
        <w:contextualSpacing/>
        <w:jc w:val="both"/>
        <w:rPr>
          <w:sz w:val="24"/>
          <w:szCs w:val="24"/>
        </w:rPr>
      </w:pPr>
    </w:p>
    <w:p w14:paraId="185E9277">
      <w:pPr>
        <w:spacing w:line="288" w:lineRule="auto"/>
        <w:contextualSpacing/>
        <w:jc w:val="both"/>
        <w:rPr>
          <w:sz w:val="24"/>
          <w:szCs w:val="24"/>
        </w:rPr>
      </w:pPr>
      <w:r>
        <w:rPr>
          <w:sz w:val="24"/>
          <w:szCs w:val="24"/>
        </w:rPr>
        <w:t xml:space="preserve">11.1.5.3 pedir para ser desclassificado quando encerrada a etapa competitiva; ou </w:t>
      </w:r>
    </w:p>
    <w:p w14:paraId="7F259EB1">
      <w:pPr>
        <w:spacing w:line="288" w:lineRule="auto"/>
        <w:contextualSpacing/>
        <w:jc w:val="both"/>
        <w:rPr>
          <w:sz w:val="24"/>
          <w:szCs w:val="24"/>
        </w:rPr>
      </w:pPr>
    </w:p>
    <w:p w14:paraId="6145E6BB">
      <w:pPr>
        <w:spacing w:line="288" w:lineRule="auto"/>
        <w:contextualSpacing/>
        <w:jc w:val="both"/>
        <w:rPr>
          <w:sz w:val="24"/>
          <w:szCs w:val="24"/>
        </w:rPr>
      </w:pPr>
      <w:r>
        <w:rPr>
          <w:sz w:val="24"/>
          <w:szCs w:val="24"/>
        </w:rPr>
        <w:t>11.1.5.4 deixar de apresentar amostra;</w:t>
      </w:r>
    </w:p>
    <w:p w14:paraId="51B18CA4">
      <w:pPr>
        <w:spacing w:line="288" w:lineRule="auto"/>
        <w:contextualSpacing/>
        <w:jc w:val="both"/>
        <w:rPr>
          <w:sz w:val="24"/>
          <w:szCs w:val="24"/>
        </w:rPr>
      </w:pPr>
    </w:p>
    <w:p w14:paraId="236D6152">
      <w:pPr>
        <w:spacing w:line="288" w:lineRule="auto"/>
        <w:contextualSpacing/>
        <w:jc w:val="both"/>
        <w:rPr>
          <w:sz w:val="24"/>
          <w:szCs w:val="24"/>
        </w:rPr>
      </w:pPr>
      <w:r>
        <w:rPr>
          <w:sz w:val="24"/>
          <w:szCs w:val="24"/>
        </w:rPr>
        <w:t xml:space="preserve">11.1.5.5 apresentar proposta ou amostra em desacordo com as especificações do instrumento convocatório; </w:t>
      </w:r>
    </w:p>
    <w:p w14:paraId="363B564A">
      <w:pPr>
        <w:spacing w:line="288" w:lineRule="auto"/>
        <w:contextualSpacing/>
        <w:jc w:val="both"/>
        <w:rPr>
          <w:color w:val="000000"/>
          <w:sz w:val="24"/>
          <w:szCs w:val="24"/>
        </w:rPr>
      </w:pPr>
    </w:p>
    <w:p w14:paraId="1D6A2402">
      <w:pPr>
        <w:spacing w:line="288" w:lineRule="auto"/>
        <w:contextualSpacing/>
        <w:jc w:val="both"/>
        <w:rPr>
          <w:color w:val="000000"/>
          <w:sz w:val="24"/>
          <w:szCs w:val="24"/>
        </w:rPr>
      </w:pPr>
      <w:r>
        <w:rPr>
          <w:color w:val="000000"/>
          <w:sz w:val="24"/>
          <w:szCs w:val="24"/>
        </w:rPr>
        <w:t>11.1.6 não celebrar o contrato ou não entregar a documentação exigida para a contratação, quando convocado dentro do prazo de validade de sua proposta;</w:t>
      </w:r>
    </w:p>
    <w:p w14:paraId="0BF43360">
      <w:pPr>
        <w:spacing w:line="288" w:lineRule="auto"/>
        <w:contextualSpacing/>
        <w:jc w:val="both"/>
        <w:rPr>
          <w:sz w:val="24"/>
          <w:szCs w:val="24"/>
        </w:rPr>
      </w:pPr>
    </w:p>
    <w:p w14:paraId="3263AAC4">
      <w:pPr>
        <w:spacing w:line="288" w:lineRule="auto"/>
        <w:contextualSpacing/>
        <w:jc w:val="both"/>
        <w:rPr>
          <w:sz w:val="24"/>
          <w:szCs w:val="24"/>
        </w:rPr>
      </w:pPr>
      <w:r>
        <w:rPr>
          <w:sz w:val="24"/>
          <w:szCs w:val="24"/>
        </w:rPr>
        <w:t>11.1.6.1 recusar-se, sem justificativa, a assinar o contrato ou a ata de registro de preço, ou a aceitar ou retirar o instrumento equivalente no prazo estabelecido pela Administração;</w:t>
      </w:r>
    </w:p>
    <w:p w14:paraId="349AE038">
      <w:pPr>
        <w:spacing w:line="288" w:lineRule="auto"/>
        <w:contextualSpacing/>
        <w:jc w:val="both"/>
        <w:rPr>
          <w:color w:val="000000"/>
          <w:sz w:val="24"/>
          <w:szCs w:val="24"/>
        </w:rPr>
      </w:pPr>
    </w:p>
    <w:p w14:paraId="349894F8">
      <w:pPr>
        <w:spacing w:line="288" w:lineRule="auto"/>
        <w:contextualSpacing/>
        <w:jc w:val="both"/>
        <w:rPr>
          <w:color w:val="000000"/>
          <w:sz w:val="24"/>
          <w:szCs w:val="24"/>
        </w:rPr>
      </w:pPr>
      <w:r>
        <w:rPr>
          <w:color w:val="000000"/>
          <w:sz w:val="24"/>
          <w:szCs w:val="24"/>
        </w:rPr>
        <w:t>11.1.7 ensejar o retardamento da execução ou da entrega do objeto da contratação sem motivo justificado;</w:t>
      </w:r>
    </w:p>
    <w:p w14:paraId="5C97B2A7">
      <w:pPr>
        <w:spacing w:line="288" w:lineRule="auto"/>
        <w:contextualSpacing/>
        <w:jc w:val="both"/>
        <w:rPr>
          <w:color w:val="000000"/>
          <w:sz w:val="24"/>
          <w:szCs w:val="24"/>
        </w:rPr>
      </w:pPr>
    </w:p>
    <w:p w14:paraId="42AD923A">
      <w:pPr>
        <w:spacing w:line="288" w:lineRule="auto"/>
        <w:contextualSpacing/>
        <w:jc w:val="both"/>
        <w:rPr>
          <w:color w:val="000000"/>
          <w:sz w:val="24"/>
          <w:szCs w:val="24"/>
        </w:rPr>
      </w:pPr>
      <w:r>
        <w:rPr>
          <w:color w:val="000000"/>
          <w:sz w:val="24"/>
          <w:szCs w:val="24"/>
        </w:rPr>
        <w:t>11.1.8 apresentar declaração ou documentação falsa exigida para o certame ou prestar declaração falsa durante o certame ou a execução do contrato;</w:t>
      </w:r>
    </w:p>
    <w:p w14:paraId="17CF8195">
      <w:pPr>
        <w:spacing w:line="288" w:lineRule="auto"/>
        <w:contextualSpacing/>
        <w:jc w:val="both"/>
        <w:rPr>
          <w:color w:val="000000"/>
          <w:sz w:val="24"/>
          <w:szCs w:val="24"/>
        </w:rPr>
      </w:pPr>
    </w:p>
    <w:p w14:paraId="0EAAE1B0">
      <w:pPr>
        <w:spacing w:line="288" w:lineRule="auto"/>
        <w:contextualSpacing/>
        <w:jc w:val="both"/>
        <w:rPr>
          <w:color w:val="000000"/>
          <w:sz w:val="24"/>
          <w:szCs w:val="24"/>
        </w:rPr>
      </w:pPr>
      <w:r>
        <w:rPr>
          <w:color w:val="000000"/>
          <w:sz w:val="24"/>
          <w:szCs w:val="24"/>
        </w:rPr>
        <w:t>11.1.9 fraudar o certame ou praticar ato fraudulento na execução do contrato;</w:t>
      </w:r>
    </w:p>
    <w:p w14:paraId="4CA0C506">
      <w:pPr>
        <w:spacing w:line="288" w:lineRule="auto"/>
        <w:contextualSpacing/>
        <w:jc w:val="both"/>
        <w:rPr>
          <w:color w:val="000000"/>
          <w:sz w:val="24"/>
          <w:szCs w:val="24"/>
        </w:rPr>
      </w:pPr>
    </w:p>
    <w:p w14:paraId="4EB357D6">
      <w:pPr>
        <w:spacing w:line="288" w:lineRule="auto"/>
        <w:contextualSpacing/>
        <w:jc w:val="both"/>
        <w:rPr>
          <w:color w:val="000000"/>
          <w:sz w:val="24"/>
          <w:szCs w:val="24"/>
        </w:rPr>
      </w:pPr>
      <w:r>
        <w:rPr>
          <w:color w:val="000000"/>
          <w:sz w:val="24"/>
          <w:szCs w:val="24"/>
        </w:rPr>
        <w:t>11.1.10 comportar-se de modo inidôneo ou cometer fraude de qualquer natureza, em especial quando:</w:t>
      </w:r>
    </w:p>
    <w:p w14:paraId="513D92B8">
      <w:pPr>
        <w:spacing w:line="288" w:lineRule="auto"/>
        <w:contextualSpacing/>
        <w:jc w:val="both"/>
        <w:rPr>
          <w:sz w:val="24"/>
          <w:szCs w:val="24"/>
        </w:rPr>
      </w:pPr>
    </w:p>
    <w:p w14:paraId="42327EDA">
      <w:pPr>
        <w:spacing w:line="288" w:lineRule="auto"/>
        <w:contextualSpacing/>
        <w:jc w:val="both"/>
        <w:rPr>
          <w:sz w:val="24"/>
          <w:szCs w:val="24"/>
        </w:rPr>
      </w:pPr>
      <w:r>
        <w:rPr>
          <w:sz w:val="24"/>
          <w:szCs w:val="24"/>
        </w:rPr>
        <w:t xml:space="preserve">11.1.10.1 agir em conluio ou em desconformidade com a lei; </w:t>
      </w:r>
    </w:p>
    <w:p w14:paraId="26393B27">
      <w:pPr>
        <w:spacing w:line="288" w:lineRule="auto"/>
        <w:contextualSpacing/>
        <w:jc w:val="both"/>
        <w:rPr>
          <w:sz w:val="24"/>
          <w:szCs w:val="24"/>
        </w:rPr>
      </w:pPr>
    </w:p>
    <w:p w14:paraId="7C9F055B">
      <w:pPr>
        <w:spacing w:line="288" w:lineRule="auto"/>
        <w:contextualSpacing/>
        <w:jc w:val="both"/>
        <w:rPr>
          <w:sz w:val="24"/>
          <w:szCs w:val="24"/>
        </w:rPr>
      </w:pPr>
      <w:r>
        <w:rPr>
          <w:sz w:val="24"/>
          <w:szCs w:val="24"/>
        </w:rPr>
        <w:t xml:space="preserve">11.1.10.2 induzir deliberadamente a erro no julgamento; </w:t>
      </w:r>
    </w:p>
    <w:p w14:paraId="7B9D6B1E">
      <w:pPr>
        <w:spacing w:line="288" w:lineRule="auto"/>
        <w:contextualSpacing/>
        <w:jc w:val="both"/>
        <w:rPr>
          <w:sz w:val="24"/>
          <w:szCs w:val="24"/>
        </w:rPr>
      </w:pPr>
    </w:p>
    <w:p w14:paraId="61234FDD">
      <w:pPr>
        <w:spacing w:line="288" w:lineRule="auto"/>
        <w:contextualSpacing/>
        <w:jc w:val="both"/>
        <w:rPr>
          <w:sz w:val="24"/>
          <w:szCs w:val="24"/>
        </w:rPr>
      </w:pPr>
      <w:r>
        <w:rPr>
          <w:sz w:val="24"/>
          <w:szCs w:val="24"/>
        </w:rPr>
        <w:t xml:space="preserve">11.1.10.3 apresentar amostra falsificada ou deteriorada; </w:t>
      </w:r>
    </w:p>
    <w:p w14:paraId="22BBB5C4">
      <w:pPr>
        <w:spacing w:line="288" w:lineRule="auto"/>
        <w:contextualSpacing/>
        <w:jc w:val="both"/>
        <w:rPr>
          <w:sz w:val="24"/>
          <w:szCs w:val="24"/>
        </w:rPr>
      </w:pPr>
    </w:p>
    <w:p w14:paraId="1638E9EF">
      <w:pPr>
        <w:spacing w:line="288" w:lineRule="auto"/>
        <w:contextualSpacing/>
        <w:jc w:val="both"/>
        <w:rPr>
          <w:sz w:val="24"/>
          <w:szCs w:val="24"/>
        </w:rPr>
      </w:pPr>
      <w:r>
        <w:rPr>
          <w:sz w:val="24"/>
          <w:szCs w:val="24"/>
        </w:rPr>
        <w:t xml:space="preserve">11.1.10.4 apresentar declaração falsa quanto às condições de participação ou quanto ao enquadramento como ME/EPP; </w:t>
      </w:r>
    </w:p>
    <w:p w14:paraId="2073457A">
      <w:pPr>
        <w:spacing w:line="288" w:lineRule="auto"/>
        <w:contextualSpacing/>
        <w:jc w:val="both"/>
        <w:rPr>
          <w:color w:val="000000"/>
          <w:sz w:val="24"/>
          <w:szCs w:val="24"/>
        </w:rPr>
      </w:pPr>
    </w:p>
    <w:p w14:paraId="013D1006">
      <w:pPr>
        <w:spacing w:line="288" w:lineRule="auto"/>
        <w:contextualSpacing/>
        <w:jc w:val="both"/>
        <w:rPr>
          <w:color w:val="000000"/>
          <w:sz w:val="24"/>
          <w:szCs w:val="24"/>
        </w:rPr>
      </w:pPr>
      <w:r>
        <w:rPr>
          <w:color w:val="000000"/>
          <w:sz w:val="24"/>
          <w:szCs w:val="24"/>
        </w:rPr>
        <w:t>11.1.11 praticar atos ilícitos com vistas a frustrar os objetivos do certame;</w:t>
      </w:r>
    </w:p>
    <w:p w14:paraId="1E9C5A39">
      <w:pPr>
        <w:spacing w:line="288" w:lineRule="auto"/>
        <w:contextualSpacing/>
        <w:jc w:val="both"/>
        <w:rPr>
          <w:color w:val="000000"/>
          <w:sz w:val="24"/>
          <w:szCs w:val="24"/>
        </w:rPr>
      </w:pPr>
    </w:p>
    <w:p w14:paraId="6F3DFE58">
      <w:pPr>
        <w:spacing w:line="288" w:lineRule="auto"/>
        <w:contextualSpacing/>
        <w:jc w:val="both"/>
        <w:rPr>
          <w:rStyle w:val="14"/>
          <w:rFonts w:eastAsiaTheme="minorHAnsi"/>
          <w:color w:val="000000"/>
          <w:sz w:val="24"/>
          <w:szCs w:val="24"/>
        </w:rPr>
      </w:pPr>
      <w:r>
        <w:rPr>
          <w:color w:val="000000"/>
          <w:sz w:val="24"/>
          <w:szCs w:val="24"/>
        </w:rPr>
        <w:t>11.1.12 praticar ato lesivo previsto no </w:t>
      </w:r>
      <w:r>
        <w:fldChar w:fldCharType="begin"/>
      </w:r>
      <w:r>
        <w:instrText xml:space="preserve"> HYPERLINK "http://www.planalto.gov.br/ccivil_03/_Ato2011-2014/2013/Lei/L12846.htm" \l "art5" </w:instrText>
      </w:r>
      <w:r>
        <w:fldChar w:fldCharType="separate"/>
      </w:r>
      <w:r>
        <w:rPr>
          <w:rStyle w:val="14"/>
          <w:rFonts w:eastAsiaTheme="minorHAnsi"/>
          <w:color w:val="000000"/>
          <w:sz w:val="24"/>
          <w:szCs w:val="24"/>
        </w:rPr>
        <w:t>art. 5º da Lei nº 12.846, de 1º de agosto de 2013.</w:t>
      </w:r>
      <w:r>
        <w:rPr>
          <w:rStyle w:val="14"/>
          <w:rFonts w:eastAsiaTheme="minorHAnsi"/>
          <w:color w:val="000000"/>
          <w:sz w:val="24"/>
          <w:szCs w:val="24"/>
        </w:rPr>
        <w:fldChar w:fldCharType="end"/>
      </w:r>
    </w:p>
    <w:p w14:paraId="38535FCE">
      <w:pPr>
        <w:spacing w:line="288" w:lineRule="auto"/>
        <w:contextualSpacing/>
        <w:jc w:val="both"/>
        <w:rPr>
          <w:sz w:val="24"/>
          <w:szCs w:val="24"/>
        </w:rPr>
      </w:pPr>
    </w:p>
    <w:p w14:paraId="718F3E5F">
      <w:pPr>
        <w:spacing w:line="288" w:lineRule="auto"/>
        <w:contextualSpacing/>
        <w:jc w:val="both"/>
        <w:rPr>
          <w:sz w:val="24"/>
          <w:szCs w:val="24"/>
        </w:rPr>
      </w:pPr>
      <w:r>
        <w:rPr>
          <w:sz w:val="24"/>
          <w:szCs w:val="24"/>
        </w:rPr>
        <w:t xml:space="preserve">11.2 O </w:t>
      </w:r>
      <w:r>
        <w:rPr>
          <w:b/>
          <w:bCs/>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1F58A8DE">
      <w:pPr>
        <w:spacing w:line="288" w:lineRule="auto"/>
        <w:contextualSpacing/>
        <w:jc w:val="both"/>
        <w:rPr>
          <w:sz w:val="24"/>
          <w:szCs w:val="24"/>
        </w:rPr>
      </w:pPr>
    </w:p>
    <w:p w14:paraId="275304EC">
      <w:pPr>
        <w:spacing w:line="288" w:lineRule="auto"/>
        <w:contextualSpacing/>
        <w:jc w:val="both"/>
        <w:rPr>
          <w:sz w:val="24"/>
          <w:szCs w:val="24"/>
        </w:rPr>
      </w:pPr>
      <w:r>
        <w:rPr>
          <w:sz w:val="24"/>
          <w:szCs w:val="24"/>
        </w:rPr>
        <w:t>11.2.1 Advertência, prevista no art. 156, I, § 2º, da Lei nº 14.133/2021, pela infração descrita no item 11.1.1, de menor potencial ofensivo, quando não se justificar a imposição de penalidade mais grave.</w:t>
      </w:r>
    </w:p>
    <w:p w14:paraId="36F09505">
      <w:pPr>
        <w:spacing w:line="288" w:lineRule="auto"/>
        <w:contextualSpacing/>
        <w:jc w:val="both"/>
        <w:rPr>
          <w:sz w:val="24"/>
          <w:szCs w:val="24"/>
        </w:rPr>
      </w:pPr>
    </w:p>
    <w:p w14:paraId="4691BF00">
      <w:pPr>
        <w:spacing w:line="288" w:lineRule="auto"/>
        <w:contextualSpacing/>
        <w:jc w:val="both"/>
        <w:rPr>
          <w:sz w:val="24"/>
          <w:szCs w:val="24"/>
        </w:rPr>
      </w:pPr>
      <w:r>
        <w:rPr>
          <w:sz w:val="24"/>
          <w:szCs w:val="24"/>
        </w:rPr>
        <w:t xml:space="preserve">11.2.2 Multa administrativa, prevista no art. 156, II, § 3º, da Lei nº 14.133/2021, pela infração dos subitens 11.1.1 a 11.1.12,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60594933">
      <w:pPr>
        <w:spacing w:line="288" w:lineRule="auto"/>
        <w:contextualSpacing/>
        <w:jc w:val="both"/>
        <w:rPr>
          <w:color w:val="000000" w:themeColor="text1"/>
          <w:sz w:val="24"/>
          <w:szCs w:val="24"/>
          <w14:textFill>
            <w14:solidFill>
              <w14:schemeClr w14:val="tx1"/>
            </w14:solidFill>
          </w14:textFill>
        </w:rPr>
      </w:pPr>
      <w:r>
        <w:rPr>
          <w:sz w:val="24"/>
          <w:szCs w:val="24"/>
        </w:rPr>
        <w:t xml:space="preserve">a) multa de 0,5% a 1,5%, nos casos da infração prevista </w:t>
      </w:r>
      <w:r>
        <w:rPr>
          <w:color w:val="000000" w:themeColor="text1"/>
          <w:sz w:val="24"/>
          <w:szCs w:val="24"/>
          <w14:textFill>
            <w14:solidFill>
              <w14:schemeClr w14:val="tx1"/>
            </w14:solidFill>
          </w14:textFill>
        </w:rPr>
        <w:t xml:space="preserve">no subitem 11.1.1, incidente sobre o valor anual do Contrato; </w:t>
      </w:r>
    </w:p>
    <w:p w14:paraId="5C5A2070">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b) multa de 0,5% a 15%, nos casos das infrações previstas nos subitens 11.1.2 a 11.1.7, incidente sobre o valor anual do Contrato;</w:t>
      </w:r>
    </w:p>
    <w:p w14:paraId="089B4CA5">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c) multa de 5% a 30%, nos casos das infrações previstas nos subitens 11.1.8 a 11.1.12, incidente sobre o valor anual do Contrato;</w:t>
      </w:r>
    </w:p>
    <w:p w14:paraId="48D81541">
      <w:pPr>
        <w:spacing w:line="288" w:lineRule="auto"/>
        <w:contextualSpacing/>
        <w:jc w:val="both"/>
        <w:rPr>
          <w:color w:val="000000" w:themeColor="text1"/>
          <w:sz w:val="24"/>
          <w:szCs w:val="24"/>
          <w14:textFill>
            <w14:solidFill>
              <w14:schemeClr w14:val="tx1"/>
            </w14:solidFill>
          </w14:textFill>
        </w:rPr>
      </w:pPr>
    </w:p>
    <w:p w14:paraId="24B44B1D">
      <w:pPr>
        <w:spacing w:line="288" w:lineRule="auto"/>
        <w:contextualSpacing/>
        <w:jc w:val="both"/>
        <w:rPr>
          <w:sz w:val="24"/>
          <w:szCs w:val="24"/>
        </w:rPr>
      </w:pPr>
      <w:r>
        <w:rPr>
          <w:sz w:val="24"/>
          <w:szCs w:val="24"/>
        </w:rPr>
        <w:t>11.2.2.1 Na hipótese de a infração ser cometida antes da celebração do contrato, a base de cálculo da multa do item 11.2.2 será o valor anual estimado da contratação.</w:t>
      </w:r>
    </w:p>
    <w:p w14:paraId="33B24B9D">
      <w:pPr>
        <w:spacing w:line="288" w:lineRule="auto"/>
        <w:contextualSpacing/>
        <w:jc w:val="both"/>
        <w:rPr>
          <w:b/>
          <w:bCs/>
          <w:color w:val="FF0000"/>
          <w:sz w:val="24"/>
          <w:szCs w:val="24"/>
        </w:rPr>
      </w:pPr>
    </w:p>
    <w:p w14:paraId="5A0B82BA">
      <w:pPr>
        <w:spacing w:line="288" w:lineRule="auto"/>
        <w:contextualSpacing/>
        <w:jc w:val="both"/>
        <w:rPr>
          <w:sz w:val="24"/>
          <w:szCs w:val="24"/>
        </w:rPr>
      </w:pPr>
      <w:r>
        <w:rPr>
          <w:sz w:val="24"/>
          <w:szCs w:val="24"/>
        </w:rPr>
        <w:t>11.2.2.2    Em caso de reincidência, o valor total das multas administrativas aplicadas não poderá exceder o limite de 30% (trinta por cento) sobre o valor total do Contrato.</w:t>
      </w:r>
    </w:p>
    <w:p w14:paraId="06A2F85C">
      <w:pPr>
        <w:spacing w:line="288" w:lineRule="auto"/>
        <w:contextualSpacing/>
        <w:jc w:val="both"/>
        <w:rPr>
          <w:sz w:val="24"/>
          <w:szCs w:val="24"/>
        </w:rPr>
      </w:pPr>
    </w:p>
    <w:p w14:paraId="351E8C48">
      <w:pPr>
        <w:spacing w:line="288" w:lineRule="auto"/>
        <w:contextualSpacing/>
        <w:jc w:val="both"/>
        <w:rPr>
          <w:sz w:val="24"/>
          <w:szCs w:val="24"/>
        </w:rPr>
      </w:pPr>
      <w:r>
        <w:rPr>
          <w:sz w:val="24"/>
          <w:szCs w:val="24"/>
        </w:rPr>
        <w:t xml:space="preserve">11.2.2.3 Se a multa aplicada e as indenizações cabíveis forem superiores ao valor de pagamento eventualmente devido pela Administração ao </w:t>
      </w:r>
      <w:r>
        <w:rPr>
          <w:b/>
          <w:bCs/>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11.13.</w:t>
      </w:r>
    </w:p>
    <w:p w14:paraId="6FF87C19">
      <w:pPr>
        <w:spacing w:line="288" w:lineRule="auto"/>
        <w:contextualSpacing/>
        <w:jc w:val="both"/>
        <w:rPr>
          <w:sz w:val="24"/>
          <w:szCs w:val="24"/>
        </w:rPr>
      </w:pPr>
    </w:p>
    <w:p w14:paraId="2ABDB209">
      <w:pPr>
        <w:spacing w:line="288" w:lineRule="auto"/>
        <w:contextualSpacing/>
        <w:jc w:val="both"/>
        <w:rPr>
          <w:sz w:val="24"/>
          <w:szCs w:val="24"/>
        </w:rPr>
      </w:pPr>
      <w:r>
        <w:rPr>
          <w:sz w:val="24"/>
          <w:szCs w:val="24"/>
        </w:rPr>
        <w:t>11.2.2.4 A penalidade de multa pode ser aplicada cumulativamente com as demais sanções, na forma do art. 156, § 7º, da Lei nº 14.133/2021.</w:t>
      </w:r>
    </w:p>
    <w:p w14:paraId="4A63CCEC">
      <w:pPr>
        <w:spacing w:line="288" w:lineRule="auto"/>
        <w:contextualSpacing/>
        <w:jc w:val="both"/>
        <w:rPr>
          <w:color w:val="000000"/>
          <w:sz w:val="24"/>
          <w:szCs w:val="24"/>
        </w:rPr>
      </w:pPr>
    </w:p>
    <w:p w14:paraId="71B968C7">
      <w:pPr>
        <w:spacing w:line="288" w:lineRule="auto"/>
        <w:contextualSpacing/>
        <w:jc w:val="both"/>
        <w:rPr>
          <w:rFonts w:eastAsia="Arial"/>
          <w:color w:val="000000"/>
          <w:sz w:val="24"/>
          <w:szCs w:val="24"/>
        </w:rPr>
      </w:pPr>
      <w:r>
        <w:rPr>
          <w:color w:val="000000"/>
          <w:sz w:val="24"/>
          <w:szCs w:val="24"/>
        </w:rPr>
        <w:t xml:space="preserve">11.2.3 Impedimento de licitar e contratar, prevista no </w:t>
      </w:r>
      <w:r>
        <w:rPr>
          <w:sz w:val="24"/>
          <w:szCs w:val="24"/>
        </w:rPr>
        <w:t xml:space="preserve">art. 156, III, § 4º, da Lei nº 14.133/2021, </w:t>
      </w:r>
      <w:r>
        <w:rPr>
          <w:color w:val="000000"/>
          <w:sz w:val="24"/>
          <w:szCs w:val="24"/>
        </w:rPr>
        <w:t>nos casos relacionados os subitens 11.1.2 a 11.1.7, quando não se justificar a imposição de penalidade mais grave, e impedirá o responsável de licitar ou contratar no âmbito da Administração Pública direta e indireta do Município, pelo prazo máximo de 3 (três) anos;</w:t>
      </w:r>
    </w:p>
    <w:p w14:paraId="70F57B79">
      <w:pPr>
        <w:spacing w:line="288" w:lineRule="auto"/>
        <w:contextualSpacing/>
        <w:jc w:val="both"/>
        <w:rPr>
          <w:color w:val="000000"/>
          <w:sz w:val="24"/>
          <w:szCs w:val="24"/>
        </w:rPr>
      </w:pPr>
    </w:p>
    <w:p w14:paraId="148EC16D">
      <w:pPr>
        <w:spacing w:line="288" w:lineRule="auto"/>
        <w:contextualSpacing/>
        <w:jc w:val="both"/>
        <w:rPr>
          <w:sz w:val="24"/>
          <w:szCs w:val="24"/>
        </w:rPr>
      </w:pPr>
      <w:r>
        <w:rPr>
          <w:color w:val="000000"/>
          <w:sz w:val="24"/>
          <w:szCs w:val="24"/>
        </w:rPr>
        <w:t>11.2.4 Declaração de inidoneidade para licitar ou contratar, prevista no a</w:t>
      </w:r>
      <w:r>
        <w:rPr>
          <w:rStyle w:val="102"/>
          <w:rFonts w:ascii="Times New Roman" w:hAnsi="Times New Roman" w:cs="Times New Roman"/>
          <w:sz w:val="24"/>
          <w:szCs w:val="24"/>
        </w:rPr>
        <w:t xml:space="preserve">rt. 156, IV, § 5º, da Lei nº 14.133/2021, </w:t>
      </w:r>
      <w:r>
        <w:rPr>
          <w:color w:val="000000"/>
          <w:sz w:val="24"/>
          <w:szCs w:val="24"/>
        </w:rPr>
        <w:t>nos casos relacionados nos subitens 11.1.8 a 11.1.12,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439F3ECD">
      <w:pPr>
        <w:spacing w:line="288" w:lineRule="auto"/>
        <w:contextualSpacing/>
        <w:jc w:val="both"/>
        <w:rPr>
          <w:sz w:val="24"/>
          <w:szCs w:val="24"/>
        </w:rPr>
      </w:pPr>
    </w:p>
    <w:p w14:paraId="4F390DE5">
      <w:pPr>
        <w:spacing w:line="288" w:lineRule="auto"/>
        <w:contextualSpacing/>
        <w:jc w:val="both"/>
        <w:rPr>
          <w:sz w:val="24"/>
          <w:szCs w:val="24"/>
        </w:rPr>
      </w:pPr>
      <w:r>
        <w:rPr>
          <w:sz w:val="24"/>
          <w:szCs w:val="24"/>
        </w:rPr>
        <w:t xml:space="preserve">11.3 Sem prejuízo da multa administrativa prevista no art. 156, II, § 3º, da Lei nº 14.133/2021, o atraso injustificado no cumprimento das obrigações contratuais sujeitará o </w:t>
      </w:r>
      <w:r>
        <w:rPr>
          <w:b/>
          <w:bCs/>
          <w:color w:val="000000"/>
          <w:sz w:val="24"/>
          <w:szCs w:val="24"/>
        </w:rPr>
        <w:t>CONTRATADO</w:t>
      </w:r>
      <w:r>
        <w:rPr>
          <w:sz w:val="24"/>
          <w:szCs w:val="24"/>
        </w:rPr>
        <w:t>,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5AD6F8B6">
      <w:pPr>
        <w:spacing w:line="288" w:lineRule="auto"/>
        <w:contextualSpacing/>
        <w:jc w:val="both"/>
        <w:rPr>
          <w:sz w:val="24"/>
          <w:szCs w:val="24"/>
        </w:rPr>
      </w:pPr>
    </w:p>
    <w:p w14:paraId="041034E3">
      <w:pPr>
        <w:spacing w:line="288" w:lineRule="auto"/>
        <w:contextualSpacing/>
        <w:jc w:val="both"/>
        <w:rPr>
          <w:sz w:val="24"/>
          <w:szCs w:val="24"/>
        </w:rPr>
      </w:pPr>
      <w:r>
        <w:rPr>
          <w:sz w:val="24"/>
          <w:szCs w:val="24"/>
        </w:rPr>
        <w:t>11.3.1 Em caso de atraso injustificado para apresentação, suplementação ou reposição da garantia, a multa de mora será de 0,07% (sete centésimos por cento) sobre o valor total do Contrato por dia útil que exceder o prazo estipulado até o máximo de 2 % (dois por cento).</w:t>
      </w:r>
    </w:p>
    <w:p w14:paraId="7CC9A8FA">
      <w:pPr>
        <w:spacing w:line="288" w:lineRule="auto"/>
        <w:contextualSpacing/>
        <w:jc w:val="both"/>
        <w:rPr>
          <w:sz w:val="24"/>
          <w:szCs w:val="24"/>
        </w:rPr>
      </w:pPr>
    </w:p>
    <w:p w14:paraId="5F6467B8">
      <w:pPr>
        <w:spacing w:line="288" w:lineRule="auto"/>
        <w:contextualSpacing/>
        <w:jc w:val="both"/>
        <w:rPr>
          <w:sz w:val="24"/>
          <w:szCs w:val="24"/>
        </w:rPr>
      </w:pPr>
      <w:r>
        <w:rPr>
          <w:sz w:val="24"/>
          <w:szCs w:val="24"/>
        </w:rPr>
        <w:t>11.3.2 O atraso superior a 25 (vinte e cinco) dias no cumprimento da obrigação prevista no item 11.3.1 autoriza a Administração a promover a rescisão contratual por descumprimento ou cumprimento irregular de suas cláusulas.</w:t>
      </w:r>
    </w:p>
    <w:p w14:paraId="29EBE313">
      <w:pPr>
        <w:spacing w:line="288" w:lineRule="auto"/>
        <w:contextualSpacing/>
        <w:jc w:val="both"/>
        <w:rPr>
          <w:sz w:val="24"/>
          <w:szCs w:val="24"/>
        </w:rPr>
      </w:pPr>
    </w:p>
    <w:p w14:paraId="59731296">
      <w:pPr>
        <w:spacing w:line="288" w:lineRule="auto"/>
        <w:contextualSpacing/>
        <w:jc w:val="both"/>
        <w:rPr>
          <w:sz w:val="24"/>
          <w:szCs w:val="24"/>
        </w:rPr>
      </w:pPr>
    </w:p>
    <w:p w14:paraId="2E9CF7A9">
      <w:pPr>
        <w:spacing w:line="288" w:lineRule="auto"/>
        <w:contextualSpacing/>
        <w:jc w:val="both"/>
        <w:rPr>
          <w:sz w:val="24"/>
          <w:szCs w:val="24"/>
        </w:rPr>
      </w:pPr>
      <w:r>
        <w:rPr>
          <w:sz w:val="24"/>
          <w:szCs w:val="24"/>
        </w:rPr>
        <w:t>11.3.3 A aplicação de multa de mora não impedirá que a Administração a converta em compensatória e promova a extinção unilateral do Contrato com a aplicação cumulada de outras sanções previstas neste Contrato.</w:t>
      </w:r>
    </w:p>
    <w:p w14:paraId="56D5C8D6">
      <w:pPr>
        <w:spacing w:line="288" w:lineRule="auto"/>
        <w:contextualSpacing/>
        <w:jc w:val="both"/>
        <w:rPr>
          <w:sz w:val="24"/>
          <w:szCs w:val="24"/>
        </w:rPr>
      </w:pPr>
    </w:p>
    <w:p w14:paraId="6286ADA8">
      <w:pPr>
        <w:spacing w:line="288" w:lineRule="auto"/>
        <w:contextualSpacing/>
        <w:jc w:val="both"/>
        <w:rPr>
          <w:sz w:val="24"/>
          <w:szCs w:val="24"/>
        </w:rPr>
      </w:pPr>
      <w:r>
        <w:rPr>
          <w:sz w:val="24"/>
          <w:szCs w:val="24"/>
        </w:rPr>
        <w:t>11.4 No caso de inexecução total ou parcial do objeto, que acarrete a rescisão do Contrato, será automaticamente devida multa compensatória no valor de 5</w:t>
      </w:r>
      <w:r>
        <w:rPr>
          <w:color w:val="FF0000"/>
          <w:sz w:val="24"/>
          <w:szCs w:val="24"/>
        </w:rPr>
        <w:t xml:space="preserve"> </w:t>
      </w:r>
      <w:r>
        <w:rPr>
          <w:sz w:val="24"/>
          <w:szCs w:val="24"/>
        </w:rPr>
        <w:t>% (cinco por cento)  do valor do Contrato.</w:t>
      </w:r>
    </w:p>
    <w:p w14:paraId="63C0DFCB">
      <w:pPr>
        <w:spacing w:line="288" w:lineRule="auto"/>
        <w:contextualSpacing/>
        <w:jc w:val="both"/>
        <w:rPr>
          <w:b/>
          <w:bCs/>
          <w:color w:val="FF0000"/>
          <w:sz w:val="24"/>
          <w:szCs w:val="24"/>
        </w:rPr>
      </w:pPr>
    </w:p>
    <w:p w14:paraId="79565FCF">
      <w:pPr>
        <w:spacing w:line="288" w:lineRule="auto"/>
        <w:contextualSpacing/>
        <w:jc w:val="both"/>
        <w:rPr>
          <w:sz w:val="24"/>
          <w:szCs w:val="24"/>
        </w:rPr>
      </w:pPr>
      <w:r>
        <w:rPr>
          <w:sz w:val="24"/>
          <w:szCs w:val="24"/>
        </w:rPr>
        <w:t>11.4.1 A multa compensatória, isoladamente aplicada ou quando somada ao valor da multa moratória convertida, não poderá exceder o limite previsto no art. 412 do Código Civil, ou seja, o valor da obrigação principal.</w:t>
      </w:r>
    </w:p>
    <w:p w14:paraId="01A68C14">
      <w:pPr>
        <w:spacing w:line="288" w:lineRule="auto"/>
        <w:contextualSpacing/>
        <w:jc w:val="both"/>
        <w:rPr>
          <w:sz w:val="24"/>
          <w:szCs w:val="24"/>
        </w:rPr>
      </w:pPr>
    </w:p>
    <w:p w14:paraId="6D5882C0">
      <w:pPr>
        <w:spacing w:line="288" w:lineRule="auto"/>
        <w:contextualSpacing/>
        <w:jc w:val="both"/>
        <w:rPr>
          <w:sz w:val="24"/>
          <w:szCs w:val="24"/>
        </w:rPr>
      </w:pPr>
      <w:r>
        <w:rPr>
          <w:sz w:val="24"/>
          <w:szCs w:val="24"/>
        </w:rPr>
        <w:t xml:space="preserve">11.5 Na aplicação das sanções serão considerados os seguintes requisitos, previstos no art. </w:t>
      </w:r>
      <w:r>
        <w:rPr>
          <w:rStyle w:val="102"/>
          <w:rFonts w:ascii="Times New Roman" w:hAnsi="Times New Roman" w:cs="Times New Roman"/>
          <w:sz w:val="24"/>
          <w:szCs w:val="24"/>
        </w:rPr>
        <w:t>156, § 1º, incisos I a V, da Lei nº 14.133/2021</w:t>
      </w:r>
      <w:r>
        <w:rPr>
          <w:sz w:val="24"/>
          <w:szCs w:val="24"/>
        </w:rPr>
        <w:t>:</w:t>
      </w:r>
    </w:p>
    <w:p w14:paraId="779CF563">
      <w:pPr>
        <w:spacing w:line="288" w:lineRule="auto"/>
        <w:contextualSpacing/>
        <w:jc w:val="both"/>
        <w:rPr>
          <w:sz w:val="24"/>
          <w:szCs w:val="24"/>
        </w:rPr>
      </w:pPr>
    </w:p>
    <w:p w14:paraId="5B7EC316">
      <w:pPr>
        <w:spacing w:line="288" w:lineRule="auto"/>
        <w:contextualSpacing/>
        <w:jc w:val="both"/>
        <w:rPr>
          <w:sz w:val="24"/>
          <w:szCs w:val="24"/>
        </w:rPr>
      </w:pPr>
      <w:r>
        <w:rPr>
          <w:sz w:val="24"/>
          <w:szCs w:val="24"/>
        </w:rPr>
        <w:t>11.5.1 a natureza e a gravidade da infração cometida;</w:t>
      </w:r>
    </w:p>
    <w:p w14:paraId="290F0107">
      <w:pPr>
        <w:spacing w:line="288" w:lineRule="auto"/>
        <w:contextualSpacing/>
        <w:jc w:val="both"/>
        <w:rPr>
          <w:sz w:val="24"/>
          <w:szCs w:val="24"/>
        </w:rPr>
      </w:pPr>
    </w:p>
    <w:p w14:paraId="3FA741CF">
      <w:pPr>
        <w:spacing w:line="288" w:lineRule="auto"/>
        <w:contextualSpacing/>
        <w:jc w:val="both"/>
        <w:rPr>
          <w:sz w:val="24"/>
          <w:szCs w:val="24"/>
        </w:rPr>
      </w:pPr>
      <w:r>
        <w:rPr>
          <w:sz w:val="24"/>
          <w:szCs w:val="24"/>
        </w:rPr>
        <w:t>11.5.2 as peculiaridades do caso concreto;</w:t>
      </w:r>
    </w:p>
    <w:p w14:paraId="0E947AFE">
      <w:pPr>
        <w:spacing w:line="288" w:lineRule="auto"/>
        <w:contextualSpacing/>
        <w:jc w:val="both"/>
        <w:rPr>
          <w:sz w:val="24"/>
          <w:szCs w:val="24"/>
        </w:rPr>
      </w:pPr>
    </w:p>
    <w:p w14:paraId="713F1F1D">
      <w:pPr>
        <w:spacing w:line="288" w:lineRule="auto"/>
        <w:contextualSpacing/>
        <w:jc w:val="both"/>
        <w:rPr>
          <w:sz w:val="24"/>
          <w:szCs w:val="24"/>
        </w:rPr>
      </w:pPr>
      <w:r>
        <w:rPr>
          <w:sz w:val="24"/>
          <w:szCs w:val="24"/>
        </w:rPr>
        <w:t>11.5.3 as circunstâncias agravantes ou atenuantes;</w:t>
      </w:r>
    </w:p>
    <w:p w14:paraId="1D998842">
      <w:pPr>
        <w:spacing w:line="288" w:lineRule="auto"/>
        <w:contextualSpacing/>
        <w:jc w:val="both"/>
        <w:rPr>
          <w:sz w:val="24"/>
          <w:szCs w:val="24"/>
        </w:rPr>
      </w:pPr>
    </w:p>
    <w:p w14:paraId="260D1509">
      <w:pPr>
        <w:spacing w:line="288" w:lineRule="auto"/>
        <w:contextualSpacing/>
        <w:jc w:val="both"/>
        <w:rPr>
          <w:sz w:val="24"/>
          <w:szCs w:val="24"/>
        </w:rPr>
      </w:pPr>
      <w:r>
        <w:rPr>
          <w:sz w:val="24"/>
          <w:szCs w:val="24"/>
        </w:rPr>
        <w:t>11.5.4 os danos que dela provierem para a Administração Pública;</w:t>
      </w:r>
    </w:p>
    <w:p w14:paraId="5EECB191">
      <w:pPr>
        <w:spacing w:line="288" w:lineRule="auto"/>
        <w:contextualSpacing/>
        <w:jc w:val="both"/>
        <w:rPr>
          <w:sz w:val="24"/>
          <w:szCs w:val="24"/>
        </w:rPr>
      </w:pPr>
    </w:p>
    <w:p w14:paraId="3964E377">
      <w:pPr>
        <w:spacing w:line="288" w:lineRule="auto"/>
        <w:contextualSpacing/>
        <w:jc w:val="both"/>
        <w:rPr>
          <w:sz w:val="24"/>
          <w:szCs w:val="24"/>
        </w:rPr>
      </w:pPr>
      <w:r>
        <w:rPr>
          <w:sz w:val="24"/>
          <w:szCs w:val="24"/>
        </w:rPr>
        <w:t>11.5.5 a implantação ou o aperfeiçoamento de programa de integridade, conforme normas e orientações dos órgãos de controle.</w:t>
      </w:r>
    </w:p>
    <w:p w14:paraId="6E771343">
      <w:pPr>
        <w:spacing w:line="288" w:lineRule="auto"/>
        <w:contextualSpacing/>
        <w:jc w:val="both"/>
        <w:rPr>
          <w:sz w:val="24"/>
          <w:szCs w:val="24"/>
        </w:rPr>
      </w:pPr>
    </w:p>
    <w:p w14:paraId="692AD2AB">
      <w:pPr>
        <w:spacing w:line="288" w:lineRule="auto"/>
        <w:contextualSpacing/>
        <w:jc w:val="both"/>
        <w:rPr>
          <w:sz w:val="24"/>
          <w:szCs w:val="24"/>
        </w:rPr>
      </w:pPr>
      <w:r>
        <w:rPr>
          <w:sz w:val="24"/>
          <w:szCs w:val="24"/>
        </w:rPr>
        <w:t xml:space="preserve">11.6 A imposição das penalidades é de competência exclusiva do órgão ou entidade contratante, sendo competentes para sua aplicação: </w:t>
      </w:r>
    </w:p>
    <w:p w14:paraId="2AE0E887">
      <w:pPr>
        <w:spacing w:line="288" w:lineRule="auto"/>
        <w:contextualSpacing/>
        <w:jc w:val="both"/>
        <w:rPr>
          <w:sz w:val="24"/>
          <w:szCs w:val="24"/>
        </w:rPr>
      </w:pPr>
      <w:r>
        <w:rPr>
          <w:sz w:val="24"/>
          <w:szCs w:val="24"/>
        </w:rPr>
        <w:t>a) as sanções previstas nos itens 11.2.1, 11.2.2 e 11.2.3 serão impostas pelo Ordenador de Despesa;</w:t>
      </w:r>
    </w:p>
    <w:p w14:paraId="114546EE">
      <w:pPr>
        <w:spacing w:line="288" w:lineRule="auto"/>
        <w:contextualSpacing/>
        <w:jc w:val="both"/>
        <w:rPr>
          <w:sz w:val="24"/>
          <w:szCs w:val="24"/>
        </w:rPr>
      </w:pPr>
      <w:r>
        <w:rPr>
          <w:sz w:val="24"/>
          <w:szCs w:val="24"/>
        </w:rPr>
        <w:t xml:space="preserve">b) a aplicação da sanção prevista no item 11.2.4, na forma do art. </w:t>
      </w:r>
      <w:r>
        <w:rPr>
          <w:rStyle w:val="102"/>
          <w:rFonts w:ascii="Times New Roman" w:hAnsi="Times New Roman" w:cs="Times New Roman"/>
          <w:sz w:val="24"/>
          <w:szCs w:val="24"/>
        </w:rPr>
        <w:t>156, § 6º, I, da Lei nº 14.133/2021,</w:t>
      </w:r>
      <w:r>
        <w:rPr>
          <w:sz w:val="24"/>
          <w:szCs w:val="24"/>
        </w:rPr>
        <w:t xml:space="preserve"> é de competência exclusiva:</w:t>
      </w:r>
    </w:p>
    <w:p w14:paraId="29BEE1AB">
      <w:pPr>
        <w:spacing w:line="288" w:lineRule="auto"/>
        <w:contextualSpacing/>
        <w:jc w:val="both"/>
        <w:rPr>
          <w:rStyle w:val="102"/>
          <w:rFonts w:ascii="Times New Roman" w:hAnsi="Times New Roman" w:cs="Times New Roman"/>
          <w:sz w:val="24"/>
          <w:szCs w:val="24"/>
        </w:rPr>
      </w:pPr>
      <w:r>
        <w:rPr>
          <w:sz w:val="24"/>
          <w:szCs w:val="24"/>
        </w:rPr>
        <w:t>b.1) em se tratando de contratação realizada pela Administração Pública direta, do Secretário de Município</w:t>
      </w:r>
      <w:r>
        <w:rPr>
          <w:rStyle w:val="102"/>
          <w:rFonts w:ascii="Times New Roman" w:hAnsi="Times New Roman" w:cs="Times New Roman"/>
          <w:sz w:val="24"/>
          <w:szCs w:val="24"/>
        </w:rPr>
        <w:t>;</w:t>
      </w:r>
    </w:p>
    <w:p w14:paraId="1AE4225C">
      <w:pPr>
        <w:spacing w:line="288" w:lineRule="auto"/>
        <w:contextualSpacing/>
        <w:jc w:val="both"/>
        <w:rPr>
          <w:sz w:val="24"/>
          <w:szCs w:val="24"/>
        </w:rPr>
      </w:pPr>
      <w:r>
        <w:rPr>
          <w:rStyle w:val="102"/>
          <w:rFonts w:ascii="Times New Roman" w:hAnsi="Times New Roman" w:cs="Times New Roman"/>
          <w:sz w:val="24"/>
          <w:szCs w:val="24"/>
        </w:rPr>
        <w:t>b.2) e</w:t>
      </w:r>
      <w:r>
        <w:rPr>
          <w:sz w:val="24"/>
          <w:szCs w:val="24"/>
        </w:rPr>
        <w:t>m se tratando de contratação realizada pela Administração Pública Indireta (fundação e autarquia), da autoridade máxima da entidade.</w:t>
      </w:r>
    </w:p>
    <w:p w14:paraId="3D06D09B">
      <w:pPr>
        <w:spacing w:line="288" w:lineRule="auto"/>
        <w:contextualSpacing/>
        <w:jc w:val="both"/>
        <w:rPr>
          <w:sz w:val="24"/>
          <w:szCs w:val="24"/>
        </w:rPr>
      </w:pPr>
    </w:p>
    <w:p w14:paraId="497D9217">
      <w:pPr>
        <w:spacing w:line="288" w:lineRule="auto"/>
        <w:contextualSpacing/>
        <w:jc w:val="both"/>
        <w:rPr>
          <w:sz w:val="24"/>
          <w:szCs w:val="24"/>
        </w:rPr>
      </w:pPr>
      <w:r>
        <w:rPr>
          <w:sz w:val="24"/>
          <w:szCs w:val="24"/>
        </w:rPr>
        <w:t xml:space="preserve">11.7 A aplicação de quaisquer das penalidades realizar-se-á em processo administrativo que assegurará o contraditório e a ampla defesa ao </w:t>
      </w:r>
      <w:r>
        <w:rPr>
          <w:b/>
          <w:bCs/>
          <w:color w:val="000000"/>
          <w:sz w:val="24"/>
          <w:szCs w:val="24"/>
        </w:rPr>
        <w:t>CONTRATADO</w:t>
      </w:r>
      <w:r>
        <w:rPr>
          <w:sz w:val="24"/>
          <w:szCs w:val="24"/>
        </w:rPr>
        <w:t xml:space="preserve">, na forma do art. </w:t>
      </w:r>
      <w:r>
        <w:rPr>
          <w:rStyle w:val="102"/>
          <w:rFonts w:ascii="Times New Roman" w:hAnsi="Times New Roman" w:cs="Times New Roman"/>
          <w:sz w:val="24"/>
          <w:szCs w:val="24"/>
        </w:rPr>
        <w:t>156, § 6º, I, da Lei nº 14.133/2021</w:t>
      </w:r>
      <w:r>
        <w:rPr>
          <w:sz w:val="24"/>
          <w:szCs w:val="24"/>
        </w:rPr>
        <w:t>, devendo ser observado o procedimento previsto na Lei nº 14.133/2021.</w:t>
      </w:r>
    </w:p>
    <w:p w14:paraId="715A56A4">
      <w:pPr>
        <w:spacing w:line="288" w:lineRule="auto"/>
        <w:contextualSpacing/>
        <w:jc w:val="both"/>
        <w:rPr>
          <w:sz w:val="24"/>
          <w:szCs w:val="24"/>
        </w:rPr>
      </w:pPr>
    </w:p>
    <w:p w14:paraId="31BACD10">
      <w:pPr>
        <w:spacing w:line="288" w:lineRule="auto"/>
        <w:contextualSpacing/>
        <w:jc w:val="both"/>
        <w:rPr>
          <w:sz w:val="24"/>
          <w:szCs w:val="24"/>
        </w:rPr>
      </w:pPr>
      <w:r>
        <w:rPr>
          <w:sz w:val="24"/>
          <w:szCs w:val="24"/>
        </w:rPr>
        <w:t xml:space="preserve">11.7.1 A aplicação de sanção será antecedida de intimação do </w:t>
      </w:r>
      <w:r>
        <w:rPr>
          <w:b/>
          <w:bCs/>
          <w:color w:val="000000"/>
          <w:sz w:val="24"/>
          <w:szCs w:val="24"/>
        </w:rPr>
        <w:t>CONTRATADO</w:t>
      </w:r>
      <w:r>
        <w:rPr>
          <w:sz w:val="24"/>
          <w:szCs w:val="24"/>
        </w:rPr>
        <w:t>, que indicará a infração cometida, os fatos, os dispositivos do Contrato infringidos e os fundamentos legais pertinentes, a penalidade que se pretende imputar e o respectivo prazo e/ou valor, se for o caso, assim como o prazo e o local para a apresentação da defesa, com a possibilidade de produção de provas.</w:t>
      </w:r>
    </w:p>
    <w:p w14:paraId="66599F79">
      <w:pPr>
        <w:spacing w:line="288" w:lineRule="auto"/>
        <w:contextualSpacing/>
        <w:jc w:val="both"/>
        <w:rPr>
          <w:sz w:val="24"/>
          <w:szCs w:val="24"/>
        </w:rPr>
      </w:pPr>
    </w:p>
    <w:p w14:paraId="1747DBCC">
      <w:pPr>
        <w:spacing w:line="288" w:lineRule="auto"/>
        <w:contextualSpacing/>
        <w:jc w:val="both"/>
        <w:rPr>
          <w:sz w:val="24"/>
          <w:szCs w:val="24"/>
        </w:rPr>
      </w:pPr>
      <w:r>
        <w:rPr>
          <w:sz w:val="24"/>
          <w:szCs w:val="24"/>
        </w:rPr>
        <w:t xml:space="preserve">11.7.2 A defesa prévia do </w:t>
      </w:r>
      <w:r>
        <w:rPr>
          <w:b/>
          <w:bCs/>
          <w:color w:val="000000"/>
          <w:sz w:val="24"/>
          <w:szCs w:val="24"/>
        </w:rPr>
        <w:t>CONTRATADO</w:t>
      </w:r>
      <w:r>
        <w:rPr>
          <w:sz w:val="24"/>
          <w:szCs w:val="24"/>
        </w:rPr>
        <w:t xml:space="preserve"> será exercida no prazo de:</w:t>
      </w:r>
    </w:p>
    <w:p w14:paraId="3AC7D7BC">
      <w:pPr>
        <w:spacing w:line="288" w:lineRule="auto"/>
        <w:contextualSpacing/>
        <w:jc w:val="both"/>
        <w:rPr>
          <w:sz w:val="24"/>
          <w:szCs w:val="24"/>
        </w:rPr>
      </w:pPr>
      <w:r>
        <w:rPr>
          <w:sz w:val="24"/>
          <w:szCs w:val="24"/>
        </w:rPr>
        <w:t>a) 15 (quinze) dias úteis, no caso da aplicação das sanções previstas nos itens 11.2.1 e 11.2.2, contado da data da intimação;</w:t>
      </w:r>
    </w:p>
    <w:p w14:paraId="1FAC0ABC">
      <w:pPr>
        <w:spacing w:line="288" w:lineRule="auto"/>
        <w:contextualSpacing/>
        <w:jc w:val="both"/>
        <w:rPr>
          <w:color w:val="000000"/>
          <w:sz w:val="24"/>
          <w:szCs w:val="24"/>
        </w:rPr>
      </w:pPr>
      <w:r>
        <w:rPr>
          <w:sz w:val="24"/>
          <w:szCs w:val="24"/>
        </w:rPr>
        <w:t xml:space="preserve">b) 15 (quinze) dias úteis, no caso de aplicação das sanções previstas nos itens 11.2.3 e 11.2.4, </w:t>
      </w:r>
      <w:r>
        <w:rPr>
          <w:color w:val="000000"/>
          <w:sz w:val="24"/>
          <w:szCs w:val="24"/>
        </w:rPr>
        <w:t>contado da data da intimação, observado o procedimento estabelecido no art. 158 da Lei nº 14.133/2021.</w:t>
      </w:r>
    </w:p>
    <w:p w14:paraId="2624940F">
      <w:pPr>
        <w:pStyle w:val="19"/>
        <w:spacing w:line="288" w:lineRule="auto"/>
        <w:contextualSpacing/>
        <w:jc w:val="both"/>
      </w:pPr>
      <w:r>
        <w:t>11.7.3 Será emitida decisão conclusiva sobre a aplicação ou não da sanção, pela autoridade competente, devendo ser apresentada a devida motivação, com a demonstração dos fatos e dos respectivos fundamentos jurídicos.</w:t>
      </w:r>
    </w:p>
    <w:p w14:paraId="6450BB0B">
      <w:pPr>
        <w:spacing w:line="288" w:lineRule="auto"/>
        <w:contextualSpacing/>
        <w:jc w:val="both"/>
        <w:rPr>
          <w:sz w:val="24"/>
          <w:szCs w:val="24"/>
        </w:rPr>
      </w:pPr>
      <w:r>
        <w:rPr>
          <w:sz w:val="24"/>
          <w:szCs w:val="24"/>
        </w:rPr>
        <w:t>11.8 A aplicação das sanções previstas neste Contrato não exclui, em hipótese alguma:</w:t>
      </w:r>
    </w:p>
    <w:p w14:paraId="08248CA9">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7D34E5F0">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71663161">
      <w:pPr>
        <w:spacing w:line="288" w:lineRule="auto"/>
        <w:contextualSpacing/>
        <w:jc w:val="both"/>
        <w:rPr>
          <w:rFonts w:eastAsia="Arial"/>
          <w:color w:val="000000"/>
          <w:sz w:val="24"/>
          <w:szCs w:val="24"/>
        </w:rPr>
      </w:pPr>
    </w:p>
    <w:p w14:paraId="7881468D">
      <w:pPr>
        <w:spacing w:line="288" w:lineRule="auto"/>
        <w:contextualSpacing/>
        <w:jc w:val="both"/>
        <w:rPr>
          <w:rFonts w:eastAsia="Arial"/>
          <w:color w:val="000000"/>
          <w:sz w:val="24"/>
          <w:szCs w:val="24"/>
        </w:rPr>
      </w:pPr>
      <w:r>
        <w:rPr>
          <w:rFonts w:eastAsia="Arial"/>
          <w:color w:val="000000"/>
          <w:sz w:val="24"/>
          <w:szCs w:val="24"/>
        </w:rPr>
        <w:t xml:space="preserve">11.8.1 Aplica-se o disposto na alínea a do item 11.8 à multa compensatória, nos termos do parágrafo único do art. 416 do Código Civil. </w:t>
      </w:r>
    </w:p>
    <w:p w14:paraId="127C9A38">
      <w:pPr>
        <w:spacing w:line="288" w:lineRule="auto"/>
        <w:contextualSpacing/>
        <w:jc w:val="both"/>
        <w:rPr>
          <w:rFonts w:eastAsia="Arial"/>
          <w:color w:val="000000"/>
          <w:sz w:val="24"/>
          <w:szCs w:val="24"/>
        </w:rPr>
      </w:pPr>
    </w:p>
    <w:p w14:paraId="513507B9">
      <w:pPr>
        <w:spacing w:line="288" w:lineRule="auto"/>
        <w:contextualSpacing/>
        <w:jc w:val="both"/>
        <w:rPr>
          <w:rFonts w:eastAsia="Arial"/>
          <w:color w:val="000000"/>
          <w:sz w:val="24"/>
          <w:szCs w:val="24"/>
        </w:rPr>
      </w:pPr>
      <w:r>
        <w:rPr>
          <w:rFonts w:eastAsia="Arial"/>
          <w:color w:val="000000"/>
          <w:sz w:val="24"/>
          <w:szCs w:val="24"/>
        </w:rPr>
        <w:t>11.9 As sanções de impedimento de licitar e contratar e de declaração de inidoneidade para licitar ou contratar são passíveis de reabilitação, observados os requisitos estabelecidos no art. 163 da Lei nº 14.133/2021.</w:t>
      </w:r>
    </w:p>
    <w:p w14:paraId="7A761294">
      <w:pPr>
        <w:spacing w:line="288" w:lineRule="auto"/>
        <w:contextualSpacing/>
        <w:jc w:val="both"/>
        <w:rPr>
          <w:sz w:val="24"/>
          <w:szCs w:val="24"/>
        </w:rPr>
      </w:pPr>
    </w:p>
    <w:p w14:paraId="1EB3B7D2">
      <w:pPr>
        <w:spacing w:line="288" w:lineRule="auto"/>
        <w:contextualSpacing/>
        <w:jc w:val="both"/>
        <w:rPr>
          <w:sz w:val="24"/>
          <w:szCs w:val="24"/>
        </w:rPr>
      </w:pPr>
      <w:r>
        <w:rPr>
          <w:sz w:val="24"/>
          <w:szCs w:val="24"/>
        </w:rPr>
        <w:t xml:space="preserve">11.10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6F9FB719">
      <w:pPr>
        <w:spacing w:line="288" w:lineRule="auto"/>
        <w:contextualSpacing/>
        <w:jc w:val="both"/>
        <w:rPr>
          <w:sz w:val="24"/>
          <w:szCs w:val="24"/>
        </w:rPr>
      </w:pPr>
    </w:p>
    <w:p w14:paraId="5D4022AE">
      <w:pPr>
        <w:spacing w:line="288" w:lineRule="auto"/>
        <w:contextualSpacing/>
        <w:jc w:val="both"/>
        <w:rPr>
          <w:sz w:val="24"/>
          <w:szCs w:val="24"/>
        </w:rPr>
      </w:pPr>
      <w:r>
        <w:rPr>
          <w:sz w:val="24"/>
          <w:szCs w:val="24"/>
        </w:rPr>
        <w:t>11.10.1 A apuração e o julgamento das demais infrações administrativas não consideradas como ato lesivo à Administração Pública nacional nos termos da Lei nº 12.846/2013 seguirão seu rito normal na unidade administrativa.</w:t>
      </w:r>
    </w:p>
    <w:p w14:paraId="007F5CEF">
      <w:pPr>
        <w:spacing w:line="288" w:lineRule="auto"/>
        <w:contextualSpacing/>
        <w:jc w:val="both"/>
        <w:rPr>
          <w:sz w:val="24"/>
          <w:szCs w:val="24"/>
        </w:rPr>
      </w:pPr>
    </w:p>
    <w:p w14:paraId="311CE9A2">
      <w:pPr>
        <w:spacing w:line="288" w:lineRule="auto"/>
        <w:contextualSpacing/>
        <w:jc w:val="both"/>
        <w:rPr>
          <w:sz w:val="24"/>
          <w:szCs w:val="24"/>
        </w:rPr>
      </w:pPr>
      <w:r>
        <w:rPr>
          <w:sz w:val="24"/>
          <w:szCs w:val="24"/>
        </w:rPr>
        <w:t>11.10.2 O processamento do PAR não interfere no seguimento regular dos processos administrativos específicos para apuração da ocorrência de danos e prejuízos à Administração Pública Municipal resultantes de ato lesivo cometido por pessoa jurídica, com ou sem a participação de agente público.</w:t>
      </w:r>
    </w:p>
    <w:p w14:paraId="3D3BB728">
      <w:pPr>
        <w:spacing w:line="288" w:lineRule="auto"/>
        <w:contextualSpacing/>
        <w:jc w:val="both"/>
        <w:rPr>
          <w:sz w:val="24"/>
          <w:szCs w:val="24"/>
        </w:rPr>
      </w:pPr>
    </w:p>
    <w:p w14:paraId="36EE4D90">
      <w:pPr>
        <w:spacing w:line="288" w:lineRule="auto"/>
        <w:contextualSpacing/>
        <w:jc w:val="both"/>
        <w:rPr>
          <w:sz w:val="24"/>
          <w:szCs w:val="24"/>
        </w:rPr>
      </w:pPr>
      <w:r>
        <w:rPr>
          <w:sz w:val="24"/>
          <w:szCs w:val="24"/>
        </w:rPr>
        <w:t>11.10.2.1 Caso seja possível, a apuração deverá ser promovida em conjunto no PAR.</w:t>
      </w:r>
    </w:p>
    <w:p w14:paraId="6F226F2B">
      <w:pPr>
        <w:spacing w:line="288" w:lineRule="auto"/>
        <w:contextualSpacing/>
        <w:jc w:val="both"/>
        <w:rPr>
          <w:sz w:val="24"/>
          <w:szCs w:val="24"/>
        </w:rPr>
      </w:pPr>
    </w:p>
    <w:p w14:paraId="170FA701">
      <w:pPr>
        <w:spacing w:line="288" w:lineRule="auto"/>
        <w:contextualSpacing/>
        <w:jc w:val="both"/>
        <w:rPr>
          <w:sz w:val="24"/>
          <w:szCs w:val="24"/>
        </w:rPr>
      </w:pPr>
      <w:r>
        <w:rPr>
          <w:sz w:val="24"/>
          <w:szCs w:val="24"/>
        </w:rPr>
        <w:t xml:space="preserve">11.11 Na hipótese de abertura de processo administrativo destinado a apuração de fatos e, se for o caso, aplicação de sanções ao </w:t>
      </w:r>
      <w:r>
        <w:rPr>
          <w:b/>
          <w:bCs/>
          <w:color w:val="000000"/>
          <w:sz w:val="24"/>
          <w:szCs w:val="24"/>
        </w:rPr>
        <w:t>CONTRATADO</w:t>
      </w:r>
      <w:r>
        <w:rPr>
          <w:sz w:val="24"/>
          <w:szCs w:val="24"/>
        </w:rPr>
        <w:t>, em decorrência de conduta vedada no contrato, as comunicações serão efetuadas por meio do endereço de correio eletrônico ("e-mail") cadastrado pela empresa junto ao Comprasnet.</w:t>
      </w:r>
    </w:p>
    <w:p w14:paraId="4E8697DF">
      <w:pPr>
        <w:autoSpaceDE w:val="0"/>
        <w:autoSpaceDN w:val="0"/>
        <w:adjustRightInd w:val="0"/>
        <w:spacing w:line="288" w:lineRule="auto"/>
        <w:contextualSpacing/>
        <w:jc w:val="both"/>
        <w:rPr>
          <w:sz w:val="24"/>
          <w:szCs w:val="24"/>
        </w:rPr>
      </w:pPr>
    </w:p>
    <w:p w14:paraId="1C7D1CEE">
      <w:pPr>
        <w:autoSpaceDE w:val="0"/>
        <w:autoSpaceDN w:val="0"/>
        <w:adjustRightInd w:val="0"/>
        <w:spacing w:line="288" w:lineRule="auto"/>
        <w:contextualSpacing/>
        <w:jc w:val="both"/>
        <w:rPr>
          <w:sz w:val="24"/>
          <w:szCs w:val="24"/>
        </w:rPr>
      </w:pPr>
      <w:r>
        <w:rPr>
          <w:sz w:val="24"/>
          <w:szCs w:val="24"/>
        </w:rPr>
        <w:t xml:space="preserve">11.11.1 O </w:t>
      </w:r>
      <w:r>
        <w:rPr>
          <w:b/>
          <w:bCs/>
          <w:color w:val="000000"/>
          <w:sz w:val="24"/>
          <w:szCs w:val="24"/>
        </w:rPr>
        <w:t>CONTRATADO</w:t>
      </w:r>
      <w:r>
        <w:rPr>
          <w:sz w:val="24"/>
          <w:szCs w:val="24"/>
        </w:rPr>
        <w:t xml:space="preserve"> deverá manter atualizado o endereço de correio eletrônico ("e-mail") cadastrado junto ao sistema eletrônico Comprasnet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06CBA4EA">
      <w:pPr>
        <w:autoSpaceDE w:val="0"/>
        <w:autoSpaceDN w:val="0"/>
        <w:adjustRightInd w:val="0"/>
        <w:spacing w:line="288" w:lineRule="auto"/>
        <w:contextualSpacing/>
        <w:jc w:val="both"/>
        <w:rPr>
          <w:sz w:val="24"/>
          <w:szCs w:val="24"/>
        </w:rPr>
      </w:pPr>
    </w:p>
    <w:p w14:paraId="4D825F4D">
      <w:pPr>
        <w:autoSpaceDE w:val="0"/>
        <w:autoSpaceDN w:val="0"/>
        <w:adjustRightInd w:val="0"/>
        <w:spacing w:line="288" w:lineRule="auto"/>
        <w:contextualSpacing/>
        <w:jc w:val="both"/>
        <w:rPr>
          <w:sz w:val="24"/>
          <w:szCs w:val="24"/>
        </w:rPr>
      </w:pPr>
      <w:r>
        <w:rPr>
          <w:sz w:val="24"/>
          <w:szCs w:val="24"/>
        </w:rPr>
        <w:t xml:space="preserve">11.12 O </w:t>
      </w:r>
      <w:r>
        <w:rPr>
          <w:b/>
          <w:bCs/>
          <w:sz w:val="24"/>
          <w:szCs w:val="24"/>
        </w:rPr>
        <w:t>CONTRATANTE</w:t>
      </w:r>
      <w:r>
        <w:rPr>
          <w:sz w:val="24"/>
          <w:szCs w:val="24"/>
        </w:rPr>
        <w:t xml:space="preserv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1D8EF2F4">
      <w:pPr>
        <w:pStyle w:val="53"/>
        <w:spacing w:line="288" w:lineRule="auto"/>
        <w:contextualSpacing/>
        <w:jc w:val="both"/>
        <w:rPr>
          <w:rFonts w:ascii="Times New Roman" w:hAnsi="Times New Roman" w:cs="Times New Roman"/>
        </w:rPr>
      </w:pPr>
    </w:p>
    <w:p w14:paraId="100B3649">
      <w:pPr>
        <w:pStyle w:val="53"/>
        <w:spacing w:line="288" w:lineRule="auto"/>
        <w:contextualSpacing/>
        <w:jc w:val="both"/>
        <w:rPr>
          <w:rFonts w:ascii="Times New Roman" w:hAnsi="Times New Roman" w:cs="Times New Roman"/>
        </w:rPr>
      </w:pPr>
      <w:r>
        <w:rPr>
          <w:rFonts w:ascii="Times New Roman" w:hAnsi="Times New Roman" w:cs="Times New Roman"/>
        </w:rPr>
        <w:t>11.12.1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192E587A">
      <w:pPr>
        <w:spacing w:line="288" w:lineRule="auto"/>
        <w:contextualSpacing/>
        <w:jc w:val="both"/>
        <w:rPr>
          <w:sz w:val="24"/>
          <w:szCs w:val="24"/>
        </w:rPr>
      </w:pPr>
    </w:p>
    <w:p w14:paraId="2204FE83">
      <w:pPr>
        <w:spacing w:line="288" w:lineRule="auto"/>
        <w:contextualSpacing/>
        <w:jc w:val="both"/>
        <w:rPr>
          <w:sz w:val="24"/>
          <w:szCs w:val="24"/>
        </w:rPr>
      </w:pPr>
      <w:r>
        <w:rPr>
          <w:sz w:val="24"/>
          <w:szCs w:val="24"/>
        </w:rPr>
        <w:t xml:space="preserve">11.13 Caso o valor da multa aplicada seja superior ao </w:t>
      </w:r>
      <w:r>
        <w:rPr>
          <w:color w:val="000000"/>
          <w:sz w:val="24"/>
          <w:szCs w:val="24"/>
        </w:rPr>
        <w:t xml:space="preserve">do pagamento eventualmente devido pela Administração ao </w:t>
      </w:r>
      <w:r>
        <w:rPr>
          <w:b/>
          <w:bCs/>
          <w:color w:val="000000"/>
          <w:sz w:val="24"/>
          <w:szCs w:val="24"/>
        </w:rPr>
        <w:t>CONTRATADO</w:t>
      </w:r>
      <w:r>
        <w:rPr>
          <w:color w:val="000000"/>
          <w:sz w:val="24"/>
          <w:szCs w:val="24"/>
        </w:rPr>
        <w:t xml:space="preserve"> e da garantia prestada</w:t>
      </w:r>
      <w:r>
        <w:rPr>
          <w:sz w:val="24"/>
          <w:szCs w:val="24"/>
        </w:rPr>
        <w:t>, deverá ser emitida nota de débito no valor do saldo, no prazo de 30 (trinta) dias após a decisão final quanto à penalidade.</w:t>
      </w:r>
    </w:p>
    <w:p w14:paraId="34A4B84A">
      <w:pPr>
        <w:spacing w:line="288" w:lineRule="auto"/>
        <w:contextualSpacing/>
        <w:jc w:val="both"/>
        <w:rPr>
          <w:sz w:val="24"/>
          <w:szCs w:val="24"/>
        </w:rPr>
      </w:pPr>
    </w:p>
    <w:p w14:paraId="2E3EBA69">
      <w:pPr>
        <w:spacing w:line="288" w:lineRule="auto"/>
        <w:ind w:right="64"/>
        <w:contextualSpacing/>
        <w:jc w:val="both"/>
        <w:rPr>
          <w:sz w:val="24"/>
          <w:szCs w:val="24"/>
        </w:rPr>
      </w:pPr>
      <w:r>
        <w:rPr>
          <w:sz w:val="24"/>
          <w:szCs w:val="24"/>
        </w:rPr>
        <w:t>11.13.1 A nota de débito deverá ser encaminhada Departamento de Cadastro Controle e Arrecadação para inscrição do débito em dívida ativa e propositura de execução fiscal, na forma do art. 39 da Lei nº 4.320, de 17 de março de 1964.</w:t>
      </w:r>
    </w:p>
    <w:p w14:paraId="37822B95">
      <w:pPr>
        <w:spacing w:line="288" w:lineRule="auto"/>
        <w:contextualSpacing/>
        <w:jc w:val="both"/>
        <w:rPr>
          <w:sz w:val="24"/>
          <w:szCs w:val="24"/>
        </w:rPr>
      </w:pPr>
    </w:p>
    <w:p w14:paraId="17CEBA04">
      <w:pPr>
        <w:spacing w:line="288" w:lineRule="auto"/>
        <w:contextualSpacing/>
        <w:jc w:val="both"/>
        <w:rPr>
          <w:sz w:val="24"/>
          <w:szCs w:val="24"/>
        </w:rPr>
      </w:pPr>
      <w:r>
        <w:rPr>
          <w:sz w:val="24"/>
          <w:szCs w:val="24"/>
        </w:rPr>
        <w:t>11.13.2 O procedimento para inscrição do débito em dívida ativa deverá observar o que dispõe a Lei Complementar nº: 279/2024.</w:t>
      </w:r>
    </w:p>
    <w:p w14:paraId="70C2D87B">
      <w:pPr>
        <w:spacing w:line="288" w:lineRule="auto"/>
        <w:contextualSpacing/>
        <w:jc w:val="both"/>
        <w:rPr>
          <w:sz w:val="24"/>
          <w:szCs w:val="24"/>
        </w:rPr>
      </w:pPr>
    </w:p>
    <w:p w14:paraId="7DF7ED40">
      <w:pPr>
        <w:pStyle w:val="90"/>
        <w:numPr>
          <w:ilvl w:val="0"/>
          <w:numId w:val="0"/>
        </w:numPr>
        <w:spacing w:before="0" w:after="0" w:line="288" w:lineRule="auto"/>
        <w:contextualSpacing/>
        <w:rPr>
          <w:rFonts w:ascii="Times New Roman" w:hAnsi="Times New Roman" w:cs="Times New Roman"/>
          <w:color w:val="FFFFFF"/>
          <w:sz w:val="24"/>
          <w:szCs w:val="24"/>
        </w:rPr>
      </w:pPr>
      <w:r>
        <w:rPr>
          <w:rFonts w:ascii="Times New Roman" w:hAnsi="Times New Roman" w:cs="Times New Roman"/>
          <w:sz w:val="24"/>
          <w:szCs w:val="24"/>
        </w:rPr>
        <w:t>CLÁUSULA DÉCIMA SEGUNDA – DA EXTINÇÃO CONTRATUAL</w:t>
      </w:r>
    </w:p>
    <w:p w14:paraId="2B55B925">
      <w:pPr>
        <w:pStyle w:val="91"/>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12AC94E4">
      <w:pPr>
        <w:pStyle w:val="91"/>
        <w:numPr>
          <w:ilvl w:val="0"/>
          <w:numId w:val="0"/>
        </w:numPr>
        <w:tabs>
          <w:tab w:val="left" w:pos="0"/>
        </w:tabs>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12.1 O Contrato se extingue quando vencido o prazo nele estipulado, independentemente de terem sido cumpridas ou não as obrigações de ambas as partes contraentes, sem prejuízo da aplicação das penalidades eventualmente cabíveis, observados os preceitos da Lei nº 14.133/2021 e neste Contrato.</w:t>
      </w:r>
    </w:p>
    <w:p w14:paraId="01D89725">
      <w:pPr>
        <w:pStyle w:val="91"/>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6D2B0F46">
      <w:pPr>
        <w:pStyle w:val="91"/>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 O Contrato pode ser extinto antes do prazo nele fixado, sem ônus para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quando este não dispuser de créditos orçamentários para sua continuidade ou quando entender que o Contrato não mais lhe oferece vantagem.</w:t>
      </w:r>
    </w:p>
    <w:p w14:paraId="27F5F069">
      <w:pPr>
        <w:pStyle w:val="91"/>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2114BFFE">
      <w:pPr>
        <w:pStyle w:val="91"/>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12.2.1 A extinção nesta hipótese ocorrerá na próxima data de aniversário do Contrato, desde que haja a notificação do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pelo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nesse sentido com pelo menos 2 (dois) meses de antecedência desse dia.</w:t>
      </w:r>
    </w:p>
    <w:p w14:paraId="34163091">
      <w:pPr>
        <w:spacing w:line="288" w:lineRule="auto"/>
        <w:ind w:left="567" w:right="-78"/>
        <w:contextualSpacing/>
        <w:jc w:val="both"/>
        <w:rPr>
          <w:color w:val="000000" w:themeColor="text1"/>
          <w:sz w:val="24"/>
          <w:szCs w:val="24"/>
          <w14:textFill>
            <w14:solidFill>
              <w14:schemeClr w14:val="tx1"/>
            </w14:solidFill>
          </w14:textFill>
        </w:rPr>
      </w:pPr>
    </w:p>
    <w:p w14:paraId="5251F47B">
      <w:pPr>
        <w:spacing w:line="288" w:lineRule="auto"/>
        <w:ind w:right="-78"/>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12.2.2 Caso a notificação da não-continuidade do Contrato de que trata este subitem ocorra com menos de 2 (dois) meses de antecedência da data de aniversário, a extinção contratual ocorrerá após 2 (dois) meses da data da comunicação.</w:t>
      </w:r>
    </w:p>
    <w:p w14:paraId="2D1CE94D">
      <w:pPr>
        <w:spacing w:line="288" w:lineRule="auto"/>
        <w:ind w:left="567" w:right="565"/>
        <w:contextualSpacing/>
        <w:jc w:val="both"/>
        <w:rPr>
          <w:sz w:val="24"/>
          <w:szCs w:val="24"/>
        </w:rPr>
      </w:pPr>
    </w:p>
    <w:p w14:paraId="492F07EA">
      <w:pPr>
        <w:spacing w:line="288" w:lineRule="auto"/>
        <w:contextualSpacing/>
        <w:jc w:val="both"/>
        <w:rPr>
          <w:sz w:val="24"/>
          <w:szCs w:val="24"/>
        </w:rPr>
      </w:pPr>
      <w:r>
        <w:rPr>
          <w:sz w:val="24"/>
          <w:szCs w:val="24"/>
        </w:rPr>
        <w:t>12.3 O presente Contrato poderá ser extinto, antes de cumpridas as obrigações estipuladas, ou antes do prazo neste fixado:</w:t>
      </w:r>
    </w:p>
    <w:p w14:paraId="2C4F66CA">
      <w:pPr>
        <w:spacing w:line="288" w:lineRule="auto"/>
        <w:contextualSpacing/>
        <w:jc w:val="both"/>
        <w:rPr>
          <w:sz w:val="24"/>
          <w:szCs w:val="24"/>
        </w:rPr>
      </w:pPr>
      <w:r>
        <w:rPr>
          <w:sz w:val="24"/>
          <w:szCs w:val="24"/>
        </w:rPr>
        <w:t xml:space="preserve">a) por ato unilateral do </w:t>
      </w:r>
      <w:r>
        <w:rPr>
          <w:b/>
          <w:bCs/>
          <w:sz w:val="24"/>
          <w:szCs w:val="24"/>
        </w:rPr>
        <w:t>CONTRATANTE</w:t>
      </w:r>
      <w:r>
        <w:rPr>
          <w:sz w:val="24"/>
          <w:szCs w:val="24"/>
        </w:rPr>
        <w:t xml:space="preserve">, em razão da inexecução total ou parcial do objeto e/ou das obrigações previstas no presente instrumento e/ou por algum dos motivos previstos no art. 137 da Lei nº 14.133/2021, assegurados o contraditório e a ampla defesa, devendo, ainda, ser observado o disposto nos arts. 138 e 139 da referida Lei; </w:t>
      </w:r>
    </w:p>
    <w:p w14:paraId="7D27117F">
      <w:pPr>
        <w:spacing w:line="288" w:lineRule="auto"/>
        <w:contextualSpacing/>
        <w:jc w:val="both"/>
        <w:rPr>
          <w:sz w:val="24"/>
          <w:szCs w:val="24"/>
        </w:rPr>
      </w:pPr>
      <w:r>
        <w:rPr>
          <w:sz w:val="24"/>
          <w:szCs w:val="24"/>
        </w:rPr>
        <w:t>b) consensualmente, na forma do art. 138, II, da Lei nº 14.133/2021; e</w:t>
      </w:r>
    </w:p>
    <w:p w14:paraId="5ED7253A">
      <w:pPr>
        <w:spacing w:line="288" w:lineRule="auto"/>
        <w:contextualSpacing/>
        <w:jc w:val="both"/>
        <w:rPr>
          <w:iCs/>
          <w:sz w:val="24"/>
          <w:szCs w:val="24"/>
        </w:rPr>
      </w:pPr>
      <w:r>
        <w:rPr>
          <w:sz w:val="24"/>
          <w:szCs w:val="24"/>
        </w:rPr>
        <w:t xml:space="preserve">c) na hipótese de contratação direta fundamentada no art. 75, VIII, da Lei nº 14.133/2021, </w:t>
      </w:r>
      <w:r>
        <w:rPr>
          <w:iCs/>
          <w:sz w:val="24"/>
          <w:szCs w:val="24"/>
        </w:rPr>
        <w:t xml:space="preserve">a qualquer tempo, sem indenização, e independentemente de aviso ou prazo, pelo </w:t>
      </w:r>
      <w:r>
        <w:rPr>
          <w:b/>
          <w:bCs/>
          <w:iCs/>
          <w:sz w:val="24"/>
          <w:szCs w:val="24"/>
        </w:rPr>
        <w:t>CONTRATANTE</w:t>
      </w:r>
      <w:r>
        <w:rPr>
          <w:iCs/>
          <w:sz w:val="24"/>
          <w:szCs w:val="24"/>
        </w:rPr>
        <w:t>, tão logo esteja(m) concluído(s) o(s) procedimento(s) licitatório(s) implementado(s) para a contratação do objeto em questão.</w:t>
      </w:r>
    </w:p>
    <w:p w14:paraId="7EBC1814">
      <w:pPr>
        <w:pStyle w:val="91"/>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10F4BAB1">
      <w:pPr>
        <w:pStyle w:val="91"/>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12.3.1 A alteração social ou a modificação da finalidade ou da estrutura da empresa não ensejará a rescisão se não restringir sua capacidade de concluir o Contrato.</w:t>
      </w:r>
    </w:p>
    <w:p w14:paraId="17AAE2DB">
      <w:pPr>
        <w:pStyle w:val="91"/>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11CDBB23">
      <w:pPr>
        <w:pStyle w:val="91"/>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12.3.2 Se a operação implicar mudança da pessoa jurídica contratada, deverá ser formalizado termo aditivo para alteração subjetiva.</w:t>
      </w:r>
    </w:p>
    <w:p w14:paraId="1C90DD72">
      <w:pPr>
        <w:spacing w:line="288" w:lineRule="auto"/>
        <w:contextualSpacing/>
        <w:jc w:val="both"/>
        <w:rPr>
          <w:color w:val="000000"/>
          <w:sz w:val="24"/>
          <w:szCs w:val="24"/>
        </w:rPr>
      </w:pPr>
    </w:p>
    <w:p w14:paraId="7C8C2CEF">
      <w:pPr>
        <w:spacing w:line="288" w:lineRule="auto"/>
        <w:contextualSpacing/>
        <w:jc w:val="both"/>
        <w:rPr>
          <w:sz w:val="24"/>
          <w:szCs w:val="24"/>
        </w:rPr>
      </w:pPr>
      <w:r>
        <w:rPr>
          <w:color w:val="000000"/>
          <w:sz w:val="24"/>
          <w:szCs w:val="24"/>
        </w:rPr>
        <w:t>12.4 A extinção prematura do Contrato deverá ser precedida de autorização escrita e fundamentada da autoridade competente e reduzida a termo no respectivo processo.</w:t>
      </w:r>
    </w:p>
    <w:p w14:paraId="28A4DAD1">
      <w:pPr>
        <w:spacing w:line="288" w:lineRule="auto"/>
        <w:contextualSpacing/>
        <w:jc w:val="both"/>
        <w:rPr>
          <w:sz w:val="24"/>
          <w:szCs w:val="24"/>
        </w:rPr>
      </w:pPr>
    </w:p>
    <w:p w14:paraId="576B3F7E">
      <w:pPr>
        <w:spacing w:line="288" w:lineRule="auto"/>
        <w:contextualSpacing/>
        <w:jc w:val="both"/>
        <w:rPr>
          <w:sz w:val="24"/>
          <w:szCs w:val="24"/>
        </w:rPr>
      </w:pPr>
      <w:r>
        <w:rPr>
          <w:sz w:val="24"/>
          <w:szCs w:val="24"/>
        </w:rPr>
        <w:t xml:space="preserve">12.4.1 A justificativa da rescisão por ato unilateral do </w:t>
      </w:r>
      <w:r>
        <w:rPr>
          <w:b/>
          <w:bCs/>
          <w:sz w:val="24"/>
          <w:szCs w:val="24"/>
        </w:rPr>
        <w:t>CONTRATANTE</w:t>
      </w:r>
      <w:r>
        <w:rPr>
          <w:sz w:val="24"/>
          <w:szCs w:val="24"/>
        </w:rPr>
        <w:t>, sempre que possível, contemplará:</w:t>
      </w:r>
    </w:p>
    <w:p w14:paraId="486FAE1F">
      <w:pPr>
        <w:spacing w:line="288" w:lineRule="auto"/>
        <w:contextualSpacing/>
        <w:jc w:val="both"/>
        <w:rPr>
          <w:sz w:val="24"/>
          <w:szCs w:val="24"/>
        </w:rPr>
      </w:pPr>
      <w:r>
        <w:rPr>
          <w:sz w:val="24"/>
          <w:szCs w:val="24"/>
        </w:rPr>
        <w:t>a) as obrigações contratuais já cumpridas ou parcialmente cumpridas;</w:t>
      </w:r>
    </w:p>
    <w:p w14:paraId="7F77C3EF">
      <w:pPr>
        <w:spacing w:line="288" w:lineRule="auto"/>
        <w:contextualSpacing/>
        <w:jc w:val="both"/>
        <w:rPr>
          <w:sz w:val="24"/>
          <w:szCs w:val="24"/>
        </w:rPr>
      </w:pPr>
      <w:r>
        <w:rPr>
          <w:sz w:val="24"/>
          <w:szCs w:val="24"/>
        </w:rPr>
        <w:t>b) os pagamentos já efetuados e ainda devidos;</w:t>
      </w:r>
    </w:p>
    <w:p w14:paraId="30A49E83">
      <w:pPr>
        <w:spacing w:line="288" w:lineRule="auto"/>
        <w:contextualSpacing/>
        <w:jc w:val="both"/>
        <w:rPr>
          <w:sz w:val="24"/>
          <w:szCs w:val="24"/>
        </w:rPr>
      </w:pPr>
      <w:r>
        <w:rPr>
          <w:sz w:val="24"/>
          <w:szCs w:val="24"/>
        </w:rPr>
        <w:t>c) as indenizações e multas.</w:t>
      </w:r>
    </w:p>
    <w:p w14:paraId="3661D6A4">
      <w:pPr>
        <w:pStyle w:val="86"/>
        <w:spacing w:before="0" w:after="0" w:line="288" w:lineRule="auto"/>
        <w:ind w:left="0" w:firstLine="0"/>
        <w:contextualSpacing/>
        <w:rPr>
          <w:rFonts w:ascii="Times New Roman" w:hAnsi="Times New Roman" w:cs="Times New Roman"/>
          <w:sz w:val="24"/>
          <w:szCs w:val="24"/>
        </w:rPr>
      </w:pPr>
    </w:p>
    <w:p w14:paraId="62741D41">
      <w:pPr>
        <w:pStyle w:val="86"/>
        <w:spacing w:before="0" w:after="0" w:line="288" w:lineRule="auto"/>
        <w:ind w:left="0" w:firstLine="0"/>
        <w:contextualSpacing/>
        <w:rPr>
          <w:rStyle w:val="14"/>
          <w:rFonts w:ascii="Times New Roman" w:hAnsi="Times New Roman" w:cs="Times New Roman" w:eastAsiaTheme="minorHAnsi"/>
          <w:color w:val="auto"/>
          <w:sz w:val="24"/>
          <w:szCs w:val="24"/>
        </w:rPr>
      </w:pPr>
      <w:r>
        <w:rPr>
          <w:rFonts w:ascii="Times New Roman" w:hAnsi="Times New Roman" w:cs="Times New Roman"/>
          <w:sz w:val="24"/>
          <w:szCs w:val="24"/>
        </w:rPr>
        <w:t xml:space="preserve">12.5 A extinção do Contrato não configura óbice para o reconhecimento do desequilíbrio econômico-financeiro, hipótese em que será concedida indenização por meio de termo indenizatório, na forma do </w:t>
      </w:r>
      <w:r>
        <w:fldChar w:fldCharType="begin"/>
      </w:r>
      <w:r>
        <w:instrText xml:space="preserve"> HYPERLINK "http://www.planalto.gov.br/ccivil_03/_ato2019-2022/2021/lei/L14133.htm" \l "art131" </w:instrText>
      </w:r>
      <w:r>
        <w:fldChar w:fldCharType="separate"/>
      </w:r>
      <w:r>
        <w:rPr>
          <w:rStyle w:val="14"/>
          <w:rFonts w:ascii="Times New Roman" w:hAnsi="Times New Roman" w:cs="Times New Roman" w:eastAsiaTheme="minorHAnsi"/>
          <w:color w:val="auto"/>
          <w:sz w:val="24"/>
          <w:szCs w:val="24"/>
        </w:rPr>
        <w:t xml:space="preserve">art. 131, </w:t>
      </w:r>
      <w:r>
        <w:rPr>
          <w:rStyle w:val="14"/>
          <w:rFonts w:ascii="Times New Roman" w:hAnsi="Times New Roman" w:cs="Times New Roman" w:eastAsiaTheme="minorHAnsi"/>
          <w:i/>
          <w:iCs/>
          <w:color w:val="auto"/>
          <w:sz w:val="24"/>
          <w:szCs w:val="24"/>
        </w:rPr>
        <w:t xml:space="preserve">caput, </w:t>
      </w:r>
      <w:r>
        <w:rPr>
          <w:rStyle w:val="14"/>
          <w:rFonts w:ascii="Times New Roman" w:hAnsi="Times New Roman" w:cs="Times New Roman" w:eastAsiaTheme="minorHAnsi"/>
          <w:color w:val="auto"/>
          <w:sz w:val="24"/>
          <w:szCs w:val="24"/>
        </w:rPr>
        <w:t xml:space="preserve">da Lei nº 14.133/2021, desde que o pedido seja </w:t>
      </w:r>
      <w:r>
        <w:rPr>
          <w:rFonts w:ascii="Times New Roman" w:hAnsi="Times New Roman" w:cs="Times New Roman"/>
          <w:sz w:val="24"/>
          <w:szCs w:val="24"/>
        </w:rPr>
        <w:t>formulado durante a vigência do Contrato e antes de eventual prorrogação</w:t>
      </w:r>
      <w:r>
        <w:rPr>
          <w:rStyle w:val="14"/>
          <w:rFonts w:ascii="Times New Roman" w:hAnsi="Times New Roman" w:cs="Times New Roman" w:eastAsiaTheme="minorHAnsi"/>
          <w:color w:val="auto"/>
          <w:sz w:val="24"/>
          <w:szCs w:val="24"/>
        </w:rPr>
        <w:t>.</w:t>
      </w:r>
      <w:r>
        <w:rPr>
          <w:rStyle w:val="14"/>
          <w:rFonts w:ascii="Times New Roman" w:hAnsi="Times New Roman" w:cs="Times New Roman" w:eastAsiaTheme="minorHAnsi"/>
          <w:color w:val="auto"/>
          <w:sz w:val="24"/>
          <w:szCs w:val="24"/>
        </w:rPr>
        <w:fldChar w:fldCharType="end"/>
      </w:r>
    </w:p>
    <w:p w14:paraId="1B9331FD">
      <w:pPr>
        <w:pStyle w:val="86"/>
        <w:spacing w:before="0" w:after="0" w:line="288" w:lineRule="auto"/>
        <w:ind w:left="0" w:firstLine="0"/>
        <w:contextualSpacing/>
        <w:rPr>
          <w:rStyle w:val="14"/>
          <w:rFonts w:ascii="Times New Roman" w:hAnsi="Times New Roman" w:cs="Times New Roman" w:eastAsiaTheme="minorHAnsi"/>
          <w:color w:val="auto"/>
          <w:sz w:val="24"/>
          <w:szCs w:val="24"/>
        </w:rPr>
      </w:pPr>
    </w:p>
    <w:p w14:paraId="78F1758C">
      <w:pPr>
        <w:pStyle w:val="86"/>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12.6. Extinto o Contrato, o </w:t>
      </w:r>
      <w:r>
        <w:rPr>
          <w:rFonts w:ascii="Times New Roman" w:hAnsi="Times New Roman" w:cs="Times New Roman"/>
          <w:b/>
          <w:bCs/>
          <w:sz w:val="24"/>
          <w:szCs w:val="24"/>
        </w:rPr>
        <w:t>CONTRATANTE</w:t>
      </w:r>
      <w:r>
        <w:rPr>
          <w:rFonts w:ascii="Times New Roman" w:hAnsi="Times New Roman" w:cs="Times New Roman"/>
          <w:sz w:val="24"/>
          <w:szCs w:val="24"/>
        </w:rPr>
        <w:t xml:space="preserve"> poderá ainda:</w:t>
      </w:r>
    </w:p>
    <w:p w14:paraId="6237765E">
      <w:pPr>
        <w:spacing w:before="120" w:after="120" w:line="288" w:lineRule="auto"/>
        <w:contextualSpacing/>
        <w:jc w:val="both"/>
        <w:rPr>
          <w:color w:val="000000"/>
          <w:sz w:val="24"/>
          <w:szCs w:val="24"/>
        </w:rPr>
      </w:pPr>
    </w:p>
    <w:p w14:paraId="04C4CD64">
      <w:pPr>
        <w:spacing w:before="120" w:after="120" w:line="288" w:lineRule="auto"/>
        <w:contextualSpacing/>
        <w:jc w:val="both"/>
        <w:rPr>
          <w:color w:val="000000"/>
          <w:sz w:val="24"/>
          <w:szCs w:val="24"/>
        </w:rPr>
      </w:pPr>
      <w:r>
        <w:rPr>
          <w:color w:val="000000"/>
          <w:sz w:val="24"/>
          <w:szCs w:val="24"/>
        </w:rPr>
        <w:t xml:space="preserve">12.6.1 nos casos de obrigação de pagamento de multa pelo </w:t>
      </w:r>
      <w:r>
        <w:rPr>
          <w:b/>
          <w:bCs/>
          <w:color w:val="000000"/>
          <w:sz w:val="24"/>
          <w:szCs w:val="24"/>
        </w:rPr>
        <w:t>CONTRATADO</w:t>
      </w:r>
      <w:r>
        <w:rPr>
          <w:color w:val="000000"/>
          <w:sz w:val="24"/>
          <w:szCs w:val="24"/>
        </w:rPr>
        <w:t>, reter e executar a garantia prestada; e</w:t>
      </w:r>
    </w:p>
    <w:p w14:paraId="0D08359F">
      <w:pPr>
        <w:spacing w:before="120" w:after="120" w:line="288" w:lineRule="auto"/>
        <w:contextualSpacing/>
        <w:jc w:val="both"/>
        <w:rPr>
          <w:color w:val="000000"/>
          <w:sz w:val="24"/>
          <w:szCs w:val="24"/>
        </w:rPr>
      </w:pPr>
    </w:p>
    <w:p w14:paraId="0EFDC265">
      <w:pPr>
        <w:spacing w:before="120" w:after="120" w:line="288" w:lineRule="auto"/>
        <w:contextualSpacing/>
        <w:jc w:val="both"/>
        <w:rPr>
          <w:sz w:val="24"/>
          <w:szCs w:val="24"/>
        </w:rPr>
      </w:pPr>
      <w:r>
        <w:rPr>
          <w:color w:val="000000"/>
          <w:sz w:val="24"/>
          <w:szCs w:val="24"/>
        </w:rPr>
        <w:t>12.6.2 nos casos em que houver necessidade de ressarcimento de prejuízos causados à Administração, nos termos do inciso IV do art. 139 da Lei nº 14.133/2021, reter os eventuais créditos existentes</w:t>
      </w:r>
      <w:r>
        <w:rPr>
          <w:sz w:val="24"/>
          <w:szCs w:val="24"/>
        </w:rPr>
        <w:t xml:space="preserve"> em favor do </w:t>
      </w:r>
      <w:r>
        <w:rPr>
          <w:b/>
          <w:bCs/>
          <w:sz w:val="24"/>
          <w:szCs w:val="24"/>
        </w:rPr>
        <w:t>C</w:t>
      </w:r>
      <w:r>
        <w:rPr>
          <w:b/>
          <w:bCs/>
          <w:color w:val="000000"/>
          <w:sz w:val="24"/>
          <w:szCs w:val="24"/>
        </w:rPr>
        <w:t>ONTRATADO</w:t>
      </w:r>
      <w:r>
        <w:rPr>
          <w:sz w:val="24"/>
          <w:szCs w:val="24"/>
        </w:rPr>
        <w:t xml:space="preserve"> decorrentes do Contrato.</w:t>
      </w:r>
    </w:p>
    <w:p w14:paraId="381767EC">
      <w:pPr>
        <w:spacing w:before="120" w:after="120" w:line="288" w:lineRule="auto"/>
        <w:contextualSpacing/>
        <w:jc w:val="both"/>
        <w:rPr>
          <w:sz w:val="24"/>
          <w:szCs w:val="24"/>
        </w:rPr>
      </w:pPr>
    </w:p>
    <w:p w14:paraId="74FA8A4B">
      <w:pPr>
        <w:pStyle w:val="85"/>
        <w:spacing w:before="0" w:line="288" w:lineRule="auto"/>
        <w:ind w:left="22"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TERCEIRA – ALTERAÇÕES</w:t>
      </w:r>
    </w:p>
    <w:p w14:paraId="4A985CFA">
      <w:pPr>
        <w:pStyle w:val="83"/>
        <w:spacing w:before="0" w:after="0" w:line="288" w:lineRule="auto"/>
        <w:ind w:left="22" w:firstLine="0"/>
        <w:contextualSpacing/>
        <w:rPr>
          <w:rFonts w:ascii="Times New Roman" w:hAnsi="Times New Roman" w:cs="Times New Roman"/>
          <w:sz w:val="24"/>
          <w:szCs w:val="24"/>
        </w:rPr>
      </w:pPr>
    </w:p>
    <w:p w14:paraId="5233B4DE">
      <w:pPr>
        <w:pStyle w:val="83"/>
        <w:spacing w:before="0" w:after="0" w:line="288" w:lineRule="auto"/>
        <w:ind w:left="22" w:firstLine="0"/>
        <w:contextualSpacing/>
        <w:rPr>
          <w:rFonts w:ascii="Times New Roman" w:hAnsi="Times New Roman" w:cs="Times New Roman"/>
          <w:color w:val="auto"/>
          <w:sz w:val="24"/>
          <w:szCs w:val="24"/>
        </w:rPr>
      </w:pPr>
      <w:r>
        <w:rPr>
          <w:rFonts w:ascii="Times New Roman" w:hAnsi="Times New Roman" w:cs="Times New Roman"/>
          <w:sz w:val="24"/>
          <w:szCs w:val="24"/>
        </w:rPr>
        <w:t xml:space="preserve">13.1 Eventuais alterações contratuais reger-se-ão pela disciplina dos </w:t>
      </w:r>
      <w:r>
        <w:fldChar w:fldCharType="begin"/>
      </w:r>
      <w:r>
        <w:instrText xml:space="preserve"> HYPERLINK "http://www.planalto.gov.br/ccivil_03/_ato2019-2022/2021/lei/L14133.htm" \l "art124" </w:instrText>
      </w:r>
      <w:r>
        <w:fldChar w:fldCharType="separate"/>
      </w:r>
      <w:r>
        <w:rPr>
          <w:rStyle w:val="14"/>
          <w:rFonts w:ascii="Times New Roman" w:hAnsi="Times New Roman" w:cs="Times New Roman" w:eastAsiaTheme="minorHAnsi"/>
          <w:color w:val="auto"/>
          <w:sz w:val="24"/>
          <w:szCs w:val="24"/>
        </w:rPr>
        <w:t>arts. 124 e seguintes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24AE7E85">
      <w:pPr>
        <w:spacing w:line="288" w:lineRule="auto"/>
        <w:contextualSpacing/>
        <w:jc w:val="both"/>
        <w:rPr>
          <w:sz w:val="24"/>
          <w:szCs w:val="24"/>
        </w:rPr>
      </w:pPr>
    </w:p>
    <w:p w14:paraId="55386DEF">
      <w:pPr>
        <w:spacing w:line="288" w:lineRule="auto"/>
        <w:contextualSpacing/>
        <w:jc w:val="both"/>
        <w:rPr>
          <w:sz w:val="24"/>
          <w:szCs w:val="24"/>
        </w:rPr>
      </w:pPr>
      <w:r>
        <w:rPr>
          <w:sz w:val="24"/>
          <w:szCs w:val="24"/>
        </w:rPr>
        <w:t xml:space="preserve">13.2 O </w:t>
      </w:r>
      <w:r>
        <w:rPr>
          <w:b/>
          <w:bCs/>
          <w:sz w:val="24"/>
          <w:szCs w:val="24"/>
        </w:rPr>
        <w:t>CONTRATADO</w:t>
      </w:r>
      <w:r>
        <w:rPr>
          <w:sz w:val="24"/>
          <w:szCs w:val="24"/>
        </w:rPr>
        <w:t xml:space="preserve"> é obrigado a aceitar, nas mesmas condições contratuais, os acréscimos ou supressões que se fizerem necessários, até o limite de 25% (vinte e cinco por cento) do valor inicial atualizado do Contrato, na forma do art. 125 da Lei nº 14.133/2021.</w:t>
      </w:r>
    </w:p>
    <w:p w14:paraId="70DE5DD0">
      <w:pPr>
        <w:spacing w:line="288" w:lineRule="auto"/>
        <w:contextualSpacing/>
        <w:jc w:val="both"/>
        <w:rPr>
          <w:sz w:val="24"/>
          <w:szCs w:val="24"/>
        </w:rPr>
      </w:pPr>
    </w:p>
    <w:p w14:paraId="1DC1D54C">
      <w:pPr>
        <w:spacing w:line="288" w:lineRule="auto"/>
        <w:contextualSpacing/>
        <w:jc w:val="both"/>
        <w:rPr>
          <w:b/>
          <w:bCs/>
          <w:sz w:val="24"/>
          <w:szCs w:val="24"/>
        </w:rPr>
      </w:pPr>
      <w:r>
        <w:rPr>
          <w:sz w:val="24"/>
          <w:szCs w:val="24"/>
        </w:rPr>
        <w:t xml:space="preserve">13.3 As alterações contratuais deverão ser promovidas mediante celebração de termo aditivo, submetido à prévia aprovação da assessoria jurídica do </w:t>
      </w:r>
      <w:r>
        <w:rPr>
          <w:b/>
          <w:bCs/>
          <w:sz w:val="24"/>
          <w:szCs w:val="24"/>
        </w:rPr>
        <w:t>CONTRATANTE</w:t>
      </w:r>
      <w:r>
        <w:rPr>
          <w:sz w:val="24"/>
          <w:szCs w:val="24"/>
        </w:rPr>
        <w:t>.</w:t>
      </w:r>
    </w:p>
    <w:p w14:paraId="30208B45">
      <w:pPr>
        <w:pStyle w:val="85"/>
        <w:spacing w:before="0" w:line="288" w:lineRule="auto"/>
        <w:ind w:left="0" w:firstLine="0"/>
        <w:contextualSpacing/>
        <w:rPr>
          <w:rFonts w:ascii="Times New Roman" w:hAnsi="Times New Roman" w:cs="Times New Roman"/>
          <w:b w:val="0"/>
          <w:bCs w:val="0"/>
          <w:sz w:val="24"/>
          <w:szCs w:val="24"/>
        </w:rPr>
      </w:pPr>
    </w:p>
    <w:p w14:paraId="6B8B948E">
      <w:pPr>
        <w:pStyle w:val="85"/>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13.4</w:t>
      </w:r>
      <w:r>
        <w:rPr>
          <w:rFonts w:ascii="Times New Roman" w:hAnsi="Times New Roman" w:cs="Times New Roman"/>
          <w:sz w:val="24"/>
          <w:szCs w:val="24"/>
        </w:rPr>
        <w:t xml:space="preserve"> </w:t>
      </w:r>
      <w:r>
        <w:rPr>
          <w:rFonts w:ascii="Times New Roman" w:hAnsi="Times New Roman" w:cs="Times New Roman"/>
          <w:b w:val="0"/>
          <w:bCs w:val="0"/>
          <w:sz w:val="24"/>
          <w:szCs w:val="24"/>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14"/>
          <w:rFonts w:ascii="Times New Roman" w:hAnsi="Times New Roman" w:cs="Times New Roman" w:eastAsiaTheme="minorHAnsi"/>
          <w:b w:val="0"/>
          <w:bCs w:val="0"/>
          <w:sz w:val="24"/>
          <w:szCs w:val="24"/>
        </w:rPr>
        <w:t>art. 136 da Lei nº 14.133/2021</w:t>
      </w:r>
      <w:r>
        <w:rPr>
          <w:rStyle w:val="14"/>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64CEF828">
      <w:pPr>
        <w:spacing w:line="288" w:lineRule="auto"/>
        <w:contextualSpacing/>
        <w:rPr>
          <w:sz w:val="24"/>
          <w:szCs w:val="24"/>
        </w:rPr>
      </w:pPr>
    </w:p>
    <w:p w14:paraId="7312F803">
      <w:pPr>
        <w:pStyle w:val="85"/>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QUARTA – DOTAÇÃO ORÇAMENTÁRIA </w:t>
      </w:r>
    </w:p>
    <w:p w14:paraId="39C170FE">
      <w:pPr>
        <w:spacing w:line="288" w:lineRule="auto"/>
        <w:contextualSpacing/>
        <w:rPr>
          <w:sz w:val="24"/>
          <w:szCs w:val="24"/>
        </w:rPr>
      </w:pPr>
    </w:p>
    <w:p w14:paraId="4D189B50">
      <w:pPr>
        <w:pStyle w:val="83"/>
        <w:spacing w:before="0" w:after="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14.1 As despesas com a execução do presente Contrato contratação correrão à conta das seguintes dotações orçamentárias, para o corrente exercício de </w:t>
      </w:r>
      <w:r>
        <w:rPr>
          <w:rFonts w:ascii="Times New Roman" w:hAnsi="Times New Roman" w:cs="Times New Roman"/>
          <w:color w:val="FF0000"/>
          <w:sz w:val="24"/>
          <w:szCs w:val="24"/>
        </w:rPr>
        <w:t>.........</w:t>
      </w:r>
      <w:r>
        <w:rPr>
          <w:rFonts w:ascii="Times New Roman" w:hAnsi="Times New Roman" w:cs="Times New Roman"/>
          <w:sz w:val="24"/>
          <w:szCs w:val="24"/>
        </w:rPr>
        <w:t>, assim classificadas:</w:t>
      </w:r>
    </w:p>
    <w:p w14:paraId="440B1A23">
      <w:pPr>
        <w:pStyle w:val="15"/>
        <w:spacing w:line="288" w:lineRule="auto"/>
        <w:contextualSpacing/>
        <w:jc w:val="both"/>
        <w:rPr>
          <w:rFonts w:ascii="Times New Roman" w:hAnsi="Times New Roman" w:cs="Times New Roman"/>
        </w:rPr>
      </w:pPr>
      <w:r>
        <w:rPr>
          <w:rFonts w:ascii="Times New Roman" w:hAnsi="Times New Roman" w:cs="Times New Roman"/>
        </w:rPr>
        <w:t>Natureza da Despesa:</w:t>
      </w:r>
    </w:p>
    <w:p w14:paraId="78F694E4">
      <w:pPr>
        <w:pStyle w:val="15"/>
        <w:spacing w:line="288" w:lineRule="auto"/>
        <w:contextualSpacing/>
        <w:jc w:val="both"/>
        <w:rPr>
          <w:rFonts w:ascii="Times New Roman" w:hAnsi="Times New Roman" w:cs="Times New Roman"/>
        </w:rPr>
      </w:pPr>
      <w:r>
        <w:rPr>
          <w:rFonts w:ascii="Times New Roman" w:hAnsi="Times New Roman" w:cs="Times New Roman"/>
        </w:rPr>
        <w:t>Fonte de Recurso:</w:t>
      </w:r>
    </w:p>
    <w:p w14:paraId="26BAE96A">
      <w:pPr>
        <w:pStyle w:val="15"/>
        <w:spacing w:line="288" w:lineRule="auto"/>
        <w:contextualSpacing/>
        <w:jc w:val="both"/>
        <w:rPr>
          <w:rFonts w:ascii="Times New Roman" w:hAnsi="Times New Roman" w:cs="Times New Roman"/>
        </w:rPr>
      </w:pPr>
      <w:r>
        <w:rPr>
          <w:rFonts w:ascii="Times New Roman" w:hAnsi="Times New Roman" w:cs="Times New Roman"/>
        </w:rPr>
        <w:t>Programa de Trabalho:</w:t>
      </w:r>
    </w:p>
    <w:p w14:paraId="6B994146">
      <w:pPr>
        <w:pStyle w:val="15"/>
        <w:spacing w:line="288" w:lineRule="auto"/>
        <w:contextualSpacing/>
        <w:jc w:val="both"/>
        <w:rPr>
          <w:rFonts w:ascii="Times New Roman" w:hAnsi="Times New Roman" w:cs="Times New Roman"/>
        </w:rPr>
      </w:pPr>
      <w:r>
        <w:rPr>
          <w:rFonts w:ascii="Times New Roman" w:hAnsi="Times New Roman" w:cs="Times New Roman"/>
        </w:rPr>
        <w:t>Nota de Empenho:</w:t>
      </w:r>
    </w:p>
    <w:p w14:paraId="716A1C5A">
      <w:pPr>
        <w:pStyle w:val="15"/>
        <w:spacing w:line="288" w:lineRule="auto"/>
        <w:contextualSpacing/>
        <w:jc w:val="both"/>
        <w:rPr>
          <w:rFonts w:ascii="Times New Roman" w:hAnsi="Times New Roman" w:cs="Times New Roman"/>
        </w:rPr>
      </w:pPr>
    </w:p>
    <w:p w14:paraId="0ECEA7B4">
      <w:pPr>
        <w:pStyle w:val="15"/>
        <w:spacing w:line="288" w:lineRule="auto"/>
        <w:contextualSpacing/>
        <w:jc w:val="both"/>
        <w:rPr>
          <w:rFonts w:ascii="Times New Roman" w:hAnsi="Times New Roman" w:cs="Times New Roman"/>
        </w:rPr>
      </w:pPr>
      <w:r>
        <w:rPr>
          <w:rFonts w:ascii="Times New Roman" w:hAnsi="Times New Roman" w:cs="Times New Roman"/>
        </w:rPr>
        <w:t xml:space="preserve">14.2 As despesas relativas aos exercícios subsequentes correrão por conta das dotações orçamentárias respectivas, devendo ser empenhadas no início de cada exercício. </w:t>
      </w:r>
    </w:p>
    <w:p w14:paraId="2904535F">
      <w:pPr>
        <w:pStyle w:val="15"/>
        <w:spacing w:line="288" w:lineRule="auto"/>
        <w:contextualSpacing/>
        <w:jc w:val="both"/>
        <w:rPr>
          <w:rFonts w:ascii="Times New Roman" w:hAnsi="Times New Roman" w:cs="Times New Roman"/>
        </w:rPr>
      </w:pPr>
    </w:p>
    <w:p w14:paraId="25FF3915">
      <w:pPr>
        <w:pStyle w:val="15"/>
        <w:spacing w:line="288" w:lineRule="auto"/>
        <w:contextualSpacing/>
        <w:jc w:val="both"/>
        <w:rPr>
          <w:rFonts w:ascii="Times New Roman" w:hAnsi="Times New Roman" w:cs="Times New Roman"/>
        </w:rPr>
      </w:pPr>
      <w:r>
        <w:rPr>
          <w:rFonts w:ascii="Times New Roman" w:hAnsi="Times New Roman" w:cs="Times New Roman"/>
        </w:rPr>
        <w:t>14.3 No início da contratação e de cada exercício deverá ser atestada a existência de créditos orçamentários vinculados à contratação e, no caso de fornecimento contínuo, a vantagem em sua manutenção, na forma dos arts. 105 e 106 da Lei nº 14.133/2021.</w:t>
      </w:r>
    </w:p>
    <w:p w14:paraId="4B3D9EBD">
      <w:pPr>
        <w:pStyle w:val="15"/>
        <w:spacing w:line="288" w:lineRule="auto"/>
        <w:contextualSpacing/>
        <w:jc w:val="both"/>
        <w:rPr>
          <w:rFonts w:ascii="Times New Roman" w:hAnsi="Times New Roman" w:cs="Times New Roman"/>
        </w:rPr>
      </w:pPr>
    </w:p>
    <w:p w14:paraId="15FF96C6">
      <w:pPr>
        <w:pStyle w:val="85"/>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QUINTA – DOS CASOS OMISSOS </w:t>
      </w:r>
    </w:p>
    <w:p w14:paraId="0947E2CE">
      <w:pPr>
        <w:spacing w:line="288" w:lineRule="auto"/>
        <w:contextualSpacing/>
        <w:rPr>
          <w:sz w:val="24"/>
          <w:szCs w:val="24"/>
        </w:rPr>
      </w:pPr>
    </w:p>
    <w:p w14:paraId="25D4A725">
      <w:pPr>
        <w:pStyle w:val="83"/>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 Os casos omissos serão decididos pelo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segundo as disposições contidas na Lei </w:t>
      </w:r>
      <w:r>
        <w:fldChar w:fldCharType="begin"/>
      </w:r>
      <w:r>
        <w:instrText xml:space="preserve"> HYPERLINK "http://www.planalto.gov.br/ccivil_03/_ato2019-2022/2021/lei/L14133.htm" </w:instrText>
      </w:r>
      <w:r>
        <w:fldChar w:fldCharType="separate"/>
      </w:r>
      <w:r>
        <w:rPr>
          <w:rStyle w:val="14"/>
          <w:rFonts w:ascii="Times New Roman" w:hAnsi="Times New Roman" w:cs="Times New Roman" w:eastAsiaTheme="minorHAnsi"/>
          <w:color w:val="auto"/>
          <w:sz w:val="24"/>
          <w:szCs w:val="24"/>
        </w:rPr>
        <w:t>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demais normas federais e estaduais aplicáveis e, subsidiariamente, segundo as disposições contidas na </w:t>
      </w:r>
      <w:r>
        <w:fldChar w:fldCharType="begin"/>
      </w:r>
      <w:r>
        <w:instrText xml:space="preserve"> HYPERLINK "https://www.planalto.gov.br/ccivil_03/leis/l8078compilado.htm" </w:instrText>
      </w:r>
      <w:r>
        <w:fldChar w:fldCharType="separate"/>
      </w:r>
      <w:r>
        <w:rPr>
          <w:rStyle w:val="14"/>
          <w:rFonts w:ascii="Times New Roman" w:hAnsi="Times New Roman" w:cs="Times New Roman" w:eastAsiaTheme="minorHAnsi"/>
          <w:color w:val="auto"/>
          <w:sz w:val="24"/>
          <w:szCs w:val="24"/>
        </w:rPr>
        <w:t>Lei nº 8.078/1990 – Código de Defesa do Consumidor</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e normas e princípios gerais dos contratos.</w:t>
      </w:r>
    </w:p>
    <w:p w14:paraId="6A1CF3A8">
      <w:pPr>
        <w:pStyle w:val="15"/>
        <w:spacing w:line="288" w:lineRule="auto"/>
        <w:contextualSpacing/>
        <w:jc w:val="both"/>
        <w:rPr>
          <w:rFonts w:ascii="Times New Roman" w:hAnsi="Times New Roman" w:cs="Times New Roman"/>
        </w:rPr>
      </w:pPr>
    </w:p>
    <w:p w14:paraId="73BC5D3A">
      <w:pPr>
        <w:pStyle w:val="85"/>
        <w:spacing w:before="0" w:line="288" w:lineRule="auto"/>
        <w:ind w:left="36"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SEXTA – PUBLICAÇÃO E CONTROLE DO CONTRATO</w:t>
      </w:r>
    </w:p>
    <w:p w14:paraId="1C517B2D">
      <w:pPr>
        <w:pStyle w:val="83"/>
        <w:spacing w:before="0" w:after="0" w:line="288" w:lineRule="auto"/>
        <w:ind w:left="36" w:firstLine="0"/>
        <w:contextualSpacing/>
        <w:rPr>
          <w:rFonts w:ascii="Times New Roman" w:hAnsi="Times New Roman" w:cs="Times New Roman"/>
          <w:color w:val="auto"/>
          <w:sz w:val="24"/>
          <w:szCs w:val="24"/>
        </w:rPr>
      </w:pPr>
    </w:p>
    <w:p w14:paraId="7CEF1F9F">
      <w:pPr>
        <w:pStyle w:val="83"/>
        <w:spacing w:before="0" w:after="0" w:line="288" w:lineRule="auto"/>
        <w:ind w:left="36"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16.1 Incumbirá ao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14"/>
          <w:rFonts w:ascii="Times New Roman" w:hAnsi="Times New Roman" w:cs="Times New Roman" w:eastAsiaTheme="minorHAnsi"/>
          <w:color w:val="auto"/>
          <w:sz w:val="24"/>
          <w:szCs w:val="24"/>
        </w:rPr>
        <w:t>art. 94 da Lei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bem como no respectivo sítio oficial na Internet, em atenção ao </w:t>
      </w:r>
      <w:r>
        <w:fldChar w:fldCharType="begin"/>
      </w:r>
      <w:r>
        <w:instrText xml:space="preserve"> HYPERLINK "https://www.planalto.gov.br/ccivil_03/_ato2011-2014/2011/lei/l12527.htm" \l "art8§2" </w:instrText>
      </w:r>
      <w:r>
        <w:fldChar w:fldCharType="separate"/>
      </w:r>
      <w:r>
        <w:rPr>
          <w:rStyle w:val="14"/>
          <w:rFonts w:ascii="Times New Roman" w:hAnsi="Times New Roman" w:cs="Times New Roman" w:eastAsiaTheme="minorHAnsi"/>
          <w:color w:val="auto"/>
          <w:sz w:val="24"/>
          <w:szCs w:val="24"/>
        </w:rPr>
        <w:t>art. 8º, §2º, da Lei nº 12.527/2011</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e publicar extrato da contratação no Boletim Oficial do Município.</w:t>
      </w:r>
    </w:p>
    <w:p w14:paraId="7C9D1264">
      <w:pPr>
        <w:spacing w:line="288" w:lineRule="auto"/>
        <w:contextualSpacing/>
        <w:jc w:val="both"/>
        <w:rPr>
          <w:sz w:val="24"/>
          <w:szCs w:val="24"/>
        </w:rPr>
      </w:pPr>
    </w:p>
    <w:p w14:paraId="30D77B71">
      <w:pPr>
        <w:spacing w:line="288" w:lineRule="auto"/>
        <w:contextualSpacing/>
        <w:jc w:val="both"/>
        <w:rPr>
          <w:sz w:val="24"/>
          <w:szCs w:val="24"/>
        </w:rPr>
      </w:pPr>
      <w:r>
        <w:rPr>
          <w:sz w:val="24"/>
          <w:szCs w:val="24"/>
        </w:rPr>
        <w:t>16.1.1 A divulgação do Contrato e de seus aditamentos no Portal Nacional de Contratações Públicas – PNCP, condição indispensável para sua eficácia, deverá ocorrer nos prazos estipulados pelo art. 94 da Lei nº 14.133/2021.</w:t>
      </w:r>
    </w:p>
    <w:p w14:paraId="55A7744B">
      <w:pPr>
        <w:spacing w:line="288" w:lineRule="auto"/>
        <w:contextualSpacing/>
        <w:jc w:val="both"/>
        <w:rPr>
          <w:sz w:val="24"/>
          <w:szCs w:val="24"/>
        </w:rPr>
      </w:pPr>
    </w:p>
    <w:p w14:paraId="14253DB6">
      <w:pPr>
        <w:spacing w:line="288" w:lineRule="auto"/>
        <w:contextualSpacing/>
        <w:jc w:val="both"/>
        <w:rPr>
          <w:sz w:val="24"/>
          <w:szCs w:val="24"/>
        </w:rPr>
      </w:pPr>
      <w:r>
        <w:rPr>
          <w:sz w:val="24"/>
          <w:szCs w:val="24"/>
        </w:rPr>
        <w:t xml:space="preserve">16.2 O </w:t>
      </w:r>
      <w:r>
        <w:rPr>
          <w:b/>
          <w:bCs/>
          <w:sz w:val="24"/>
          <w:szCs w:val="24"/>
        </w:rPr>
        <w:t>CONTRATANTE</w:t>
      </w:r>
      <w:r>
        <w:rPr>
          <w:sz w:val="24"/>
          <w:szCs w:val="24"/>
        </w:rPr>
        <w:t xml:space="preserve"> deverá adotar as providências necessárias para dar conhecimento da contratação, junto ao Tribunal de Contas do Estado.</w:t>
      </w:r>
    </w:p>
    <w:p w14:paraId="73BD2823">
      <w:pPr>
        <w:pStyle w:val="83"/>
        <w:spacing w:before="0" w:after="0" w:line="288" w:lineRule="auto"/>
        <w:ind w:left="36" w:firstLine="0"/>
        <w:contextualSpacing/>
        <w:rPr>
          <w:rFonts w:ascii="Times New Roman" w:hAnsi="Times New Roman" w:cs="Times New Roman"/>
          <w:color w:val="auto"/>
          <w:sz w:val="24"/>
          <w:szCs w:val="24"/>
        </w:rPr>
      </w:pPr>
    </w:p>
    <w:p w14:paraId="3AB9A952">
      <w:pPr>
        <w:pStyle w:val="85"/>
        <w:spacing w:before="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SÉTIMA – FORO </w:t>
      </w:r>
    </w:p>
    <w:p w14:paraId="7FA18A20">
      <w:pPr>
        <w:spacing w:line="288" w:lineRule="auto"/>
        <w:contextualSpacing/>
        <w:rPr>
          <w:sz w:val="24"/>
          <w:szCs w:val="24"/>
        </w:rPr>
      </w:pPr>
    </w:p>
    <w:p w14:paraId="733CD792">
      <w:pPr>
        <w:spacing w:line="288" w:lineRule="auto"/>
        <w:contextualSpacing/>
        <w:jc w:val="both"/>
        <w:rPr>
          <w:sz w:val="24"/>
          <w:szCs w:val="24"/>
        </w:rPr>
      </w:pPr>
      <w:r>
        <w:rPr>
          <w:sz w:val="24"/>
          <w:szCs w:val="24"/>
        </w:rPr>
        <w:t xml:space="preserve">17.1 Fica eleito o Foro da Cidade de Valença RJ, para dirimir qualquer litígio decorrente do presente Contrato que não possa ser resolvido por meio amigável, com expressa renúncia a qualquer outro, por mais privilegiado que seja. </w:t>
      </w:r>
    </w:p>
    <w:p w14:paraId="0026F640">
      <w:pPr>
        <w:spacing w:line="288" w:lineRule="auto"/>
        <w:contextualSpacing/>
        <w:jc w:val="both"/>
        <w:rPr>
          <w:sz w:val="24"/>
          <w:szCs w:val="24"/>
        </w:rPr>
      </w:pPr>
    </w:p>
    <w:p w14:paraId="71C1B29D">
      <w:pPr>
        <w:spacing w:line="288" w:lineRule="auto"/>
        <w:contextualSpacing/>
        <w:jc w:val="both"/>
        <w:rPr>
          <w:sz w:val="24"/>
          <w:szCs w:val="24"/>
        </w:rPr>
      </w:pPr>
      <w:r>
        <w:rPr>
          <w:sz w:val="24"/>
          <w:szCs w:val="24"/>
        </w:rPr>
        <w:t>E, por estarem assim acordes em todas as condições e cláusulas estabelecidas neste Contrato, firmam as partes o presente instrumento, depois de achado conforme, em presença das testemunhas abaixo firmadas.</w:t>
      </w:r>
    </w:p>
    <w:p w14:paraId="2EEE282D">
      <w:pPr>
        <w:pStyle w:val="83"/>
        <w:spacing w:before="0" w:after="0" w:line="288" w:lineRule="auto"/>
        <w:ind w:left="0" w:firstLine="567"/>
        <w:contextualSpacing/>
        <w:rPr>
          <w:rFonts w:ascii="Times New Roman" w:hAnsi="Times New Roman" w:cs="Times New Roman"/>
          <w:i/>
          <w:iCs/>
          <w:color w:val="FF0000"/>
          <w:sz w:val="24"/>
          <w:szCs w:val="24"/>
        </w:rPr>
      </w:pPr>
    </w:p>
    <w:p w14:paraId="018800DF">
      <w:pPr>
        <w:pStyle w:val="83"/>
        <w:spacing w:before="0" w:after="0" w:line="288" w:lineRule="auto"/>
        <w:ind w:left="0" w:firstLine="567"/>
        <w:contextualSpacing/>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Valença, xx de xxxxxxxxx de 2025.</w:t>
      </w:r>
    </w:p>
    <w:p w14:paraId="5996192B">
      <w:pPr>
        <w:spacing w:line="288" w:lineRule="auto"/>
        <w:ind w:firstLine="567"/>
        <w:contextualSpacing/>
        <w:jc w:val="center"/>
        <w:rPr>
          <w:bCs/>
          <w:sz w:val="24"/>
          <w:szCs w:val="24"/>
        </w:rPr>
      </w:pPr>
    </w:p>
    <w:p w14:paraId="6E505C43">
      <w:pPr>
        <w:spacing w:line="288" w:lineRule="auto"/>
        <w:ind w:firstLine="567"/>
        <w:contextualSpacing/>
        <w:jc w:val="center"/>
        <w:rPr>
          <w:bCs/>
          <w:sz w:val="24"/>
          <w:szCs w:val="24"/>
        </w:rPr>
      </w:pPr>
      <w:r>
        <w:rPr>
          <w:bCs/>
          <w:sz w:val="24"/>
          <w:szCs w:val="24"/>
        </w:rPr>
        <w:t xml:space="preserve"> </w:t>
      </w:r>
    </w:p>
    <w:p w14:paraId="1BF0733F">
      <w:pPr>
        <w:spacing w:line="288" w:lineRule="auto"/>
        <w:ind w:firstLine="567"/>
        <w:contextualSpacing/>
        <w:jc w:val="center"/>
        <w:rPr>
          <w:bCs/>
          <w:sz w:val="24"/>
          <w:szCs w:val="24"/>
        </w:rPr>
      </w:pPr>
      <w:r>
        <w:rPr>
          <w:bCs/>
          <w:sz w:val="24"/>
          <w:szCs w:val="24"/>
        </w:rPr>
        <w:t>_________________________</w:t>
      </w:r>
    </w:p>
    <w:p w14:paraId="728209EE">
      <w:pPr>
        <w:spacing w:line="288" w:lineRule="auto"/>
        <w:ind w:firstLine="567"/>
        <w:contextualSpacing/>
        <w:jc w:val="center"/>
        <w:rPr>
          <w:sz w:val="24"/>
          <w:szCs w:val="24"/>
        </w:rPr>
      </w:pPr>
      <w:r>
        <w:rPr>
          <w:sz w:val="24"/>
          <w:szCs w:val="24"/>
        </w:rPr>
        <w:t>Renata Andrade Leite</w:t>
      </w:r>
    </w:p>
    <w:p w14:paraId="01C3EBB2">
      <w:pPr>
        <w:spacing w:line="288" w:lineRule="auto"/>
        <w:ind w:firstLine="567"/>
        <w:contextualSpacing/>
        <w:jc w:val="center"/>
        <w:rPr>
          <w:bCs/>
          <w:sz w:val="24"/>
          <w:szCs w:val="24"/>
        </w:rPr>
      </w:pPr>
      <w:r>
        <w:rPr>
          <w:sz w:val="24"/>
          <w:szCs w:val="24"/>
        </w:rPr>
        <w:t>Secretária Municipal de Educação</w:t>
      </w:r>
    </w:p>
    <w:p w14:paraId="5435C56F">
      <w:pPr>
        <w:spacing w:line="288" w:lineRule="auto"/>
        <w:ind w:firstLine="567"/>
        <w:contextualSpacing/>
        <w:jc w:val="center"/>
        <w:rPr>
          <w:bCs/>
          <w:sz w:val="24"/>
          <w:szCs w:val="24"/>
        </w:rPr>
      </w:pPr>
      <w:r>
        <w:rPr>
          <w:bCs/>
          <w:sz w:val="24"/>
          <w:szCs w:val="24"/>
        </w:rPr>
        <w:t>MUNICÍPIO DE VALENÇA</w:t>
      </w:r>
    </w:p>
    <w:p w14:paraId="2DE40EE4">
      <w:pPr>
        <w:spacing w:line="288" w:lineRule="auto"/>
        <w:ind w:firstLine="567"/>
        <w:contextualSpacing/>
        <w:jc w:val="center"/>
        <w:rPr>
          <w:bCs/>
          <w:sz w:val="24"/>
          <w:szCs w:val="24"/>
        </w:rPr>
      </w:pPr>
    </w:p>
    <w:p w14:paraId="211C09F6">
      <w:pPr>
        <w:spacing w:line="288" w:lineRule="auto"/>
        <w:ind w:firstLine="567"/>
        <w:contextualSpacing/>
        <w:jc w:val="center"/>
        <w:rPr>
          <w:bCs/>
          <w:sz w:val="24"/>
          <w:szCs w:val="24"/>
        </w:rPr>
      </w:pPr>
    </w:p>
    <w:p w14:paraId="4BB6E0A2">
      <w:pPr>
        <w:spacing w:line="288" w:lineRule="auto"/>
        <w:ind w:firstLine="567"/>
        <w:contextualSpacing/>
        <w:jc w:val="center"/>
        <w:rPr>
          <w:sz w:val="24"/>
          <w:szCs w:val="24"/>
        </w:rPr>
      </w:pPr>
      <w:r>
        <w:rPr>
          <w:sz w:val="24"/>
          <w:szCs w:val="24"/>
        </w:rPr>
        <w:t>_________________________</w:t>
      </w:r>
    </w:p>
    <w:p w14:paraId="41D47E85">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14:paraId="10067BBA">
      <w:pPr>
        <w:spacing w:line="288" w:lineRule="auto"/>
        <w:contextualSpacing/>
        <w:jc w:val="both"/>
        <w:rPr>
          <w:sz w:val="24"/>
          <w:szCs w:val="24"/>
        </w:rPr>
      </w:pPr>
      <w:r>
        <w:rPr>
          <w:sz w:val="24"/>
          <w:szCs w:val="24"/>
        </w:rPr>
        <w:t>TESTEMUNHAS:</w:t>
      </w:r>
    </w:p>
    <w:p w14:paraId="63C54604">
      <w:pPr>
        <w:spacing w:line="288" w:lineRule="auto"/>
        <w:contextualSpacing/>
        <w:rPr>
          <w:sz w:val="24"/>
          <w:szCs w:val="24"/>
        </w:rPr>
      </w:pPr>
      <w:r>
        <w:rPr>
          <w:sz w:val="24"/>
          <w:szCs w:val="24"/>
        </w:rPr>
        <w:t>1-</w:t>
      </w:r>
    </w:p>
    <w:p w14:paraId="221BF12E">
      <w:pPr>
        <w:spacing w:line="288" w:lineRule="auto"/>
        <w:contextualSpacing/>
        <w:rPr>
          <w:sz w:val="24"/>
          <w:szCs w:val="24"/>
        </w:rPr>
      </w:pPr>
      <w:r>
        <w:rPr>
          <w:sz w:val="24"/>
          <w:szCs w:val="24"/>
        </w:rPr>
        <w:t xml:space="preserve">2- </w:t>
      </w:r>
    </w:p>
    <w:p w14:paraId="4B6D9ED2">
      <w:pPr>
        <w:rPr>
          <w:sz w:val="24"/>
          <w:szCs w:val="24"/>
        </w:rPr>
      </w:pPr>
    </w:p>
    <w:p w14:paraId="7E3DC760">
      <w:pPr>
        <w:ind w:firstLine="142"/>
        <w:rPr>
          <w:sz w:val="24"/>
          <w:szCs w:val="24"/>
        </w:rPr>
      </w:pPr>
    </w:p>
    <w:p w14:paraId="23169F2B">
      <w:pPr>
        <w:ind w:firstLine="142"/>
        <w:jc w:val="center"/>
        <w:rPr>
          <w:b/>
          <w:bCs/>
          <w:sz w:val="24"/>
          <w:szCs w:val="24"/>
        </w:rPr>
      </w:pPr>
      <w:r>
        <w:rPr>
          <w:b/>
          <w:bCs/>
          <w:sz w:val="24"/>
          <w:szCs w:val="24"/>
        </w:rPr>
        <w:t>ANEXO VIII</w:t>
      </w:r>
    </w:p>
    <w:p w14:paraId="4868A169">
      <w:pPr>
        <w:ind w:firstLine="142"/>
        <w:jc w:val="center"/>
        <w:rPr>
          <w:b/>
          <w:bCs/>
          <w:sz w:val="24"/>
          <w:szCs w:val="24"/>
        </w:rPr>
      </w:pPr>
    </w:p>
    <w:p w14:paraId="35E500AD">
      <w:pPr>
        <w:pStyle w:val="15"/>
        <w:spacing w:line="360" w:lineRule="auto"/>
        <w:ind w:right="-285" w:firstLine="142"/>
        <w:jc w:val="center"/>
        <w:rPr>
          <w:rFonts w:ascii="Times New Roman" w:hAnsi="Times New Roman" w:cs="Times New Roman"/>
          <w:b/>
        </w:rPr>
      </w:pPr>
      <w:r>
        <w:rPr>
          <w:rFonts w:ascii="Times New Roman" w:hAnsi="Times New Roman" w:cs="Times New Roman"/>
          <w:b/>
          <w:highlight w:val="yellow"/>
        </w:rPr>
        <w:t>DECLARAÇÃO DE RESPONSABILIZAÇÃO CIVIL E ADMINISTRATIVA</w:t>
      </w:r>
    </w:p>
    <w:p w14:paraId="2D57AE56">
      <w:pPr>
        <w:pStyle w:val="15"/>
        <w:spacing w:line="360" w:lineRule="auto"/>
        <w:ind w:right="-285" w:firstLine="142"/>
        <w:jc w:val="center"/>
        <w:rPr>
          <w:rFonts w:ascii="Times New Roman" w:hAnsi="Times New Roman" w:cs="Times New Roman"/>
        </w:rPr>
      </w:pPr>
    </w:p>
    <w:p w14:paraId="17C7E9A5">
      <w:pPr>
        <w:pStyle w:val="15"/>
        <w:spacing w:line="360" w:lineRule="auto"/>
        <w:ind w:right="-285" w:firstLine="142"/>
        <w:jc w:val="both"/>
        <w:rPr>
          <w:rFonts w:ascii="Times New Roman" w:hAnsi="Times New Roman" w:cs="Times New Roman"/>
        </w:rPr>
      </w:pPr>
      <w:r>
        <w:rPr>
          <w:rFonts w:ascii="Times New Roman" w:hAnsi="Times New Roman" w:cs="Times New Roman"/>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14:paraId="6B5B0E98">
      <w:pPr>
        <w:pStyle w:val="15"/>
        <w:spacing w:line="360" w:lineRule="auto"/>
        <w:ind w:right="-285" w:firstLine="142"/>
        <w:jc w:val="center"/>
        <w:rPr>
          <w:rFonts w:ascii="Times New Roman" w:hAnsi="Times New Roman" w:cs="Times New Roman"/>
        </w:rPr>
      </w:pPr>
    </w:p>
    <w:p w14:paraId="1F4BCB24">
      <w:pPr>
        <w:pStyle w:val="15"/>
        <w:spacing w:line="360" w:lineRule="auto"/>
        <w:ind w:right="-285" w:firstLine="142"/>
        <w:jc w:val="both"/>
        <w:rPr>
          <w:rFonts w:ascii="Times New Roman" w:hAnsi="Times New Roman" w:cs="Times New Roman"/>
        </w:rPr>
      </w:pPr>
      <w:r>
        <w:rPr>
          <w:rFonts w:ascii="Times New Roman" w:hAnsi="Times New Roman" w:cs="Times New Roman"/>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14:paraId="39BCE98A">
      <w:pPr>
        <w:pStyle w:val="15"/>
        <w:spacing w:line="360" w:lineRule="auto"/>
        <w:ind w:right="-285" w:firstLine="142"/>
        <w:jc w:val="center"/>
        <w:rPr>
          <w:rFonts w:ascii="Times New Roman" w:hAnsi="Times New Roman" w:cs="Times New Roman"/>
        </w:rPr>
      </w:pPr>
    </w:p>
    <w:p w14:paraId="1F581539">
      <w:pPr>
        <w:pStyle w:val="15"/>
        <w:spacing w:line="360" w:lineRule="auto"/>
        <w:ind w:right="-285" w:firstLine="142"/>
        <w:jc w:val="both"/>
        <w:rPr>
          <w:rFonts w:ascii="Times New Roman" w:hAnsi="Times New Roman" w:cs="Times New Roman"/>
        </w:rPr>
      </w:pPr>
      <w:r>
        <w:rPr>
          <w:rFonts w:ascii="Times New Roman" w:hAnsi="Times New Roman" w:cs="Times New Roman"/>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1132E721">
      <w:pPr>
        <w:pStyle w:val="15"/>
        <w:spacing w:line="360" w:lineRule="auto"/>
        <w:ind w:right="-285" w:firstLine="142"/>
        <w:jc w:val="center"/>
        <w:rPr>
          <w:rFonts w:ascii="Times New Roman" w:hAnsi="Times New Roman" w:cs="Times New Roman"/>
        </w:rPr>
      </w:pPr>
    </w:p>
    <w:p w14:paraId="68D99209">
      <w:pPr>
        <w:pStyle w:val="15"/>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7DC4542F">
      <w:pPr>
        <w:pStyle w:val="15"/>
        <w:spacing w:line="360" w:lineRule="auto"/>
        <w:ind w:right="-285" w:firstLine="142"/>
        <w:jc w:val="center"/>
        <w:rPr>
          <w:rFonts w:ascii="Times New Roman" w:hAnsi="Times New Roman" w:cs="Times New Roman"/>
        </w:rPr>
      </w:pPr>
    </w:p>
    <w:p w14:paraId="6FDE8502">
      <w:pPr>
        <w:pStyle w:val="15"/>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46A19A55">
      <w:pPr>
        <w:pStyle w:val="15"/>
        <w:ind w:right="-284" w:firstLine="142"/>
        <w:jc w:val="center"/>
        <w:rPr>
          <w:rFonts w:ascii="Times New Roman" w:hAnsi="Times New Roman" w:cs="Times New Roman"/>
        </w:rPr>
      </w:pPr>
      <w:r>
        <w:rPr>
          <w:rFonts w:ascii="Times New Roman" w:hAnsi="Times New Roman" w:cs="Times New Roman"/>
        </w:rPr>
        <w:t>AGENTE PÚBLICO</w:t>
      </w:r>
    </w:p>
    <w:p w14:paraId="40AA8B6A">
      <w:pPr>
        <w:pStyle w:val="15"/>
        <w:ind w:right="-284" w:firstLine="142"/>
        <w:jc w:val="center"/>
        <w:rPr>
          <w:rFonts w:ascii="Times New Roman" w:hAnsi="Times New Roman" w:cs="Times New Roman"/>
        </w:rPr>
      </w:pPr>
      <w:r>
        <w:rPr>
          <w:rFonts w:ascii="Times New Roman" w:hAnsi="Times New Roman" w:cs="Times New Roman"/>
        </w:rPr>
        <w:t>(Nome, cargo, matrícula e lotação)</w:t>
      </w:r>
    </w:p>
    <w:p w14:paraId="69B347DC">
      <w:pPr>
        <w:pStyle w:val="15"/>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1DD8A169">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1AB4EE7F">
      <w:pPr>
        <w:pStyle w:val="15"/>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7BC41C5B">
      <w:pPr>
        <w:pStyle w:val="15"/>
        <w:spacing w:line="360" w:lineRule="auto"/>
        <w:rPr>
          <w:rFonts w:ascii="Times New Roman" w:hAnsi="Times New Roman" w:cs="Times New Roman"/>
        </w:rPr>
      </w:pPr>
    </w:p>
    <w:p w14:paraId="5A84A1BF">
      <w:pPr>
        <w:pStyle w:val="2"/>
        <w:rPr>
          <w:sz w:val="24"/>
          <w:szCs w:val="24"/>
        </w:rPr>
      </w:pPr>
    </w:p>
    <w:p w14:paraId="2D3DF16F">
      <w:pPr>
        <w:pStyle w:val="15"/>
        <w:spacing w:line="360" w:lineRule="auto"/>
        <w:ind w:right="-285" w:firstLine="142"/>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DECLARAÇÃO DE INEXISTÊNCIA DE NEPOTISMO</w:t>
      </w:r>
    </w:p>
    <w:p w14:paraId="3C63E905">
      <w:pPr>
        <w:pStyle w:val="15"/>
        <w:spacing w:line="360" w:lineRule="auto"/>
        <w:ind w:right="-285" w:firstLine="142"/>
        <w:jc w:val="center"/>
        <w:rPr>
          <w:rFonts w:ascii="Times New Roman" w:hAnsi="Times New Roman" w:cs="Times New Roman"/>
          <w:color w:val="000000" w:themeColor="text1"/>
          <w14:textFill>
            <w14:solidFill>
              <w14:schemeClr w14:val="tx1"/>
            </w14:solidFill>
          </w14:textFill>
        </w:rPr>
      </w:pPr>
    </w:p>
    <w:p w14:paraId="5FEF3969">
      <w:pPr>
        <w:pStyle w:val="15"/>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777A4DC1">
      <w:pPr>
        <w:pStyle w:val="15"/>
        <w:spacing w:line="360" w:lineRule="auto"/>
        <w:ind w:right="-285" w:firstLine="142"/>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 </w:t>
      </w:r>
    </w:p>
    <w:p w14:paraId="2A05D26F">
      <w:pPr>
        <w:pStyle w:val="15"/>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3C66C6C3">
      <w:pPr>
        <w:pStyle w:val="15"/>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4DE409E5">
      <w:pPr>
        <w:pStyle w:val="15"/>
        <w:spacing w:line="360" w:lineRule="auto"/>
        <w:ind w:right="-285" w:firstLine="142"/>
        <w:jc w:val="center"/>
        <w:rPr>
          <w:rFonts w:ascii="Times New Roman" w:hAnsi="Times New Roman" w:cs="Times New Roman"/>
        </w:rPr>
      </w:pPr>
    </w:p>
    <w:p w14:paraId="405C74FA">
      <w:pPr>
        <w:pStyle w:val="15"/>
        <w:spacing w:line="360" w:lineRule="auto"/>
        <w:ind w:right="-285" w:firstLine="142"/>
        <w:jc w:val="center"/>
        <w:rPr>
          <w:rFonts w:ascii="Times New Roman" w:hAnsi="Times New Roman" w:cs="Times New Roman"/>
        </w:rPr>
      </w:pPr>
    </w:p>
    <w:p w14:paraId="36006C0B">
      <w:pPr>
        <w:pStyle w:val="15"/>
        <w:spacing w:line="360" w:lineRule="auto"/>
        <w:ind w:right="-285" w:firstLine="142"/>
        <w:jc w:val="center"/>
        <w:rPr>
          <w:rFonts w:ascii="Times New Roman" w:hAnsi="Times New Roman" w:cs="Times New Roman"/>
        </w:rPr>
      </w:pPr>
    </w:p>
    <w:p w14:paraId="493DB7F0">
      <w:pPr>
        <w:pStyle w:val="15"/>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5FC65923">
      <w:pPr>
        <w:pStyle w:val="15"/>
        <w:ind w:right="-284" w:firstLine="142"/>
        <w:jc w:val="center"/>
        <w:rPr>
          <w:rFonts w:ascii="Times New Roman" w:hAnsi="Times New Roman" w:cs="Times New Roman"/>
        </w:rPr>
      </w:pPr>
      <w:r>
        <w:rPr>
          <w:rFonts w:ascii="Times New Roman" w:hAnsi="Times New Roman" w:cs="Times New Roman"/>
        </w:rPr>
        <w:t>CONTRATADA</w:t>
      </w:r>
    </w:p>
    <w:p w14:paraId="57568395">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2D02CC3D">
      <w:pPr>
        <w:pStyle w:val="15"/>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06B3AA33">
      <w:pPr>
        <w:pStyle w:val="15"/>
        <w:spacing w:line="360" w:lineRule="auto"/>
        <w:jc w:val="both"/>
        <w:rPr>
          <w:rFonts w:ascii="Times New Roman" w:hAnsi="Times New Roman" w:cs="Times New Roman"/>
          <w:color w:val="000000" w:themeColor="text1"/>
          <w14:textFill>
            <w14:solidFill>
              <w14:schemeClr w14:val="tx1"/>
            </w14:solidFill>
          </w14:textFill>
        </w:rPr>
      </w:pPr>
    </w:p>
    <w:p w14:paraId="44A5C75A">
      <w:pPr>
        <w:pStyle w:val="15"/>
        <w:ind w:right="-284" w:firstLine="142"/>
        <w:jc w:val="center"/>
        <w:rPr>
          <w:rFonts w:ascii="Times New Roman" w:hAnsi="Times New Roman" w:cs="Times New Roman"/>
          <w:b/>
          <w:color w:val="000000"/>
        </w:rPr>
      </w:pPr>
    </w:p>
    <w:p w14:paraId="5AC87FF5">
      <w:pPr>
        <w:pStyle w:val="15"/>
        <w:ind w:right="-284" w:firstLine="142"/>
        <w:jc w:val="center"/>
        <w:rPr>
          <w:rFonts w:ascii="Times New Roman" w:hAnsi="Times New Roman" w:eastAsia="Times New Roman" w:cs="Times New Roman"/>
          <w:b/>
        </w:rPr>
      </w:pPr>
      <w:r>
        <w:rPr>
          <w:rFonts w:ascii="Times New Roman" w:hAnsi="Times New Roman" w:cs="Times New Roman"/>
          <w:b/>
          <w:color w:val="000000"/>
        </w:rPr>
        <w:t xml:space="preserve">DECLARAÇÃO  REF. </w:t>
      </w:r>
      <w:r>
        <w:rPr>
          <w:rFonts w:ascii="Times New Roman" w:hAnsi="Times New Roman" w:eastAsia="Times New Roman" w:cs="Times New Roman"/>
          <w:b/>
        </w:rPr>
        <w:t>ARTIGO  9º, § 1º, DA LEI FEDERAL Nº 14.133/2021</w:t>
      </w:r>
    </w:p>
    <w:p w14:paraId="58E1C886">
      <w:pPr>
        <w:spacing w:line="360" w:lineRule="auto"/>
        <w:ind w:right="-285" w:firstLine="142"/>
        <w:jc w:val="both"/>
        <w:rPr>
          <w:sz w:val="24"/>
          <w:szCs w:val="24"/>
        </w:rPr>
      </w:pPr>
    </w:p>
    <w:p w14:paraId="68D69372">
      <w:pPr>
        <w:spacing w:line="360" w:lineRule="auto"/>
        <w:ind w:right="-285" w:firstLine="142"/>
        <w:jc w:val="both"/>
        <w:rPr>
          <w:sz w:val="24"/>
          <w:szCs w:val="24"/>
        </w:rPr>
      </w:pPr>
      <w:r>
        <w:rPr>
          <w:sz w:val="24"/>
          <w:szCs w:val="24"/>
        </w:rPr>
        <w:t>(em papel timbrado da empresa)</w:t>
      </w:r>
    </w:p>
    <w:p w14:paraId="0AE3634B">
      <w:pPr>
        <w:spacing w:line="360" w:lineRule="auto"/>
        <w:ind w:right="-285" w:firstLine="142"/>
        <w:jc w:val="both"/>
        <w:rPr>
          <w:sz w:val="24"/>
          <w:szCs w:val="24"/>
        </w:rPr>
      </w:pPr>
    </w:p>
    <w:p w14:paraId="5064F6C8">
      <w:pPr>
        <w:spacing w:line="360" w:lineRule="auto"/>
        <w:ind w:right="-285" w:firstLine="142"/>
        <w:jc w:val="both"/>
        <w:rPr>
          <w:sz w:val="24"/>
          <w:szCs w:val="24"/>
        </w:rPr>
      </w:pPr>
      <w:r>
        <w:rPr>
          <w:i/>
          <w:sz w:val="24"/>
          <w:szCs w:val="24"/>
        </w:rPr>
        <w:t>[denominação/razão social da sociedade empresarial]</w:t>
      </w:r>
    </w:p>
    <w:p w14:paraId="4C5C3BE2">
      <w:pPr>
        <w:tabs>
          <w:tab w:val="left" w:pos="5980"/>
        </w:tabs>
        <w:spacing w:line="360" w:lineRule="auto"/>
        <w:ind w:right="-285" w:firstLine="142"/>
        <w:jc w:val="both"/>
        <w:rPr>
          <w:sz w:val="24"/>
          <w:szCs w:val="24"/>
        </w:rPr>
      </w:pPr>
      <w:r>
        <w:rPr>
          <w:sz w:val="24"/>
          <w:szCs w:val="24"/>
        </w:rPr>
        <w:t>Cadastro Nacional de Pessoas Jurídicas – CNPJ n°____________.</w:t>
      </w:r>
    </w:p>
    <w:p w14:paraId="09723628">
      <w:pPr>
        <w:spacing w:line="360" w:lineRule="auto"/>
        <w:ind w:right="-285" w:firstLine="142"/>
        <w:jc w:val="both"/>
        <w:rPr>
          <w:i/>
          <w:sz w:val="24"/>
          <w:szCs w:val="24"/>
        </w:rPr>
      </w:pPr>
      <w:r>
        <w:rPr>
          <w:i/>
          <w:sz w:val="24"/>
          <w:szCs w:val="24"/>
        </w:rPr>
        <w:t>[endereço da sociedade empresarial]</w:t>
      </w:r>
    </w:p>
    <w:p w14:paraId="7D9442F7">
      <w:pPr>
        <w:spacing w:line="360" w:lineRule="auto"/>
        <w:ind w:right="-285" w:firstLine="142"/>
        <w:jc w:val="both"/>
        <w:rPr>
          <w:sz w:val="24"/>
          <w:szCs w:val="24"/>
        </w:rPr>
      </w:pPr>
    </w:p>
    <w:p w14:paraId="3BDA04E7">
      <w:pPr>
        <w:spacing w:line="360" w:lineRule="auto"/>
        <w:ind w:right="-285" w:firstLine="142"/>
        <w:jc w:val="both"/>
        <w:rPr>
          <w:sz w:val="24"/>
          <w:szCs w:val="24"/>
        </w:rPr>
      </w:pPr>
      <w:r>
        <w:rPr>
          <w:sz w:val="24"/>
          <w:szCs w:val="24"/>
        </w:rPr>
        <w:t>DECLARAMOS, sob as penalidades cabíveis, que não participam dos nossos quadros funcionais, profissional que tenha ocupado cargo integrante dos 1º e 2º escalões da Administração Direta ou Indireta do Município, nos últimos 12 (doze) meses.</w:t>
      </w:r>
    </w:p>
    <w:p w14:paraId="35FADF78">
      <w:pPr>
        <w:spacing w:line="360" w:lineRule="auto"/>
        <w:ind w:right="-285" w:firstLine="142"/>
        <w:jc w:val="both"/>
        <w:rPr>
          <w:sz w:val="24"/>
          <w:szCs w:val="24"/>
        </w:rPr>
      </w:pPr>
      <w:r>
        <w:rPr>
          <w:sz w:val="24"/>
          <w:szCs w:val="24"/>
        </w:rP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w:t>
      </w:r>
    </w:p>
    <w:p w14:paraId="745BD85B">
      <w:pPr>
        <w:spacing w:line="360" w:lineRule="auto"/>
        <w:ind w:right="-285" w:firstLine="142"/>
        <w:jc w:val="both"/>
        <w:rPr>
          <w:sz w:val="24"/>
          <w:szCs w:val="24"/>
        </w:rPr>
      </w:pPr>
      <w:r>
        <w:rPr>
          <w:sz w:val="24"/>
          <w:szCs w:val="24"/>
        </w:rP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14:paraId="02880C21">
      <w:pPr>
        <w:spacing w:line="360" w:lineRule="auto"/>
        <w:ind w:right="-285" w:firstLine="142"/>
        <w:jc w:val="center"/>
        <w:rPr>
          <w:sz w:val="24"/>
          <w:szCs w:val="24"/>
        </w:rPr>
      </w:pPr>
      <w:r>
        <w:rPr>
          <w:sz w:val="24"/>
          <w:szCs w:val="24"/>
        </w:rPr>
        <w:t>Valença, _____ de ___________________de _______.</w:t>
      </w:r>
    </w:p>
    <w:p w14:paraId="38460536">
      <w:pPr>
        <w:spacing w:line="360" w:lineRule="auto"/>
        <w:ind w:right="-285" w:firstLine="142"/>
        <w:jc w:val="center"/>
        <w:rPr>
          <w:sz w:val="24"/>
          <w:szCs w:val="24"/>
        </w:rPr>
      </w:pPr>
      <w:r>
        <w:rPr>
          <w:sz w:val="24"/>
          <w:szCs w:val="24"/>
        </w:rPr>
        <w:t>_____________________________________________________</w:t>
      </w:r>
    </w:p>
    <w:p w14:paraId="7142BD70">
      <w:pPr>
        <w:pStyle w:val="15"/>
        <w:ind w:right="-284" w:firstLine="142"/>
        <w:jc w:val="center"/>
        <w:rPr>
          <w:rFonts w:ascii="Times New Roman" w:hAnsi="Times New Roman" w:cs="Times New Roman"/>
        </w:rPr>
      </w:pPr>
      <w:r>
        <w:rPr>
          <w:rFonts w:ascii="Times New Roman" w:hAnsi="Times New Roman" w:cs="Times New Roman"/>
        </w:rPr>
        <w:t>CONTRATADA</w:t>
      </w:r>
    </w:p>
    <w:p w14:paraId="286A53D8">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121F5D83">
      <w:pPr>
        <w:pStyle w:val="15"/>
        <w:ind w:right="-284" w:firstLine="142"/>
        <w:jc w:val="center"/>
        <w:rPr>
          <w:rFonts w:ascii="Times New Roman" w:hAnsi="Times New Roman" w:cs="Times New Roman"/>
        </w:rPr>
      </w:pPr>
      <w:r>
        <w:rPr>
          <w:rFonts w:ascii="Times New Roman" w:hAnsi="Times New Roman" w:cs="Times New Roman"/>
        </w:rPr>
        <w:t>(Nome, cargo e carimbo da empresa)</w:t>
      </w:r>
    </w:p>
    <w:p w14:paraId="69B4092A">
      <w:pPr>
        <w:pStyle w:val="15"/>
        <w:ind w:right="-284"/>
        <w:rPr>
          <w:rFonts w:ascii="Times New Roman" w:hAnsi="Times New Roman" w:cs="Times New Roman"/>
        </w:rPr>
      </w:pPr>
    </w:p>
    <w:p w14:paraId="6E682EDB">
      <w:pPr>
        <w:pStyle w:val="15"/>
        <w:ind w:right="-284" w:firstLine="142"/>
        <w:jc w:val="center"/>
        <w:rPr>
          <w:rFonts w:ascii="Times New Roman" w:hAnsi="Times New Roman" w:cs="Times New Roman"/>
        </w:rPr>
      </w:pPr>
    </w:p>
    <w:p w14:paraId="13BDC093">
      <w:pPr>
        <w:pStyle w:val="15"/>
        <w:ind w:right="-284" w:firstLine="142"/>
        <w:jc w:val="center"/>
        <w:rPr>
          <w:rFonts w:ascii="Times New Roman" w:hAnsi="Times New Roman" w:cs="Times New Roman"/>
          <w:b/>
        </w:rPr>
      </w:pPr>
    </w:p>
    <w:p w14:paraId="0A2AC787">
      <w:pPr>
        <w:pStyle w:val="15"/>
        <w:ind w:right="-284" w:firstLine="142"/>
        <w:jc w:val="center"/>
        <w:rPr>
          <w:rFonts w:ascii="Times New Roman" w:hAnsi="Times New Roman" w:cs="Times New Roman"/>
          <w:b/>
        </w:rPr>
      </w:pPr>
      <w:r>
        <w:rPr>
          <w:rFonts w:ascii="Times New Roman" w:hAnsi="Times New Roman" w:cs="Times New Roman"/>
          <w:b/>
        </w:rPr>
        <w:t>DECLARAÇÃO REF. AO ARTIGO 68, DA LEI FEDERAL Nº 14.133/2021</w:t>
      </w:r>
    </w:p>
    <w:p w14:paraId="26354B47">
      <w:pPr>
        <w:pStyle w:val="42"/>
        <w:rPr>
          <w:rFonts w:ascii="Times New Roman" w:hAnsi="Times New Roman" w:cs="Times New Roman"/>
        </w:rPr>
      </w:pPr>
    </w:p>
    <w:p w14:paraId="6595B656">
      <w:pPr>
        <w:pStyle w:val="42"/>
        <w:rPr>
          <w:rFonts w:ascii="Times New Roman" w:hAnsi="Times New Roman" w:cs="Times New Roman"/>
        </w:rPr>
      </w:pPr>
      <w:r>
        <w:rPr>
          <w:rFonts w:ascii="Times New Roman" w:hAnsi="Times New Roman" w:cs="Times New Roman"/>
        </w:rPr>
        <w:t>(em papel timbrado da empresa)</w:t>
      </w:r>
    </w:p>
    <w:p w14:paraId="3B80EF63">
      <w:pPr>
        <w:pStyle w:val="42"/>
        <w:rPr>
          <w:rFonts w:ascii="Times New Roman" w:hAnsi="Times New Roman" w:cs="Times New Roman"/>
        </w:rPr>
      </w:pPr>
    </w:p>
    <w:p w14:paraId="5C6C8341">
      <w:pPr>
        <w:pStyle w:val="42"/>
        <w:rPr>
          <w:rFonts w:ascii="Times New Roman" w:hAnsi="Times New Roman" w:cs="Times New Roman"/>
        </w:rPr>
      </w:pPr>
    </w:p>
    <w:p w14:paraId="49F429BB">
      <w:pPr>
        <w:pStyle w:val="42"/>
        <w:rPr>
          <w:rFonts w:ascii="Times New Roman" w:hAnsi="Times New Roman" w:cs="Times New Roman"/>
        </w:rPr>
      </w:pPr>
      <w:r>
        <w:rPr>
          <w:rFonts w:ascii="Times New Roman" w:hAnsi="Times New Roman" w:cs="Times New Roman"/>
        </w:rPr>
        <w:t>____________________________________ [</w:t>
      </w:r>
      <w:r>
        <w:rPr>
          <w:rFonts w:ascii="Times New Roman" w:hAnsi="Times New Roman" w:cs="Times New Roman"/>
          <w:i/>
        </w:rPr>
        <w:t>órgão ou entidade licitante</w:t>
      </w:r>
      <w:r>
        <w:rPr>
          <w:rFonts w:ascii="Times New Roman" w:hAnsi="Times New Roman" w:cs="Times New Roman"/>
        </w:rPr>
        <w:t>] Ref. Licitação n° ___/____ ________________________________________ [</w:t>
      </w:r>
      <w:r>
        <w:rPr>
          <w:rFonts w:ascii="Times New Roman" w:hAnsi="Times New Roman" w:cs="Times New Roman"/>
          <w:i/>
        </w:rPr>
        <w:t>denominação/razão social da sociedade empresarial</w:t>
      </w:r>
      <w:r>
        <w:rPr>
          <w:rFonts w:ascii="Times New Roman" w:hAnsi="Times New Roman" w:cs="Times New Roman"/>
        </w:rPr>
        <w:t>], inscrita no Cadastro Nacional de Pessoas Jurídicas – CNPJ sob o n° __________________, por intermédio do seu(sua)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14:paraId="36F1D1F6">
      <w:pPr>
        <w:pStyle w:val="42"/>
        <w:rPr>
          <w:rFonts w:ascii="Times New Roman" w:hAnsi="Times New Roman" w:cs="Times New Roman"/>
        </w:rPr>
      </w:pPr>
    </w:p>
    <w:p w14:paraId="76109AD6">
      <w:pPr>
        <w:pStyle w:val="42"/>
        <w:rPr>
          <w:rFonts w:ascii="Times New Roman" w:hAnsi="Times New Roman" w:cs="Times New Roman"/>
        </w:rPr>
      </w:pPr>
      <w:r>
        <w:rPr>
          <w:rFonts w:ascii="Times New Roman" w:hAnsi="Times New Roman" w:cs="Times New Roman"/>
        </w:rPr>
        <w:t>Ressalva: (  ) Emprega menor, a partir de quatorze anos, na condição de aprendiz.</w:t>
      </w:r>
    </w:p>
    <w:p w14:paraId="76110717">
      <w:pPr>
        <w:pStyle w:val="42"/>
        <w:rPr>
          <w:rFonts w:ascii="Times New Roman" w:hAnsi="Times New Roman" w:cs="Times New Roman"/>
        </w:rPr>
      </w:pPr>
    </w:p>
    <w:p w14:paraId="0649E73C">
      <w:pPr>
        <w:pStyle w:val="42"/>
        <w:rPr>
          <w:rFonts w:ascii="Times New Roman" w:hAnsi="Times New Roman" w:cs="Times New Roman"/>
        </w:rPr>
      </w:pPr>
    </w:p>
    <w:p w14:paraId="5C388F3C">
      <w:pPr>
        <w:pStyle w:val="42"/>
        <w:rPr>
          <w:rFonts w:ascii="Times New Roman" w:hAnsi="Times New Roman" w:cs="Times New Roman"/>
        </w:rPr>
      </w:pPr>
    </w:p>
    <w:p w14:paraId="00DBD19C">
      <w:pPr>
        <w:pStyle w:val="15"/>
        <w:ind w:right="-284" w:firstLine="142"/>
        <w:jc w:val="center"/>
        <w:rPr>
          <w:rFonts w:ascii="Times New Roman" w:hAnsi="Times New Roman" w:cs="Times New Roman"/>
        </w:rPr>
      </w:pPr>
      <w:r>
        <w:rPr>
          <w:rFonts w:ascii="Times New Roman" w:hAnsi="Times New Roman" w:cs="Times New Roman"/>
        </w:rPr>
        <w:t>Valença, ______de ____________de _____.</w:t>
      </w:r>
    </w:p>
    <w:p w14:paraId="0C04F4DD">
      <w:pPr>
        <w:pStyle w:val="15"/>
        <w:ind w:right="-284" w:firstLine="142"/>
        <w:jc w:val="center"/>
        <w:rPr>
          <w:rFonts w:ascii="Times New Roman" w:hAnsi="Times New Roman" w:cs="Times New Roman"/>
        </w:rPr>
      </w:pPr>
    </w:p>
    <w:p w14:paraId="353275B0">
      <w:pPr>
        <w:pStyle w:val="15"/>
        <w:ind w:right="-284" w:firstLine="142"/>
        <w:jc w:val="center"/>
        <w:rPr>
          <w:rFonts w:ascii="Times New Roman" w:hAnsi="Times New Roman" w:cs="Times New Roman"/>
        </w:rPr>
      </w:pPr>
    </w:p>
    <w:p w14:paraId="6BD9B724">
      <w:pPr>
        <w:pStyle w:val="15"/>
        <w:spacing w:after="120"/>
        <w:ind w:right="-284" w:firstLine="142"/>
        <w:jc w:val="center"/>
        <w:rPr>
          <w:rFonts w:ascii="Times New Roman" w:hAnsi="Times New Roman" w:cs="Times New Roman"/>
        </w:rPr>
      </w:pPr>
      <w:r>
        <w:rPr>
          <w:rFonts w:ascii="Times New Roman" w:hAnsi="Times New Roman" w:cs="Times New Roman"/>
        </w:rPr>
        <w:t>_______________________________________________</w:t>
      </w:r>
    </w:p>
    <w:p w14:paraId="1A53CC3D">
      <w:pPr>
        <w:pStyle w:val="15"/>
        <w:ind w:right="-284" w:firstLine="142"/>
        <w:jc w:val="center"/>
        <w:rPr>
          <w:rFonts w:ascii="Times New Roman" w:hAnsi="Times New Roman" w:cs="Times New Roman"/>
        </w:rPr>
      </w:pPr>
      <w:r>
        <w:rPr>
          <w:rFonts w:ascii="Times New Roman" w:hAnsi="Times New Roman" w:cs="Times New Roman"/>
        </w:rPr>
        <w:t>CONTRATADA</w:t>
      </w:r>
    </w:p>
    <w:p w14:paraId="1BCF0E76">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716A9796">
      <w:pPr>
        <w:pStyle w:val="15"/>
        <w:ind w:right="-284" w:firstLine="142"/>
        <w:jc w:val="center"/>
        <w:rPr>
          <w:rFonts w:ascii="Times New Roman" w:hAnsi="Times New Roman" w:cs="Times New Roman"/>
        </w:rPr>
      </w:pPr>
      <w:r>
        <w:rPr>
          <w:rFonts w:ascii="Times New Roman" w:hAnsi="Times New Roman" w:cs="Times New Roman"/>
        </w:rPr>
        <w:t>(Nome, cargo e carimbo da empresa)</w:t>
      </w:r>
    </w:p>
    <w:p w14:paraId="070FEE30">
      <w:pPr>
        <w:pStyle w:val="15"/>
        <w:spacing w:line="360" w:lineRule="auto"/>
        <w:ind w:right="-285"/>
        <w:rPr>
          <w:rFonts w:ascii="Times New Roman" w:hAnsi="Times New Roman" w:cs="Times New Roman"/>
          <w:b/>
        </w:rPr>
      </w:pPr>
    </w:p>
    <w:p w14:paraId="651B164F">
      <w:pPr>
        <w:rPr>
          <w:sz w:val="24"/>
          <w:szCs w:val="24"/>
        </w:rPr>
      </w:pPr>
    </w:p>
    <w:p w14:paraId="26548D4A">
      <w:pPr>
        <w:spacing w:line="360" w:lineRule="auto"/>
        <w:ind w:right="-285" w:firstLine="142"/>
        <w:jc w:val="center"/>
        <w:rPr>
          <w:b/>
          <w:sz w:val="24"/>
          <w:szCs w:val="24"/>
        </w:rPr>
      </w:pPr>
      <w:r>
        <w:rPr>
          <w:b/>
          <w:sz w:val="24"/>
          <w:szCs w:val="24"/>
        </w:rPr>
        <w:t>DECLARAÇÃO PARA FINS DE HABILITAÇÃO ECONÔMICO–FINANCEIRA –ART. 63, § 1º, DA LEI FEDERAL Nº 14.133/2021</w:t>
      </w:r>
    </w:p>
    <w:p w14:paraId="14BD06BC">
      <w:pPr>
        <w:pStyle w:val="42"/>
        <w:rPr>
          <w:rFonts w:ascii="Times New Roman" w:hAnsi="Times New Roman" w:cs="Times New Roman"/>
        </w:rPr>
      </w:pPr>
    </w:p>
    <w:p w14:paraId="32B80C46">
      <w:pPr>
        <w:spacing w:line="360" w:lineRule="auto"/>
        <w:ind w:right="-285" w:firstLine="142"/>
        <w:jc w:val="both"/>
        <w:rPr>
          <w:sz w:val="24"/>
          <w:szCs w:val="24"/>
        </w:rPr>
      </w:pPr>
      <w:r>
        <w:rPr>
          <w:sz w:val="24"/>
          <w:szCs w:val="24"/>
        </w:rPr>
        <w:t>(em papel timbrado da empresa)</w:t>
      </w:r>
    </w:p>
    <w:p w14:paraId="59BBB930">
      <w:pPr>
        <w:spacing w:line="360" w:lineRule="auto"/>
        <w:ind w:right="-285" w:firstLine="142"/>
        <w:jc w:val="both"/>
        <w:rPr>
          <w:sz w:val="24"/>
          <w:szCs w:val="24"/>
        </w:rPr>
      </w:pPr>
    </w:p>
    <w:p w14:paraId="11BC4586">
      <w:pPr>
        <w:spacing w:line="360" w:lineRule="auto"/>
        <w:ind w:right="-285" w:firstLine="142"/>
        <w:jc w:val="both"/>
        <w:rPr>
          <w:sz w:val="24"/>
          <w:szCs w:val="24"/>
        </w:rPr>
      </w:pPr>
      <w:r>
        <w:rPr>
          <w:i/>
          <w:sz w:val="24"/>
          <w:szCs w:val="24"/>
        </w:rPr>
        <w:t>[denominação/razão social da sociedade empresarial]</w:t>
      </w:r>
    </w:p>
    <w:p w14:paraId="7EC3EC69">
      <w:pPr>
        <w:tabs>
          <w:tab w:val="left" w:pos="5980"/>
        </w:tabs>
        <w:spacing w:line="360" w:lineRule="auto"/>
        <w:ind w:right="-285" w:firstLine="142"/>
        <w:jc w:val="both"/>
        <w:rPr>
          <w:sz w:val="24"/>
          <w:szCs w:val="24"/>
        </w:rPr>
      </w:pPr>
      <w:r>
        <w:rPr>
          <w:sz w:val="24"/>
          <w:szCs w:val="24"/>
        </w:rPr>
        <w:t>Cadastro Nacional de Pessoas Jurídicas – CNPJ n°____________.</w:t>
      </w:r>
    </w:p>
    <w:p w14:paraId="3D5163F8">
      <w:pPr>
        <w:spacing w:line="360" w:lineRule="auto"/>
        <w:ind w:right="-285" w:firstLine="142"/>
        <w:jc w:val="both"/>
        <w:rPr>
          <w:i/>
          <w:sz w:val="24"/>
          <w:szCs w:val="24"/>
        </w:rPr>
      </w:pPr>
      <w:r>
        <w:rPr>
          <w:i/>
          <w:sz w:val="24"/>
          <w:szCs w:val="24"/>
        </w:rPr>
        <w:t>[endereço da sociedade empresarial]</w:t>
      </w:r>
    </w:p>
    <w:p w14:paraId="7674E341">
      <w:pPr>
        <w:spacing w:line="360" w:lineRule="auto"/>
        <w:ind w:right="-285" w:firstLine="142"/>
        <w:jc w:val="both"/>
        <w:rPr>
          <w:sz w:val="24"/>
          <w:szCs w:val="24"/>
        </w:rPr>
      </w:pPr>
    </w:p>
    <w:p w14:paraId="7D3F1D5C">
      <w:pPr>
        <w:spacing w:line="360" w:lineRule="auto"/>
        <w:ind w:right="-285" w:firstLine="142"/>
        <w:jc w:val="both"/>
        <w:rPr>
          <w:sz w:val="24"/>
          <w:szCs w:val="24"/>
        </w:rPr>
      </w:pPr>
      <w:r>
        <w:rPr>
          <w:sz w:val="24"/>
          <w:szCs w:val="24"/>
        </w:rP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9565039">
      <w:pPr>
        <w:spacing w:line="360" w:lineRule="auto"/>
        <w:ind w:right="-285" w:firstLine="142"/>
        <w:jc w:val="both"/>
        <w:rPr>
          <w:sz w:val="24"/>
          <w:szCs w:val="24"/>
        </w:rPr>
      </w:pPr>
    </w:p>
    <w:p w14:paraId="7F509A02">
      <w:pPr>
        <w:spacing w:line="360" w:lineRule="auto"/>
        <w:ind w:right="-285" w:firstLine="142"/>
        <w:jc w:val="center"/>
        <w:rPr>
          <w:sz w:val="24"/>
          <w:szCs w:val="24"/>
        </w:rPr>
      </w:pPr>
      <w:r>
        <w:rPr>
          <w:sz w:val="24"/>
          <w:szCs w:val="24"/>
        </w:rPr>
        <w:t>Valença, _____ de ___________________de _______.</w:t>
      </w:r>
    </w:p>
    <w:p w14:paraId="52312FF1">
      <w:pPr>
        <w:spacing w:line="360" w:lineRule="auto"/>
        <w:ind w:right="-285" w:firstLine="142"/>
        <w:jc w:val="both"/>
        <w:rPr>
          <w:sz w:val="24"/>
          <w:szCs w:val="24"/>
        </w:rPr>
      </w:pPr>
    </w:p>
    <w:p w14:paraId="44091C13">
      <w:pPr>
        <w:ind w:right="-284" w:firstLine="142"/>
        <w:jc w:val="center"/>
        <w:rPr>
          <w:sz w:val="24"/>
          <w:szCs w:val="24"/>
        </w:rPr>
      </w:pPr>
      <w:r>
        <w:rPr>
          <w:sz w:val="24"/>
          <w:szCs w:val="24"/>
        </w:rPr>
        <w:t>______________________________________________________</w:t>
      </w:r>
    </w:p>
    <w:p w14:paraId="2C86D17B">
      <w:pPr>
        <w:pStyle w:val="15"/>
        <w:ind w:right="-284" w:firstLine="142"/>
        <w:jc w:val="center"/>
        <w:rPr>
          <w:rFonts w:ascii="Times New Roman" w:hAnsi="Times New Roman" w:cs="Times New Roman"/>
        </w:rPr>
      </w:pPr>
      <w:r>
        <w:rPr>
          <w:rFonts w:ascii="Times New Roman" w:hAnsi="Times New Roman" w:cs="Times New Roman"/>
        </w:rPr>
        <w:t>CONTRATADA</w:t>
      </w:r>
    </w:p>
    <w:p w14:paraId="4B1F2796">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06022D5B">
      <w:pPr>
        <w:pStyle w:val="15"/>
        <w:ind w:right="-284" w:firstLine="142"/>
        <w:jc w:val="center"/>
        <w:rPr>
          <w:rFonts w:ascii="Times New Roman" w:hAnsi="Times New Roman" w:cs="Times New Roman"/>
        </w:rPr>
      </w:pPr>
      <w:r>
        <w:rPr>
          <w:rFonts w:ascii="Times New Roman" w:hAnsi="Times New Roman" w:cs="Times New Roman"/>
        </w:rPr>
        <w:t>(Nome, cargo e carimbo da empresa)</w:t>
      </w:r>
    </w:p>
    <w:p w14:paraId="427BEB68">
      <w:pPr>
        <w:pStyle w:val="15"/>
        <w:ind w:right="-284" w:firstLine="142"/>
        <w:jc w:val="center"/>
        <w:rPr>
          <w:rFonts w:ascii="Times New Roman" w:hAnsi="Times New Roman" w:cs="Times New Roman"/>
        </w:rPr>
      </w:pPr>
    </w:p>
    <w:p w14:paraId="49AA916C">
      <w:pPr>
        <w:pStyle w:val="42"/>
        <w:rPr>
          <w:rFonts w:ascii="Times New Roman" w:hAnsi="Times New Roman" w:cs="Times New Roman"/>
        </w:rPr>
      </w:pPr>
    </w:p>
    <w:p w14:paraId="363B7077">
      <w:pPr>
        <w:spacing w:line="360" w:lineRule="auto"/>
        <w:ind w:right="-285" w:firstLine="142"/>
        <w:jc w:val="center"/>
        <w:rPr>
          <w:sz w:val="24"/>
          <w:szCs w:val="24"/>
        </w:rPr>
      </w:pPr>
      <w:r>
        <w:rPr>
          <w:b/>
          <w:bCs/>
          <w:sz w:val="24"/>
          <w:szCs w:val="24"/>
        </w:rPr>
        <w:t>DECLARAÇÃO DE CUMPRIMENTO DE RESERVA DE CARGOS DO ART. 63, IV, DA LEI FEDERAL Nº 14.133/2021</w:t>
      </w:r>
    </w:p>
    <w:p w14:paraId="21564D77">
      <w:pPr>
        <w:spacing w:line="360" w:lineRule="auto"/>
        <w:ind w:right="-285" w:firstLine="142"/>
        <w:jc w:val="both"/>
        <w:rPr>
          <w:sz w:val="24"/>
          <w:szCs w:val="24"/>
        </w:rPr>
      </w:pPr>
      <w:r>
        <w:rPr>
          <w:sz w:val="24"/>
          <w:szCs w:val="24"/>
        </w:rPr>
        <w:t>(em papel timbrado da empresa)</w:t>
      </w:r>
    </w:p>
    <w:p w14:paraId="06E6859B">
      <w:pPr>
        <w:spacing w:line="360" w:lineRule="auto"/>
        <w:ind w:right="-285" w:firstLine="142"/>
        <w:jc w:val="both"/>
        <w:rPr>
          <w:sz w:val="24"/>
          <w:szCs w:val="24"/>
        </w:rPr>
      </w:pPr>
    </w:p>
    <w:p w14:paraId="54A047B3">
      <w:pPr>
        <w:spacing w:line="360" w:lineRule="auto"/>
        <w:ind w:right="-285" w:firstLine="142"/>
        <w:jc w:val="both"/>
        <w:rPr>
          <w:sz w:val="24"/>
          <w:szCs w:val="24"/>
        </w:rPr>
      </w:pPr>
      <w:r>
        <w:rPr>
          <w:i/>
          <w:sz w:val="24"/>
          <w:szCs w:val="24"/>
        </w:rPr>
        <w:t>[denominação/razão social da sociedade empresarial]</w:t>
      </w:r>
    </w:p>
    <w:p w14:paraId="23EB874E">
      <w:pPr>
        <w:tabs>
          <w:tab w:val="left" w:pos="5980"/>
        </w:tabs>
        <w:spacing w:line="360" w:lineRule="auto"/>
        <w:ind w:right="-285" w:firstLine="142"/>
        <w:jc w:val="both"/>
        <w:rPr>
          <w:sz w:val="24"/>
          <w:szCs w:val="24"/>
        </w:rPr>
      </w:pPr>
      <w:r>
        <w:rPr>
          <w:sz w:val="24"/>
          <w:szCs w:val="24"/>
        </w:rPr>
        <w:t>Cadastro Nacional de Pessoas Jurídicas – CNPJ n°____________.</w:t>
      </w:r>
    </w:p>
    <w:p w14:paraId="1DB276AE">
      <w:pPr>
        <w:spacing w:line="360" w:lineRule="auto"/>
        <w:ind w:right="-285" w:firstLine="142"/>
        <w:jc w:val="both"/>
        <w:rPr>
          <w:i/>
          <w:sz w:val="24"/>
          <w:szCs w:val="24"/>
        </w:rPr>
      </w:pPr>
      <w:r>
        <w:rPr>
          <w:i/>
          <w:sz w:val="24"/>
          <w:szCs w:val="24"/>
        </w:rPr>
        <w:t>[endereço da sociedade empresarial]</w:t>
      </w:r>
    </w:p>
    <w:p w14:paraId="627FC5A7">
      <w:pPr>
        <w:spacing w:line="360" w:lineRule="auto"/>
        <w:ind w:right="-285" w:firstLine="142"/>
        <w:jc w:val="both"/>
        <w:rPr>
          <w:sz w:val="24"/>
          <w:szCs w:val="24"/>
        </w:rPr>
      </w:pPr>
    </w:p>
    <w:p w14:paraId="5ACE8CB4">
      <w:pPr>
        <w:spacing w:line="360" w:lineRule="auto"/>
        <w:ind w:right="-285" w:firstLine="142"/>
        <w:jc w:val="both"/>
        <w:rPr>
          <w:sz w:val="24"/>
          <w:szCs w:val="24"/>
        </w:rPr>
      </w:pPr>
      <w:r>
        <w:rPr>
          <w:sz w:val="24"/>
          <w:szCs w:val="24"/>
        </w:rPr>
        <w:t>Considerando o disposto no inciso IV do art. 63 da Lei Federal nº 14.133/2021, DECLARAMOS que cumprimos as exigências de reserva de cargos para pessoa com deficiência e para reabilitado da Previdência Social, previstas em lei e em outras normas específicas.</w:t>
      </w:r>
    </w:p>
    <w:p w14:paraId="40F8CAF4">
      <w:pPr>
        <w:spacing w:line="360" w:lineRule="auto"/>
        <w:ind w:right="-285" w:firstLine="142"/>
        <w:jc w:val="both"/>
        <w:rPr>
          <w:sz w:val="24"/>
          <w:szCs w:val="24"/>
        </w:rPr>
      </w:pPr>
    </w:p>
    <w:p w14:paraId="238ECC42">
      <w:pPr>
        <w:spacing w:line="360" w:lineRule="auto"/>
        <w:ind w:right="-285" w:firstLine="142"/>
        <w:jc w:val="center"/>
        <w:rPr>
          <w:sz w:val="24"/>
          <w:szCs w:val="24"/>
        </w:rPr>
      </w:pPr>
      <w:r>
        <w:rPr>
          <w:sz w:val="24"/>
          <w:szCs w:val="24"/>
        </w:rPr>
        <w:t>Valença, _____ de ___________________de _______.</w:t>
      </w:r>
    </w:p>
    <w:p w14:paraId="383EBCBF">
      <w:pPr>
        <w:spacing w:line="360" w:lineRule="auto"/>
        <w:ind w:right="-285" w:firstLine="142"/>
        <w:jc w:val="both"/>
        <w:rPr>
          <w:sz w:val="24"/>
          <w:szCs w:val="24"/>
        </w:rPr>
      </w:pPr>
    </w:p>
    <w:p w14:paraId="59DBAAC6">
      <w:pPr>
        <w:ind w:right="-284" w:firstLine="142"/>
        <w:jc w:val="center"/>
        <w:rPr>
          <w:sz w:val="24"/>
          <w:szCs w:val="24"/>
        </w:rPr>
      </w:pPr>
      <w:r>
        <w:rPr>
          <w:sz w:val="24"/>
          <w:szCs w:val="24"/>
        </w:rPr>
        <w:t>______________________________________________________</w:t>
      </w:r>
    </w:p>
    <w:p w14:paraId="5B336165">
      <w:pPr>
        <w:pStyle w:val="15"/>
        <w:ind w:right="-284" w:firstLine="142"/>
        <w:jc w:val="center"/>
        <w:rPr>
          <w:rFonts w:ascii="Times New Roman" w:hAnsi="Times New Roman" w:cs="Times New Roman"/>
        </w:rPr>
      </w:pPr>
      <w:r>
        <w:rPr>
          <w:rFonts w:ascii="Times New Roman" w:hAnsi="Times New Roman" w:cs="Times New Roman"/>
        </w:rPr>
        <w:t>CONTRATADA</w:t>
      </w:r>
    </w:p>
    <w:p w14:paraId="5D2C3602">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5D0FE830">
      <w:pPr>
        <w:pStyle w:val="15"/>
        <w:ind w:right="-284" w:firstLine="142"/>
        <w:jc w:val="center"/>
        <w:rPr>
          <w:rFonts w:ascii="Times New Roman" w:hAnsi="Times New Roman" w:cs="Times New Roman"/>
        </w:rPr>
      </w:pPr>
      <w:r>
        <w:rPr>
          <w:rFonts w:ascii="Times New Roman" w:hAnsi="Times New Roman" w:cs="Times New Roman"/>
        </w:rPr>
        <w:t>(Nome, cargo e carimbo da empresa)</w:t>
      </w:r>
    </w:p>
    <w:sectPr>
      <w:headerReference r:id="rId3" w:type="default"/>
      <w:footerReference r:id="rId4" w:type="default"/>
      <w:pgSz w:w="11900" w:h="16820"/>
      <w:pgMar w:top="566" w:right="1552" w:bottom="314" w:left="1580" w:header="0" w:footer="49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ArialMT">
    <w:altName w:val="Times New Roman"/>
    <w:panose1 w:val="00000000000000000000"/>
    <w:charset w:val="00"/>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Minion Pro">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Century Gothic">
    <w:panose1 w:val="020B0502020202020204"/>
    <w:charset w:val="00"/>
    <w:family w:val="swiss"/>
    <w:pitch w:val="default"/>
    <w:sig w:usb0="00000287" w:usb1="00000000" w:usb2="00000000" w:usb3="00000000" w:csb0="2000009F" w:csb1="DFD7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modern"/>
    <w:pitch w:val="default"/>
    <w:sig w:usb0="00000000" w:usb1="00000000" w:usb2="08000012" w:usb3="00000000" w:csb0="0002009F" w:csb1="00000000"/>
  </w:font>
  <w:font w:name="MS Gothic">
    <w:panose1 w:val="020B0609070205080204"/>
    <w:charset w:val="80"/>
    <w:family w:val="auto"/>
    <w:pitch w:val="default"/>
    <w:sig w:usb0="E00002FF" w:usb1="6AC7FDFB" w:usb2="08000012" w:usb3="00000000" w:csb0="4002009F" w:csb1="DFD70000"/>
  </w:font>
  <w:font w:name="Ecofont_Spranq_eco_Sans">
    <w:altName w:val="Calibri"/>
    <w:panose1 w:val="00000000000000000000"/>
    <w:charset w:val="00"/>
    <w:family w:val="swiss"/>
    <w:pitch w:val="default"/>
    <w:sig w:usb0="00000000" w:usb1="00000000" w:usb2="00000000" w:usb3="00000000" w:csb0="00000001" w:csb1="00000000"/>
  </w:font>
  <w:font w:name="Arial Unicode MS">
    <w:altName w:val="Arial"/>
    <w:panose1 w:val="020B0604020202020204"/>
    <w:charset w:val="80"/>
    <w:family w:val="swiss"/>
    <w:pitch w:val="default"/>
    <w:sig w:usb0="00000000" w:usb1="00000000" w:usb2="0000003F" w:usb3="00000000" w:csb0="003F01FF" w:csb1="00000000"/>
  </w:font>
  <w:font w:name="WenQuanYi Micro Hei">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ohit Hindi">
    <w:altName w:val="Times New Roman"/>
    <w:panose1 w:val="00000000000000000000"/>
    <w:charset w:val="00"/>
    <w:family w:val="roman"/>
    <w:pitch w:val="default"/>
    <w:sig w:usb0="00000000" w:usb1="00000000" w:usb2="00000000" w:usb3="00000000" w:csb0="00000000" w:csb1="00000000"/>
  </w:font>
  <w:font w:name="Zurich BT">
    <w:altName w:val="Segoe Print"/>
    <w:panose1 w:val="00000000000000000000"/>
    <w:charset w:val="00"/>
    <w:family w:val="roman"/>
    <w:pitch w:val="default"/>
    <w:sig w:usb0="00000000" w:usb1="00000000" w:usb2="00000000" w:usb3="00000000" w:csb0="00000000" w:csb1="00000000"/>
  </w:font>
  <w:font w:name="Segoe UI Symbol">
    <w:panose1 w:val="020B0502040204020203"/>
    <w:charset w:val="00"/>
    <w:family w:val="swiss"/>
    <w:pitch w:val="default"/>
    <w:sig w:usb0="800001E3" w:usb1="1200FFEF" w:usb2="00040000" w:usb3="04000000" w:csb0="00000001" w:csb1="40000000"/>
  </w:font>
  <w:font w:name="Book Antiqua">
    <w:panose1 w:val="02040602050305030304"/>
    <w:charset w:val="00"/>
    <w:family w:val="roman"/>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90AB87">
    <w:pPr>
      <w:pStyle w:val="23"/>
      <w:jc w:val="right"/>
    </w:pPr>
    <w:r>
      <w:rPr>
        <w:color w:val="4F81BD" w:themeColor="accent1"/>
        <w14:textFill>
          <w14:solidFill>
            <w14:schemeClr w14:val="accent1"/>
          </w14:solidFill>
        </w14:textFill>
      </w:rPr>
      <w:t xml:space="preserve">pág. </w:t>
    </w:r>
    <w:r>
      <w:rPr>
        <w:color w:val="4F81BD" w:themeColor="accent1"/>
        <w14:textFill>
          <w14:solidFill>
            <w14:schemeClr w14:val="accent1"/>
          </w14:solidFill>
        </w14:textFill>
      </w:rPr>
      <w:fldChar w:fldCharType="begin"/>
    </w:r>
    <w:r>
      <w:rPr>
        <w:color w:val="4F81BD" w:themeColor="accent1"/>
        <w14:textFill>
          <w14:solidFill>
            <w14:schemeClr w14:val="accent1"/>
          </w14:solidFill>
        </w14:textFill>
      </w:rPr>
      <w:instrText xml:space="preserve">PAGE  \* Arabic</w:instrText>
    </w:r>
    <w:r>
      <w:rPr>
        <w:color w:val="4F81BD" w:themeColor="accent1"/>
        <w14:textFill>
          <w14:solidFill>
            <w14:schemeClr w14:val="accent1"/>
          </w14:solidFill>
        </w14:textFill>
      </w:rPr>
      <w:fldChar w:fldCharType="separate"/>
    </w:r>
    <w:r>
      <w:rPr>
        <w:color w:val="4F81BD" w:themeColor="accent1"/>
        <w14:textFill>
          <w14:solidFill>
            <w14:schemeClr w14:val="accent1"/>
          </w14:solidFill>
        </w14:textFill>
      </w:rPr>
      <w:t>106</w:t>
    </w:r>
    <w:r>
      <w:rPr>
        <w:color w:val="4F81BD" w:themeColor="accent1"/>
        <w14:textFill>
          <w14:solidFill>
            <w14:schemeClr w14:val="accent1"/>
          </w14:solidFill>
        </w14:textFill>
      </w:rPr>
      <w:fldChar w:fldCharType="end"/>
    </w:r>
  </w:p>
  <w:p w14:paraId="44DD60A9">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rPr>
        <w:color w:val="00000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335529">
    <w:pPr>
      <w:pStyle w:val="21"/>
      <w:tabs>
        <w:tab w:val="center" w:pos="2127"/>
      </w:tabs>
      <w:rPr>
        <w:rFonts w:ascii="Book Antiqua" w:hAnsi="Book Antiqua"/>
        <w:b/>
        <w:sz w:val="28"/>
        <w:szCs w:val="28"/>
      </w:rPr>
    </w:pPr>
    <w:r>
      <w:drawing>
        <wp:anchor distT="0" distB="0" distL="114300" distR="114300" simplePos="0" relativeHeight="251660288" behindDoc="1" locked="0" layoutInCell="1" allowOverlap="1">
          <wp:simplePos x="0" y="0"/>
          <wp:positionH relativeFrom="rightMargin">
            <wp:posOffset>-5745480</wp:posOffset>
          </wp:positionH>
          <wp:positionV relativeFrom="paragraph">
            <wp:posOffset>10160</wp:posOffset>
          </wp:positionV>
          <wp:extent cx="705485" cy="812165"/>
          <wp:effectExtent l="0" t="0" r="0" b="6985"/>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05485" cy="812165"/>
                  </a:xfrm>
                  <a:prstGeom prst="rect">
                    <a:avLst/>
                  </a:prstGeom>
                  <a:noFill/>
                </pic:spPr>
              </pic:pic>
            </a:graphicData>
          </a:graphic>
        </wp:anchor>
      </w:drawing>
    </w:r>
  </w:p>
  <w:p w14:paraId="1656DBB1">
    <w:pPr>
      <w:pStyle w:val="21"/>
      <w:tabs>
        <w:tab w:val="center" w:pos="2127"/>
      </w:tabs>
      <w:jc w:val="center"/>
      <w:rPr>
        <w:rFonts w:ascii="Book Antiqua" w:hAnsi="Book Antiqua"/>
        <w:b/>
        <w:sz w:val="28"/>
        <w:szCs w:val="28"/>
      </w:rPr>
    </w:pPr>
    <w:r>
      <w:rPr>
        <w:rFonts w:ascii="Book Antiqua" w:hAnsi="Book Antiqua"/>
        <w:b/>
        <w:sz w:val="28"/>
        <w:szCs w:val="28"/>
      </w:rPr>
      <w:t>ESTADO DO RIO DE JANEIRO</w:t>
    </w:r>
  </w:p>
  <w:p w14:paraId="1D36C7F4">
    <w:pPr>
      <w:pStyle w:val="21"/>
      <w:tabs>
        <w:tab w:val="center" w:pos="2127"/>
      </w:tabs>
      <w:jc w:val="center"/>
      <w:rPr>
        <w:rFonts w:ascii="Book Antiqua" w:hAnsi="Book Antiqua"/>
        <w:b/>
        <w:sz w:val="28"/>
        <w:szCs w:val="28"/>
      </w:rPr>
    </w:pPr>
    <w:r>
      <w:rPr>
        <w:rFonts w:ascii="Book Antiqua" w:hAnsi="Book Antiqua"/>
        <w:b/>
        <w:sz w:val="28"/>
        <w:szCs w:val="28"/>
      </w:rPr>
      <w:t>PREFEITURA MUNICIPAL DE VALENÇA</w:t>
    </w:r>
  </w:p>
  <w:p w14:paraId="59A1AD63">
    <w:pPr>
      <w:pStyle w:val="21"/>
      <w:tabs>
        <w:tab w:val="center" w:pos="2127"/>
      </w:tabs>
      <w:jc w:val="center"/>
      <w:rPr>
        <w:rFonts w:ascii="Book Antiqua" w:hAnsi="Book Antiqua"/>
        <w:b/>
        <w:sz w:val="28"/>
        <w:szCs w:val="28"/>
      </w:rPr>
    </w:pPr>
    <w:r>
      <w:rPr>
        <w:rFonts w:ascii="Book Antiqua" w:hAnsi="Book Antiqua"/>
        <w:b/>
        <w:sz w:val="28"/>
        <w:szCs w:val="28"/>
      </w:rPr>
      <w:t xml:space="preserve">  DEPARTAMENTO DE COMPRAS E LICITAÇÕES</w:t>
    </w:r>
  </w:p>
  <w:p w14:paraId="222092CA">
    <w:pPr>
      <w:widowControl w:val="0"/>
      <w:pBdr>
        <w:top w:val="none" w:color="auto" w:sz="0" w:space="0"/>
        <w:left w:val="none" w:color="auto" w:sz="0" w:space="0"/>
        <w:bottom w:val="none" w:color="auto" w:sz="0" w:space="0"/>
        <w:right w:val="none" w:color="auto" w:sz="0" w:space="0"/>
        <w:between w:val="none" w:color="auto" w:sz="0" w:space="0"/>
      </w:pBdr>
      <w:spacing w:line="276" w:lineRule="auto"/>
      <w:rPr>
        <w:sz w:val="24"/>
        <w:szCs w:val="24"/>
      </w:rPr>
    </w:pPr>
  </w:p>
  <w:tbl>
    <w:tblPr>
      <w:tblStyle w:val="41"/>
      <w:tblW w:w="10538" w:type="dxa"/>
      <w:tblInd w:w="-28" w:type="dxa"/>
      <w:tblLayout w:type="fixed"/>
      <w:tblCellMar>
        <w:top w:w="0" w:type="dxa"/>
        <w:left w:w="70" w:type="dxa"/>
        <w:bottom w:w="0" w:type="dxa"/>
        <w:right w:w="70" w:type="dxa"/>
      </w:tblCellMar>
    </w:tblPr>
    <w:tblGrid>
      <w:gridCol w:w="945"/>
      <w:gridCol w:w="9422"/>
      <w:gridCol w:w="171"/>
    </w:tblGrid>
    <w:tr w14:paraId="663B8DD8">
      <w:tblPrEx>
        <w:tblCellMar>
          <w:top w:w="0" w:type="dxa"/>
          <w:left w:w="70" w:type="dxa"/>
          <w:bottom w:w="0" w:type="dxa"/>
          <w:right w:w="70" w:type="dxa"/>
        </w:tblCellMar>
      </w:tblPrEx>
      <w:trPr>
        <w:cantSplit/>
        <w:trHeight w:val="192" w:hRule="atLeast"/>
      </w:trPr>
      <w:tc>
        <w:tcPr>
          <w:tcW w:w="945" w:type="dxa"/>
        </w:tcPr>
        <w:p w14:paraId="1047C079">
          <w:pPr>
            <w:pStyle w:val="21"/>
            <w:tabs>
              <w:tab w:val="center" w:pos="2127"/>
            </w:tabs>
            <w:jc w:val="center"/>
            <w:rPr>
              <w:rFonts w:ascii="Book Antiqua" w:hAnsi="Book Antiqua"/>
              <w:b/>
              <w:sz w:val="28"/>
              <w:szCs w:val="28"/>
            </w:rPr>
          </w:pPr>
        </w:p>
        <w:p w14:paraId="56AC137E">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color w:val="000000"/>
            </w:rPr>
          </w:pPr>
        </w:p>
      </w:tc>
      <w:tc>
        <w:tcPr>
          <w:tcW w:w="9422" w:type="dxa"/>
          <w:vAlign w:val="center"/>
        </w:tcPr>
        <w:p w14:paraId="49CC65AC">
          <w:pPr>
            <w:pStyle w:val="21"/>
            <w:tabs>
              <w:tab w:val="center" w:pos="2127"/>
            </w:tabs>
            <w:rPr>
              <w:rFonts w:ascii="Book Antiqua" w:hAnsi="Book Antiqua"/>
              <w:b/>
              <w:sz w:val="28"/>
              <w:szCs w:val="28"/>
            </w:rPr>
          </w:pPr>
        </w:p>
      </w:tc>
      <w:tc>
        <w:tcPr>
          <w:tcW w:w="171" w:type="dxa"/>
        </w:tcPr>
        <w:p w14:paraId="41654CAE">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b/>
              <w:color w:val="000000"/>
              <w:sz w:val="18"/>
              <w:szCs w:val="18"/>
            </w:rPr>
          </w:pPr>
        </w:p>
      </w:tc>
    </w:tr>
    <w:tr w14:paraId="136944EE">
      <w:tblPrEx>
        <w:tblCellMar>
          <w:top w:w="0" w:type="dxa"/>
          <w:left w:w="70" w:type="dxa"/>
          <w:bottom w:w="0" w:type="dxa"/>
          <w:right w:w="70" w:type="dxa"/>
        </w:tblCellMar>
      </w:tblPrEx>
      <w:trPr>
        <w:cantSplit/>
        <w:trHeight w:val="80" w:hRule="atLeast"/>
      </w:trPr>
      <w:tc>
        <w:tcPr>
          <w:tcW w:w="945" w:type="dxa"/>
          <w:tcBorders>
            <w:bottom w:val="single" w:color="000000" w:sz="4" w:space="0"/>
          </w:tcBorders>
        </w:tcPr>
        <w:p w14:paraId="15BD811F">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color w:val="000000"/>
              <w:sz w:val="24"/>
              <w:szCs w:val="24"/>
            </w:rPr>
          </w:pPr>
        </w:p>
      </w:tc>
      <w:tc>
        <w:tcPr>
          <w:tcW w:w="9422" w:type="dxa"/>
          <w:tcBorders>
            <w:bottom w:val="single" w:color="000000" w:sz="4" w:space="0"/>
          </w:tcBorders>
          <w:vAlign w:val="center"/>
        </w:tcPr>
        <w:p w14:paraId="220F3A16">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color w:val="000000"/>
              <w:sz w:val="24"/>
              <w:szCs w:val="24"/>
            </w:rPr>
          </w:pPr>
        </w:p>
      </w:tc>
      <w:tc>
        <w:tcPr>
          <w:tcW w:w="171" w:type="dxa"/>
          <w:tcBorders>
            <w:bottom w:val="single" w:color="000000" w:sz="4" w:space="0"/>
          </w:tcBorders>
        </w:tcPr>
        <w:p w14:paraId="3D341DD5">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b/>
              <w:color w:val="000000"/>
              <w:sz w:val="18"/>
              <w:szCs w:val="18"/>
            </w:rPr>
          </w:pPr>
        </w:p>
      </w:tc>
    </w:tr>
  </w:tbl>
  <w:p w14:paraId="48861C0D">
    <w:pPr>
      <w:pBdr>
        <w:top w:val="none" w:color="auto" w:sz="0" w:space="0"/>
        <w:left w:val="none" w:color="auto" w:sz="0" w:space="0"/>
        <w:bottom w:val="none" w:color="auto" w:sz="0" w:space="0"/>
        <w:right w:val="none" w:color="auto" w:sz="0" w:space="0"/>
        <w:between w:val="none" w:color="auto" w:sz="0" w:space="0"/>
      </w:pBdr>
      <w:tabs>
        <w:tab w:val="left" w:pos="2880"/>
        <w:tab w:val="center" w:pos="4419"/>
        <w:tab w:val="right" w:pos="8838"/>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28"/>
      <w:lvlText w:val=""/>
      <w:lvlJc w:val="left"/>
      <w:pPr>
        <w:tabs>
          <w:tab w:val="left" w:pos="360"/>
        </w:tabs>
        <w:ind w:left="360" w:hanging="360"/>
      </w:pPr>
      <w:rPr>
        <w:rFonts w:hint="default" w:ascii="Symbol" w:hAnsi="Symbol"/>
      </w:rPr>
    </w:lvl>
  </w:abstractNum>
  <w:abstractNum w:abstractNumId="1">
    <w:nsid w:val="067145A1"/>
    <w:multiLevelType w:val="multilevel"/>
    <w:tmpl w:val="067145A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
    <w:nsid w:val="079C263D"/>
    <w:multiLevelType w:val="multilevel"/>
    <w:tmpl w:val="079C263D"/>
    <w:lvl w:ilvl="0" w:tentative="0">
      <w:start w:val="7"/>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08863079"/>
    <w:multiLevelType w:val="multilevel"/>
    <w:tmpl w:val="0886307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
    <w:nsid w:val="0A81397C"/>
    <w:multiLevelType w:val="multilevel"/>
    <w:tmpl w:val="0A81397C"/>
    <w:lvl w:ilvl="0" w:tentative="0">
      <w:start w:val="1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0C3A3A83"/>
    <w:multiLevelType w:val="multilevel"/>
    <w:tmpl w:val="0C3A3A8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
    <w:nsid w:val="0C571DD1"/>
    <w:multiLevelType w:val="multilevel"/>
    <w:tmpl w:val="0C571DD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7">
    <w:nsid w:val="0D8C73D4"/>
    <w:multiLevelType w:val="multilevel"/>
    <w:tmpl w:val="0D8C73D4"/>
    <w:lvl w:ilvl="0" w:tentative="0">
      <w:start w:val="4"/>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0DD901CF"/>
    <w:multiLevelType w:val="multilevel"/>
    <w:tmpl w:val="0DD901C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9">
    <w:nsid w:val="11E949CC"/>
    <w:multiLevelType w:val="multilevel"/>
    <w:tmpl w:val="11E949CC"/>
    <w:lvl w:ilvl="0" w:tentative="0">
      <w:start w:val="13"/>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126153D0"/>
    <w:multiLevelType w:val="multilevel"/>
    <w:tmpl w:val="126153D0"/>
    <w:lvl w:ilvl="0" w:tentative="0">
      <w:start w:val="8"/>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13F54F43"/>
    <w:multiLevelType w:val="multilevel"/>
    <w:tmpl w:val="13F54F43"/>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14DA32CD"/>
    <w:multiLevelType w:val="multilevel"/>
    <w:tmpl w:val="14DA32CD"/>
    <w:lvl w:ilvl="0" w:tentative="0">
      <w:start w:val="1"/>
      <w:numFmt w:val="decimal"/>
      <w:lvlText w:val="%1."/>
      <w:lvlJc w:val="left"/>
      <w:pPr>
        <w:ind w:left="720" w:hanging="360"/>
      </w:pPr>
      <w:rPr>
        <w:rFonts w:hint="default"/>
      </w:rPr>
    </w:lvl>
    <w:lvl w:ilvl="1" w:tentative="0">
      <w:start w:val="2"/>
      <w:numFmt w:val="decimal"/>
      <w:isLgl/>
      <w:lvlText w:val="%1.%2"/>
      <w:lvlJc w:val="left"/>
      <w:pPr>
        <w:ind w:left="720"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13">
    <w:nsid w:val="15550DA4"/>
    <w:multiLevelType w:val="multilevel"/>
    <w:tmpl w:val="15550DA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4">
    <w:nsid w:val="16A14B99"/>
    <w:multiLevelType w:val="multilevel"/>
    <w:tmpl w:val="16A14B9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5">
    <w:nsid w:val="1A3F2B9F"/>
    <w:multiLevelType w:val="multilevel"/>
    <w:tmpl w:val="1A3F2B9F"/>
    <w:lvl w:ilvl="0" w:tentative="0">
      <w:start w:val="10"/>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6">
    <w:nsid w:val="1C67499C"/>
    <w:multiLevelType w:val="multilevel"/>
    <w:tmpl w:val="1C67499C"/>
    <w:lvl w:ilvl="0" w:tentative="0">
      <w:start w:val="1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7">
    <w:nsid w:val="1D5C100D"/>
    <w:multiLevelType w:val="multilevel"/>
    <w:tmpl w:val="1D5C100D"/>
    <w:lvl w:ilvl="0" w:tentative="0">
      <w:start w:val="3"/>
      <w:numFmt w:val="decimal"/>
      <w:pStyle w:val="90"/>
      <w:lvlText w:val="%1."/>
      <w:lvlJc w:val="left"/>
      <w:pPr>
        <w:ind w:left="360" w:hanging="360"/>
      </w:pPr>
      <w:rPr>
        <w:rFonts w:hint="default"/>
        <w:b/>
        <w:color w:val="auto"/>
      </w:rPr>
    </w:lvl>
    <w:lvl w:ilvl="1" w:tentative="0">
      <w:start w:val="1"/>
      <w:numFmt w:val="decimal"/>
      <w:lvlText w:val="%1.%2."/>
      <w:lvlJc w:val="left"/>
      <w:pPr>
        <w:ind w:left="432"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164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8">
    <w:nsid w:val="22E86153"/>
    <w:multiLevelType w:val="multilevel"/>
    <w:tmpl w:val="22E86153"/>
    <w:lvl w:ilvl="0" w:tentative="0">
      <w:start w:val="12"/>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9">
    <w:nsid w:val="24E800D4"/>
    <w:multiLevelType w:val="multilevel"/>
    <w:tmpl w:val="24E800D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0">
    <w:nsid w:val="2542056D"/>
    <w:multiLevelType w:val="multilevel"/>
    <w:tmpl w:val="2542056D"/>
    <w:lvl w:ilvl="0" w:tentative="0">
      <w:start w:val="16"/>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1">
    <w:nsid w:val="26176A41"/>
    <w:multiLevelType w:val="multilevel"/>
    <w:tmpl w:val="26176A4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2">
    <w:nsid w:val="2665332C"/>
    <w:multiLevelType w:val="multilevel"/>
    <w:tmpl w:val="2665332C"/>
    <w:lvl w:ilvl="0" w:tentative="0">
      <w:start w:val="8"/>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3">
    <w:nsid w:val="26B80E7B"/>
    <w:multiLevelType w:val="multilevel"/>
    <w:tmpl w:val="26B80E7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4">
    <w:nsid w:val="28AB6DBA"/>
    <w:multiLevelType w:val="multilevel"/>
    <w:tmpl w:val="28AB6DBA"/>
    <w:lvl w:ilvl="0" w:tentative="0">
      <w:start w:val="2"/>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5">
    <w:nsid w:val="2A6C1A1F"/>
    <w:multiLevelType w:val="multilevel"/>
    <w:tmpl w:val="2A6C1A1F"/>
    <w:lvl w:ilvl="0" w:tentative="0">
      <w:start w:val="6"/>
      <w:numFmt w:val="upperRoman"/>
      <w:lvlText w:val="%1."/>
      <w:lvlJc w:val="right"/>
      <w:pPr>
        <w:tabs>
          <w:tab w:val="left" w:pos="720"/>
        </w:tabs>
        <w:ind w:left="720" w:hanging="360"/>
      </w:pPr>
    </w:lvl>
    <w:lvl w:ilvl="1" w:tentative="0">
      <w:start w:val="1"/>
      <w:numFmt w:val="decimal"/>
      <w:isLgl/>
      <w:lvlText w:val="%1.%2"/>
      <w:lvlJc w:val="left"/>
      <w:pPr>
        <w:ind w:left="735" w:hanging="375"/>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Zero"/>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26">
    <w:nsid w:val="2ACD23B4"/>
    <w:multiLevelType w:val="multilevel"/>
    <w:tmpl w:val="2ACD23B4"/>
    <w:lvl w:ilvl="0" w:tentative="0">
      <w:start w:val="9"/>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7">
    <w:nsid w:val="2BF76601"/>
    <w:multiLevelType w:val="multilevel"/>
    <w:tmpl w:val="2BF76601"/>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8">
    <w:nsid w:val="2C3527E7"/>
    <w:multiLevelType w:val="multilevel"/>
    <w:tmpl w:val="2C3527E7"/>
    <w:lvl w:ilvl="0" w:tentative="0">
      <w:start w:val="5"/>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9">
    <w:nsid w:val="30E9167C"/>
    <w:multiLevelType w:val="multilevel"/>
    <w:tmpl w:val="30E9167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0">
    <w:nsid w:val="323C5417"/>
    <w:multiLevelType w:val="multilevel"/>
    <w:tmpl w:val="323C541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1">
    <w:nsid w:val="33A73CE6"/>
    <w:multiLevelType w:val="multilevel"/>
    <w:tmpl w:val="33A73CE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2">
    <w:nsid w:val="34420995"/>
    <w:multiLevelType w:val="multilevel"/>
    <w:tmpl w:val="3442099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3">
    <w:nsid w:val="36E12422"/>
    <w:multiLevelType w:val="multilevel"/>
    <w:tmpl w:val="36E12422"/>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4">
    <w:nsid w:val="3D510CFB"/>
    <w:multiLevelType w:val="multilevel"/>
    <w:tmpl w:val="3D510CF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5">
    <w:nsid w:val="3DC62847"/>
    <w:multiLevelType w:val="multilevel"/>
    <w:tmpl w:val="3DC6284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6">
    <w:nsid w:val="3EC41A1A"/>
    <w:multiLevelType w:val="multilevel"/>
    <w:tmpl w:val="3EC41A1A"/>
    <w:lvl w:ilvl="0" w:tentative="0">
      <w:start w:val="4"/>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7">
    <w:nsid w:val="3EC70F0A"/>
    <w:multiLevelType w:val="multilevel"/>
    <w:tmpl w:val="3EC70F0A"/>
    <w:lvl w:ilvl="0" w:tentative="0">
      <w:start w:val="7"/>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8">
    <w:nsid w:val="41BA4C96"/>
    <w:multiLevelType w:val="multilevel"/>
    <w:tmpl w:val="41BA4C9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9">
    <w:nsid w:val="430007D9"/>
    <w:multiLevelType w:val="multilevel"/>
    <w:tmpl w:val="430007D9"/>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0">
    <w:nsid w:val="447339B6"/>
    <w:multiLevelType w:val="multilevel"/>
    <w:tmpl w:val="447339B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1">
    <w:nsid w:val="46474B02"/>
    <w:multiLevelType w:val="multilevel"/>
    <w:tmpl w:val="46474B0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2">
    <w:nsid w:val="474B549F"/>
    <w:multiLevelType w:val="multilevel"/>
    <w:tmpl w:val="474B549F"/>
    <w:lvl w:ilvl="0" w:tentative="0">
      <w:start w:val="12"/>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3">
    <w:nsid w:val="47F53EEE"/>
    <w:multiLevelType w:val="multilevel"/>
    <w:tmpl w:val="47F53EE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4">
    <w:nsid w:val="485705AE"/>
    <w:multiLevelType w:val="multilevel"/>
    <w:tmpl w:val="485705A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5">
    <w:nsid w:val="48EC44AB"/>
    <w:multiLevelType w:val="multilevel"/>
    <w:tmpl w:val="48EC44A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6">
    <w:nsid w:val="4B7F18C7"/>
    <w:multiLevelType w:val="multilevel"/>
    <w:tmpl w:val="4B7F18C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7">
    <w:nsid w:val="4BDE5606"/>
    <w:multiLevelType w:val="multilevel"/>
    <w:tmpl w:val="4BDE560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8">
    <w:nsid w:val="4BED787A"/>
    <w:multiLevelType w:val="multilevel"/>
    <w:tmpl w:val="4BED787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9">
    <w:nsid w:val="4C7D14A9"/>
    <w:multiLevelType w:val="multilevel"/>
    <w:tmpl w:val="4C7D14A9"/>
    <w:lvl w:ilvl="0" w:tentative="0">
      <w:start w:val="6"/>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0">
    <w:nsid w:val="510F773A"/>
    <w:multiLevelType w:val="multilevel"/>
    <w:tmpl w:val="510F773A"/>
    <w:lvl w:ilvl="0" w:tentative="0">
      <w:start w:val="3"/>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1">
    <w:nsid w:val="526E1901"/>
    <w:multiLevelType w:val="multilevel"/>
    <w:tmpl w:val="526E190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2">
    <w:nsid w:val="56CE5841"/>
    <w:multiLevelType w:val="multilevel"/>
    <w:tmpl w:val="56CE584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3">
    <w:nsid w:val="56E438F2"/>
    <w:multiLevelType w:val="multilevel"/>
    <w:tmpl w:val="56E438F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4">
    <w:nsid w:val="575D6512"/>
    <w:multiLevelType w:val="multilevel"/>
    <w:tmpl w:val="575D651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5">
    <w:nsid w:val="587837AD"/>
    <w:multiLevelType w:val="multilevel"/>
    <w:tmpl w:val="587837A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6">
    <w:nsid w:val="594E3F7C"/>
    <w:multiLevelType w:val="multilevel"/>
    <w:tmpl w:val="594E3F7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7">
    <w:nsid w:val="5A646CF6"/>
    <w:multiLevelType w:val="multilevel"/>
    <w:tmpl w:val="5A646CF6"/>
    <w:lvl w:ilvl="0" w:tentative="0">
      <w:start w:val="6"/>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8">
    <w:nsid w:val="5B7B417F"/>
    <w:multiLevelType w:val="multilevel"/>
    <w:tmpl w:val="5B7B417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9">
    <w:nsid w:val="5DEE465E"/>
    <w:multiLevelType w:val="multilevel"/>
    <w:tmpl w:val="5DEE465E"/>
    <w:lvl w:ilvl="0" w:tentative="0">
      <w:start w:val="9"/>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0">
    <w:nsid w:val="5EE011BD"/>
    <w:multiLevelType w:val="multilevel"/>
    <w:tmpl w:val="5EE011BD"/>
    <w:lvl w:ilvl="0" w:tentative="0">
      <w:start w:val="17"/>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1">
    <w:nsid w:val="5F6C09BB"/>
    <w:multiLevelType w:val="multilevel"/>
    <w:tmpl w:val="5F6C09BB"/>
    <w:lvl w:ilvl="0" w:tentative="0">
      <w:start w:val="3"/>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2">
    <w:nsid w:val="600E55C7"/>
    <w:multiLevelType w:val="multilevel"/>
    <w:tmpl w:val="600E55C7"/>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3">
    <w:nsid w:val="61DD361E"/>
    <w:multiLevelType w:val="multilevel"/>
    <w:tmpl w:val="61DD361E"/>
    <w:lvl w:ilvl="0" w:tentative="0">
      <w:start w:val="1"/>
      <w:numFmt w:val="decimal"/>
      <w:pStyle w:val="89"/>
      <w:lvlText w:val="%1."/>
      <w:lvlJc w:val="left"/>
      <w:pPr>
        <w:ind w:left="502" w:hanging="360"/>
      </w:pPr>
      <w:rPr>
        <w:rFonts w:hint="default"/>
        <w:b/>
        <w:i w:val="0"/>
      </w:rPr>
    </w:lvl>
    <w:lvl w:ilvl="1" w:tentative="0">
      <w:start w:val="1"/>
      <w:numFmt w:val="decimal"/>
      <w:pStyle w:val="91"/>
      <w:suff w:val="space"/>
      <w:lvlText w:val="%1.%2."/>
      <w:lvlJc w:val="left"/>
      <w:pPr>
        <w:ind w:left="851" w:firstLine="0"/>
      </w:pPr>
      <w:rPr>
        <w:rFonts w:hint="default"/>
        <w:b w:val="0"/>
        <w:i w:val="0"/>
        <w:color w:val="auto"/>
      </w:rPr>
    </w:lvl>
    <w:lvl w:ilvl="2" w:tentative="0">
      <w:start w:val="1"/>
      <w:numFmt w:val="decimal"/>
      <w:pStyle w:val="92"/>
      <w:suff w:val="space"/>
      <w:lvlText w:val="%1.%2.%3."/>
      <w:lvlJc w:val="left"/>
      <w:pPr>
        <w:ind w:left="1135" w:firstLine="0"/>
      </w:pPr>
      <w:rPr>
        <w:rFonts w:hint="default"/>
        <w:b w:val="0"/>
        <w:i w:val="0"/>
        <w:color w:val="auto"/>
        <w:sz w:val="20"/>
        <w:szCs w:val="20"/>
      </w:rPr>
    </w:lvl>
    <w:lvl w:ilvl="3" w:tentative="0">
      <w:start w:val="1"/>
      <w:numFmt w:val="decimal"/>
      <w:pStyle w:val="94"/>
      <w:suff w:val="space"/>
      <w:lvlText w:val="%1.%2.%3.%4."/>
      <w:lvlJc w:val="left"/>
      <w:pPr>
        <w:ind w:left="1702" w:firstLine="0"/>
      </w:pPr>
      <w:rPr>
        <w:rFonts w:hint="default" w:ascii="Times New Roman" w:hAnsi="Times New Roman" w:cs="Times New Roman"/>
        <w:b w:val="0"/>
        <w:bCs/>
        <w:i w:val="0"/>
      </w:rPr>
    </w:lvl>
    <w:lvl w:ilvl="4" w:tentative="0">
      <w:start w:val="1"/>
      <w:numFmt w:val="decimal"/>
      <w:suff w:val="space"/>
      <w:lvlText w:val="%1.%2.%3.%4.%5."/>
      <w:lvlJc w:val="left"/>
      <w:pPr>
        <w:ind w:left="1134" w:firstLine="0"/>
      </w:pPr>
      <w:rPr>
        <w:rFonts w:hint="default"/>
        <w:b/>
        <w:i w:val="0"/>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abstractNum w:abstractNumId="64">
    <w:nsid w:val="630B760F"/>
    <w:multiLevelType w:val="multilevel"/>
    <w:tmpl w:val="630B760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5">
    <w:nsid w:val="638B0ABC"/>
    <w:multiLevelType w:val="multilevel"/>
    <w:tmpl w:val="638B0ABC"/>
    <w:lvl w:ilvl="0" w:tentative="0">
      <w:start w:val="14"/>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6">
    <w:nsid w:val="63A0467E"/>
    <w:multiLevelType w:val="multilevel"/>
    <w:tmpl w:val="63A0467E"/>
    <w:lvl w:ilvl="0" w:tentative="0">
      <w:start w:val="5"/>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7">
    <w:nsid w:val="641410BD"/>
    <w:multiLevelType w:val="multilevel"/>
    <w:tmpl w:val="641410BD"/>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8">
    <w:nsid w:val="67CA7B9C"/>
    <w:multiLevelType w:val="multilevel"/>
    <w:tmpl w:val="67CA7B9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9">
    <w:nsid w:val="6D1340C1"/>
    <w:multiLevelType w:val="multilevel"/>
    <w:tmpl w:val="6D1340C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70">
    <w:nsid w:val="6DC4555E"/>
    <w:multiLevelType w:val="multilevel"/>
    <w:tmpl w:val="6DC4555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71">
    <w:nsid w:val="70CD31D9"/>
    <w:multiLevelType w:val="multilevel"/>
    <w:tmpl w:val="70CD31D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72">
    <w:nsid w:val="7849506A"/>
    <w:multiLevelType w:val="multilevel"/>
    <w:tmpl w:val="7849506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73">
    <w:nsid w:val="7BA94753"/>
    <w:multiLevelType w:val="multilevel"/>
    <w:tmpl w:val="7BA94753"/>
    <w:lvl w:ilvl="0" w:tentative="0">
      <w:start w:val="2"/>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4">
    <w:nsid w:val="7DAA387B"/>
    <w:multiLevelType w:val="multilevel"/>
    <w:tmpl w:val="7DAA387B"/>
    <w:lvl w:ilvl="0" w:tentative="0">
      <w:start w:val="10"/>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 w:numId="2">
    <w:abstractNumId w:val="63"/>
  </w:num>
  <w:num w:numId="3">
    <w:abstractNumId w:val="17"/>
  </w:num>
  <w:num w:numId="4">
    <w:abstractNumId w:val="12"/>
  </w:num>
  <w:num w:numId="5">
    <w:abstractNumId w:val="62"/>
  </w:num>
  <w:num w:numId="6">
    <w:abstractNumId w:val="33"/>
  </w:num>
  <w:num w:numId="7">
    <w:abstractNumId w:val="73"/>
  </w:num>
  <w:num w:numId="8">
    <w:abstractNumId w:val="50"/>
  </w:num>
  <w:num w:numId="9">
    <w:abstractNumId w:val="38"/>
  </w:num>
  <w:num w:numId="10">
    <w:abstractNumId w:val="29"/>
  </w:num>
  <w:num w:numId="11">
    <w:abstractNumId w:val="7"/>
  </w:num>
  <w:num w:numId="12">
    <w:abstractNumId w:val="28"/>
  </w:num>
  <w:num w:numId="13">
    <w:abstractNumId w:val="40"/>
  </w:num>
  <w:num w:numId="14">
    <w:abstractNumId w:val="3"/>
  </w:num>
  <w:num w:numId="15">
    <w:abstractNumId w:val="45"/>
  </w:num>
  <w:num w:numId="16">
    <w:abstractNumId w:val="58"/>
  </w:num>
  <w:num w:numId="17">
    <w:abstractNumId w:val="1"/>
  </w:num>
  <w:num w:numId="18">
    <w:abstractNumId w:val="19"/>
  </w:num>
  <w:num w:numId="19">
    <w:abstractNumId w:val="57"/>
  </w:num>
  <w:num w:numId="20">
    <w:abstractNumId w:val="2"/>
  </w:num>
  <w:num w:numId="21">
    <w:abstractNumId w:val="72"/>
  </w:num>
  <w:num w:numId="22">
    <w:abstractNumId w:val="43"/>
  </w:num>
  <w:num w:numId="23">
    <w:abstractNumId w:val="71"/>
  </w:num>
  <w:num w:numId="24">
    <w:abstractNumId w:val="46"/>
  </w:num>
  <w:num w:numId="25">
    <w:abstractNumId w:val="34"/>
  </w:num>
  <w:num w:numId="26">
    <w:abstractNumId w:val="44"/>
  </w:num>
  <w:num w:numId="27">
    <w:abstractNumId w:val="55"/>
  </w:num>
  <w:num w:numId="28">
    <w:abstractNumId w:val="54"/>
  </w:num>
  <w:num w:numId="29">
    <w:abstractNumId w:val="23"/>
  </w:num>
  <w:num w:numId="30">
    <w:abstractNumId w:val="52"/>
  </w:num>
  <w:num w:numId="31">
    <w:abstractNumId w:val="41"/>
  </w:num>
  <w:num w:numId="32">
    <w:abstractNumId w:val="6"/>
  </w:num>
  <w:num w:numId="33">
    <w:abstractNumId w:val="22"/>
  </w:num>
  <w:num w:numId="34">
    <w:abstractNumId w:val="26"/>
  </w:num>
  <w:num w:numId="35">
    <w:abstractNumId w:val="15"/>
  </w:num>
  <w:num w:numId="36">
    <w:abstractNumId w:val="16"/>
  </w:num>
  <w:num w:numId="37">
    <w:abstractNumId w:val="32"/>
  </w:num>
  <w:num w:numId="38">
    <w:abstractNumId w:val="69"/>
  </w:num>
  <w:num w:numId="39">
    <w:abstractNumId w:val="42"/>
  </w:num>
  <w:num w:numId="40">
    <w:abstractNumId w:val="27"/>
  </w:num>
  <w:num w:numId="41">
    <w:abstractNumId w:val="20"/>
  </w:num>
  <w:num w:numId="42">
    <w:abstractNumId w:val="60"/>
  </w:num>
  <w:num w:numId="43">
    <w:abstractNumId w:val="30"/>
  </w:num>
  <w:num w:numId="44">
    <w:abstractNumId w:val="8"/>
  </w:num>
  <w:num w:numId="45">
    <w:abstractNumId w:val="11"/>
  </w:num>
  <w:num w:numId="46">
    <w:abstractNumId w:val="24"/>
  </w:num>
  <w:num w:numId="47">
    <w:abstractNumId w:val="48"/>
  </w:num>
  <w:num w:numId="48">
    <w:abstractNumId w:val="51"/>
  </w:num>
  <w:num w:numId="49">
    <w:abstractNumId w:val="61"/>
  </w:num>
  <w:num w:numId="50">
    <w:abstractNumId w:val="36"/>
  </w:num>
  <w:num w:numId="51">
    <w:abstractNumId w:val="66"/>
  </w:num>
  <w:num w:numId="52">
    <w:abstractNumId w:val="35"/>
  </w:num>
  <w:num w:numId="53">
    <w:abstractNumId w:val="49"/>
  </w:num>
  <w:num w:numId="54">
    <w:abstractNumId w:val="68"/>
  </w:num>
  <w:num w:numId="55">
    <w:abstractNumId w:val="70"/>
  </w:num>
  <w:num w:numId="56">
    <w:abstractNumId w:val="31"/>
  </w:num>
  <w:num w:numId="57">
    <w:abstractNumId w:val="13"/>
  </w:num>
  <w:num w:numId="58">
    <w:abstractNumId w:val="14"/>
  </w:num>
  <w:num w:numId="59">
    <w:abstractNumId w:val="64"/>
  </w:num>
  <w:num w:numId="60">
    <w:abstractNumId w:val="47"/>
  </w:num>
  <w:num w:numId="61">
    <w:abstractNumId w:val="56"/>
  </w:num>
  <w:num w:numId="62">
    <w:abstractNumId w:val="37"/>
  </w:num>
  <w:num w:numId="63">
    <w:abstractNumId w:val="10"/>
  </w:num>
  <w:num w:numId="64">
    <w:abstractNumId w:val="21"/>
  </w:num>
  <w:num w:numId="65">
    <w:abstractNumId w:val="53"/>
  </w:num>
  <w:num w:numId="66">
    <w:abstractNumId w:val="59"/>
  </w:num>
  <w:num w:numId="67">
    <w:abstractNumId w:val="74"/>
  </w:num>
  <w:num w:numId="68">
    <w:abstractNumId w:val="67"/>
  </w:num>
  <w:num w:numId="69">
    <w:abstractNumId w:val="4"/>
  </w:num>
  <w:num w:numId="70">
    <w:abstractNumId w:val="39"/>
  </w:num>
  <w:num w:numId="71">
    <w:abstractNumId w:val="18"/>
  </w:num>
  <w:num w:numId="72">
    <w:abstractNumId w:val="9"/>
  </w:num>
  <w:num w:numId="73">
    <w:abstractNumId w:val="5"/>
  </w:num>
  <w:num w:numId="74">
    <w:abstractNumId w:val="65"/>
  </w:num>
  <w:num w:numId="7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06E"/>
    <w:rsid w:val="00002B55"/>
    <w:rsid w:val="0001108A"/>
    <w:rsid w:val="00031280"/>
    <w:rsid w:val="000337DD"/>
    <w:rsid w:val="00042D77"/>
    <w:rsid w:val="00052E80"/>
    <w:rsid w:val="0005496D"/>
    <w:rsid w:val="00060850"/>
    <w:rsid w:val="00065CF2"/>
    <w:rsid w:val="00084938"/>
    <w:rsid w:val="00085292"/>
    <w:rsid w:val="00093103"/>
    <w:rsid w:val="000978D1"/>
    <w:rsid w:val="000A7559"/>
    <w:rsid w:val="000C3FF4"/>
    <w:rsid w:val="000E0032"/>
    <w:rsid w:val="000E355F"/>
    <w:rsid w:val="000F418D"/>
    <w:rsid w:val="00117C41"/>
    <w:rsid w:val="001256EF"/>
    <w:rsid w:val="00126417"/>
    <w:rsid w:val="00126C9A"/>
    <w:rsid w:val="00132AF6"/>
    <w:rsid w:val="00134881"/>
    <w:rsid w:val="00134E13"/>
    <w:rsid w:val="00136938"/>
    <w:rsid w:val="00166543"/>
    <w:rsid w:val="0017474E"/>
    <w:rsid w:val="00180B8B"/>
    <w:rsid w:val="00194F56"/>
    <w:rsid w:val="00197CAC"/>
    <w:rsid w:val="001C13C8"/>
    <w:rsid w:val="001C22A8"/>
    <w:rsid w:val="001C53A2"/>
    <w:rsid w:val="001D0FD5"/>
    <w:rsid w:val="001D59C9"/>
    <w:rsid w:val="001D7B8A"/>
    <w:rsid w:val="001E6C6E"/>
    <w:rsid w:val="001F6345"/>
    <w:rsid w:val="0021752F"/>
    <w:rsid w:val="002300D2"/>
    <w:rsid w:val="00240649"/>
    <w:rsid w:val="00243228"/>
    <w:rsid w:val="0024568F"/>
    <w:rsid w:val="0024684C"/>
    <w:rsid w:val="00256763"/>
    <w:rsid w:val="00261F0F"/>
    <w:rsid w:val="00263F8F"/>
    <w:rsid w:val="00281726"/>
    <w:rsid w:val="00297107"/>
    <w:rsid w:val="002A5389"/>
    <w:rsid w:val="002C02A8"/>
    <w:rsid w:val="002C2C35"/>
    <w:rsid w:val="002C58AE"/>
    <w:rsid w:val="002D20DC"/>
    <w:rsid w:val="002D4334"/>
    <w:rsid w:val="002E1E69"/>
    <w:rsid w:val="002E797A"/>
    <w:rsid w:val="002F6F7A"/>
    <w:rsid w:val="00300EE6"/>
    <w:rsid w:val="00321757"/>
    <w:rsid w:val="00322708"/>
    <w:rsid w:val="00333BE0"/>
    <w:rsid w:val="00336D17"/>
    <w:rsid w:val="003631A2"/>
    <w:rsid w:val="0036420F"/>
    <w:rsid w:val="0038596D"/>
    <w:rsid w:val="003A122E"/>
    <w:rsid w:val="003C606F"/>
    <w:rsid w:val="003D05A9"/>
    <w:rsid w:val="003D177A"/>
    <w:rsid w:val="003D2EA0"/>
    <w:rsid w:val="003E6590"/>
    <w:rsid w:val="003F0949"/>
    <w:rsid w:val="003F306E"/>
    <w:rsid w:val="004068F8"/>
    <w:rsid w:val="0041299D"/>
    <w:rsid w:val="0041560B"/>
    <w:rsid w:val="00415D44"/>
    <w:rsid w:val="00420256"/>
    <w:rsid w:val="004253EA"/>
    <w:rsid w:val="00427E1E"/>
    <w:rsid w:val="00454E42"/>
    <w:rsid w:val="004629BD"/>
    <w:rsid w:val="0047114A"/>
    <w:rsid w:val="00476260"/>
    <w:rsid w:val="0049763F"/>
    <w:rsid w:val="00497AF6"/>
    <w:rsid w:val="004A5906"/>
    <w:rsid w:val="004C63EB"/>
    <w:rsid w:val="004D591E"/>
    <w:rsid w:val="0055320B"/>
    <w:rsid w:val="005633E2"/>
    <w:rsid w:val="00565277"/>
    <w:rsid w:val="00565B68"/>
    <w:rsid w:val="00567642"/>
    <w:rsid w:val="00575228"/>
    <w:rsid w:val="00585FDB"/>
    <w:rsid w:val="0058624E"/>
    <w:rsid w:val="005A018E"/>
    <w:rsid w:val="005A1DEB"/>
    <w:rsid w:val="005A71A5"/>
    <w:rsid w:val="005B47BC"/>
    <w:rsid w:val="005B7044"/>
    <w:rsid w:val="005C25FD"/>
    <w:rsid w:val="005D24F4"/>
    <w:rsid w:val="005D7DBE"/>
    <w:rsid w:val="005E62EA"/>
    <w:rsid w:val="00601AB8"/>
    <w:rsid w:val="00601FD3"/>
    <w:rsid w:val="00614257"/>
    <w:rsid w:val="006404C6"/>
    <w:rsid w:val="006454C5"/>
    <w:rsid w:val="00645BB7"/>
    <w:rsid w:val="006627FF"/>
    <w:rsid w:val="00680E06"/>
    <w:rsid w:val="0068208C"/>
    <w:rsid w:val="00695AB8"/>
    <w:rsid w:val="006A3AB0"/>
    <w:rsid w:val="006A4E5F"/>
    <w:rsid w:val="006F3EE5"/>
    <w:rsid w:val="006F462A"/>
    <w:rsid w:val="006F47BB"/>
    <w:rsid w:val="006F6348"/>
    <w:rsid w:val="00717B37"/>
    <w:rsid w:val="00721F1E"/>
    <w:rsid w:val="00722A6C"/>
    <w:rsid w:val="00724210"/>
    <w:rsid w:val="00726A2C"/>
    <w:rsid w:val="00734030"/>
    <w:rsid w:val="0074505D"/>
    <w:rsid w:val="00750F6E"/>
    <w:rsid w:val="00754F99"/>
    <w:rsid w:val="00761EB1"/>
    <w:rsid w:val="0077566C"/>
    <w:rsid w:val="00776682"/>
    <w:rsid w:val="00777538"/>
    <w:rsid w:val="00793A6C"/>
    <w:rsid w:val="0079449F"/>
    <w:rsid w:val="0079584A"/>
    <w:rsid w:val="007B2B18"/>
    <w:rsid w:val="007C1CCF"/>
    <w:rsid w:val="007D54B2"/>
    <w:rsid w:val="007E6E1B"/>
    <w:rsid w:val="0080251D"/>
    <w:rsid w:val="00802B0D"/>
    <w:rsid w:val="008112DD"/>
    <w:rsid w:val="00812B56"/>
    <w:rsid w:val="00814CF7"/>
    <w:rsid w:val="00814E10"/>
    <w:rsid w:val="00825C70"/>
    <w:rsid w:val="00831C20"/>
    <w:rsid w:val="008407AD"/>
    <w:rsid w:val="008427C3"/>
    <w:rsid w:val="008515C8"/>
    <w:rsid w:val="0086051B"/>
    <w:rsid w:val="008623F3"/>
    <w:rsid w:val="008701B1"/>
    <w:rsid w:val="00894B13"/>
    <w:rsid w:val="008977DB"/>
    <w:rsid w:val="008A076D"/>
    <w:rsid w:val="008A1E6F"/>
    <w:rsid w:val="008D0426"/>
    <w:rsid w:val="008D7F1D"/>
    <w:rsid w:val="008F09ED"/>
    <w:rsid w:val="008F1FAC"/>
    <w:rsid w:val="008F6AEA"/>
    <w:rsid w:val="008F6FE9"/>
    <w:rsid w:val="00901F2D"/>
    <w:rsid w:val="00910089"/>
    <w:rsid w:val="00910F17"/>
    <w:rsid w:val="00913CAF"/>
    <w:rsid w:val="00916315"/>
    <w:rsid w:val="00916A33"/>
    <w:rsid w:val="009226AB"/>
    <w:rsid w:val="00927AC6"/>
    <w:rsid w:val="00932B6F"/>
    <w:rsid w:val="0093434F"/>
    <w:rsid w:val="00935D0A"/>
    <w:rsid w:val="009372B0"/>
    <w:rsid w:val="00940051"/>
    <w:rsid w:val="0094245E"/>
    <w:rsid w:val="00947D72"/>
    <w:rsid w:val="009549D6"/>
    <w:rsid w:val="00956F0C"/>
    <w:rsid w:val="009652F2"/>
    <w:rsid w:val="00970421"/>
    <w:rsid w:val="009929DD"/>
    <w:rsid w:val="009A1021"/>
    <w:rsid w:val="009A679A"/>
    <w:rsid w:val="009A7FA7"/>
    <w:rsid w:val="009B11D6"/>
    <w:rsid w:val="009C087C"/>
    <w:rsid w:val="009C30CB"/>
    <w:rsid w:val="009D49ED"/>
    <w:rsid w:val="009F67F4"/>
    <w:rsid w:val="00A06FC3"/>
    <w:rsid w:val="00A07671"/>
    <w:rsid w:val="00A07A86"/>
    <w:rsid w:val="00A07BCE"/>
    <w:rsid w:val="00A15306"/>
    <w:rsid w:val="00A17C82"/>
    <w:rsid w:val="00A362C3"/>
    <w:rsid w:val="00A41EAE"/>
    <w:rsid w:val="00A55C27"/>
    <w:rsid w:val="00A605C5"/>
    <w:rsid w:val="00A64472"/>
    <w:rsid w:val="00A72AA9"/>
    <w:rsid w:val="00A80F0E"/>
    <w:rsid w:val="00A83B30"/>
    <w:rsid w:val="00A83DF7"/>
    <w:rsid w:val="00A92A7A"/>
    <w:rsid w:val="00AB1451"/>
    <w:rsid w:val="00AC6054"/>
    <w:rsid w:val="00AE5A43"/>
    <w:rsid w:val="00AF126C"/>
    <w:rsid w:val="00B25548"/>
    <w:rsid w:val="00B339D5"/>
    <w:rsid w:val="00B355A6"/>
    <w:rsid w:val="00B41BDA"/>
    <w:rsid w:val="00B45852"/>
    <w:rsid w:val="00B50433"/>
    <w:rsid w:val="00B60101"/>
    <w:rsid w:val="00B63089"/>
    <w:rsid w:val="00B6755D"/>
    <w:rsid w:val="00B70F01"/>
    <w:rsid w:val="00B71173"/>
    <w:rsid w:val="00B75E45"/>
    <w:rsid w:val="00B813E0"/>
    <w:rsid w:val="00B83763"/>
    <w:rsid w:val="00B84E83"/>
    <w:rsid w:val="00B85FCD"/>
    <w:rsid w:val="00B94EEA"/>
    <w:rsid w:val="00BA3815"/>
    <w:rsid w:val="00BA47FF"/>
    <w:rsid w:val="00BA5F7F"/>
    <w:rsid w:val="00BB19B6"/>
    <w:rsid w:val="00BB5645"/>
    <w:rsid w:val="00BB7EAC"/>
    <w:rsid w:val="00BC6EF3"/>
    <w:rsid w:val="00BE3D2C"/>
    <w:rsid w:val="00BE4911"/>
    <w:rsid w:val="00BE543F"/>
    <w:rsid w:val="00BF5711"/>
    <w:rsid w:val="00C343F9"/>
    <w:rsid w:val="00C42445"/>
    <w:rsid w:val="00C47608"/>
    <w:rsid w:val="00C557EA"/>
    <w:rsid w:val="00C5674C"/>
    <w:rsid w:val="00C64535"/>
    <w:rsid w:val="00C749D5"/>
    <w:rsid w:val="00C87D25"/>
    <w:rsid w:val="00C93727"/>
    <w:rsid w:val="00C97ED5"/>
    <w:rsid w:val="00CA64FC"/>
    <w:rsid w:val="00CC1B49"/>
    <w:rsid w:val="00CD1743"/>
    <w:rsid w:val="00CD4DB6"/>
    <w:rsid w:val="00CE4BEB"/>
    <w:rsid w:val="00CE5054"/>
    <w:rsid w:val="00CF1397"/>
    <w:rsid w:val="00CF767F"/>
    <w:rsid w:val="00D03E66"/>
    <w:rsid w:val="00D24215"/>
    <w:rsid w:val="00D27F7C"/>
    <w:rsid w:val="00D9343D"/>
    <w:rsid w:val="00D9648C"/>
    <w:rsid w:val="00DA4283"/>
    <w:rsid w:val="00DA79AE"/>
    <w:rsid w:val="00DB11D9"/>
    <w:rsid w:val="00DF6E52"/>
    <w:rsid w:val="00E06FC6"/>
    <w:rsid w:val="00E1354B"/>
    <w:rsid w:val="00E15C82"/>
    <w:rsid w:val="00E2218D"/>
    <w:rsid w:val="00E33BE2"/>
    <w:rsid w:val="00E40A1D"/>
    <w:rsid w:val="00E6632E"/>
    <w:rsid w:val="00E8554F"/>
    <w:rsid w:val="00EA221C"/>
    <w:rsid w:val="00EA5833"/>
    <w:rsid w:val="00EA7423"/>
    <w:rsid w:val="00EB0614"/>
    <w:rsid w:val="00EB2425"/>
    <w:rsid w:val="00EB5A1E"/>
    <w:rsid w:val="00EB5C39"/>
    <w:rsid w:val="00EC15C9"/>
    <w:rsid w:val="00ED316C"/>
    <w:rsid w:val="00F111E2"/>
    <w:rsid w:val="00F30AD2"/>
    <w:rsid w:val="00F34C41"/>
    <w:rsid w:val="00F4690F"/>
    <w:rsid w:val="00F470C6"/>
    <w:rsid w:val="00F66C2E"/>
    <w:rsid w:val="00F66D73"/>
    <w:rsid w:val="00F712F8"/>
    <w:rsid w:val="00F72635"/>
    <w:rsid w:val="00F90DC5"/>
    <w:rsid w:val="00F92885"/>
    <w:rsid w:val="00FA11B3"/>
    <w:rsid w:val="00FA30F0"/>
    <w:rsid w:val="00FC11D4"/>
    <w:rsid w:val="00FD7AE0"/>
    <w:rsid w:val="00FD7C78"/>
    <w:rsid w:val="00FE4238"/>
    <w:rsid w:val="00FE52A9"/>
    <w:rsid w:val="00FE7355"/>
    <w:rsid w:val="00FF38CF"/>
    <w:rsid w:val="74BA47A5"/>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semiHidden="0" w:name="footnote text"/>
    <w:lsdException w:qFormat="1" w:uiPriority="0" w:semiHidden="0" w:name="annotation text"/>
    <w:lsdException w:unhideWhenUsed="0"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1" w:semiHidden="0" w:name="Body Text"/>
    <w:lsdException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semiHidden="0" w:name="Body Text 3"/>
    <w:lsdException w:unhideWhenUsed="0" w:uiPriority="0" w:semiHidden="0" w:name="Body Text Indent 2"/>
    <w:lsdException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List Paragraph"/>
  </w:latentStyles>
  <w:style w:type="paragraph" w:default="1" w:styleId="1">
    <w:name w:val="Normal"/>
    <w:qFormat/>
    <w:uiPriority w:val="0"/>
    <w:rPr>
      <w:rFonts w:ascii="Times New Roman" w:hAnsi="Times New Roman" w:eastAsia="Times New Roman" w:cs="Times New Roman"/>
      <w:lang w:val="pt-BR" w:eastAsia="pt-BR" w:bidi="ar-SA"/>
    </w:rPr>
  </w:style>
  <w:style w:type="paragraph" w:styleId="2">
    <w:name w:val="heading 1"/>
    <w:basedOn w:val="1"/>
    <w:next w:val="1"/>
    <w:link w:val="44"/>
    <w:qFormat/>
    <w:uiPriority w:val="9"/>
    <w:pPr>
      <w:keepNext/>
      <w:keepLines/>
      <w:spacing w:before="480" w:after="120"/>
      <w:outlineLvl w:val="0"/>
    </w:pPr>
    <w:rPr>
      <w:b/>
      <w:sz w:val="48"/>
      <w:szCs w:val="48"/>
    </w:rPr>
  </w:style>
  <w:style w:type="paragraph" w:styleId="3">
    <w:name w:val="heading 2"/>
    <w:basedOn w:val="1"/>
    <w:next w:val="1"/>
    <w:link w:val="55"/>
    <w:unhideWhenUsed/>
    <w:qFormat/>
    <w:uiPriority w:val="9"/>
    <w:pPr>
      <w:keepNext/>
      <w:keepLines/>
      <w:spacing w:before="360" w:after="80"/>
      <w:outlineLvl w:val="1"/>
    </w:pPr>
    <w:rPr>
      <w:b/>
      <w:sz w:val="36"/>
      <w:szCs w:val="36"/>
    </w:rPr>
  </w:style>
  <w:style w:type="paragraph" w:styleId="4">
    <w:name w:val="heading 3"/>
    <w:basedOn w:val="1"/>
    <w:next w:val="1"/>
    <w:link w:val="117"/>
    <w:unhideWhenUsed/>
    <w:qFormat/>
    <w:uiPriority w:val="9"/>
    <w:pPr>
      <w:keepNext/>
      <w:keepLines/>
      <w:spacing w:before="280" w:after="80"/>
      <w:outlineLvl w:val="2"/>
    </w:pPr>
    <w:rPr>
      <w:b/>
      <w:sz w:val="28"/>
      <w:szCs w:val="28"/>
    </w:rPr>
  </w:style>
  <w:style w:type="paragraph" w:styleId="5">
    <w:name w:val="heading 4"/>
    <w:basedOn w:val="1"/>
    <w:next w:val="1"/>
    <w:link w:val="118"/>
    <w:unhideWhenUsed/>
    <w:qFormat/>
    <w:uiPriority w:val="9"/>
    <w:pPr>
      <w:keepNext/>
      <w:keepLines/>
      <w:spacing w:before="240" w:after="40"/>
      <w:outlineLvl w:val="3"/>
    </w:pPr>
    <w:rPr>
      <w:b/>
      <w:sz w:val="24"/>
      <w:szCs w:val="24"/>
    </w:rPr>
  </w:style>
  <w:style w:type="paragraph" w:styleId="6">
    <w:name w:val="heading 5"/>
    <w:basedOn w:val="1"/>
    <w:next w:val="1"/>
    <w:link w:val="119"/>
    <w:unhideWhenUsed/>
    <w:qFormat/>
    <w:uiPriority w:val="0"/>
    <w:pPr>
      <w:keepNext/>
      <w:keepLines/>
      <w:spacing w:before="220" w:after="40"/>
      <w:outlineLvl w:val="4"/>
    </w:pPr>
    <w:rPr>
      <w:b/>
      <w:sz w:val="22"/>
      <w:szCs w:val="22"/>
    </w:rPr>
  </w:style>
  <w:style w:type="paragraph" w:styleId="7">
    <w:name w:val="heading 6"/>
    <w:basedOn w:val="1"/>
    <w:next w:val="1"/>
    <w:link w:val="120"/>
    <w:unhideWhenUsed/>
    <w:qFormat/>
    <w:uiPriority w:val="0"/>
    <w:pPr>
      <w:keepNext/>
      <w:keepLines/>
      <w:spacing w:before="200" w:after="40"/>
      <w:outlineLvl w:val="5"/>
    </w:pPr>
    <w:rPr>
      <w:b/>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character" w:styleId="10">
    <w:name w:val="Strong"/>
    <w:qFormat/>
    <w:uiPriority w:val="22"/>
    <w:rPr>
      <w:b/>
      <w:bCs/>
    </w:rPr>
  </w:style>
  <w:style w:type="character" w:styleId="11">
    <w:name w:val="annotation reference"/>
    <w:basedOn w:val="8"/>
    <w:unhideWhenUsed/>
    <w:qFormat/>
    <w:uiPriority w:val="0"/>
    <w:rPr>
      <w:sz w:val="16"/>
      <w:szCs w:val="16"/>
    </w:rPr>
  </w:style>
  <w:style w:type="character" w:styleId="12">
    <w:name w:val="Emphasis"/>
    <w:qFormat/>
    <w:uiPriority w:val="20"/>
    <w:rPr>
      <w:i/>
      <w:iCs/>
    </w:rPr>
  </w:style>
  <w:style w:type="character" w:styleId="13">
    <w:name w:val="footnote reference"/>
    <w:basedOn w:val="8"/>
    <w:unhideWhenUsed/>
    <w:uiPriority w:val="99"/>
    <w:rPr>
      <w:vertAlign w:val="superscript"/>
    </w:rPr>
  </w:style>
  <w:style w:type="character" w:styleId="14">
    <w:name w:val="Hyperlink"/>
    <w:basedOn w:val="8"/>
    <w:unhideWhenUsed/>
    <w:qFormat/>
    <w:uiPriority w:val="99"/>
    <w:rPr>
      <w:color w:val="0000FF"/>
      <w:u w:val="single"/>
    </w:rPr>
  </w:style>
  <w:style w:type="paragraph" w:styleId="15">
    <w:name w:val="Body Text"/>
    <w:basedOn w:val="1"/>
    <w:link w:val="49"/>
    <w:qFormat/>
    <w:uiPriority w:val="1"/>
    <w:pPr>
      <w:widowControl w:val="0"/>
      <w:suppressAutoHyphens/>
    </w:pPr>
    <w:rPr>
      <w:rFonts w:ascii="Arial" w:hAnsi="Arial" w:eastAsia="Arial" w:cs="Arial"/>
      <w:sz w:val="24"/>
      <w:szCs w:val="24"/>
      <w:lang w:val="pt-PT" w:eastAsia="en-US"/>
    </w:rPr>
  </w:style>
  <w:style w:type="paragraph" w:styleId="16">
    <w:name w:val="annotation text"/>
    <w:basedOn w:val="1"/>
    <w:link w:val="45"/>
    <w:unhideWhenUsed/>
    <w:qFormat/>
    <w:uiPriority w:val="0"/>
    <w:pPr>
      <w:suppressAutoHyphens/>
    </w:pPr>
    <w:rPr>
      <w:rFonts w:ascii="Calibri" w:hAnsi="Calibri" w:eastAsia="Calibri"/>
      <w:lang w:val="en-US" w:eastAsia="zh-CN"/>
    </w:rPr>
  </w:style>
  <w:style w:type="paragraph" w:styleId="17">
    <w:name w:val="Body Text Indent 2"/>
    <w:basedOn w:val="1"/>
    <w:link w:val="64"/>
    <w:uiPriority w:val="0"/>
    <w:pPr>
      <w:spacing w:after="120" w:line="480" w:lineRule="auto"/>
      <w:ind w:left="283"/>
    </w:pPr>
    <w:rPr>
      <w:sz w:val="24"/>
      <w:szCs w:val="24"/>
    </w:rPr>
  </w:style>
  <w:style w:type="paragraph" w:styleId="18">
    <w:name w:val="Title"/>
    <w:basedOn w:val="1"/>
    <w:next w:val="1"/>
    <w:link w:val="57"/>
    <w:qFormat/>
    <w:uiPriority w:val="0"/>
    <w:pPr>
      <w:keepNext/>
      <w:keepLines/>
      <w:spacing w:before="480" w:after="120"/>
    </w:pPr>
    <w:rPr>
      <w:b/>
      <w:sz w:val="72"/>
      <w:szCs w:val="72"/>
    </w:rPr>
  </w:style>
  <w:style w:type="paragraph" w:styleId="19">
    <w:name w:val="Normal (Web)"/>
    <w:basedOn w:val="1"/>
    <w:unhideWhenUsed/>
    <w:uiPriority w:val="99"/>
    <w:pPr>
      <w:spacing w:before="100" w:beforeAutospacing="1" w:after="100" w:afterAutospacing="1"/>
    </w:pPr>
    <w:rPr>
      <w:sz w:val="24"/>
      <w:szCs w:val="24"/>
    </w:rPr>
  </w:style>
  <w:style w:type="paragraph" w:styleId="20">
    <w:name w:val="Body Text 3"/>
    <w:basedOn w:val="1"/>
    <w:link w:val="58"/>
    <w:unhideWhenUsed/>
    <w:uiPriority w:val="99"/>
    <w:pPr>
      <w:spacing w:after="120" w:line="259" w:lineRule="auto"/>
    </w:pPr>
    <w:rPr>
      <w:rFonts w:asciiTheme="minorHAnsi" w:hAnsiTheme="minorHAnsi" w:eastAsiaTheme="minorHAnsi" w:cstheme="minorBidi"/>
      <w:sz w:val="16"/>
      <w:szCs w:val="16"/>
      <w:lang w:eastAsia="en-US"/>
    </w:rPr>
  </w:style>
  <w:style w:type="paragraph" w:styleId="21">
    <w:name w:val="header"/>
    <w:basedOn w:val="1"/>
    <w:link w:val="32"/>
    <w:uiPriority w:val="99"/>
    <w:pPr>
      <w:tabs>
        <w:tab w:val="center" w:pos="4419"/>
        <w:tab w:val="right" w:pos="8838"/>
      </w:tabs>
    </w:pPr>
  </w:style>
  <w:style w:type="paragraph" w:styleId="22">
    <w:name w:val="annotation subject"/>
    <w:basedOn w:val="16"/>
    <w:next w:val="16"/>
    <w:link w:val="47"/>
    <w:unhideWhenUsed/>
    <w:uiPriority w:val="0"/>
    <w:pPr>
      <w:suppressAutoHyphens w:val="0"/>
      <w:spacing w:after="160"/>
    </w:pPr>
    <w:rPr>
      <w:rFonts w:asciiTheme="minorHAnsi" w:hAnsiTheme="minorHAnsi" w:eastAsiaTheme="minorHAnsi" w:cstheme="minorBidi"/>
      <w:b/>
      <w:bCs/>
      <w:lang w:val="pt-BR" w:eastAsia="en-US"/>
    </w:rPr>
  </w:style>
  <w:style w:type="paragraph" w:styleId="23">
    <w:name w:val="footer"/>
    <w:basedOn w:val="1"/>
    <w:link w:val="33"/>
    <w:unhideWhenUsed/>
    <w:uiPriority w:val="99"/>
    <w:pPr>
      <w:tabs>
        <w:tab w:val="center" w:pos="4252"/>
        <w:tab w:val="right" w:pos="8504"/>
      </w:tabs>
    </w:pPr>
  </w:style>
  <w:style w:type="paragraph" w:styleId="24">
    <w:name w:val="Body Text Indent 3"/>
    <w:basedOn w:val="1"/>
    <w:link w:val="63"/>
    <w:uiPriority w:val="0"/>
    <w:pPr>
      <w:spacing w:line="360" w:lineRule="auto"/>
      <w:ind w:firstLine="2552"/>
      <w:jc w:val="both"/>
    </w:pPr>
    <w:rPr>
      <w:rFonts w:ascii="Arial" w:hAnsi="Arial"/>
      <w:sz w:val="24"/>
    </w:rPr>
  </w:style>
  <w:style w:type="paragraph" w:styleId="25">
    <w:name w:val="Balloon Text"/>
    <w:basedOn w:val="1"/>
    <w:link w:val="48"/>
    <w:unhideWhenUsed/>
    <w:uiPriority w:val="99"/>
    <w:rPr>
      <w:rFonts w:ascii="Segoe UI" w:hAnsi="Segoe UI" w:cs="Segoe UI" w:eastAsiaTheme="minorHAnsi"/>
      <w:sz w:val="18"/>
      <w:szCs w:val="18"/>
      <w:lang w:eastAsia="en-US"/>
    </w:rPr>
  </w:style>
  <w:style w:type="paragraph" w:styleId="26">
    <w:name w:val="Subtitle"/>
    <w:basedOn w:val="1"/>
    <w:next w:val="1"/>
    <w:link w:val="121"/>
    <w:qFormat/>
    <w:uiPriority w:val="0"/>
    <w:pPr>
      <w:keepNext/>
      <w:keepLines/>
      <w:spacing w:before="360" w:after="80"/>
    </w:pPr>
    <w:rPr>
      <w:rFonts w:ascii="Georgia" w:hAnsi="Georgia" w:eastAsia="Georgia" w:cs="Georgia"/>
      <w:i/>
      <w:color w:val="666666"/>
      <w:sz w:val="48"/>
      <w:szCs w:val="48"/>
    </w:rPr>
  </w:style>
  <w:style w:type="paragraph" w:styleId="27">
    <w:name w:val="footnote text"/>
    <w:basedOn w:val="1"/>
    <w:link w:val="50"/>
    <w:unhideWhenUsed/>
    <w:uiPriority w:val="99"/>
    <w:rPr>
      <w:rFonts w:asciiTheme="minorHAnsi" w:hAnsiTheme="minorHAnsi" w:eastAsiaTheme="minorHAnsi" w:cstheme="minorBidi"/>
      <w:lang w:eastAsia="en-US"/>
    </w:rPr>
  </w:style>
  <w:style w:type="paragraph" w:styleId="28">
    <w:name w:val="List Bullet"/>
    <w:basedOn w:val="1"/>
    <w:unhideWhenUsed/>
    <w:uiPriority w:val="99"/>
    <w:pPr>
      <w:numPr>
        <w:ilvl w:val="0"/>
        <w:numId w:val="1"/>
      </w:numPr>
      <w:spacing w:after="160" w:line="259" w:lineRule="auto"/>
      <w:contextualSpacing/>
    </w:pPr>
    <w:rPr>
      <w:rFonts w:asciiTheme="minorHAnsi" w:hAnsiTheme="minorHAnsi" w:eastAsiaTheme="minorHAnsi" w:cstheme="minorBidi"/>
      <w:sz w:val="22"/>
      <w:szCs w:val="22"/>
      <w:lang w:eastAsia="en-US"/>
    </w:rPr>
  </w:style>
  <w:style w:type="paragraph" w:styleId="29">
    <w:name w:val="Body Text Indent"/>
    <w:basedOn w:val="1"/>
    <w:link w:val="61"/>
    <w:unhideWhenUsed/>
    <w:uiPriority w:val="0"/>
    <w:pPr>
      <w:widowControl w:val="0"/>
      <w:autoSpaceDE w:val="0"/>
      <w:autoSpaceDN w:val="0"/>
      <w:spacing w:after="120"/>
      <w:ind w:left="283"/>
    </w:pPr>
    <w:rPr>
      <w:rFonts w:ascii="Century Gothic" w:hAnsi="Century Gothic" w:eastAsia="Century Gothic" w:cs="Century Gothic"/>
      <w:sz w:val="22"/>
      <w:szCs w:val="22"/>
      <w:lang w:val="pt-PT" w:eastAsia="en-US"/>
    </w:rPr>
  </w:style>
  <w:style w:type="table" w:styleId="30">
    <w:name w:val="Table Grid"/>
    <w:basedOn w:val="9"/>
    <w:uiPriority w:val="59"/>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
    <w:name w:val="Table Normal"/>
    <w:qFormat/>
    <w:uiPriority w:val="2"/>
    <w:tblPr>
      <w:tblCellMar>
        <w:top w:w="0" w:type="dxa"/>
        <w:left w:w="0" w:type="dxa"/>
        <w:bottom w:w="0" w:type="dxa"/>
        <w:right w:w="0" w:type="dxa"/>
      </w:tblCellMar>
    </w:tblPr>
  </w:style>
  <w:style w:type="character" w:customStyle="1" w:styleId="32">
    <w:name w:val="Cabeçalho Char"/>
    <w:basedOn w:val="8"/>
    <w:link w:val="21"/>
    <w:uiPriority w:val="99"/>
    <w:rPr>
      <w:rFonts w:ascii="Times New Roman" w:hAnsi="Times New Roman" w:eastAsia="Times New Roman" w:cs="Times New Roman"/>
      <w:sz w:val="20"/>
      <w:szCs w:val="20"/>
      <w:lang w:eastAsia="pt-BR"/>
    </w:rPr>
  </w:style>
  <w:style w:type="character" w:customStyle="1" w:styleId="33">
    <w:name w:val="Rodapé Char"/>
    <w:basedOn w:val="8"/>
    <w:link w:val="23"/>
    <w:qFormat/>
    <w:uiPriority w:val="99"/>
    <w:rPr>
      <w:rFonts w:ascii="Times New Roman" w:hAnsi="Times New Roman" w:eastAsia="Times New Roman" w:cs="Times New Roman"/>
      <w:sz w:val="20"/>
      <w:szCs w:val="20"/>
      <w:lang w:eastAsia="pt-BR"/>
    </w:rPr>
  </w:style>
  <w:style w:type="paragraph" w:styleId="34">
    <w:name w:val="List Paragraph"/>
    <w:basedOn w:val="1"/>
    <w:link w:val="105"/>
    <w:qFormat/>
    <w:uiPriority w:val="1"/>
    <w:pPr>
      <w:ind w:left="720"/>
      <w:contextualSpacing/>
    </w:pPr>
  </w:style>
  <w:style w:type="table" w:customStyle="1" w:styleId="35">
    <w:name w:val="_Style 17"/>
    <w:basedOn w:val="31"/>
    <w:uiPriority w:val="0"/>
    <w:tblPr>
      <w:tblCellMar>
        <w:left w:w="115" w:type="dxa"/>
        <w:right w:w="115" w:type="dxa"/>
      </w:tblCellMar>
    </w:tblPr>
  </w:style>
  <w:style w:type="table" w:customStyle="1" w:styleId="36">
    <w:name w:val="_Style 18"/>
    <w:basedOn w:val="31"/>
    <w:uiPriority w:val="0"/>
    <w:tblPr>
      <w:tblCellMar>
        <w:left w:w="115" w:type="dxa"/>
        <w:right w:w="115" w:type="dxa"/>
      </w:tblCellMar>
    </w:tblPr>
  </w:style>
  <w:style w:type="table" w:customStyle="1" w:styleId="37">
    <w:name w:val="_Style 19"/>
    <w:basedOn w:val="31"/>
    <w:uiPriority w:val="0"/>
    <w:tblPr>
      <w:tblCellMar>
        <w:left w:w="115" w:type="dxa"/>
        <w:right w:w="115" w:type="dxa"/>
      </w:tblCellMar>
    </w:tblPr>
  </w:style>
  <w:style w:type="table" w:customStyle="1" w:styleId="38">
    <w:name w:val="_Style 20"/>
    <w:basedOn w:val="31"/>
    <w:uiPriority w:val="0"/>
    <w:tblPr>
      <w:tblCellMar>
        <w:left w:w="115" w:type="dxa"/>
        <w:right w:w="115" w:type="dxa"/>
      </w:tblCellMar>
    </w:tblPr>
  </w:style>
  <w:style w:type="table" w:customStyle="1" w:styleId="39">
    <w:name w:val="_Style 21"/>
    <w:basedOn w:val="31"/>
    <w:uiPriority w:val="0"/>
    <w:tblPr>
      <w:tblCellMar>
        <w:left w:w="115" w:type="dxa"/>
        <w:right w:w="115" w:type="dxa"/>
      </w:tblCellMar>
    </w:tblPr>
  </w:style>
  <w:style w:type="table" w:customStyle="1" w:styleId="40">
    <w:name w:val="_Style 22"/>
    <w:basedOn w:val="31"/>
    <w:uiPriority w:val="0"/>
    <w:tblPr>
      <w:tblCellMar>
        <w:left w:w="115" w:type="dxa"/>
        <w:right w:w="115" w:type="dxa"/>
      </w:tblCellMar>
    </w:tblPr>
  </w:style>
  <w:style w:type="table" w:customStyle="1" w:styleId="41">
    <w:name w:val="_Style 23"/>
    <w:basedOn w:val="31"/>
    <w:uiPriority w:val="0"/>
    <w:tblPr>
      <w:tblCellMar>
        <w:left w:w="70" w:type="dxa"/>
        <w:right w:w="70" w:type="dxa"/>
      </w:tblCellMar>
    </w:tblPr>
  </w:style>
  <w:style w:type="paragraph" w:customStyle="1" w:styleId="42">
    <w:name w:val="TEXTO"/>
    <w:basedOn w:val="1"/>
    <w:autoRedefine/>
    <w:qFormat/>
    <w:uiPriority w:val="0"/>
    <w:pPr>
      <w:suppressAutoHyphens/>
      <w:spacing w:line="360" w:lineRule="auto"/>
      <w:ind w:left="142" w:right="537"/>
      <w:jc w:val="both"/>
    </w:pPr>
    <w:rPr>
      <w:rFonts w:eastAsia="ArialMT" w:asciiTheme="minorHAnsi" w:hAnsiTheme="minorHAnsi" w:cstheme="minorHAnsi"/>
      <w:sz w:val="24"/>
      <w:szCs w:val="24"/>
    </w:rPr>
  </w:style>
  <w:style w:type="paragraph" w:customStyle="1" w:styleId="43">
    <w:name w:val="WW-Texto sem formatação"/>
    <w:basedOn w:val="1"/>
    <w:qFormat/>
    <w:uiPriority w:val="0"/>
    <w:pPr>
      <w:suppressAutoHyphens/>
    </w:pPr>
    <w:rPr>
      <w:rFonts w:ascii="Courier New" w:hAnsi="Courier New" w:cs="Courier New"/>
      <w:lang w:eastAsia="ar-SA"/>
    </w:rPr>
  </w:style>
  <w:style w:type="character" w:customStyle="1" w:styleId="44">
    <w:name w:val="Título 1 Char"/>
    <w:basedOn w:val="8"/>
    <w:link w:val="2"/>
    <w:qFormat/>
    <w:uiPriority w:val="9"/>
    <w:rPr>
      <w:b/>
      <w:sz w:val="48"/>
      <w:szCs w:val="48"/>
    </w:rPr>
  </w:style>
  <w:style w:type="character" w:customStyle="1" w:styleId="45">
    <w:name w:val="Texto de comentário Char"/>
    <w:basedOn w:val="8"/>
    <w:link w:val="16"/>
    <w:qFormat/>
    <w:uiPriority w:val="0"/>
    <w:rPr>
      <w:rFonts w:ascii="Calibri" w:hAnsi="Calibri" w:eastAsia="Calibri"/>
      <w:lang w:val="en-US" w:eastAsia="zh-CN"/>
    </w:rPr>
  </w:style>
  <w:style w:type="character" w:customStyle="1" w:styleId="46">
    <w:name w:val="Texto de comentário Char1"/>
    <w:basedOn w:val="8"/>
    <w:semiHidden/>
    <w:uiPriority w:val="99"/>
  </w:style>
  <w:style w:type="character" w:customStyle="1" w:styleId="47">
    <w:name w:val="Assunto do comentário Char"/>
    <w:basedOn w:val="46"/>
    <w:link w:val="22"/>
    <w:uiPriority w:val="0"/>
    <w:rPr>
      <w:rFonts w:asciiTheme="minorHAnsi" w:hAnsiTheme="minorHAnsi" w:eastAsiaTheme="minorHAnsi" w:cstheme="minorBidi"/>
      <w:b/>
      <w:bCs/>
      <w:lang w:eastAsia="en-US"/>
    </w:rPr>
  </w:style>
  <w:style w:type="character" w:customStyle="1" w:styleId="48">
    <w:name w:val="Texto de balão Char"/>
    <w:basedOn w:val="8"/>
    <w:link w:val="25"/>
    <w:uiPriority w:val="99"/>
    <w:rPr>
      <w:rFonts w:ascii="Segoe UI" w:hAnsi="Segoe UI" w:cs="Segoe UI" w:eastAsiaTheme="minorHAnsi"/>
      <w:sz w:val="18"/>
      <w:szCs w:val="18"/>
      <w:lang w:eastAsia="en-US"/>
    </w:rPr>
  </w:style>
  <w:style w:type="character" w:customStyle="1" w:styleId="49">
    <w:name w:val="Corpo de texto Char"/>
    <w:basedOn w:val="8"/>
    <w:link w:val="15"/>
    <w:uiPriority w:val="1"/>
    <w:rPr>
      <w:rFonts w:ascii="Arial" w:hAnsi="Arial" w:eastAsia="Arial" w:cs="Arial"/>
      <w:sz w:val="24"/>
      <w:szCs w:val="24"/>
      <w:lang w:val="pt-PT" w:eastAsia="en-US"/>
    </w:rPr>
  </w:style>
  <w:style w:type="character" w:customStyle="1" w:styleId="50">
    <w:name w:val="Texto de nota de rodapé Char"/>
    <w:basedOn w:val="8"/>
    <w:link w:val="27"/>
    <w:uiPriority w:val="99"/>
    <w:rPr>
      <w:rFonts w:asciiTheme="minorHAnsi" w:hAnsiTheme="minorHAnsi" w:eastAsiaTheme="minorHAnsi" w:cstheme="minorBidi"/>
      <w:lang w:eastAsia="en-US"/>
    </w:rPr>
  </w:style>
  <w:style w:type="character" w:customStyle="1" w:styleId="51">
    <w:name w:val="Footnote Characters"/>
    <w:basedOn w:val="8"/>
    <w:semiHidden/>
    <w:unhideWhenUsed/>
    <w:qFormat/>
    <w:uiPriority w:val="99"/>
    <w:rPr>
      <w:vertAlign w:val="superscript"/>
    </w:rPr>
  </w:style>
  <w:style w:type="paragraph" w:customStyle="1" w:styleId="52">
    <w:name w:val="Table Paragraph"/>
    <w:basedOn w:val="1"/>
    <w:qFormat/>
    <w:uiPriority w:val="1"/>
    <w:pPr>
      <w:widowControl w:val="0"/>
      <w:suppressAutoHyphens/>
      <w:spacing w:before="115"/>
      <w:ind w:left="107"/>
    </w:pPr>
    <w:rPr>
      <w:rFonts w:ascii="Arial" w:hAnsi="Arial" w:eastAsia="Arial" w:cs="Arial"/>
      <w:sz w:val="22"/>
      <w:szCs w:val="22"/>
      <w:lang w:val="pt-PT" w:eastAsia="en-US"/>
    </w:rPr>
  </w:style>
  <w:style w:type="paragraph" w:customStyle="1" w:styleId="53">
    <w:name w:val="Default"/>
    <w:link w:val="103"/>
    <w:uiPriority w:val="0"/>
    <w:pPr>
      <w:autoSpaceDE w:val="0"/>
      <w:autoSpaceDN w:val="0"/>
      <w:adjustRightInd w:val="0"/>
    </w:pPr>
    <w:rPr>
      <w:rFonts w:ascii="Minion Pro" w:hAnsi="Minion Pro" w:cs="Minion Pro" w:eastAsiaTheme="minorHAnsi"/>
      <w:color w:val="000000"/>
      <w:sz w:val="24"/>
      <w:szCs w:val="24"/>
      <w:lang w:val="pt-BR" w:eastAsia="en-US" w:bidi="ar-SA"/>
    </w:rPr>
  </w:style>
  <w:style w:type="character" w:customStyle="1" w:styleId="54">
    <w:name w:val="Menção Pendente1"/>
    <w:basedOn w:val="8"/>
    <w:semiHidden/>
    <w:unhideWhenUsed/>
    <w:uiPriority w:val="99"/>
    <w:rPr>
      <w:color w:val="605E5C"/>
      <w:shd w:val="clear" w:color="auto" w:fill="E1DFDD"/>
    </w:rPr>
  </w:style>
  <w:style w:type="character" w:customStyle="1" w:styleId="55">
    <w:name w:val="Título 2 Char"/>
    <w:basedOn w:val="8"/>
    <w:link w:val="3"/>
    <w:uiPriority w:val="9"/>
    <w:rPr>
      <w:b/>
      <w:sz w:val="36"/>
      <w:szCs w:val="36"/>
    </w:rPr>
  </w:style>
  <w:style w:type="paragraph" w:customStyle="1" w:styleId="56">
    <w:name w:val="Normal1"/>
    <w:uiPriority w:val="0"/>
    <w:pPr>
      <w:spacing w:line="276" w:lineRule="auto"/>
    </w:pPr>
    <w:rPr>
      <w:rFonts w:ascii="Arial" w:hAnsi="Arial" w:eastAsia="Arial" w:cs="Arial"/>
      <w:sz w:val="22"/>
      <w:szCs w:val="22"/>
      <w:lang w:val="pt-BR" w:eastAsia="pt-BR" w:bidi="ar-SA"/>
    </w:rPr>
  </w:style>
  <w:style w:type="character" w:customStyle="1" w:styleId="57">
    <w:name w:val="Título Char"/>
    <w:basedOn w:val="8"/>
    <w:link w:val="18"/>
    <w:uiPriority w:val="10"/>
    <w:rPr>
      <w:b/>
      <w:sz w:val="72"/>
      <w:szCs w:val="72"/>
    </w:rPr>
  </w:style>
  <w:style w:type="character" w:customStyle="1" w:styleId="58">
    <w:name w:val="Corpo de texto 3 Char"/>
    <w:basedOn w:val="8"/>
    <w:link w:val="20"/>
    <w:uiPriority w:val="99"/>
    <w:rPr>
      <w:rFonts w:asciiTheme="minorHAnsi" w:hAnsiTheme="minorHAnsi" w:eastAsiaTheme="minorHAnsi" w:cstheme="minorBidi"/>
      <w:sz w:val="16"/>
      <w:szCs w:val="16"/>
      <w:lang w:eastAsia="en-US"/>
    </w:rPr>
  </w:style>
  <w:style w:type="table" w:customStyle="1" w:styleId="59">
    <w:name w:val="Tabela com grade1"/>
    <w:basedOn w:val="9"/>
    <w:uiPriority w:val="5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60">
    <w:name w:val="Tabela com grade2"/>
    <w:basedOn w:val="9"/>
    <w:uiPriority w:val="5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61">
    <w:name w:val="Recuo de corpo de texto Char"/>
    <w:basedOn w:val="8"/>
    <w:link w:val="29"/>
    <w:uiPriority w:val="0"/>
    <w:rPr>
      <w:rFonts w:ascii="Century Gothic" w:hAnsi="Century Gothic" w:eastAsia="Century Gothic" w:cs="Century Gothic"/>
      <w:sz w:val="22"/>
      <w:szCs w:val="22"/>
      <w:lang w:val="pt-PT" w:eastAsia="en-US"/>
    </w:rPr>
  </w:style>
  <w:style w:type="paragraph" w:customStyle="1" w:styleId="62">
    <w:name w:val="t1"/>
    <w:basedOn w:val="1"/>
    <w:uiPriority w:val="0"/>
    <w:pPr>
      <w:widowControl w:val="0"/>
      <w:autoSpaceDE w:val="0"/>
      <w:autoSpaceDN w:val="0"/>
      <w:adjustRightInd w:val="0"/>
      <w:spacing w:line="240" w:lineRule="atLeast"/>
    </w:pPr>
    <w:rPr>
      <w:sz w:val="24"/>
      <w:szCs w:val="24"/>
      <w:lang w:val="en-US"/>
    </w:rPr>
  </w:style>
  <w:style w:type="character" w:customStyle="1" w:styleId="63">
    <w:name w:val="Recuo de corpo de texto 3 Char"/>
    <w:basedOn w:val="8"/>
    <w:link w:val="24"/>
    <w:uiPriority w:val="0"/>
    <w:rPr>
      <w:rFonts w:ascii="Arial" w:hAnsi="Arial"/>
      <w:sz w:val="24"/>
    </w:rPr>
  </w:style>
  <w:style w:type="character" w:customStyle="1" w:styleId="64">
    <w:name w:val="Recuo de corpo de texto 2 Char"/>
    <w:basedOn w:val="8"/>
    <w:link w:val="17"/>
    <w:uiPriority w:val="0"/>
    <w:rPr>
      <w:sz w:val="24"/>
      <w:szCs w:val="24"/>
    </w:rPr>
  </w:style>
  <w:style w:type="character" w:customStyle="1" w:styleId="65">
    <w:name w:val="apple-converted-space"/>
    <w:uiPriority w:val="0"/>
  </w:style>
  <w:style w:type="paragraph" w:customStyle="1" w:styleId="66">
    <w:name w:val="TCU - Epígrafe"/>
    <w:basedOn w:val="1"/>
    <w:uiPriority w:val="0"/>
    <w:pPr>
      <w:ind w:left="2835"/>
      <w:jc w:val="both"/>
    </w:pPr>
    <w:rPr>
      <w:sz w:val="24"/>
    </w:rPr>
  </w:style>
  <w:style w:type="paragraph" w:customStyle="1" w:styleId="67">
    <w:name w:val="TCU - Sem Recuo"/>
    <w:basedOn w:val="1"/>
    <w:uiPriority w:val="0"/>
    <w:pPr>
      <w:tabs>
        <w:tab w:val="left" w:pos="1134"/>
      </w:tabs>
      <w:spacing w:after="160"/>
      <w:jc w:val="both"/>
    </w:pPr>
    <w:rPr>
      <w:sz w:val="24"/>
    </w:rPr>
  </w:style>
  <w:style w:type="paragraph" w:customStyle="1" w:styleId="68">
    <w:name w:val="TCU - Rel/Voto - demais §§"/>
    <w:basedOn w:val="1"/>
    <w:qFormat/>
    <w:uiPriority w:val="0"/>
    <w:pPr>
      <w:tabs>
        <w:tab w:val="left" w:pos="1134"/>
      </w:tabs>
      <w:spacing w:after="160"/>
      <w:jc w:val="both"/>
    </w:pPr>
    <w:rPr>
      <w:sz w:val="24"/>
      <w:szCs w:val="22"/>
      <w:lang w:eastAsia="en-US"/>
    </w:rPr>
  </w:style>
  <w:style w:type="paragraph" w:customStyle="1" w:styleId="69">
    <w:name w:val="corpo de texto"/>
    <w:basedOn w:val="24"/>
    <w:qFormat/>
    <w:uiPriority w:val="0"/>
    <w:pPr>
      <w:spacing w:line="240" w:lineRule="auto"/>
      <w:ind w:firstLine="1134"/>
    </w:pPr>
    <w:rPr>
      <w:rFonts w:ascii="Times New Roman" w:hAnsi="Times New Roman"/>
    </w:rPr>
  </w:style>
  <w:style w:type="character" w:customStyle="1" w:styleId="70">
    <w:name w:val="titulo"/>
    <w:uiPriority w:val="0"/>
  </w:style>
  <w:style w:type="character" w:customStyle="1" w:styleId="71">
    <w:name w:val="corpojustificado"/>
    <w:uiPriority w:val="0"/>
  </w:style>
  <w:style w:type="paragraph" w:customStyle="1" w:styleId="72">
    <w:name w:val="04partenormativa"/>
    <w:basedOn w:val="1"/>
    <w:uiPriority w:val="0"/>
    <w:pPr>
      <w:spacing w:before="100" w:beforeAutospacing="1" w:after="100" w:afterAutospacing="1"/>
    </w:pPr>
    <w:rPr>
      <w:sz w:val="24"/>
      <w:szCs w:val="24"/>
    </w:rPr>
  </w:style>
  <w:style w:type="paragraph" w:customStyle="1" w:styleId="73">
    <w:name w:val="Style 2"/>
    <w:basedOn w:val="1"/>
    <w:uiPriority w:val="99"/>
    <w:pPr>
      <w:widowControl w:val="0"/>
      <w:autoSpaceDE w:val="0"/>
      <w:autoSpaceDN w:val="0"/>
      <w:ind w:firstLine="288"/>
      <w:jc w:val="both"/>
    </w:pPr>
    <w:rPr>
      <w:sz w:val="19"/>
      <w:szCs w:val="19"/>
    </w:rPr>
  </w:style>
  <w:style w:type="character" w:customStyle="1" w:styleId="74">
    <w:name w:val="Character Style 1"/>
    <w:uiPriority w:val="99"/>
    <w:rPr>
      <w:sz w:val="19"/>
      <w:szCs w:val="19"/>
    </w:rPr>
  </w:style>
  <w:style w:type="paragraph" w:customStyle="1" w:styleId="75">
    <w:name w:val="Style 3"/>
    <w:basedOn w:val="1"/>
    <w:uiPriority w:val="99"/>
    <w:pPr>
      <w:widowControl w:val="0"/>
      <w:autoSpaceDE w:val="0"/>
      <w:autoSpaceDN w:val="0"/>
      <w:spacing w:before="324" w:line="360" w:lineRule="auto"/>
      <w:ind w:right="144"/>
      <w:jc w:val="both"/>
    </w:pPr>
    <w:rPr>
      <w:rFonts w:ascii="Arial" w:hAnsi="Arial" w:cs="Arial"/>
      <w:sz w:val="23"/>
      <w:szCs w:val="23"/>
    </w:rPr>
  </w:style>
  <w:style w:type="character" w:customStyle="1" w:styleId="76">
    <w:name w:val="Character Style 2"/>
    <w:uiPriority w:val="99"/>
    <w:rPr>
      <w:sz w:val="20"/>
      <w:szCs w:val="20"/>
    </w:rPr>
  </w:style>
  <w:style w:type="paragraph" w:customStyle="1" w:styleId="77">
    <w:name w:val="textbody"/>
    <w:basedOn w:val="1"/>
    <w:uiPriority w:val="0"/>
    <w:pPr>
      <w:spacing w:before="100" w:beforeAutospacing="1" w:after="100" w:afterAutospacing="1"/>
    </w:pPr>
    <w:rPr>
      <w:sz w:val="24"/>
      <w:szCs w:val="24"/>
    </w:rPr>
  </w:style>
  <w:style w:type="paragraph" w:customStyle="1" w:styleId="78">
    <w:name w:val="tcu_-_transcrição"/>
    <w:basedOn w:val="1"/>
    <w:uiPriority w:val="0"/>
    <w:pPr>
      <w:spacing w:before="100" w:beforeAutospacing="1" w:after="100" w:afterAutospacing="1"/>
    </w:pPr>
    <w:rPr>
      <w:sz w:val="24"/>
      <w:szCs w:val="24"/>
    </w:rPr>
  </w:style>
  <w:style w:type="paragraph" w:customStyle="1" w:styleId="79">
    <w:name w:val="tcu_-_rel/voto_-_demais_§§"/>
    <w:basedOn w:val="1"/>
    <w:uiPriority w:val="0"/>
    <w:pPr>
      <w:spacing w:before="100" w:beforeAutospacing="1" w:after="100" w:afterAutospacing="1"/>
    </w:pPr>
    <w:rPr>
      <w:sz w:val="24"/>
      <w:szCs w:val="24"/>
    </w:rPr>
  </w:style>
  <w:style w:type="paragraph" w:customStyle="1" w:styleId="80">
    <w:name w:val="tcu_-_centralizado"/>
    <w:basedOn w:val="1"/>
    <w:uiPriority w:val="0"/>
    <w:pPr>
      <w:spacing w:before="100" w:beforeAutospacing="1" w:after="100" w:afterAutospacing="1"/>
    </w:pPr>
    <w:rPr>
      <w:sz w:val="24"/>
      <w:szCs w:val="24"/>
    </w:rPr>
  </w:style>
  <w:style w:type="paragraph" w:customStyle="1" w:styleId="81">
    <w:name w:val="texto_justificado_recuo_primeira_linha"/>
    <w:basedOn w:val="1"/>
    <w:uiPriority w:val="0"/>
    <w:pPr>
      <w:spacing w:before="100" w:beforeAutospacing="1" w:after="100" w:afterAutospacing="1"/>
    </w:pPr>
    <w:rPr>
      <w:sz w:val="24"/>
      <w:szCs w:val="24"/>
    </w:rPr>
  </w:style>
  <w:style w:type="paragraph" w:customStyle="1" w:styleId="82">
    <w:name w:val="citacao"/>
    <w:basedOn w:val="1"/>
    <w:uiPriority w:val="0"/>
    <w:pPr>
      <w:spacing w:before="100" w:beforeAutospacing="1" w:after="100" w:afterAutospacing="1"/>
    </w:pPr>
    <w:rPr>
      <w:sz w:val="24"/>
      <w:szCs w:val="24"/>
    </w:rPr>
  </w:style>
  <w:style w:type="paragraph" w:customStyle="1" w:styleId="83">
    <w:name w:val="Nivel 2"/>
    <w:basedOn w:val="1"/>
    <w:link w:val="84"/>
    <w:qFormat/>
    <w:uiPriority w:val="0"/>
    <w:pPr>
      <w:spacing w:before="120" w:after="120" w:line="276" w:lineRule="auto"/>
      <w:ind w:left="4969" w:hanging="432"/>
      <w:jc w:val="both"/>
    </w:pPr>
    <w:rPr>
      <w:rFonts w:ascii="Arial" w:hAnsi="Arial" w:cs="Arial"/>
      <w:color w:val="000000"/>
    </w:rPr>
  </w:style>
  <w:style w:type="character" w:customStyle="1" w:styleId="84">
    <w:name w:val="Nivel 2 Char"/>
    <w:link w:val="83"/>
    <w:qFormat/>
    <w:locked/>
    <w:uiPriority w:val="0"/>
    <w:rPr>
      <w:rFonts w:ascii="Arial" w:hAnsi="Arial" w:cs="Arial"/>
      <w:color w:val="000000"/>
    </w:rPr>
  </w:style>
  <w:style w:type="paragraph" w:customStyle="1" w:styleId="85">
    <w:name w:val="Nivel 01"/>
    <w:basedOn w:val="2"/>
    <w:next w:val="1"/>
    <w:link w:val="88"/>
    <w:qFormat/>
    <w:uiPriority w:val="0"/>
    <w:pPr>
      <w:tabs>
        <w:tab w:val="left" w:pos="567"/>
      </w:tabs>
      <w:spacing w:before="240" w:after="0"/>
      <w:ind w:left="360" w:hanging="360"/>
      <w:jc w:val="both"/>
    </w:pPr>
    <w:rPr>
      <w:rFonts w:ascii="Arial" w:hAnsi="Arial" w:cs="Arial"/>
      <w:bCs/>
      <w:sz w:val="20"/>
      <w:szCs w:val="20"/>
    </w:rPr>
  </w:style>
  <w:style w:type="paragraph" w:customStyle="1" w:styleId="86">
    <w:name w:val="Nivel 3"/>
    <w:basedOn w:val="1"/>
    <w:link w:val="87"/>
    <w:qFormat/>
    <w:uiPriority w:val="0"/>
    <w:pPr>
      <w:spacing w:before="120" w:after="120" w:line="276" w:lineRule="auto"/>
      <w:ind w:left="3198" w:hanging="504"/>
      <w:jc w:val="both"/>
    </w:pPr>
    <w:rPr>
      <w:rFonts w:ascii="Arial" w:hAnsi="Arial" w:cs="Arial"/>
      <w:color w:val="000000"/>
    </w:rPr>
  </w:style>
  <w:style w:type="character" w:customStyle="1" w:styleId="87">
    <w:name w:val="Nivel 3 Char"/>
    <w:link w:val="86"/>
    <w:uiPriority w:val="0"/>
    <w:rPr>
      <w:rFonts w:ascii="Arial" w:hAnsi="Arial" w:cs="Arial"/>
      <w:color w:val="000000"/>
    </w:rPr>
  </w:style>
  <w:style w:type="character" w:customStyle="1" w:styleId="88">
    <w:name w:val="Nivel 01 Char"/>
    <w:link w:val="85"/>
    <w:uiPriority w:val="0"/>
    <w:rPr>
      <w:rFonts w:ascii="Arial" w:hAnsi="Arial" w:cs="Arial"/>
      <w:b/>
      <w:bCs/>
    </w:rPr>
  </w:style>
  <w:style w:type="paragraph" w:customStyle="1" w:styleId="89">
    <w:name w:val="Nivel_01_Titulo"/>
    <w:basedOn w:val="2"/>
    <w:next w:val="1"/>
    <w:link w:val="101"/>
    <w:qFormat/>
    <w:uiPriority w:val="0"/>
    <w:pPr>
      <w:numPr>
        <w:ilvl w:val="0"/>
        <w:numId w:val="2"/>
      </w:numPr>
      <w:tabs>
        <w:tab w:val="left" w:pos="567"/>
      </w:tabs>
      <w:spacing w:before="240" w:after="0"/>
      <w:ind w:left="360" w:hanging="990"/>
      <w:jc w:val="both"/>
    </w:pPr>
    <w:rPr>
      <w:rFonts w:ascii="Arial" w:hAnsi="Arial"/>
      <w:bCs/>
      <w:color w:val="2F5496"/>
      <w:sz w:val="20"/>
      <w:szCs w:val="20"/>
    </w:rPr>
  </w:style>
  <w:style w:type="paragraph" w:customStyle="1" w:styleId="90">
    <w:name w:val="Nivel1"/>
    <w:basedOn w:val="2"/>
    <w:next w:val="1"/>
    <w:qFormat/>
    <w:uiPriority w:val="0"/>
    <w:pPr>
      <w:numPr>
        <w:ilvl w:val="0"/>
        <w:numId w:val="3"/>
      </w:numPr>
      <w:spacing w:line="276" w:lineRule="auto"/>
      <w:ind w:left="1859"/>
      <w:jc w:val="both"/>
    </w:pPr>
    <w:rPr>
      <w:rFonts w:ascii="Arial" w:hAnsi="Arial" w:cs="Arial"/>
      <w:color w:val="000000"/>
      <w:sz w:val="32"/>
      <w:szCs w:val="32"/>
      <w:lang w:eastAsia="en-US"/>
    </w:rPr>
  </w:style>
  <w:style w:type="paragraph" w:customStyle="1" w:styleId="91">
    <w:name w:val="Nível 2 -Red"/>
    <w:basedOn w:val="83"/>
    <w:link w:val="97"/>
    <w:qFormat/>
    <w:uiPriority w:val="0"/>
    <w:pPr>
      <w:numPr>
        <w:ilvl w:val="1"/>
        <w:numId w:val="2"/>
      </w:numPr>
      <w:ind w:left="4969" w:hanging="360"/>
    </w:pPr>
    <w:rPr>
      <w:i/>
      <w:iCs/>
      <w:color w:val="FF0000"/>
    </w:rPr>
  </w:style>
  <w:style w:type="paragraph" w:customStyle="1" w:styleId="92">
    <w:name w:val="Nível 3-R"/>
    <w:basedOn w:val="86"/>
    <w:link w:val="93"/>
    <w:qFormat/>
    <w:uiPriority w:val="0"/>
    <w:pPr>
      <w:numPr>
        <w:ilvl w:val="2"/>
        <w:numId w:val="2"/>
      </w:numPr>
    </w:pPr>
    <w:rPr>
      <w:i/>
      <w:iCs/>
      <w:color w:val="FF0000"/>
    </w:rPr>
  </w:style>
  <w:style w:type="character" w:customStyle="1" w:styleId="93">
    <w:name w:val="Nível 3-R Char"/>
    <w:link w:val="92"/>
    <w:uiPriority w:val="0"/>
    <w:rPr>
      <w:rFonts w:ascii="Arial" w:hAnsi="Arial" w:cs="Arial"/>
      <w:i/>
      <w:iCs/>
      <w:color w:val="FF0000"/>
    </w:rPr>
  </w:style>
  <w:style w:type="paragraph" w:customStyle="1" w:styleId="94">
    <w:name w:val="Nível 4-R"/>
    <w:basedOn w:val="1"/>
    <w:qFormat/>
    <w:uiPriority w:val="0"/>
    <w:pPr>
      <w:numPr>
        <w:ilvl w:val="3"/>
        <w:numId w:val="2"/>
      </w:numPr>
      <w:spacing w:before="120" w:after="120" w:line="276" w:lineRule="auto"/>
      <w:ind w:left="2491" w:hanging="648"/>
      <w:jc w:val="both"/>
    </w:pPr>
    <w:rPr>
      <w:rFonts w:ascii="Arial" w:hAnsi="Arial" w:cs="Arial"/>
      <w:i/>
      <w:iCs/>
      <w:color w:val="FF0000"/>
    </w:rPr>
  </w:style>
  <w:style w:type="paragraph" w:customStyle="1" w:styleId="95">
    <w:name w:val="ou"/>
    <w:basedOn w:val="34"/>
    <w:link w:val="96"/>
    <w:qFormat/>
    <w:uiPriority w:val="0"/>
    <w:pPr>
      <w:spacing w:before="60" w:after="60" w:line="259" w:lineRule="auto"/>
      <w:ind w:left="0"/>
      <w:contextualSpacing w:val="0"/>
      <w:jc w:val="center"/>
    </w:pPr>
    <w:rPr>
      <w:rFonts w:ascii="Arial" w:hAnsi="Arial" w:eastAsia="Calibri" w:cs="Arial"/>
      <w:b/>
      <w:bCs/>
      <w:i/>
      <w:iCs/>
      <w:color w:val="FF0000"/>
      <w:sz w:val="24"/>
      <w:szCs w:val="24"/>
      <w:u w:val="single"/>
    </w:rPr>
  </w:style>
  <w:style w:type="character" w:customStyle="1" w:styleId="96">
    <w:name w:val="ou Char"/>
    <w:link w:val="95"/>
    <w:uiPriority w:val="0"/>
    <w:rPr>
      <w:rFonts w:ascii="Arial" w:hAnsi="Arial" w:eastAsia="Calibri" w:cs="Arial"/>
      <w:b/>
      <w:bCs/>
      <w:i/>
      <w:iCs/>
      <w:color w:val="FF0000"/>
      <w:sz w:val="24"/>
      <w:szCs w:val="24"/>
      <w:u w:val="single"/>
    </w:rPr>
  </w:style>
  <w:style w:type="character" w:customStyle="1" w:styleId="97">
    <w:name w:val="Nível 2 -Red Char"/>
    <w:link w:val="91"/>
    <w:uiPriority w:val="0"/>
    <w:rPr>
      <w:rFonts w:ascii="Arial" w:hAnsi="Arial" w:cs="Arial"/>
      <w:i/>
      <w:iCs/>
      <w:color w:val="FF0000"/>
    </w:rPr>
  </w:style>
  <w:style w:type="paragraph" w:customStyle="1" w:styleId="98">
    <w:name w:val="Nivel 3-erro"/>
    <w:basedOn w:val="86"/>
    <w:link w:val="99"/>
    <w:qFormat/>
    <w:uiPriority w:val="0"/>
    <w:pPr>
      <w:spacing w:line="240" w:lineRule="auto"/>
      <w:ind w:left="425" w:hanging="504"/>
    </w:pPr>
    <w:rPr>
      <w:rFonts w:cs="Tahoma"/>
      <w:color w:val="auto"/>
      <w:szCs w:val="24"/>
    </w:rPr>
  </w:style>
  <w:style w:type="character" w:customStyle="1" w:styleId="99">
    <w:name w:val="Nivel 3-erro Char"/>
    <w:link w:val="98"/>
    <w:uiPriority w:val="0"/>
    <w:rPr>
      <w:rFonts w:ascii="Arial" w:hAnsi="Arial" w:cs="Tahoma"/>
      <w:szCs w:val="24"/>
    </w:rPr>
  </w:style>
  <w:style w:type="character" w:customStyle="1" w:styleId="100">
    <w:name w:val="normaltextrun"/>
    <w:basedOn w:val="8"/>
    <w:uiPriority w:val="0"/>
  </w:style>
  <w:style w:type="character" w:customStyle="1" w:styleId="101">
    <w:name w:val="Nivel_01_Titulo Char"/>
    <w:link w:val="89"/>
    <w:uiPriority w:val="0"/>
    <w:rPr>
      <w:rFonts w:ascii="Arial" w:hAnsi="Arial"/>
      <w:b/>
      <w:bCs/>
      <w:color w:val="2F5496"/>
    </w:rPr>
  </w:style>
  <w:style w:type="character" w:customStyle="1" w:styleId="102">
    <w:name w:val="cf01"/>
    <w:uiPriority w:val="0"/>
    <w:rPr>
      <w:rFonts w:hint="default" w:ascii="Segoe UI" w:hAnsi="Segoe UI" w:cs="Segoe UI"/>
      <w:sz w:val="18"/>
      <w:szCs w:val="18"/>
    </w:rPr>
  </w:style>
  <w:style w:type="character" w:customStyle="1" w:styleId="103">
    <w:name w:val="Default Char"/>
    <w:link w:val="53"/>
    <w:uiPriority w:val="0"/>
    <w:rPr>
      <w:rFonts w:ascii="Minion Pro" w:hAnsi="Minion Pro" w:cs="Minion Pro" w:eastAsiaTheme="minorHAnsi"/>
      <w:color w:val="000000"/>
      <w:sz w:val="24"/>
      <w:szCs w:val="24"/>
      <w:lang w:eastAsia="en-US"/>
    </w:rPr>
  </w:style>
  <w:style w:type="paragraph" w:customStyle="1" w:styleId="104">
    <w:name w:val="pf0"/>
    <w:basedOn w:val="1"/>
    <w:uiPriority w:val="0"/>
    <w:pPr>
      <w:spacing w:before="100" w:beforeAutospacing="1" w:after="100" w:afterAutospacing="1"/>
    </w:pPr>
    <w:rPr>
      <w:sz w:val="24"/>
      <w:szCs w:val="24"/>
    </w:rPr>
  </w:style>
  <w:style w:type="character" w:customStyle="1" w:styleId="105">
    <w:name w:val="Parágrafo da Lista Char"/>
    <w:link w:val="34"/>
    <w:uiPriority w:val="34"/>
  </w:style>
  <w:style w:type="paragraph" w:customStyle="1" w:styleId="106">
    <w:name w:val="Nivel 4"/>
    <w:basedOn w:val="86"/>
    <w:link w:val="108"/>
    <w:qFormat/>
    <w:uiPriority w:val="0"/>
    <w:pPr>
      <w:ind w:left="851" w:firstLine="0"/>
    </w:pPr>
    <w:rPr>
      <w:rFonts w:eastAsia="MS Mincho"/>
      <w:color w:val="auto"/>
    </w:rPr>
  </w:style>
  <w:style w:type="paragraph" w:customStyle="1" w:styleId="107">
    <w:name w:val="Nivel 5"/>
    <w:basedOn w:val="106"/>
    <w:qFormat/>
    <w:uiPriority w:val="0"/>
    <w:pPr>
      <w:ind w:left="1276"/>
    </w:pPr>
  </w:style>
  <w:style w:type="character" w:customStyle="1" w:styleId="108">
    <w:name w:val="Nivel 4 Char"/>
    <w:link w:val="106"/>
    <w:uiPriority w:val="0"/>
    <w:rPr>
      <w:rFonts w:ascii="Arial" w:hAnsi="Arial" w:eastAsia="MS Mincho" w:cs="Arial"/>
    </w:rPr>
  </w:style>
  <w:style w:type="paragraph" w:customStyle="1" w:styleId="109">
    <w:name w:val="Nivel 1"/>
    <w:basedOn w:val="83"/>
    <w:next w:val="83"/>
    <w:qFormat/>
    <w:uiPriority w:val="0"/>
    <w:pPr>
      <w:tabs>
        <w:tab w:val="left" w:pos="360"/>
      </w:tabs>
      <w:ind w:left="858"/>
    </w:pPr>
    <w:rPr>
      <w:rFonts w:ascii="Ecofont_Spranq_eco_Sans" w:hAnsi="Ecofont_Spranq_eco_Sans" w:eastAsia="Arial Unicode MS"/>
      <w:b/>
      <w:color w:val="auto"/>
    </w:rPr>
  </w:style>
  <w:style w:type="character" w:customStyle="1" w:styleId="110">
    <w:name w:val="cf11"/>
    <w:uiPriority w:val="0"/>
    <w:rPr>
      <w:rFonts w:hint="default" w:ascii="Segoe UI" w:hAnsi="Segoe UI" w:cs="Segoe UI"/>
      <w:i/>
      <w:iCs/>
      <w:sz w:val="18"/>
      <w:szCs w:val="18"/>
    </w:rPr>
  </w:style>
  <w:style w:type="paragraph" w:customStyle="1" w:styleId="111">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paragraph" w:customStyle="1" w:styleId="112">
    <w:name w:val="Revision"/>
    <w:hidden/>
    <w:semiHidden/>
    <w:uiPriority w:val="99"/>
    <w:rPr>
      <w:rFonts w:ascii="Times New Roman" w:hAnsi="Times New Roman" w:eastAsia="Times New Roman" w:cs="Times New Roman"/>
      <w:sz w:val="24"/>
      <w:szCs w:val="24"/>
      <w:lang w:val="pt-BR" w:eastAsia="pt-BR" w:bidi="ar-SA"/>
    </w:rPr>
  </w:style>
  <w:style w:type="paragraph" w:customStyle="1" w:styleId="113">
    <w:name w:val="Nível 4"/>
    <w:basedOn w:val="1"/>
    <w:qFormat/>
    <w:uiPriority w:val="0"/>
    <w:pPr>
      <w:spacing w:before="120" w:after="120" w:line="276" w:lineRule="auto"/>
      <w:ind w:left="567"/>
      <w:jc w:val="both"/>
    </w:pPr>
    <w:rPr>
      <w:rFonts w:ascii="Arial" w:hAnsi="Arial" w:cs="Arial"/>
    </w:rPr>
  </w:style>
  <w:style w:type="paragraph" w:customStyle="1" w:styleId="114">
    <w:name w:val="Recuo de corpo de texto 21"/>
    <w:basedOn w:val="1"/>
    <w:uiPriority w:val="0"/>
    <w:pPr>
      <w:suppressAutoHyphens/>
      <w:spacing w:after="120" w:line="480" w:lineRule="auto"/>
      <w:ind w:left="283"/>
    </w:pPr>
    <w:rPr>
      <w:sz w:val="24"/>
      <w:szCs w:val="24"/>
      <w:lang w:eastAsia="ar-SA"/>
    </w:rPr>
  </w:style>
  <w:style w:type="paragraph" w:customStyle="1" w:styleId="115">
    <w:name w:val="Nível 3"/>
    <w:basedOn w:val="92"/>
    <w:link w:val="116"/>
    <w:qFormat/>
    <w:uiPriority w:val="0"/>
    <w:pPr>
      <w:numPr>
        <w:numId w:val="0"/>
      </w:numPr>
      <w:ind w:left="284"/>
    </w:pPr>
    <w:rPr>
      <w:i w:val="0"/>
      <w:iCs w:val="0"/>
      <w:color w:val="auto"/>
    </w:rPr>
  </w:style>
  <w:style w:type="character" w:customStyle="1" w:styleId="116">
    <w:name w:val="Nível 3 Char"/>
    <w:link w:val="115"/>
    <w:uiPriority w:val="0"/>
    <w:rPr>
      <w:rFonts w:ascii="Arial" w:hAnsi="Arial" w:cs="Arial"/>
    </w:rPr>
  </w:style>
  <w:style w:type="character" w:customStyle="1" w:styleId="117">
    <w:name w:val="Título 3 Char"/>
    <w:basedOn w:val="8"/>
    <w:link w:val="4"/>
    <w:uiPriority w:val="9"/>
    <w:rPr>
      <w:b/>
      <w:sz w:val="28"/>
      <w:szCs w:val="28"/>
    </w:rPr>
  </w:style>
  <w:style w:type="character" w:customStyle="1" w:styleId="118">
    <w:name w:val="Título 4 Char"/>
    <w:basedOn w:val="8"/>
    <w:link w:val="5"/>
    <w:uiPriority w:val="9"/>
    <w:rPr>
      <w:b/>
      <w:sz w:val="24"/>
      <w:szCs w:val="24"/>
    </w:rPr>
  </w:style>
  <w:style w:type="character" w:customStyle="1" w:styleId="119">
    <w:name w:val="Título 5 Char"/>
    <w:basedOn w:val="8"/>
    <w:link w:val="6"/>
    <w:uiPriority w:val="9"/>
    <w:rPr>
      <w:b/>
      <w:sz w:val="22"/>
      <w:szCs w:val="22"/>
    </w:rPr>
  </w:style>
  <w:style w:type="character" w:customStyle="1" w:styleId="120">
    <w:name w:val="Título 6 Char"/>
    <w:basedOn w:val="8"/>
    <w:link w:val="7"/>
    <w:uiPriority w:val="9"/>
    <w:rPr>
      <w:b/>
    </w:rPr>
  </w:style>
  <w:style w:type="character" w:customStyle="1" w:styleId="121">
    <w:name w:val="Subtítulo Char"/>
    <w:basedOn w:val="8"/>
    <w:link w:val="26"/>
    <w:uiPriority w:val="11"/>
    <w:rPr>
      <w:rFonts w:ascii="Georgia" w:hAnsi="Georgia" w:eastAsia="Georgia" w:cs="Georgia"/>
      <w:i/>
      <w:color w:val="666666"/>
      <w:sz w:val="48"/>
      <w:szCs w:val="48"/>
    </w:rPr>
  </w:style>
  <w:style w:type="paragraph" w:customStyle="1" w:styleId="122">
    <w:name w:val="Título 11"/>
    <w:basedOn w:val="1"/>
    <w:qFormat/>
    <w:uiPriority w:val="1"/>
    <w:pPr>
      <w:widowControl w:val="0"/>
      <w:ind w:left="292" w:hanging="174"/>
      <w:outlineLvl w:val="1"/>
    </w:pPr>
    <w:rPr>
      <w:rFonts w:ascii="Calibri" w:hAnsi="Calibri" w:eastAsia="Calibri" w:cs="Calibri"/>
      <w:b/>
      <w:bCs/>
      <w:sz w:val="24"/>
      <w:szCs w:val="24"/>
      <w:lang w:val="pt-PT"/>
    </w:rPr>
  </w:style>
  <w:style w:type="paragraph" w:customStyle="1" w:styleId="123">
    <w:name w:val="msonormal"/>
    <w:basedOn w:val="1"/>
    <w:uiPriority w:val="0"/>
    <w:pPr>
      <w:spacing w:before="100" w:beforeAutospacing="1" w:after="100" w:afterAutospacing="1"/>
    </w:pPr>
    <w:rPr>
      <w:sz w:val="24"/>
      <w:szCs w:val="24"/>
    </w:rPr>
  </w:style>
  <w:style w:type="paragraph" w:customStyle="1" w:styleId="124">
    <w:name w:val="tabela_texto_alinhado_esquerda"/>
    <w:basedOn w:val="1"/>
    <w:uiPriority w:val="0"/>
    <w:pPr>
      <w:spacing w:before="100" w:beforeAutospacing="1" w:after="100" w:afterAutospacing="1"/>
    </w:pPr>
    <w:rPr>
      <w:sz w:val="24"/>
      <w:szCs w:val="24"/>
    </w:rPr>
  </w:style>
  <w:style w:type="paragraph" w:customStyle="1" w:styleId="125">
    <w:name w:val="tabela_texto_centralizado"/>
    <w:basedOn w:val="1"/>
    <w:uiPriority w:val="0"/>
    <w:pPr>
      <w:spacing w:before="100" w:beforeAutospacing="1" w:after="100" w:afterAutospacing="1"/>
    </w:pPr>
    <w:rPr>
      <w:sz w:val="24"/>
      <w:szCs w:val="24"/>
    </w:rPr>
  </w:style>
  <w:style w:type="paragraph" w:customStyle="1" w:styleId="126">
    <w:name w:val="texto_justificado"/>
    <w:basedOn w:val="1"/>
    <w:uiPriority w:val="0"/>
    <w:pPr>
      <w:spacing w:before="100" w:beforeAutospacing="1" w:after="100" w:afterAutospacing="1"/>
    </w:pPr>
    <w:rPr>
      <w:sz w:val="24"/>
      <w:szCs w:val="24"/>
    </w:rPr>
  </w:style>
  <w:style w:type="paragraph" w:customStyle="1" w:styleId="127">
    <w:name w:val="texto_alinhado_esquerda"/>
    <w:basedOn w:val="1"/>
    <w:uiPriority w:val="0"/>
    <w:pPr>
      <w:spacing w:before="100" w:beforeAutospacing="1" w:after="100" w:afterAutospacing="1"/>
    </w:pPr>
    <w:rPr>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dGJSLzgcsFhq5+ry/kjen7xknA==">CgMxLjA4AHIhMWlCTzhycGRGTHFYMmhZc3ZCelJyNVBUMkFoRU5vQ0xu</go:docsCustomData>
</go:gDocsCustomXmlDataStorage>
</file>

<file path=customXml/itemProps1.xml><?xml version="1.0" encoding="utf-8"?>
<ds:datastoreItem xmlns:ds="http://schemas.openxmlformats.org/officeDocument/2006/customXml" ds:itemID="{8B1A15ED-E52D-4BB3-8DBC-10FD45CCE074}">
  <ds:schemaRefs/>
</ds:datastoreItem>
</file>

<file path=customXml/itemProps2.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Normal.dotm</Template>
  <Pages>145</Pages>
  <Words>5524</Words>
  <Characters>30512</Characters>
  <Lines>1981</Lines>
  <Paragraphs>562</Paragraphs>
  <TotalTime>9</TotalTime>
  <ScaleCrop>false</ScaleCrop>
  <LinksUpToDate>false</LinksUpToDate>
  <CharactersWithSpaces>35929</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2026-05-15T17:14:00Z</dcterms:created>
  <dc:creator>Sabrina Guimarães</dc:creator>
  <cp:lastModifiedBy>licitacao04</cp:lastModifiedBy>
  <cp:lastPrinted>2025-06-24T12:04:00Z</cp:lastPrinted>
  <dcterms:modified xsi:type="dcterms:W3CDTF">2026-06-25T14:14:33Z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eyJoZGlkIjoiODk5ZDUzODY0MzRjZDU1MTZjNjdmZjFjZGJkZmQ3NTUifQ==</vt:lpwstr>
  </property>
  <property fmtid="{D5CDD505-2E9C-101B-9397-08002B2CF9AE}" pid="3" name="KSOProductBuildVer">
    <vt:lpwstr>1046-12.1.0.26880</vt:lpwstr>
  </property>
  <property fmtid="{D5CDD505-2E9C-101B-9397-08002B2CF9AE}" pid="4" name="ICV">
    <vt:lpwstr>8122858E19154893AB569BB0FCCE20CD_13</vt:lpwstr>
  </property>
</Properties>
</file>